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Style w:val="23"/>
          <w:lang w:val="zh-CN"/>
          <w:woUserID w:val="0"/>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7CFDDF0">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 xml:space="preserve"> 市区厂能源在线监测系统对接市平台采购项目</w:t>
      </w:r>
    </w:p>
    <w:p w14:paraId="40D0A52B">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358608B6">
      <w:pPr>
        <w:spacing w:after="156"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13783752">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16</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3"/>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3"/>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14:paraId="599A24D5">
          <w:pPr>
            <w:pStyle w:val="13"/>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hint="eastAsia" w:ascii="Times New Roman"/>
              <w:sz w:val="28"/>
              <w:szCs w:val="28"/>
              <w:lang w:val="en-US" w:eastAsia="zh-CN"/>
            </w:rPr>
            <w:t>9</w:t>
          </w:r>
          <w:r>
            <w:rPr>
              <w:rFonts w:ascii="Times New Roman"/>
              <w:sz w:val="28"/>
              <w:szCs w:val="28"/>
            </w:rPr>
            <w:fldChar w:fldCharType="end"/>
          </w:r>
        </w:p>
        <w:p w14:paraId="0983D28E">
          <w:pPr>
            <w:pStyle w:val="13"/>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5</w:t>
          </w:r>
        </w:p>
        <w:p w14:paraId="21313687">
          <w:pPr>
            <w:pStyle w:val="13"/>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r>
            <w:rPr>
              <w:rFonts w:hint="eastAsia" w:ascii="Times New Roman"/>
              <w:sz w:val="28"/>
              <w:szCs w:val="28"/>
              <w:lang w:val="en-US" w:eastAsia="zh-CN"/>
            </w:rPr>
            <w:t>7</w:t>
          </w:r>
        </w:p>
        <w:p w14:paraId="2C5FCF5B">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 市区厂能源在线监测系统对接市平台采购项目”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5</w:t>
      </w:r>
      <w:r>
        <w:rPr>
          <w:rFonts w:hint="eastAsia" w:ascii="Times New Roman" w:cs="宋体"/>
          <w:color w:val="000000" w:themeColor="text1"/>
          <w:sz w:val="21"/>
          <w:szCs w:val="21"/>
          <w14:textFill>
            <w14:solidFill>
              <w14:schemeClr w14:val="tx1"/>
            </w14:solidFill>
          </w14:textFill>
        </w:rPr>
        <w:t>-</w:t>
      </w:r>
      <w:r>
        <w:rPr>
          <w:rFonts w:hint="eastAsia" w:ascii="Times New Roman" w:cs="宋体"/>
          <w:color w:val="000000" w:themeColor="text1"/>
          <w:sz w:val="21"/>
          <w:szCs w:val="21"/>
          <w:lang w:val="en-US" w:eastAsia="zh-CN"/>
          <w14:textFill>
            <w14:solidFill>
              <w14:schemeClr w14:val="tx1"/>
            </w14:solidFill>
          </w14:textFill>
        </w:rPr>
        <w:t>153</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none"/>
        </w:rPr>
        <w:t>市区厂能源在线监测系统对接市平台采购项目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hAnsi="宋体" w:cs="宋体"/>
          <w:b/>
          <w:bCs/>
          <w:sz w:val="21"/>
          <w:szCs w:val="21"/>
        </w:rPr>
        <w:t>：</w:t>
      </w:r>
      <w:r>
        <w:rPr>
          <w:rFonts w:hint="eastAsia" w:ascii="Times New Roman" w:cs="宋体"/>
          <w:b/>
          <w:bCs/>
          <w:sz w:val="21"/>
          <w:szCs w:val="21"/>
        </w:rPr>
        <w:t>不含税最高限价为</w:t>
      </w:r>
      <w:r>
        <w:rPr>
          <w:rFonts w:hint="eastAsia" w:ascii="Times New Roman" w:hAnsi="Times New Roman" w:eastAsia="宋体" w:cs="宋体"/>
          <w:b/>
          <w:bCs/>
          <w:sz w:val="21"/>
          <w:szCs w:val="21"/>
          <w:lang w:val="en-US" w:eastAsia="zh-CN"/>
        </w:rPr>
        <w:t>47,166.60</w:t>
      </w:r>
      <w:r>
        <w:rPr>
          <w:rFonts w:hint="eastAsia" w:ascii="Times New Roman" w:cs="宋体"/>
          <w:b/>
          <w:bCs/>
          <w:sz w:val="21"/>
          <w:szCs w:val="21"/>
        </w:rPr>
        <w:t>元</w:t>
      </w:r>
      <w:r>
        <w:rPr>
          <w:rFonts w:hint="eastAsia"/>
          <w:b/>
          <w:bCs w:val="0"/>
          <w:color w:val="000000"/>
          <w:sz w:val="21"/>
          <w:szCs w:val="21"/>
        </w:rPr>
        <w:t>。</w:t>
      </w:r>
    </w:p>
    <w:p w14:paraId="460D0821">
      <w:pPr>
        <w:spacing w:line="360" w:lineRule="auto"/>
        <w:ind w:firstLine="371" w:firstLineChars="177"/>
        <w:rPr>
          <w:rFonts w:hint="eastAsia" w:hAnsi="宋体" w:cs="宋体"/>
          <w:sz w:val="21"/>
          <w:szCs w:val="21"/>
        </w:rPr>
      </w:pPr>
      <w:r>
        <w:rPr>
          <w:rFonts w:hint="eastAsia" w:hAnsi="宋体" w:cs="宋体"/>
          <w:sz w:val="21"/>
          <w:szCs w:val="21"/>
        </w:rPr>
        <w:t>四、采购内容：</w:t>
      </w:r>
      <w:r>
        <w:rPr>
          <w:rFonts w:hint="eastAsia" w:ascii="Times New Roman" w:cs="宋体"/>
          <w:sz w:val="21"/>
          <w:szCs w:val="21"/>
          <w:u w:val="single"/>
        </w:rPr>
        <w:t>能源在线监测系统对接市平台</w:t>
      </w:r>
      <w:r>
        <w:rPr>
          <w:rFonts w:hint="eastAsia" w:hAnsi="宋体" w:cs="宋体"/>
          <w:sz w:val="21"/>
          <w:szCs w:val="21"/>
        </w:rPr>
        <w:t>（具体详见用户需求书）</w:t>
      </w:r>
    </w:p>
    <w:p w14:paraId="19F5496E">
      <w:pPr>
        <w:spacing w:line="300" w:lineRule="auto"/>
        <w:ind w:firstLine="371" w:firstLineChars="177"/>
        <w:rPr>
          <w:rFonts w:hAnsi="宋体" w:cs="宋体"/>
          <w:sz w:val="21"/>
          <w:szCs w:val="21"/>
        </w:rPr>
      </w:pPr>
      <w:r>
        <w:rPr>
          <w:rFonts w:hint="eastAsia" w:hAnsi="宋体" w:cs="宋体"/>
          <w:sz w:val="21"/>
          <w:szCs w:val="21"/>
        </w:rPr>
        <w:t>五、资质要求：</w:t>
      </w:r>
    </w:p>
    <w:p w14:paraId="35AD0F7E">
      <w:pPr>
        <w:spacing w:line="300" w:lineRule="auto"/>
        <w:ind w:firstLine="371" w:firstLineChars="177"/>
        <w:rPr>
          <w:rFonts w:hAnsi="宋体" w:cs="宋体"/>
          <w:sz w:val="21"/>
          <w:szCs w:val="21"/>
        </w:rPr>
      </w:pPr>
      <w:r>
        <w:rPr>
          <w:rFonts w:hAnsi="宋体" w:cs="宋体"/>
          <w:sz w:val="21"/>
          <w:szCs w:val="21"/>
        </w:rPr>
        <w:t>1.</w:t>
      </w:r>
      <w:r>
        <w:rPr>
          <w:rFonts w:hint="eastAsia" w:hAnsi="宋体" w:cs="宋体"/>
          <w:sz w:val="21"/>
          <w:szCs w:val="21"/>
        </w:rPr>
        <w:t>报价人</w:t>
      </w:r>
      <w:r>
        <w:rPr>
          <w:rFonts w:ascii="Times New Roman"/>
          <w:sz w:val="21"/>
          <w:szCs w:val="21"/>
        </w:rPr>
        <w:t>自2022年1月1日以来，</w:t>
      </w:r>
      <w:r>
        <w:rPr>
          <w:rFonts w:hint="eastAsia" w:ascii="Times New Roman"/>
          <w:sz w:val="21"/>
          <w:szCs w:val="21"/>
          <w:lang w:val="en-US" w:eastAsia="zh-CN"/>
        </w:rPr>
        <w:t>至少具备</w:t>
      </w:r>
      <w:r>
        <w:rPr>
          <w:rFonts w:ascii="Times New Roman"/>
          <w:sz w:val="21"/>
          <w:szCs w:val="21"/>
        </w:rPr>
        <w:t>一</w:t>
      </w:r>
      <w:r>
        <w:rPr>
          <w:rFonts w:hint="eastAsia" w:ascii="Times New Roman"/>
          <w:sz w:val="21"/>
          <w:szCs w:val="21"/>
          <w:lang w:val="en-US" w:eastAsia="zh-CN"/>
        </w:rPr>
        <w:t>份</w:t>
      </w:r>
      <w:r>
        <w:rPr>
          <w:rFonts w:hint="eastAsia" w:ascii="Times New Roman" w:hAnsi="Times New Roman" w:eastAsia="宋体" w:cs="Times New Roman"/>
          <w:sz w:val="21"/>
          <w:szCs w:val="21"/>
          <w:lang w:val="en-US" w:eastAsia="zh-CN"/>
        </w:rPr>
        <w:t>能源</w:t>
      </w:r>
      <w:r>
        <w:rPr>
          <w:rFonts w:hint="eastAsia" w:ascii="Times New Roman" w:cs="Times New Roman"/>
          <w:sz w:val="21"/>
          <w:szCs w:val="21"/>
          <w:lang w:val="en-US" w:eastAsia="zh-CN"/>
        </w:rPr>
        <w:t>（</w:t>
      </w:r>
      <w:bookmarkStart w:id="28" w:name="_GoBack"/>
      <w:bookmarkEnd w:id="28"/>
      <w:r>
        <w:rPr>
          <w:rFonts w:hint="eastAsia" w:ascii="Times New Roman" w:hAnsi="Times New Roman" w:eastAsia="宋体" w:cs="Times New Roman"/>
          <w:sz w:val="21"/>
          <w:szCs w:val="21"/>
          <w:lang w:val="en-US" w:eastAsia="zh-CN"/>
        </w:rPr>
        <w:t>耗</w:t>
      </w:r>
      <w:r>
        <w:rPr>
          <w:rFonts w:hint="eastAsia" w:ascii="Times New Roman" w:cs="Times New Roman"/>
          <w:sz w:val="21"/>
          <w:szCs w:val="21"/>
          <w:lang w:val="en-US" w:eastAsia="zh-CN"/>
        </w:rPr>
        <w:t>）</w:t>
      </w:r>
      <w:r>
        <w:rPr>
          <w:rFonts w:hint="eastAsia" w:ascii="Times New Roman" w:hAnsi="Times New Roman" w:eastAsia="宋体" w:cs="Times New Roman"/>
          <w:sz w:val="21"/>
          <w:szCs w:val="21"/>
          <w:lang w:val="en-US" w:eastAsia="zh-CN"/>
        </w:rPr>
        <w:t>在</w:t>
      </w:r>
      <w:r>
        <w:rPr>
          <w:rFonts w:hint="eastAsia" w:ascii="Times New Roman"/>
          <w:sz w:val="21"/>
          <w:szCs w:val="21"/>
          <w:lang w:val="en-US" w:eastAsia="zh-CN"/>
        </w:rPr>
        <w:t>线监测系统或相关</w:t>
      </w:r>
      <w:r>
        <w:rPr>
          <w:rFonts w:ascii="Times New Roman"/>
          <w:sz w:val="21"/>
          <w:szCs w:val="21"/>
        </w:rPr>
        <w:t>业绩（合同签订日期为2022年1月1日或以后</w:t>
      </w:r>
      <w:r>
        <w:rPr>
          <w:rFonts w:hint="eastAsia" w:hAnsi="宋体" w:cs="宋体"/>
          <w:sz w:val="21"/>
          <w:szCs w:val="21"/>
        </w:rPr>
        <w:t>）；</w:t>
      </w:r>
    </w:p>
    <w:p w14:paraId="603EF5DB">
      <w:pPr>
        <w:spacing w:line="300" w:lineRule="auto"/>
        <w:ind w:firstLine="371" w:firstLineChars="177"/>
        <w:rPr>
          <w:sz w:val="21"/>
          <w:szCs w:val="21"/>
        </w:rPr>
      </w:pPr>
      <w:r>
        <w:rPr>
          <w:rFonts w:hAnsi="宋体" w:cs="宋体"/>
          <w:sz w:val="21"/>
          <w:szCs w:val="21"/>
        </w:rPr>
        <w:t>2.</w:t>
      </w:r>
      <w:r>
        <w:rPr>
          <w:rFonts w:hint="eastAsia" w:hAnsi="宋体" w:cs="宋体"/>
          <w:sz w:val="21"/>
          <w:szCs w:val="21"/>
        </w:rPr>
        <w:t>报价人未被列入“信用中国”网站（www.creditchina.gov.cn）失信被执行人、重大税收违法失信主体、政府采购严重违法失信行为记录名单（处罚期限届满的除外）。</w:t>
      </w:r>
    </w:p>
    <w:p w14:paraId="7CFDC4E8">
      <w:pPr>
        <w:spacing w:line="360" w:lineRule="auto"/>
        <w:ind w:firstLine="371" w:firstLineChars="177"/>
        <w:rPr>
          <w:rFonts w:ascii="Times New Roman" w:cs="宋体"/>
          <w:sz w:val="21"/>
          <w:szCs w:val="21"/>
        </w:rPr>
      </w:pPr>
      <w:r>
        <w:rPr>
          <w:rFonts w:hint="eastAsia" w:hAnsi="宋体" w:cs="宋体"/>
          <w:sz w:val="21"/>
          <w:szCs w:val="21"/>
          <w:lang w:val="en-US" w:eastAsia="zh-CN"/>
        </w:rPr>
        <w:t>六</w:t>
      </w:r>
      <w:r>
        <w:rPr>
          <w:rFonts w:hint="eastAsia" w:hAnsi="宋体" w:cs="宋体"/>
          <w:sz w:val="21"/>
          <w:szCs w:val="21"/>
        </w:rPr>
        <w:t>、成交原则：</w:t>
      </w:r>
      <w:r>
        <w:rPr>
          <w:rFonts w:hint="eastAsia" w:hAnsi="宋体" w:cs="宋体"/>
          <w:b/>
          <w:sz w:val="21"/>
          <w:szCs w:val="21"/>
        </w:rPr>
        <w:t>从实质性满足采购需求的供应商中，按不含税价最低成交原则确定成交供应商</w:t>
      </w:r>
      <w:r>
        <w:rPr>
          <w:rFonts w:hint="eastAsia" w:hAnsi="宋体" w:cs="宋体"/>
          <w:sz w:val="21"/>
          <w:szCs w:val="21"/>
        </w:rPr>
        <w:t>。</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七</w:t>
      </w:r>
      <w:r>
        <w:rPr>
          <w:rFonts w:hint="eastAsia" w:hAnsi="宋体" w:cs="宋体"/>
          <w:color w:val="000000" w:themeColor="text1"/>
          <w:sz w:val="21"/>
          <w:szCs w:val="21"/>
          <w14:textFill>
            <w14:solidFill>
              <w14:schemeClr w14:val="tx1"/>
            </w14:solidFill>
          </w14:textFill>
        </w:rPr>
        <w:t>、报价文件递交截止时间：</w:t>
      </w:r>
      <w:bookmarkStart w:id="2" w:name="_Hlk27138379"/>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19</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CAC918C">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八</w:t>
      </w:r>
      <w:r>
        <w:rPr>
          <w:rFonts w:hint="eastAsia" w:hAnsi="宋体" w:cs="宋体"/>
          <w:color w:val="000000" w:themeColor="text1"/>
          <w:sz w:val="21"/>
          <w:szCs w:val="21"/>
          <w14:textFill>
            <w14:solidFill>
              <w14:schemeClr w14:val="tx1"/>
            </w14:solidFill>
          </w14:textFill>
        </w:rPr>
        <w:t>、报价文件递交地点：东莞市水务环境投资控股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r>
        <w:rPr>
          <w:rFonts w:hint="eastAsia" w:hAnsi="宋体" w:cs="宋体"/>
          <w:color w:val="000000" w:themeColor="text1"/>
          <w:sz w:val="21"/>
          <w:szCs w:val="21"/>
          <w:lang w:val="en-US" w:eastAsia="zh-CN"/>
          <w14:textFill>
            <w14:solidFill>
              <w14:schemeClr w14:val="tx1"/>
            </w14:solidFill>
          </w14:textFill>
        </w:rPr>
        <w:t>招标成本部</w:t>
      </w:r>
      <w:r>
        <w:rPr>
          <w:rFonts w:hint="eastAsia" w:hAnsi="宋体" w:cs="宋体"/>
          <w:color w:val="000000" w:themeColor="text1"/>
          <w:sz w:val="21"/>
          <w:szCs w:val="21"/>
          <w14:textFill>
            <w14:solidFill>
              <w14:schemeClr w14:val="tx1"/>
            </w14:solidFill>
          </w14:textFill>
        </w:rPr>
        <w:t>。</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九</w:t>
      </w:r>
      <w:r>
        <w:rPr>
          <w:rFonts w:hint="eastAsia" w:hAnsi="宋体" w:cs="宋体"/>
          <w:color w:val="000000" w:themeColor="text1"/>
          <w:sz w:val="21"/>
          <w:szCs w:val="21"/>
          <w14:textFill>
            <w14:solidFill>
              <w14:schemeClr w14:val="tx1"/>
            </w14:solidFill>
          </w14:textFill>
        </w:rPr>
        <w:t>、报价文件开封时间：</w:t>
      </w: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19</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15</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十</w:t>
      </w:r>
      <w:r>
        <w:rPr>
          <w:rFonts w:hint="eastAsia" w:hAnsi="宋体" w:cs="宋体"/>
          <w:color w:val="000000" w:themeColor="text1"/>
          <w:sz w:val="21"/>
          <w:szCs w:val="21"/>
          <w14:textFill>
            <w14:solidFill>
              <w14:schemeClr w14:val="tx1"/>
            </w14:solidFill>
          </w14:textFill>
        </w:rPr>
        <w:t>、开封地点：东莞市水务环境投资控股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司4楼开标室。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w:t>
      </w:r>
      <w:r>
        <w:rPr>
          <w:rFonts w:hint="eastAsia" w:hAnsi="宋体" w:cs="宋体"/>
          <w:color w:val="000000" w:themeColor="text1"/>
          <w:sz w:val="21"/>
          <w:szCs w:val="21"/>
          <w:lang w:val="en-US" w:eastAsia="zh-CN"/>
          <w14:textFill>
            <w14:solidFill>
              <w14:schemeClr w14:val="tx1"/>
            </w14:solidFill>
          </w14:textFill>
        </w:rPr>
        <w:t>一</w:t>
      </w:r>
      <w:r>
        <w:rPr>
          <w:rFonts w:hint="eastAsia" w:hAnsi="宋体" w:cs="宋体"/>
          <w:color w:val="000000" w:themeColor="text1"/>
          <w:sz w:val="21"/>
          <w:szCs w:val="21"/>
          <w14:textFill>
            <w14:solidFill>
              <w14:schemeClr w14:val="tx1"/>
            </w14:solidFill>
          </w14:textFill>
        </w:rPr>
        <w:t>、采购人联系方式：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hAnsi="宋体" w:cs="宋体"/>
          <w:color w:val="000000" w:themeColor="text1"/>
          <w:sz w:val="21"/>
          <w:szCs w:val="21"/>
          <w:lang w:val="en-US" w:eastAsia="zh-CN"/>
          <w14:textFill>
            <w14:solidFill>
              <w14:schemeClr w14:val="tx1"/>
            </w14:solidFill>
          </w14:textFill>
        </w:rPr>
        <w:t>0769-2328 6023</w:t>
      </w:r>
    </w:p>
    <w:p w14:paraId="5E4E917E">
      <w:pPr>
        <w:spacing w:line="360" w:lineRule="auto"/>
        <w:ind w:left="566" w:leftChars="236" w:firstLine="285"/>
        <w:rPr>
          <w:rFonts w:hint="eastAsia"/>
          <w:sz w:val="21"/>
          <w:szCs w:val="21"/>
          <w:lang w:val="en-US" w:eastAsia="zh-CN"/>
        </w:rPr>
      </w:pPr>
      <w:r>
        <w:rPr>
          <w:rFonts w:hint="eastAsia" w:hAnsi="宋体" w:cs="宋体"/>
          <w:color w:val="000000" w:themeColor="text1"/>
          <w:sz w:val="21"/>
          <w:szCs w:val="21"/>
          <w14:textFill>
            <w14:solidFill>
              <w14:schemeClr w14:val="tx1"/>
            </w14:solidFill>
          </w14:textFill>
        </w:rPr>
        <w:t>联系地址：东莞市南城街道滨河路</w:t>
      </w:r>
      <w:r>
        <w:rPr>
          <w:rFonts w:ascii="Times New Roman"/>
          <w:color w:val="000000" w:themeColor="text1"/>
          <w:sz w:val="21"/>
          <w:szCs w:val="21"/>
          <w14:textFill>
            <w14:solidFill>
              <w14:schemeClr w14:val="tx1"/>
            </w14:solidFill>
          </w14:textFill>
        </w:rPr>
        <w:t>100</w:t>
      </w:r>
      <w:r>
        <w:rPr>
          <w:rFonts w:hint="eastAsia" w:hAnsi="宋体" w:cs="宋体"/>
          <w:color w:val="000000" w:themeColor="text1"/>
          <w:sz w:val="21"/>
          <w:szCs w:val="21"/>
          <w14:textFill>
            <w14:solidFill>
              <w14:schemeClr w14:val="tx1"/>
            </w14:solidFill>
          </w14:textFill>
        </w:rPr>
        <w:t>号（东莞市水务环境投资控股</w:t>
      </w:r>
      <w:r>
        <w:rPr>
          <w:rFonts w:hint="eastAsia" w:hAnsi="宋体" w:cs="宋体"/>
          <w:color w:val="000000" w:themeColor="text1"/>
          <w:sz w:val="21"/>
          <w:szCs w:val="21"/>
          <w:lang w:val="en-US" w:eastAsia="zh-CN"/>
          <w14:textFill>
            <w14:solidFill>
              <w14:schemeClr w14:val="tx1"/>
            </w14:solidFill>
          </w14:textFill>
        </w:rPr>
        <w:t>集团净水有限公</w:t>
      </w:r>
      <w:r>
        <w:rPr>
          <w:rFonts w:hint="eastAsia" w:hAnsi="宋体" w:cs="宋体"/>
          <w:color w:val="000000" w:themeColor="text1"/>
          <w:sz w:val="21"/>
          <w:szCs w:val="21"/>
          <w14:textFill>
            <w14:solidFill>
              <w14:schemeClr w14:val="tx1"/>
            </w14:solidFill>
          </w14:textFill>
        </w:rPr>
        <w:t>司）</w:t>
      </w:r>
      <w:bookmarkEnd w:id="3"/>
      <w:r>
        <w:rPr>
          <w:rFonts w:hint="eastAsia" w:hAnsi="宋体" w:cs="宋体"/>
          <w:color w:val="000000" w:themeColor="text1"/>
          <w:sz w:val="21"/>
          <w:szCs w:val="21"/>
          <w:lang w:val="en-US" w:eastAsia="zh-CN"/>
          <w14:textFill>
            <w14:solidFill>
              <w14:schemeClr w14:val="tx1"/>
            </w14:solidFill>
          </w14:textFill>
        </w:rPr>
        <w:tab/>
      </w:r>
    </w:p>
    <w:p w14:paraId="2C3B7999">
      <w:pPr>
        <w:spacing w:line="360" w:lineRule="auto"/>
        <w:jc w:val="right"/>
        <w:rPr>
          <w:rFonts w:hint="eastAsia"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sz w:val="21"/>
          <w:szCs w:val="21"/>
          <w14:textFill>
            <w14:solidFill>
              <w14:schemeClr w14:val="tx1"/>
            </w14:solidFill>
          </w14:textFill>
        </w:rPr>
        <w:t>2025年</w:t>
      </w:r>
      <w:r>
        <w:rPr>
          <w:rFonts w:hint="eastAsia" w:ascii="Times New Roman"/>
          <w:color w:val="000000" w:themeColor="text1"/>
          <w:sz w:val="21"/>
          <w:szCs w:val="21"/>
          <w:lang w:val="en-US" w:eastAsia="zh-CN"/>
          <w14:textFill>
            <w14:solidFill>
              <w14:schemeClr w14:val="tx1"/>
            </w14:solidFill>
          </w14:textFill>
        </w:rPr>
        <w:t>12</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16</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3F2D2CB8">
      <w:pPr>
        <w:spacing w:line="360" w:lineRule="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7DF8A52C">
      <w:pPr>
        <w:jc w:val="center"/>
        <w:rPr>
          <w:rFonts w:hint="eastAsia"/>
          <w:b/>
          <w:sz w:val="36"/>
          <w:szCs w:val="36"/>
          <w:lang w:val="en-US" w:eastAsia="zh-CN"/>
        </w:rPr>
      </w:pPr>
      <w:bookmarkStart w:id="6" w:name="_Toc447045087"/>
      <w:bookmarkStart w:id="7" w:name="_Toc447044600"/>
      <w:bookmarkStart w:id="8" w:name="_Toc447044476"/>
      <w:r>
        <w:rPr>
          <w:rFonts w:hint="eastAsia"/>
          <w:b/>
          <w:sz w:val="36"/>
          <w:szCs w:val="36"/>
          <w:lang w:val="en-US" w:eastAsia="zh-CN"/>
        </w:rPr>
        <w:t>市区厂能源在线监测系统对接市平台采购项目</w:t>
      </w:r>
    </w:p>
    <w:p w14:paraId="6974D717">
      <w:pPr>
        <w:jc w:val="center"/>
        <w:rPr>
          <w:rFonts w:hint="eastAsia"/>
          <w:color w:val="auto"/>
          <w:highlight w:val="none"/>
        </w:rPr>
      </w:pPr>
      <w:r>
        <w:rPr>
          <w:rFonts w:hint="eastAsia"/>
          <w:b/>
          <w:sz w:val="36"/>
          <w:szCs w:val="36"/>
          <w:lang w:val="en-US" w:eastAsia="zh-CN"/>
        </w:rPr>
        <w:t>用户需求书</w:t>
      </w:r>
    </w:p>
    <w:p w14:paraId="499E1F72">
      <w:pPr>
        <w:rPr>
          <w:rFonts w:hint="eastAsia"/>
          <w:color w:val="auto"/>
          <w:highlight w:val="none"/>
        </w:rPr>
      </w:pPr>
    </w:p>
    <w:p w14:paraId="38649280">
      <w:pPr>
        <w:keepNext w:val="0"/>
        <w:keepLines w:val="0"/>
        <w:pageBreakBefore w:val="0"/>
        <w:kinsoku/>
        <w:wordWrap/>
        <w:overflowPunct/>
        <w:topLinePunct w:val="0"/>
        <w:bidi w:val="0"/>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hAnsi="宋体" w:cs="宋体"/>
          <w:b/>
          <w:color w:val="auto"/>
          <w:sz w:val="24"/>
          <w:szCs w:val="24"/>
          <w:highlight w:val="none"/>
          <w:lang w:eastAsia="zh-CN"/>
        </w:rPr>
        <w:t>、</w:t>
      </w:r>
      <w:r>
        <w:rPr>
          <w:rFonts w:hint="eastAsia" w:ascii="宋体" w:hAnsi="宋体" w:eastAsia="宋体" w:cs="宋体"/>
          <w:b/>
          <w:color w:val="auto"/>
          <w:sz w:val="24"/>
          <w:szCs w:val="24"/>
          <w:highlight w:val="none"/>
        </w:rPr>
        <w:t>项目信息</w:t>
      </w:r>
    </w:p>
    <w:p w14:paraId="458C257D">
      <w:pPr>
        <w:keepNext w:val="0"/>
        <w:keepLines w:val="0"/>
        <w:pageBreakBefore w:val="0"/>
        <w:kinsoku/>
        <w:wordWrap/>
        <w:overflowPunct/>
        <w:topLinePunct w:val="0"/>
        <w:bidi w:val="0"/>
        <w:adjustRightInd/>
        <w:snapToGrid/>
        <w:spacing w:line="360" w:lineRule="auto"/>
        <w:ind w:firstLine="530" w:firstLineChars="22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采购人：东莞市石鼓</w:t>
      </w:r>
      <w:r>
        <w:rPr>
          <w:rFonts w:hint="eastAsia" w:hAnsi="宋体" w:cs="宋体"/>
          <w:color w:val="auto"/>
          <w:sz w:val="24"/>
          <w:szCs w:val="24"/>
          <w:highlight w:val="none"/>
          <w:lang w:val="en-US" w:eastAsia="zh-CN"/>
        </w:rPr>
        <w:t>净水</w:t>
      </w:r>
      <w:r>
        <w:rPr>
          <w:rFonts w:hint="eastAsia" w:ascii="宋体" w:hAnsi="宋体" w:eastAsia="宋体" w:cs="宋体"/>
          <w:color w:val="auto"/>
          <w:sz w:val="24"/>
          <w:szCs w:val="24"/>
          <w:highlight w:val="none"/>
        </w:rPr>
        <w:t>有限公司</w:t>
      </w:r>
      <w:r>
        <w:rPr>
          <w:rFonts w:hint="eastAsia" w:hAnsi="宋体" w:cs="宋体"/>
          <w:color w:val="auto"/>
          <w:sz w:val="24"/>
          <w:szCs w:val="24"/>
          <w:highlight w:val="none"/>
          <w:lang w:val="en-US" w:eastAsia="zh-CN"/>
        </w:rPr>
        <w:t>市区水质净化厂（以下简称“市区厂”）</w:t>
      </w:r>
    </w:p>
    <w:p w14:paraId="1BFFD608">
      <w:pPr>
        <w:keepNext w:val="0"/>
        <w:keepLines w:val="0"/>
        <w:pageBreakBefore w:val="0"/>
        <w:kinsoku/>
        <w:wordWrap/>
        <w:overflowPunct/>
        <w:topLinePunct w:val="0"/>
        <w:bidi w:val="0"/>
        <w:adjustRightInd/>
        <w:snapToGrid/>
        <w:spacing w:line="360" w:lineRule="auto"/>
        <w:ind w:firstLine="530" w:firstLineChars="221"/>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采购内容：</w:t>
      </w:r>
      <w:r>
        <w:rPr>
          <w:rFonts w:hint="eastAsia" w:hAnsi="宋体" w:cs="宋体"/>
          <w:color w:val="auto"/>
          <w:sz w:val="24"/>
          <w:szCs w:val="24"/>
          <w:highlight w:val="none"/>
          <w:lang w:val="en-US" w:eastAsia="zh-CN"/>
        </w:rPr>
        <w:t>市区厂能源在线监测系统对接市平台</w:t>
      </w:r>
    </w:p>
    <w:p w14:paraId="2D45C4A7">
      <w:pPr>
        <w:keepNext w:val="0"/>
        <w:keepLines w:val="0"/>
        <w:pageBreakBefore w:val="0"/>
        <w:kinsoku/>
        <w:wordWrap/>
        <w:overflowPunct/>
        <w:topLinePunct w:val="0"/>
        <w:bidi w:val="0"/>
        <w:adjustRightInd/>
        <w:snapToGrid/>
        <w:spacing w:line="360" w:lineRule="auto"/>
        <w:ind w:firstLine="530" w:firstLineChars="221"/>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采购预算：</w:t>
      </w:r>
      <w:r>
        <w:rPr>
          <w:rFonts w:hint="eastAsia" w:hAnsi="宋体" w:cs="宋体"/>
          <w:color w:val="auto"/>
          <w:sz w:val="24"/>
          <w:szCs w:val="24"/>
          <w:highlight w:val="none"/>
          <w:lang w:val="en-US" w:eastAsia="zh-CN"/>
        </w:rPr>
        <w:t>47,166.60元（不含税)</w:t>
      </w:r>
    </w:p>
    <w:p w14:paraId="02B7F456">
      <w:pPr>
        <w:keepNext w:val="0"/>
        <w:keepLines w:val="0"/>
        <w:pageBreakBefore w:val="0"/>
        <w:numPr>
          <w:ilvl w:val="0"/>
          <w:numId w:val="1"/>
        </w:numPr>
        <w:kinsoku/>
        <w:wordWrap/>
        <w:overflowPunct/>
        <w:topLinePunct w:val="0"/>
        <w:bidi w:val="0"/>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14:paraId="2C611D40">
      <w:pPr>
        <w:keepNext w:val="0"/>
        <w:keepLines w:val="0"/>
        <w:pageBreakBefore w:val="0"/>
        <w:kinsoku/>
        <w:wordWrap/>
        <w:overflowPunct/>
        <w:topLinePunct w:val="0"/>
        <w:bidi w:val="0"/>
        <w:adjustRightInd/>
        <w:snapToGrid/>
        <w:spacing w:line="360" w:lineRule="auto"/>
        <w:ind w:firstLine="530" w:firstLineChars="221"/>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依据东莞市能源和信用中心印发的《关于做好我市能耗在线监测工作的通知》，重点用能单位须将能耗在线监测数据稳定接入“东莞市智慧能源平台”，以提高广东能源局能源管理中心平台和东莞市智慧能源平台的能耗在线检测数据质量。市区厂属于广东省重点用能单位，需按文件要求搭建能源在线监测系统并将市区厂能耗数据对接到东莞市智慧能源平台。</w:t>
      </w:r>
    </w:p>
    <w:p w14:paraId="63C53ABD">
      <w:pPr>
        <w:keepNext w:val="0"/>
        <w:keepLines w:val="0"/>
        <w:pageBreakBefore w:val="0"/>
        <w:kinsoku/>
        <w:wordWrap/>
        <w:overflowPunct/>
        <w:topLinePunct w:val="0"/>
        <w:bidi w:val="0"/>
        <w:adjustRightInd/>
        <w:snapToGrid/>
        <w:spacing w:line="360" w:lineRule="auto"/>
        <w:ind w:firstLine="530" w:firstLineChars="221"/>
        <w:rPr>
          <w:rFonts w:hint="eastAsia" w:ascii="黑体" w:hAnsi="黑体" w:eastAsia="黑体" w:cs="黑体"/>
          <w:bCs/>
          <w:sz w:val="28"/>
          <w:szCs w:val="28"/>
          <w:highlight w:val="none"/>
          <w:lang w:val="en-US" w:eastAsia="zh-CN"/>
        </w:rPr>
      </w:pPr>
      <w:r>
        <w:rPr>
          <w:rFonts w:hint="eastAsia" w:ascii="宋体" w:hAnsi="宋体"/>
          <w:sz w:val="24"/>
          <w:szCs w:val="24"/>
          <w:lang w:val="en-US" w:eastAsia="zh-CN"/>
        </w:rPr>
        <w:t>市区厂目前共配备12台低压变压器，每台变压器配有一个智能电表，电表上已连接通讯线用于数据传输至厂区内部中控系统。由于智能电表只配置一个通讯接口，故需接入一个一分二分接器，新增通讯线将数据传输至市区厂能源在线监测系统，再由市区厂能源在线监测系统将市区厂能源数据对接至</w:t>
      </w:r>
      <w:r>
        <w:rPr>
          <w:rFonts w:hint="eastAsia" w:hAnsi="宋体" w:cs="宋体"/>
          <w:color w:val="auto"/>
          <w:sz w:val="24"/>
          <w:szCs w:val="24"/>
          <w:highlight w:val="none"/>
          <w:lang w:val="en-US" w:eastAsia="zh-CN"/>
        </w:rPr>
        <w:t>东莞市智慧能源平台。</w:t>
      </w:r>
    </w:p>
    <w:p w14:paraId="5ACC432A">
      <w:pPr>
        <w:keepNext w:val="0"/>
        <w:keepLines w:val="0"/>
        <w:pageBreakBefore w:val="0"/>
        <w:kinsoku/>
        <w:wordWrap/>
        <w:overflowPunct/>
        <w:topLinePunct w:val="0"/>
        <w:bidi w:val="0"/>
        <w:adjustRightInd/>
        <w:snapToGrid/>
        <w:spacing w:line="360" w:lineRule="auto"/>
        <w:ind w:firstLine="480" w:firstLineChars="200"/>
        <w:rPr>
          <w:rFonts w:hint="default" w:hAnsi="宋体" w:cs="宋体"/>
          <w:color w:val="auto"/>
          <w:sz w:val="24"/>
          <w:szCs w:val="24"/>
          <w:highlight w:val="none"/>
          <w:lang w:val="en-US" w:eastAsia="zh-CN"/>
        </w:rPr>
      </w:pPr>
    </w:p>
    <w:p w14:paraId="1F76BCFA">
      <w:pPr>
        <w:keepNext w:val="0"/>
        <w:keepLines w:val="0"/>
        <w:pageBreakBefore w:val="0"/>
        <w:kinsoku/>
        <w:wordWrap/>
        <w:overflowPunct/>
        <w:topLinePunct w:val="0"/>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服务清单</w:t>
      </w:r>
      <w:r>
        <w:rPr>
          <w:rFonts w:hint="eastAsia" w:ascii="宋体" w:hAnsi="宋体" w:eastAsia="宋体" w:cs="宋体"/>
          <w:b/>
          <w:color w:val="auto"/>
          <w:sz w:val="24"/>
          <w:szCs w:val="24"/>
          <w:highlight w:val="none"/>
        </w:rPr>
        <w:t>及要求</w:t>
      </w:r>
    </w:p>
    <w:p w14:paraId="00976DF0">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w:t>
      </w:r>
      <w:r>
        <w:rPr>
          <w:rFonts w:hint="eastAsia" w:hAnsi="宋体" w:cs="宋体"/>
          <w:b w:val="0"/>
          <w:bCs/>
          <w:color w:val="auto"/>
          <w:sz w:val="24"/>
          <w:szCs w:val="24"/>
          <w:highlight w:val="none"/>
          <w:lang w:val="en-US" w:eastAsia="zh-CN"/>
        </w:rPr>
        <w:t>服务清单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81"/>
        <w:gridCol w:w="1776"/>
        <w:gridCol w:w="1486"/>
        <w:gridCol w:w="1320"/>
        <w:gridCol w:w="1169"/>
      </w:tblGrid>
      <w:tr w14:paraId="5FC3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1FC7A14">
            <w:pPr>
              <w:pStyle w:val="13"/>
              <w:jc w:val="center"/>
              <w:rPr>
                <w:rFonts w:hint="default"/>
                <w:vertAlign w:val="baseline"/>
                <w:lang w:val="en-US" w:eastAsia="zh-CN"/>
              </w:rPr>
            </w:pPr>
            <w:r>
              <w:rPr>
                <w:rFonts w:hint="eastAsia"/>
                <w:vertAlign w:val="baseline"/>
                <w:lang w:val="en-US" w:eastAsia="zh-CN"/>
              </w:rPr>
              <w:t>序号</w:t>
            </w:r>
          </w:p>
        </w:tc>
        <w:tc>
          <w:tcPr>
            <w:tcW w:w="1981" w:type="dxa"/>
          </w:tcPr>
          <w:p w14:paraId="091106D2">
            <w:pPr>
              <w:pStyle w:val="13"/>
              <w:jc w:val="center"/>
              <w:rPr>
                <w:rFonts w:hint="default"/>
                <w:vertAlign w:val="baseline"/>
                <w:lang w:val="en-US" w:eastAsia="zh-CN"/>
              </w:rPr>
            </w:pPr>
            <w:r>
              <w:rPr>
                <w:rFonts w:hint="eastAsia"/>
                <w:vertAlign w:val="baseline"/>
                <w:lang w:val="en-US" w:eastAsia="zh-CN"/>
              </w:rPr>
              <w:t>名称</w:t>
            </w:r>
          </w:p>
        </w:tc>
        <w:tc>
          <w:tcPr>
            <w:tcW w:w="1486" w:type="dxa"/>
          </w:tcPr>
          <w:p w14:paraId="5126C5FA">
            <w:pPr>
              <w:pStyle w:val="13"/>
              <w:jc w:val="center"/>
              <w:rPr>
                <w:rFonts w:hint="eastAsia"/>
                <w:vertAlign w:val="baseline"/>
                <w:lang w:val="en-US" w:eastAsia="zh-CN"/>
              </w:rPr>
            </w:pPr>
            <w:r>
              <w:rPr>
                <w:rFonts w:hint="eastAsia" w:ascii="Calibri" w:hAnsi="Calibri"/>
                <w:b/>
                <w:bCs/>
                <w:color w:val="000000"/>
                <w:szCs w:val="24"/>
                <w:lang w:val="en-US" w:eastAsia="zh-CN"/>
              </w:rPr>
              <w:t>服务/规格要求</w:t>
            </w:r>
          </w:p>
        </w:tc>
        <w:tc>
          <w:tcPr>
            <w:tcW w:w="1486" w:type="dxa"/>
          </w:tcPr>
          <w:p w14:paraId="4B42C476">
            <w:pPr>
              <w:pStyle w:val="13"/>
              <w:jc w:val="center"/>
              <w:rPr>
                <w:rFonts w:hint="default"/>
                <w:vertAlign w:val="baseline"/>
                <w:lang w:val="en-US" w:eastAsia="zh-CN"/>
              </w:rPr>
            </w:pPr>
            <w:r>
              <w:rPr>
                <w:rFonts w:hint="eastAsia"/>
                <w:vertAlign w:val="baseline"/>
                <w:lang w:val="en-US" w:eastAsia="zh-CN"/>
              </w:rPr>
              <w:t>单位</w:t>
            </w:r>
          </w:p>
        </w:tc>
        <w:tc>
          <w:tcPr>
            <w:tcW w:w="1320" w:type="dxa"/>
          </w:tcPr>
          <w:p w14:paraId="6E7E47A6">
            <w:pPr>
              <w:pStyle w:val="13"/>
              <w:jc w:val="center"/>
              <w:rPr>
                <w:rFonts w:hint="default"/>
                <w:vertAlign w:val="baseline"/>
                <w:lang w:val="en-US" w:eastAsia="zh-CN"/>
              </w:rPr>
            </w:pPr>
            <w:r>
              <w:rPr>
                <w:rFonts w:hint="eastAsia"/>
                <w:vertAlign w:val="baseline"/>
                <w:lang w:val="en-US" w:eastAsia="zh-CN"/>
              </w:rPr>
              <w:t>数量</w:t>
            </w:r>
          </w:p>
        </w:tc>
        <w:tc>
          <w:tcPr>
            <w:tcW w:w="1169" w:type="dxa"/>
          </w:tcPr>
          <w:p w14:paraId="7288B709">
            <w:pPr>
              <w:pStyle w:val="13"/>
              <w:jc w:val="center"/>
              <w:rPr>
                <w:rFonts w:hint="default"/>
                <w:vertAlign w:val="baseline"/>
                <w:lang w:val="en-US" w:eastAsia="zh-CN"/>
              </w:rPr>
            </w:pPr>
            <w:r>
              <w:rPr>
                <w:rFonts w:hint="eastAsia"/>
                <w:vertAlign w:val="baseline"/>
                <w:lang w:val="en-US" w:eastAsia="zh-CN"/>
              </w:rPr>
              <w:t>备注</w:t>
            </w:r>
          </w:p>
        </w:tc>
      </w:tr>
      <w:tr w14:paraId="793E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39C8323E">
            <w:pPr>
              <w:pStyle w:val="13"/>
              <w:jc w:val="center"/>
              <w:rPr>
                <w:rFonts w:hint="default"/>
                <w:vertAlign w:val="baseline"/>
                <w:lang w:val="en-US" w:eastAsia="zh-CN"/>
              </w:rPr>
            </w:pPr>
            <w:r>
              <w:rPr>
                <w:rFonts w:hint="eastAsia"/>
                <w:vertAlign w:val="baseline"/>
                <w:lang w:val="en-US" w:eastAsia="zh-CN"/>
              </w:rPr>
              <w:t>1</w:t>
            </w:r>
          </w:p>
        </w:tc>
        <w:tc>
          <w:tcPr>
            <w:tcW w:w="1981" w:type="dxa"/>
          </w:tcPr>
          <w:p w14:paraId="126B6AE2">
            <w:pPr>
              <w:pStyle w:val="13"/>
              <w:jc w:val="center"/>
              <w:rPr>
                <w:rFonts w:hint="default"/>
                <w:vertAlign w:val="baseline"/>
                <w:lang w:val="en-US" w:eastAsia="zh-CN"/>
              </w:rPr>
            </w:pPr>
            <w:r>
              <w:rPr>
                <w:rFonts w:hint="eastAsia"/>
                <w:vertAlign w:val="baseline"/>
                <w:lang w:val="en-US" w:eastAsia="zh-CN"/>
              </w:rPr>
              <w:t>市区厂能源在线监测系统</w:t>
            </w:r>
          </w:p>
        </w:tc>
        <w:tc>
          <w:tcPr>
            <w:tcW w:w="1486" w:type="dxa"/>
            <w:shd w:val="clear" w:color="auto" w:fill="auto"/>
            <w:vAlign w:val="center"/>
          </w:tcPr>
          <w:p w14:paraId="6AA8DF78">
            <w:pPr>
              <w:jc w:val="center"/>
              <w:rPr>
                <w:rFonts w:hint="eastAsia" w:ascii="宋体" w:hAnsi="宋体" w:eastAsia="宋体" w:cs="宋体"/>
                <w:color w:val="000000"/>
                <w:kern w:val="2"/>
                <w:sz w:val="24"/>
                <w:szCs w:val="24"/>
                <w:lang w:val="en-US" w:eastAsia="zh-CN" w:bidi="ar-SA"/>
              </w:rPr>
            </w:pPr>
            <w:r>
              <w:rPr>
                <w:rFonts w:hint="eastAsia" w:ascii="宋体" w:hAnsi="宋体" w:cs="Times New Roman"/>
                <w:kern w:val="2"/>
                <w:sz w:val="24"/>
                <w:szCs w:val="24"/>
                <w:lang w:val="en-US" w:eastAsia="zh-CN" w:bidi="ar-SA"/>
              </w:rPr>
              <w:t>需</w:t>
            </w:r>
            <w:r>
              <w:rPr>
                <w:rFonts w:hint="eastAsia" w:hAnsi="宋体" w:cs="Times New Roman"/>
                <w:kern w:val="2"/>
                <w:sz w:val="24"/>
                <w:szCs w:val="24"/>
                <w:lang w:val="en-US" w:eastAsia="zh-CN" w:bidi="ar-SA"/>
              </w:rPr>
              <w:t>建设</w:t>
            </w:r>
            <w:r>
              <w:rPr>
                <w:rFonts w:hint="eastAsia" w:ascii="宋体" w:hAnsi="宋体" w:cs="Times New Roman"/>
                <w:kern w:val="2"/>
                <w:sz w:val="24"/>
                <w:szCs w:val="24"/>
                <w:lang w:val="en-US" w:eastAsia="zh-CN" w:bidi="ar-SA"/>
              </w:rPr>
              <w:t>丙级能源在线监测系统</w:t>
            </w:r>
            <w:r>
              <w:rPr>
                <w:rFonts w:hint="eastAsia" w:hAnsi="宋体" w:cs="Times New Roman"/>
                <w:kern w:val="2"/>
                <w:sz w:val="24"/>
                <w:szCs w:val="24"/>
                <w:lang w:val="en-US" w:eastAsia="zh-CN" w:bidi="ar-SA"/>
              </w:rPr>
              <w:t>，</w:t>
            </w:r>
            <w:r>
              <w:rPr>
                <w:rFonts w:hint="eastAsia" w:ascii="宋体" w:hAnsi="宋体" w:cs="Times New Roman"/>
                <w:kern w:val="2"/>
                <w:sz w:val="24"/>
                <w:szCs w:val="24"/>
                <w:lang w:val="en-US" w:eastAsia="zh-CN" w:bidi="ar-SA"/>
              </w:rPr>
              <w:t>将市区厂12个低压变压器的智能电表数据接入系统</w:t>
            </w:r>
          </w:p>
        </w:tc>
        <w:tc>
          <w:tcPr>
            <w:tcW w:w="1486" w:type="dxa"/>
          </w:tcPr>
          <w:p w14:paraId="04D7A1DA">
            <w:pPr>
              <w:pStyle w:val="13"/>
              <w:jc w:val="center"/>
              <w:rPr>
                <w:rFonts w:hint="default"/>
                <w:vertAlign w:val="baseline"/>
                <w:lang w:val="en-US" w:eastAsia="zh-CN"/>
              </w:rPr>
            </w:pPr>
            <w:r>
              <w:rPr>
                <w:rFonts w:hint="eastAsia"/>
                <w:vertAlign w:val="baseline"/>
                <w:lang w:val="en-US" w:eastAsia="zh-CN"/>
              </w:rPr>
              <w:t>套</w:t>
            </w:r>
          </w:p>
        </w:tc>
        <w:tc>
          <w:tcPr>
            <w:tcW w:w="1320" w:type="dxa"/>
          </w:tcPr>
          <w:p w14:paraId="0194FB6B">
            <w:pPr>
              <w:pStyle w:val="13"/>
              <w:jc w:val="center"/>
              <w:rPr>
                <w:rFonts w:hint="default"/>
                <w:vertAlign w:val="baseline"/>
                <w:lang w:val="en-US" w:eastAsia="zh-CN"/>
              </w:rPr>
            </w:pPr>
            <w:r>
              <w:rPr>
                <w:rFonts w:hint="eastAsia"/>
                <w:vertAlign w:val="baseline"/>
                <w:lang w:val="en-US" w:eastAsia="zh-CN"/>
              </w:rPr>
              <w:t>1</w:t>
            </w:r>
          </w:p>
        </w:tc>
        <w:tc>
          <w:tcPr>
            <w:tcW w:w="1169" w:type="dxa"/>
          </w:tcPr>
          <w:p w14:paraId="4B20F36A">
            <w:pPr>
              <w:pStyle w:val="13"/>
              <w:jc w:val="center"/>
              <w:rPr>
                <w:rFonts w:hint="default"/>
                <w:vertAlign w:val="baseline"/>
                <w:lang w:val="en-US" w:eastAsia="zh-CN"/>
              </w:rPr>
            </w:pPr>
          </w:p>
        </w:tc>
      </w:tr>
      <w:tr w14:paraId="666A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51CFA5C">
            <w:pPr>
              <w:pStyle w:val="13"/>
              <w:jc w:val="center"/>
              <w:rPr>
                <w:rFonts w:hint="default"/>
                <w:vertAlign w:val="baseline"/>
                <w:lang w:val="en-US" w:eastAsia="zh-CN"/>
              </w:rPr>
            </w:pPr>
            <w:r>
              <w:rPr>
                <w:rFonts w:hint="eastAsia"/>
                <w:vertAlign w:val="baseline"/>
                <w:lang w:val="en-US" w:eastAsia="zh-CN"/>
              </w:rPr>
              <w:t>2</w:t>
            </w:r>
          </w:p>
        </w:tc>
        <w:tc>
          <w:tcPr>
            <w:tcW w:w="1981" w:type="dxa"/>
          </w:tcPr>
          <w:p w14:paraId="1638D1AF">
            <w:pPr>
              <w:pStyle w:val="13"/>
              <w:jc w:val="center"/>
              <w:rPr>
                <w:rFonts w:hint="default"/>
                <w:vertAlign w:val="baseline"/>
                <w:lang w:val="en-US" w:eastAsia="zh-CN"/>
              </w:rPr>
            </w:pPr>
            <w:r>
              <w:rPr>
                <w:rFonts w:hint="eastAsia"/>
                <w:vertAlign w:val="baseline"/>
                <w:lang w:val="en-US" w:eastAsia="zh-CN"/>
              </w:rPr>
              <w:t>市区厂能源数据对接市平台</w:t>
            </w:r>
          </w:p>
        </w:tc>
        <w:tc>
          <w:tcPr>
            <w:tcW w:w="1486" w:type="dxa"/>
            <w:shd w:val="clear" w:color="auto" w:fill="auto"/>
            <w:vAlign w:val="center"/>
          </w:tcPr>
          <w:p w14:paraId="36C67B2B">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需将市区厂能源在线监测系统数据对接至</w:t>
            </w:r>
            <w:r>
              <w:rPr>
                <w:rFonts w:hint="eastAsia" w:hAnsi="宋体" w:cs="宋体"/>
                <w:color w:val="auto"/>
                <w:sz w:val="24"/>
                <w:szCs w:val="24"/>
                <w:highlight w:val="none"/>
                <w:lang w:val="en-US" w:eastAsia="zh-CN"/>
              </w:rPr>
              <w:t>东莞市智慧能源平台</w:t>
            </w:r>
          </w:p>
        </w:tc>
        <w:tc>
          <w:tcPr>
            <w:tcW w:w="1486" w:type="dxa"/>
          </w:tcPr>
          <w:p w14:paraId="321EB422">
            <w:pPr>
              <w:pStyle w:val="13"/>
              <w:jc w:val="center"/>
              <w:rPr>
                <w:rFonts w:hint="default"/>
                <w:vertAlign w:val="baseline"/>
                <w:lang w:val="en-US" w:eastAsia="zh-CN"/>
              </w:rPr>
            </w:pPr>
            <w:r>
              <w:rPr>
                <w:rFonts w:hint="eastAsia"/>
                <w:vertAlign w:val="baseline"/>
                <w:lang w:val="en-US" w:eastAsia="zh-CN"/>
              </w:rPr>
              <w:t>套</w:t>
            </w:r>
          </w:p>
        </w:tc>
        <w:tc>
          <w:tcPr>
            <w:tcW w:w="1320" w:type="dxa"/>
          </w:tcPr>
          <w:p w14:paraId="56561183">
            <w:pPr>
              <w:pStyle w:val="13"/>
              <w:jc w:val="center"/>
              <w:rPr>
                <w:rFonts w:hint="default"/>
                <w:vertAlign w:val="baseline"/>
                <w:lang w:val="en-US" w:eastAsia="zh-CN"/>
              </w:rPr>
            </w:pPr>
            <w:r>
              <w:rPr>
                <w:rFonts w:hint="eastAsia"/>
                <w:vertAlign w:val="baseline"/>
                <w:lang w:val="en-US" w:eastAsia="zh-CN"/>
              </w:rPr>
              <w:t>1</w:t>
            </w:r>
          </w:p>
        </w:tc>
        <w:tc>
          <w:tcPr>
            <w:tcW w:w="1169" w:type="dxa"/>
          </w:tcPr>
          <w:p w14:paraId="3DDB4B4D">
            <w:pPr>
              <w:pStyle w:val="13"/>
              <w:jc w:val="center"/>
              <w:rPr>
                <w:rFonts w:hint="default"/>
                <w:vertAlign w:val="baseline"/>
                <w:lang w:val="en-US" w:eastAsia="zh-CN"/>
              </w:rPr>
            </w:pPr>
          </w:p>
        </w:tc>
      </w:tr>
      <w:tr w14:paraId="5AC3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FED904D">
            <w:pPr>
              <w:pStyle w:val="13"/>
              <w:jc w:val="center"/>
              <w:rPr>
                <w:rFonts w:hint="default"/>
                <w:vertAlign w:val="baseline"/>
                <w:lang w:val="en-US" w:eastAsia="zh-CN"/>
              </w:rPr>
            </w:pPr>
            <w:r>
              <w:rPr>
                <w:rFonts w:hint="eastAsia"/>
                <w:vertAlign w:val="baseline"/>
                <w:lang w:val="en-US" w:eastAsia="zh-CN"/>
              </w:rPr>
              <w:t>3</w:t>
            </w:r>
          </w:p>
        </w:tc>
        <w:tc>
          <w:tcPr>
            <w:tcW w:w="1981" w:type="dxa"/>
            <w:vAlign w:val="top"/>
          </w:tcPr>
          <w:p w14:paraId="487867AE">
            <w:pPr>
              <w:pStyle w:val="13"/>
              <w:jc w:val="center"/>
              <w:rPr>
                <w:rFonts w:hint="default"/>
                <w:vertAlign w:val="baseline"/>
                <w:lang w:val="en-US" w:eastAsia="zh-CN"/>
              </w:rPr>
            </w:pPr>
            <w:r>
              <w:rPr>
                <w:rFonts w:hint="eastAsia"/>
                <w:vertAlign w:val="baseline"/>
                <w:lang w:val="en-US" w:eastAsia="zh-CN"/>
              </w:rPr>
              <w:t>一分二分接器</w:t>
            </w:r>
          </w:p>
        </w:tc>
        <w:tc>
          <w:tcPr>
            <w:tcW w:w="1486" w:type="dxa"/>
            <w:shd w:val="clear" w:color="auto" w:fill="auto"/>
            <w:vAlign w:val="center"/>
          </w:tcPr>
          <w:p w14:paraId="017DADCD">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BJ-3212</w:t>
            </w:r>
          </w:p>
        </w:tc>
        <w:tc>
          <w:tcPr>
            <w:tcW w:w="1486" w:type="dxa"/>
            <w:vAlign w:val="top"/>
          </w:tcPr>
          <w:p w14:paraId="649BAFCE">
            <w:pPr>
              <w:pStyle w:val="13"/>
              <w:jc w:val="center"/>
              <w:rPr>
                <w:rFonts w:hint="default"/>
                <w:vertAlign w:val="baseline"/>
                <w:lang w:val="en-US" w:eastAsia="zh-CN"/>
              </w:rPr>
            </w:pPr>
            <w:r>
              <w:rPr>
                <w:rFonts w:hint="eastAsia"/>
                <w:vertAlign w:val="baseline"/>
                <w:lang w:val="en-US" w:eastAsia="zh-CN"/>
              </w:rPr>
              <w:t>块</w:t>
            </w:r>
          </w:p>
        </w:tc>
        <w:tc>
          <w:tcPr>
            <w:tcW w:w="1320" w:type="dxa"/>
            <w:vAlign w:val="top"/>
          </w:tcPr>
          <w:p w14:paraId="6FEEE8B8">
            <w:pPr>
              <w:pStyle w:val="13"/>
              <w:jc w:val="center"/>
              <w:rPr>
                <w:rFonts w:hint="default"/>
                <w:vertAlign w:val="baseline"/>
                <w:lang w:val="en-US" w:eastAsia="zh-CN"/>
              </w:rPr>
            </w:pPr>
            <w:r>
              <w:rPr>
                <w:rFonts w:hint="eastAsia"/>
                <w:vertAlign w:val="baseline"/>
                <w:lang w:val="en-US" w:eastAsia="zh-CN"/>
              </w:rPr>
              <w:t>12</w:t>
            </w:r>
          </w:p>
        </w:tc>
        <w:tc>
          <w:tcPr>
            <w:tcW w:w="1169" w:type="dxa"/>
          </w:tcPr>
          <w:p w14:paraId="7106BB5B">
            <w:pPr>
              <w:pStyle w:val="13"/>
              <w:jc w:val="center"/>
              <w:rPr>
                <w:rFonts w:hint="default"/>
                <w:vertAlign w:val="baseline"/>
                <w:lang w:val="en-US" w:eastAsia="zh-CN"/>
              </w:rPr>
            </w:pPr>
          </w:p>
        </w:tc>
      </w:tr>
      <w:tr w14:paraId="7CAD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BE7FDFC">
            <w:pPr>
              <w:pStyle w:val="13"/>
              <w:jc w:val="center"/>
              <w:rPr>
                <w:rFonts w:hint="default"/>
                <w:vertAlign w:val="baseline"/>
                <w:lang w:val="en-US" w:eastAsia="zh-CN"/>
              </w:rPr>
            </w:pPr>
            <w:r>
              <w:rPr>
                <w:rFonts w:hint="eastAsia"/>
                <w:vertAlign w:val="baseline"/>
                <w:lang w:val="en-US" w:eastAsia="zh-CN"/>
              </w:rPr>
              <w:t>4</w:t>
            </w:r>
          </w:p>
        </w:tc>
        <w:tc>
          <w:tcPr>
            <w:tcW w:w="1981" w:type="dxa"/>
            <w:vAlign w:val="top"/>
          </w:tcPr>
          <w:p w14:paraId="1D0AC43D">
            <w:pPr>
              <w:pStyle w:val="13"/>
              <w:jc w:val="center"/>
              <w:rPr>
                <w:rFonts w:hint="default"/>
                <w:vertAlign w:val="baseline"/>
                <w:lang w:val="en-US" w:eastAsia="zh-CN"/>
              </w:rPr>
            </w:pPr>
            <w:r>
              <w:rPr>
                <w:rFonts w:hint="eastAsia"/>
                <w:vertAlign w:val="baseline"/>
                <w:lang w:val="en-US" w:eastAsia="zh-CN"/>
              </w:rPr>
              <w:t>LoRa无线收发器</w:t>
            </w:r>
          </w:p>
        </w:tc>
        <w:tc>
          <w:tcPr>
            <w:tcW w:w="1486" w:type="dxa"/>
            <w:shd w:val="clear" w:color="auto" w:fill="auto"/>
            <w:vAlign w:val="center"/>
          </w:tcPr>
          <w:p w14:paraId="6CC86897">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F3X26Q</w:t>
            </w:r>
          </w:p>
        </w:tc>
        <w:tc>
          <w:tcPr>
            <w:tcW w:w="1486" w:type="dxa"/>
            <w:vAlign w:val="top"/>
          </w:tcPr>
          <w:p w14:paraId="5568C84C">
            <w:pPr>
              <w:pStyle w:val="13"/>
              <w:jc w:val="center"/>
              <w:rPr>
                <w:rFonts w:hint="default"/>
                <w:vertAlign w:val="baseline"/>
                <w:lang w:val="en-US" w:eastAsia="zh-CN"/>
              </w:rPr>
            </w:pPr>
            <w:r>
              <w:rPr>
                <w:rFonts w:hint="eastAsia"/>
                <w:vertAlign w:val="baseline"/>
                <w:lang w:val="en-US" w:eastAsia="zh-CN"/>
              </w:rPr>
              <w:t>套</w:t>
            </w:r>
          </w:p>
        </w:tc>
        <w:tc>
          <w:tcPr>
            <w:tcW w:w="1320" w:type="dxa"/>
            <w:vAlign w:val="top"/>
          </w:tcPr>
          <w:p w14:paraId="4A85091A">
            <w:pPr>
              <w:pStyle w:val="13"/>
              <w:jc w:val="center"/>
              <w:rPr>
                <w:rFonts w:hint="default"/>
                <w:vertAlign w:val="baseline"/>
                <w:lang w:val="en-US" w:eastAsia="zh-CN"/>
              </w:rPr>
            </w:pPr>
            <w:r>
              <w:rPr>
                <w:rFonts w:hint="eastAsia"/>
                <w:vertAlign w:val="baseline"/>
                <w:lang w:val="en-US" w:eastAsia="zh-CN"/>
              </w:rPr>
              <w:t>12</w:t>
            </w:r>
          </w:p>
        </w:tc>
        <w:tc>
          <w:tcPr>
            <w:tcW w:w="1169" w:type="dxa"/>
          </w:tcPr>
          <w:p w14:paraId="3441AFED">
            <w:pPr>
              <w:pStyle w:val="13"/>
              <w:jc w:val="center"/>
              <w:rPr>
                <w:rFonts w:hint="default"/>
                <w:vertAlign w:val="baseline"/>
                <w:lang w:val="en-US" w:eastAsia="zh-CN"/>
              </w:rPr>
            </w:pPr>
          </w:p>
        </w:tc>
      </w:tr>
      <w:tr w14:paraId="3843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CE2586D">
            <w:pPr>
              <w:pStyle w:val="13"/>
              <w:jc w:val="center"/>
              <w:rPr>
                <w:rFonts w:hint="default"/>
                <w:vertAlign w:val="baseline"/>
                <w:lang w:val="en-US" w:eastAsia="zh-CN"/>
              </w:rPr>
            </w:pPr>
            <w:r>
              <w:rPr>
                <w:rFonts w:hint="eastAsia"/>
                <w:vertAlign w:val="baseline"/>
                <w:lang w:val="en-US" w:eastAsia="zh-CN"/>
              </w:rPr>
              <w:t>5</w:t>
            </w:r>
          </w:p>
        </w:tc>
        <w:tc>
          <w:tcPr>
            <w:tcW w:w="1981" w:type="dxa"/>
            <w:vAlign w:val="top"/>
          </w:tcPr>
          <w:p w14:paraId="2668A054">
            <w:pPr>
              <w:pStyle w:val="13"/>
              <w:jc w:val="center"/>
              <w:rPr>
                <w:rFonts w:hint="default"/>
                <w:vertAlign w:val="baseline"/>
                <w:lang w:val="en-US" w:eastAsia="zh-CN"/>
              </w:rPr>
            </w:pPr>
            <w:r>
              <w:rPr>
                <w:rFonts w:hint="eastAsia"/>
                <w:vertAlign w:val="baseline"/>
                <w:lang w:val="en-US" w:eastAsia="zh-CN"/>
              </w:rPr>
              <w:t>通讯线</w:t>
            </w:r>
          </w:p>
        </w:tc>
        <w:tc>
          <w:tcPr>
            <w:tcW w:w="1486" w:type="dxa"/>
            <w:shd w:val="clear" w:color="auto" w:fill="auto"/>
            <w:vAlign w:val="center"/>
          </w:tcPr>
          <w:p w14:paraId="3F589FCC">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超五类带屏蔽网络线</w:t>
            </w:r>
          </w:p>
        </w:tc>
        <w:tc>
          <w:tcPr>
            <w:tcW w:w="1486" w:type="dxa"/>
            <w:vAlign w:val="top"/>
          </w:tcPr>
          <w:p w14:paraId="7009085B">
            <w:pPr>
              <w:pStyle w:val="13"/>
              <w:jc w:val="center"/>
              <w:rPr>
                <w:rFonts w:hint="default"/>
                <w:vertAlign w:val="baseline"/>
                <w:lang w:val="en-US" w:eastAsia="zh-CN"/>
              </w:rPr>
            </w:pPr>
            <w:r>
              <w:rPr>
                <w:rFonts w:hint="eastAsia"/>
                <w:vertAlign w:val="baseline"/>
                <w:lang w:val="en-US" w:eastAsia="zh-CN"/>
              </w:rPr>
              <w:t>米</w:t>
            </w:r>
          </w:p>
        </w:tc>
        <w:tc>
          <w:tcPr>
            <w:tcW w:w="1320" w:type="dxa"/>
            <w:vAlign w:val="top"/>
          </w:tcPr>
          <w:p w14:paraId="1B7D28D6">
            <w:pPr>
              <w:pStyle w:val="13"/>
              <w:jc w:val="center"/>
              <w:rPr>
                <w:rFonts w:hint="default"/>
                <w:vertAlign w:val="baseline"/>
                <w:lang w:val="en-US" w:eastAsia="zh-CN"/>
              </w:rPr>
            </w:pPr>
            <w:r>
              <w:rPr>
                <w:rFonts w:hint="eastAsia"/>
                <w:vertAlign w:val="baseline"/>
                <w:lang w:val="en-US" w:eastAsia="zh-CN"/>
              </w:rPr>
              <w:t>200</w:t>
            </w:r>
          </w:p>
        </w:tc>
        <w:tc>
          <w:tcPr>
            <w:tcW w:w="1169" w:type="dxa"/>
          </w:tcPr>
          <w:p w14:paraId="18867123">
            <w:pPr>
              <w:pStyle w:val="13"/>
              <w:jc w:val="center"/>
              <w:rPr>
                <w:rFonts w:hint="default"/>
                <w:vertAlign w:val="baseline"/>
                <w:lang w:val="en-US" w:eastAsia="zh-CN"/>
              </w:rPr>
            </w:pPr>
          </w:p>
        </w:tc>
      </w:tr>
      <w:tr w14:paraId="1C12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039656F">
            <w:pPr>
              <w:pStyle w:val="13"/>
              <w:jc w:val="center"/>
              <w:rPr>
                <w:rFonts w:hint="default"/>
                <w:vertAlign w:val="baseline"/>
                <w:lang w:val="en-US" w:eastAsia="zh-CN"/>
              </w:rPr>
            </w:pPr>
            <w:r>
              <w:rPr>
                <w:rFonts w:hint="eastAsia"/>
                <w:vertAlign w:val="baseline"/>
                <w:lang w:val="en-US" w:eastAsia="zh-CN"/>
              </w:rPr>
              <w:t>6</w:t>
            </w:r>
          </w:p>
        </w:tc>
        <w:tc>
          <w:tcPr>
            <w:tcW w:w="1981" w:type="dxa"/>
            <w:vAlign w:val="top"/>
          </w:tcPr>
          <w:p w14:paraId="05655A44">
            <w:pPr>
              <w:pStyle w:val="13"/>
              <w:jc w:val="center"/>
              <w:rPr>
                <w:rFonts w:hint="default"/>
                <w:vertAlign w:val="baseline"/>
                <w:lang w:val="en-US" w:eastAsia="zh-CN"/>
              </w:rPr>
            </w:pPr>
            <w:r>
              <w:rPr>
                <w:rFonts w:hint="eastAsia"/>
                <w:vertAlign w:val="baseline"/>
                <w:lang w:val="en-US" w:eastAsia="zh-CN"/>
              </w:rPr>
              <w:t>RVV电缆</w:t>
            </w:r>
          </w:p>
        </w:tc>
        <w:tc>
          <w:tcPr>
            <w:tcW w:w="1486" w:type="dxa"/>
            <w:shd w:val="clear" w:color="auto" w:fill="auto"/>
            <w:vAlign w:val="center"/>
          </w:tcPr>
          <w:p w14:paraId="2EEB92C5">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3*1.5mm</w:t>
            </w:r>
            <w:r>
              <w:rPr>
                <w:rFonts w:hint="eastAsia" w:ascii="宋体" w:hAnsi="宋体" w:cs="Times New Roman"/>
                <w:kern w:val="2"/>
                <w:sz w:val="24"/>
                <w:szCs w:val="24"/>
                <w:vertAlign w:val="superscript"/>
                <w:lang w:val="en-US" w:eastAsia="zh-CN" w:bidi="ar-SA"/>
              </w:rPr>
              <w:t>2</w:t>
            </w:r>
          </w:p>
        </w:tc>
        <w:tc>
          <w:tcPr>
            <w:tcW w:w="1486" w:type="dxa"/>
            <w:vAlign w:val="top"/>
          </w:tcPr>
          <w:p w14:paraId="44B1B642">
            <w:pPr>
              <w:pStyle w:val="13"/>
              <w:jc w:val="center"/>
              <w:rPr>
                <w:rFonts w:hint="default"/>
                <w:vertAlign w:val="baseline"/>
                <w:lang w:val="en-US" w:eastAsia="zh-CN"/>
              </w:rPr>
            </w:pPr>
            <w:r>
              <w:rPr>
                <w:rFonts w:hint="eastAsia"/>
                <w:vertAlign w:val="baseline"/>
                <w:lang w:val="en-US" w:eastAsia="zh-CN"/>
              </w:rPr>
              <w:t>米</w:t>
            </w:r>
          </w:p>
        </w:tc>
        <w:tc>
          <w:tcPr>
            <w:tcW w:w="1320" w:type="dxa"/>
            <w:vAlign w:val="top"/>
          </w:tcPr>
          <w:p w14:paraId="35E055F7">
            <w:pPr>
              <w:pStyle w:val="13"/>
              <w:jc w:val="center"/>
              <w:rPr>
                <w:rFonts w:hint="default"/>
                <w:vertAlign w:val="baseline"/>
                <w:lang w:val="en-US" w:eastAsia="zh-CN"/>
              </w:rPr>
            </w:pPr>
            <w:r>
              <w:rPr>
                <w:rFonts w:hint="eastAsia"/>
                <w:vertAlign w:val="baseline"/>
                <w:lang w:val="en-US" w:eastAsia="zh-CN"/>
              </w:rPr>
              <w:t>200</w:t>
            </w:r>
          </w:p>
        </w:tc>
        <w:tc>
          <w:tcPr>
            <w:tcW w:w="1169" w:type="dxa"/>
          </w:tcPr>
          <w:p w14:paraId="2C7D3AB3">
            <w:pPr>
              <w:pStyle w:val="13"/>
              <w:jc w:val="center"/>
              <w:rPr>
                <w:rFonts w:hint="default"/>
                <w:vertAlign w:val="baseline"/>
                <w:lang w:val="en-US" w:eastAsia="zh-CN"/>
              </w:rPr>
            </w:pPr>
          </w:p>
        </w:tc>
      </w:tr>
      <w:tr w14:paraId="7D7F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4A831C2">
            <w:pPr>
              <w:pStyle w:val="13"/>
              <w:jc w:val="center"/>
              <w:rPr>
                <w:rFonts w:hint="default"/>
                <w:vertAlign w:val="baseline"/>
                <w:lang w:val="en-US" w:eastAsia="zh-CN"/>
              </w:rPr>
            </w:pPr>
            <w:r>
              <w:rPr>
                <w:rFonts w:hint="eastAsia"/>
                <w:vertAlign w:val="baseline"/>
                <w:lang w:val="en-US" w:eastAsia="zh-CN"/>
              </w:rPr>
              <w:t>7</w:t>
            </w:r>
          </w:p>
        </w:tc>
        <w:tc>
          <w:tcPr>
            <w:tcW w:w="1981" w:type="dxa"/>
            <w:vAlign w:val="top"/>
          </w:tcPr>
          <w:p w14:paraId="68A4E064">
            <w:pPr>
              <w:pStyle w:val="13"/>
              <w:jc w:val="center"/>
              <w:rPr>
                <w:rFonts w:hint="default"/>
                <w:vertAlign w:val="baseline"/>
                <w:lang w:val="en-US" w:eastAsia="zh-CN"/>
              </w:rPr>
            </w:pPr>
            <w:r>
              <w:rPr>
                <w:rFonts w:hint="eastAsia"/>
                <w:vertAlign w:val="baseline"/>
                <w:lang w:val="en-US" w:eastAsia="zh-CN"/>
              </w:rPr>
              <w:t>数据采集箱</w:t>
            </w:r>
          </w:p>
        </w:tc>
        <w:tc>
          <w:tcPr>
            <w:tcW w:w="1486" w:type="dxa"/>
            <w:shd w:val="clear" w:color="auto" w:fill="auto"/>
            <w:vAlign w:val="center"/>
          </w:tcPr>
          <w:p w14:paraId="5720C9DA">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400*300*200mm</w:t>
            </w:r>
          </w:p>
        </w:tc>
        <w:tc>
          <w:tcPr>
            <w:tcW w:w="1486" w:type="dxa"/>
            <w:vAlign w:val="top"/>
          </w:tcPr>
          <w:p w14:paraId="793A4E99">
            <w:pPr>
              <w:pStyle w:val="13"/>
              <w:jc w:val="center"/>
              <w:rPr>
                <w:rFonts w:hint="default"/>
                <w:vertAlign w:val="baseline"/>
                <w:lang w:val="en-US" w:eastAsia="zh-CN"/>
              </w:rPr>
            </w:pPr>
            <w:r>
              <w:rPr>
                <w:rFonts w:hint="eastAsia"/>
                <w:vertAlign w:val="baseline"/>
                <w:lang w:val="en-US" w:eastAsia="zh-CN"/>
              </w:rPr>
              <w:t>个</w:t>
            </w:r>
          </w:p>
        </w:tc>
        <w:tc>
          <w:tcPr>
            <w:tcW w:w="1320" w:type="dxa"/>
            <w:vAlign w:val="top"/>
          </w:tcPr>
          <w:p w14:paraId="45C4B523">
            <w:pPr>
              <w:pStyle w:val="13"/>
              <w:jc w:val="center"/>
              <w:rPr>
                <w:rFonts w:hint="default"/>
                <w:vertAlign w:val="baseline"/>
                <w:lang w:val="en-US" w:eastAsia="zh-CN"/>
              </w:rPr>
            </w:pPr>
            <w:r>
              <w:rPr>
                <w:rFonts w:hint="eastAsia"/>
                <w:vertAlign w:val="baseline"/>
                <w:lang w:val="en-US" w:eastAsia="zh-CN"/>
              </w:rPr>
              <w:t>7</w:t>
            </w:r>
          </w:p>
        </w:tc>
        <w:tc>
          <w:tcPr>
            <w:tcW w:w="1169" w:type="dxa"/>
          </w:tcPr>
          <w:p w14:paraId="03F9836D">
            <w:pPr>
              <w:pStyle w:val="13"/>
              <w:jc w:val="center"/>
              <w:rPr>
                <w:rFonts w:hint="default"/>
                <w:vertAlign w:val="baseline"/>
                <w:lang w:val="en-US" w:eastAsia="zh-CN"/>
              </w:rPr>
            </w:pPr>
          </w:p>
        </w:tc>
      </w:tr>
      <w:tr w14:paraId="33D6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1BC7D72">
            <w:pPr>
              <w:pStyle w:val="13"/>
              <w:jc w:val="center"/>
              <w:rPr>
                <w:rFonts w:hint="default"/>
                <w:vertAlign w:val="baseline"/>
                <w:lang w:val="en-US" w:eastAsia="zh-CN"/>
              </w:rPr>
            </w:pPr>
            <w:r>
              <w:rPr>
                <w:rFonts w:hint="eastAsia"/>
                <w:vertAlign w:val="baseline"/>
                <w:lang w:val="en-US" w:eastAsia="zh-CN"/>
              </w:rPr>
              <w:t>8</w:t>
            </w:r>
          </w:p>
        </w:tc>
        <w:tc>
          <w:tcPr>
            <w:tcW w:w="1981" w:type="dxa"/>
            <w:vAlign w:val="top"/>
          </w:tcPr>
          <w:p w14:paraId="59326FB0">
            <w:pPr>
              <w:pStyle w:val="13"/>
              <w:jc w:val="center"/>
              <w:rPr>
                <w:rFonts w:hint="default"/>
                <w:vertAlign w:val="baseline"/>
                <w:lang w:val="en-US" w:eastAsia="zh-CN"/>
              </w:rPr>
            </w:pPr>
            <w:r>
              <w:rPr>
                <w:rFonts w:hint="eastAsia"/>
                <w:vertAlign w:val="baseline"/>
                <w:lang w:val="en-US" w:eastAsia="zh-CN"/>
              </w:rPr>
              <w:t>空气开关</w:t>
            </w:r>
          </w:p>
        </w:tc>
        <w:tc>
          <w:tcPr>
            <w:tcW w:w="1486" w:type="dxa"/>
            <w:shd w:val="clear" w:color="auto" w:fill="auto"/>
            <w:vAlign w:val="center"/>
          </w:tcPr>
          <w:p w14:paraId="299B684E">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2P10a</w:t>
            </w:r>
          </w:p>
        </w:tc>
        <w:tc>
          <w:tcPr>
            <w:tcW w:w="1486" w:type="dxa"/>
            <w:vAlign w:val="top"/>
          </w:tcPr>
          <w:p w14:paraId="66CDBC98">
            <w:pPr>
              <w:pStyle w:val="13"/>
              <w:jc w:val="center"/>
              <w:rPr>
                <w:rFonts w:hint="default"/>
                <w:vertAlign w:val="baseline"/>
                <w:lang w:val="en-US" w:eastAsia="zh-CN"/>
              </w:rPr>
            </w:pPr>
            <w:r>
              <w:rPr>
                <w:rFonts w:hint="eastAsia"/>
                <w:vertAlign w:val="baseline"/>
                <w:lang w:val="en-US" w:eastAsia="zh-CN"/>
              </w:rPr>
              <w:t>个</w:t>
            </w:r>
          </w:p>
        </w:tc>
        <w:tc>
          <w:tcPr>
            <w:tcW w:w="1320" w:type="dxa"/>
            <w:vAlign w:val="top"/>
          </w:tcPr>
          <w:p w14:paraId="5DEDBEE7">
            <w:pPr>
              <w:pStyle w:val="13"/>
              <w:jc w:val="center"/>
              <w:rPr>
                <w:rFonts w:hint="default"/>
                <w:vertAlign w:val="baseline"/>
                <w:lang w:val="en-US" w:eastAsia="zh-CN"/>
              </w:rPr>
            </w:pPr>
            <w:r>
              <w:rPr>
                <w:rFonts w:hint="eastAsia"/>
                <w:vertAlign w:val="baseline"/>
                <w:lang w:val="en-US" w:eastAsia="zh-CN"/>
              </w:rPr>
              <w:t>7</w:t>
            </w:r>
          </w:p>
        </w:tc>
        <w:tc>
          <w:tcPr>
            <w:tcW w:w="1169" w:type="dxa"/>
          </w:tcPr>
          <w:p w14:paraId="68921FE9">
            <w:pPr>
              <w:pStyle w:val="13"/>
              <w:jc w:val="center"/>
              <w:rPr>
                <w:rFonts w:hint="default"/>
                <w:vertAlign w:val="baseline"/>
                <w:lang w:val="en-US" w:eastAsia="zh-CN"/>
              </w:rPr>
            </w:pPr>
          </w:p>
        </w:tc>
      </w:tr>
      <w:tr w14:paraId="4A68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61DAFE2F">
            <w:pPr>
              <w:pStyle w:val="13"/>
              <w:jc w:val="center"/>
              <w:rPr>
                <w:rFonts w:hint="default"/>
                <w:vertAlign w:val="baseline"/>
                <w:lang w:val="en-US" w:eastAsia="zh-CN"/>
              </w:rPr>
            </w:pPr>
            <w:r>
              <w:rPr>
                <w:rFonts w:hint="eastAsia"/>
                <w:vertAlign w:val="baseline"/>
                <w:lang w:val="en-US" w:eastAsia="zh-CN"/>
              </w:rPr>
              <w:t>9</w:t>
            </w:r>
          </w:p>
        </w:tc>
        <w:tc>
          <w:tcPr>
            <w:tcW w:w="1981" w:type="dxa"/>
            <w:vAlign w:val="top"/>
          </w:tcPr>
          <w:p w14:paraId="324A4125">
            <w:pPr>
              <w:pStyle w:val="13"/>
              <w:jc w:val="center"/>
              <w:rPr>
                <w:rFonts w:hint="eastAsia"/>
                <w:vertAlign w:val="baseline"/>
                <w:lang w:val="en-US" w:eastAsia="zh-CN"/>
              </w:rPr>
            </w:pPr>
            <w:r>
              <w:rPr>
                <w:rFonts w:hint="eastAsia"/>
                <w:vertAlign w:val="baseline"/>
                <w:lang w:val="en-US" w:eastAsia="zh-CN"/>
              </w:rPr>
              <w:t>阻燃RVVP线管（含配件）</w:t>
            </w:r>
          </w:p>
        </w:tc>
        <w:tc>
          <w:tcPr>
            <w:tcW w:w="1486" w:type="dxa"/>
            <w:shd w:val="clear" w:color="auto" w:fill="auto"/>
            <w:vAlign w:val="center"/>
          </w:tcPr>
          <w:p w14:paraId="65A0B26C">
            <w:pPr>
              <w:jc w:val="center"/>
              <w:rPr>
                <w:rFonts w:hint="eastAsia" w:ascii="宋体" w:hAnsi="宋体" w:eastAsia="宋体" w:cs="Times New Roman"/>
                <w:kern w:val="2"/>
                <w:sz w:val="24"/>
                <w:szCs w:val="24"/>
                <w:vertAlign w:val="baseline"/>
                <w:lang w:val="en-US" w:eastAsia="zh-CN" w:bidi="ar-SA"/>
              </w:rPr>
            </w:pPr>
            <w:r>
              <w:rPr>
                <w:rFonts w:hint="eastAsia" w:ascii="宋体" w:hAnsi="宋体" w:cs="Times New Roman"/>
                <w:kern w:val="2"/>
                <w:sz w:val="24"/>
                <w:szCs w:val="24"/>
                <w:lang w:val="en-US" w:eastAsia="zh-CN" w:bidi="ar-SA"/>
              </w:rPr>
              <w:t>DN20</w:t>
            </w:r>
          </w:p>
        </w:tc>
        <w:tc>
          <w:tcPr>
            <w:tcW w:w="1486" w:type="dxa"/>
            <w:vAlign w:val="top"/>
          </w:tcPr>
          <w:p w14:paraId="67D73C1C">
            <w:pPr>
              <w:pStyle w:val="13"/>
              <w:jc w:val="center"/>
              <w:rPr>
                <w:rFonts w:hint="eastAsia"/>
                <w:vertAlign w:val="baseline"/>
                <w:lang w:val="en-US" w:eastAsia="zh-CN"/>
              </w:rPr>
            </w:pPr>
            <w:r>
              <w:rPr>
                <w:rFonts w:hint="eastAsia"/>
                <w:vertAlign w:val="baseline"/>
                <w:lang w:val="en-US" w:eastAsia="zh-CN"/>
              </w:rPr>
              <w:t>米</w:t>
            </w:r>
          </w:p>
        </w:tc>
        <w:tc>
          <w:tcPr>
            <w:tcW w:w="1320" w:type="dxa"/>
            <w:vAlign w:val="top"/>
          </w:tcPr>
          <w:p w14:paraId="480D9A68">
            <w:pPr>
              <w:pStyle w:val="13"/>
              <w:jc w:val="center"/>
              <w:rPr>
                <w:rFonts w:hint="eastAsia"/>
                <w:vertAlign w:val="baseline"/>
                <w:lang w:val="en-US" w:eastAsia="zh-CN"/>
              </w:rPr>
            </w:pPr>
            <w:r>
              <w:rPr>
                <w:rFonts w:hint="eastAsia"/>
                <w:vertAlign w:val="baseline"/>
                <w:lang w:val="en-US" w:eastAsia="zh-CN"/>
              </w:rPr>
              <w:t>200</w:t>
            </w:r>
          </w:p>
        </w:tc>
        <w:tc>
          <w:tcPr>
            <w:tcW w:w="1169" w:type="dxa"/>
          </w:tcPr>
          <w:p w14:paraId="6D103850">
            <w:pPr>
              <w:pStyle w:val="13"/>
              <w:jc w:val="center"/>
              <w:rPr>
                <w:rFonts w:hint="default"/>
                <w:vertAlign w:val="baseline"/>
                <w:lang w:val="en-US" w:eastAsia="zh-CN"/>
              </w:rPr>
            </w:pPr>
          </w:p>
        </w:tc>
      </w:tr>
    </w:tbl>
    <w:p w14:paraId="612E0344">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jc w:val="left"/>
        <w:textAlignment w:val="auto"/>
        <w:rPr>
          <w:rFonts w:hint="default"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服务单位需建设市区厂丙级能源在线监测系统，将市区厂12个低压变压器智能电表的用电量数据上传至能源在线监测系统，同时将市区厂的能耗数据上传至</w:t>
      </w:r>
      <w:r>
        <w:rPr>
          <w:rFonts w:hint="eastAsia" w:hAnsi="宋体" w:cs="宋体"/>
          <w:color w:val="auto"/>
          <w:sz w:val="24"/>
          <w:szCs w:val="24"/>
          <w:highlight w:val="none"/>
          <w:lang w:val="en-US" w:eastAsia="zh-CN"/>
        </w:rPr>
        <w:t>东莞市智慧能源平台，最终成果需满足东莞市能源和信用中心相关要求。</w:t>
      </w:r>
    </w:p>
    <w:p w14:paraId="022E5656">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hAnsi="宋体" w:cs="宋体"/>
          <w:b w:val="0"/>
          <w:bCs/>
          <w:color w:val="auto"/>
          <w:sz w:val="24"/>
          <w:szCs w:val="24"/>
          <w:highlight w:val="none"/>
          <w:lang w:val="en-US" w:eastAsia="zh-CN"/>
        </w:rPr>
        <w:t>2服务地点及时间</w:t>
      </w:r>
    </w:p>
    <w:p w14:paraId="3DB08CF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时间：</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单位收到采购人</w:t>
      </w:r>
      <w:r>
        <w:rPr>
          <w:rFonts w:hint="eastAsia" w:hAnsi="宋体" w:cs="宋体"/>
          <w:color w:val="auto"/>
          <w:sz w:val="24"/>
          <w:szCs w:val="24"/>
          <w:highlight w:val="none"/>
          <w:lang w:val="en-US" w:eastAsia="zh-CN"/>
        </w:rPr>
        <w:t>需在2025年12月31日前</w:t>
      </w:r>
      <w:r>
        <w:rPr>
          <w:rFonts w:hint="eastAsia" w:ascii="宋体" w:hAnsi="宋体" w:eastAsia="宋体" w:cs="宋体"/>
          <w:color w:val="auto"/>
          <w:sz w:val="24"/>
          <w:szCs w:val="24"/>
          <w:highlight w:val="none"/>
          <w:lang w:val="en-US" w:eastAsia="zh-CN"/>
        </w:rPr>
        <w:t>完成</w:t>
      </w:r>
      <w:r>
        <w:rPr>
          <w:rFonts w:hint="eastAsia" w:hAnsi="宋体" w:cs="宋体"/>
          <w:color w:val="auto"/>
          <w:sz w:val="24"/>
          <w:szCs w:val="24"/>
          <w:highlight w:val="none"/>
          <w:lang w:val="en-US" w:eastAsia="zh-CN"/>
        </w:rPr>
        <w:t>清单货物的货到现场，且搭建市区厂能源在线监测系统并将能耗数据上传至东莞市智慧能源平台</w:t>
      </w:r>
      <w:r>
        <w:rPr>
          <w:rFonts w:hint="eastAsia" w:ascii="宋体" w:hAnsi="宋体" w:eastAsia="宋体" w:cs="宋体"/>
          <w:color w:val="auto"/>
          <w:sz w:val="24"/>
          <w:szCs w:val="24"/>
          <w:highlight w:val="none"/>
          <w:lang w:val="en-US" w:eastAsia="zh-CN"/>
        </w:rPr>
        <w:t>。</w:t>
      </w:r>
    </w:p>
    <w:p w14:paraId="3A23AB36">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服务地点</w:t>
      </w:r>
      <w:r>
        <w:rPr>
          <w:rFonts w:hint="eastAsia" w:ascii="宋体" w:hAnsi="宋体" w:eastAsia="宋体" w:cs="宋体"/>
          <w:color w:val="auto"/>
          <w:sz w:val="24"/>
          <w:szCs w:val="24"/>
          <w:highlight w:val="none"/>
          <w:lang w:val="en-US" w:eastAsia="zh-CN"/>
        </w:rPr>
        <w:t>：</w:t>
      </w:r>
      <w:r>
        <w:rPr>
          <w:rFonts w:hint="eastAsia" w:hAnsi="宋体"/>
          <w:sz w:val="24"/>
          <w:szCs w:val="24"/>
          <w:highlight w:val="none"/>
          <w:lang w:val="en-US" w:eastAsia="zh-CN"/>
        </w:rPr>
        <w:t>市区污水处理厂</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单位负责将货物运输至采购人指定位置。</w:t>
      </w:r>
    </w:p>
    <w:p w14:paraId="1F1F404D">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(3)交货方式与风险承担：在货物移交给采购人并经采购人</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rPr>
        <w:t>验收合格前，货物的毁损、灭失的风险和责任均由</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承担。</w:t>
      </w:r>
    </w:p>
    <w:p w14:paraId="6E30665A">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的货物应当按照</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要求送到指定的地点，由于使用第三方送货服务导致货物未能经过双方共同验收、未送到指定地点仓库的，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有权拒绝收货。</w:t>
      </w:r>
    </w:p>
    <w:p w14:paraId="6DD9A14E">
      <w:pPr>
        <w:keepNext w:val="0"/>
        <w:keepLines w:val="0"/>
        <w:pageBreakBefore w:val="0"/>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(5)</w:t>
      </w: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同意，</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或</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委托的第三方送货服务仅将货物放置在门口/门卫室，而没有送货至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指定的地点的，视为</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rPr>
        <w:t>未履行送货义务，</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有权拒绝接受货物且不予支付货款。上述情况下</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不负保管责任，货物未按照</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要求放置而造成的损毁、灭失风险概由</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承担。</w:t>
      </w:r>
    </w:p>
    <w:p w14:paraId="68C6FA2C">
      <w:pPr>
        <w:pStyle w:val="2"/>
        <w:numPr>
          <w:ilvl w:val="-1"/>
          <w:numId w:val="0"/>
        </w:numPr>
        <w:rPr>
          <w:rFonts w:hint="default" w:eastAsia="楷体_GB2312"/>
          <w:lang w:val="en-US" w:eastAsia="zh-CN"/>
        </w:rPr>
      </w:pPr>
      <w:r>
        <w:rPr>
          <w:rFonts w:hint="eastAsia"/>
          <w:lang w:val="en-US" w:eastAsia="zh-CN"/>
        </w:rPr>
        <w:t xml:space="preserve"> </w:t>
      </w:r>
      <w:r>
        <w:rPr>
          <w:rFonts w:hint="eastAsia" w:ascii="宋体" w:hAnsi="宋体" w:eastAsia="宋体" w:cs="宋体"/>
          <w:color w:val="auto"/>
          <w:sz w:val="24"/>
          <w:highlight w:val="none"/>
          <w:lang w:val="en-US" w:eastAsia="zh-CN"/>
        </w:rPr>
        <w:t xml:space="preserve">   （6）</w:t>
      </w:r>
      <w:r>
        <w:rPr>
          <w:rFonts w:hint="eastAsia" w:ascii="宋体" w:hAnsi="宋体" w:eastAsia="宋体" w:cs="宋体"/>
          <w:color w:val="auto"/>
          <w:sz w:val="24"/>
          <w:szCs w:val="24"/>
          <w:highlight w:val="none"/>
          <w:lang w:val="en-US" w:eastAsia="zh-CN"/>
        </w:rPr>
        <w:t>服务单位应对市区厂能源在线监测平台数据及上传至市平台数据的真实性、准确性、可靠性负责。</w:t>
      </w:r>
    </w:p>
    <w:p w14:paraId="5FBF8A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4</w:t>
      </w:r>
      <w:r>
        <w:rPr>
          <w:rFonts w:hint="eastAsia" w:hAnsi="宋体" w:cs="宋体"/>
          <w:b/>
          <w:bCs w:val="0"/>
          <w:color w:val="auto"/>
          <w:sz w:val="24"/>
          <w:szCs w:val="24"/>
          <w:highlight w:val="none"/>
          <w:lang w:val="en-US" w:eastAsia="zh-CN"/>
        </w:rPr>
        <w:t>、技术、</w:t>
      </w:r>
      <w:r>
        <w:rPr>
          <w:rFonts w:hint="eastAsia" w:asciiTheme="minorEastAsia" w:hAnsiTheme="minorEastAsia"/>
          <w:b/>
          <w:sz w:val="24"/>
          <w:szCs w:val="24"/>
          <w:lang w:val="en-US" w:eastAsia="zh-CN"/>
        </w:rPr>
        <w:t>安装界限及安全要求</w:t>
      </w:r>
    </w:p>
    <w:p w14:paraId="0FD150AF">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lang w:val="en-US" w:eastAsia="zh-CN"/>
        </w:rPr>
        <w:t>货物质量要求及安装界限</w:t>
      </w:r>
      <w:r>
        <w:rPr>
          <w:rFonts w:hint="eastAsia" w:hAnsi="宋体" w:cs="宋体"/>
          <w:b w:val="0"/>
          <w:bCs/>
          <w:color w:val="auto"/>
          <w:sz w:val="24"/>
          <w:szCs w:val="24"/>
          <w:highlight w:val="none"/>
          <w:lang w:val="en-US" w:eastAsia="zh-CN"/>
        </w:rPr>
        <w:t>：</w:t>
      </w:r>
    </w:p>
    <w:p w14:paraId="2AB352E4">
      <w:pPr>
        <w:keepNext w:val="0"/>
        <w:keepLines w:val="0"/>
        <w:pageBreakBefore w:val="0"/>
        <w:kinsoku/>
        <w:wordWrap/>
        <w:overflowPunct/>
        <w:topLinePunct w:val="0"/>
        <w:bidi w:val="0"/>
        <w:adjustRightInd/>
        <w:snapToGrid/>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服务单位为搭建能源在线监测平台及对接市平台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w:t>
      </w:r>
      <w:r>
        <w:rPr>
          <w:rFonts w:hint="eastAsia" w:ascii="宋体" w:hAnsi="宋体" w:eastAsia="宋体" w:cs="宋体"/>
          <w:color w:val="auto"/>
          <w:sz w:val="24"/>
          <w:szCs w:val="24"/>
          <w:highlight w:val="none"/>
          <w:lang w:val="en-US" w:eastAsia="zh-CN"/>
        </w:rPr>
        <w:t>货</w:t>
      </w:r>
      <w:r>
        <w:rPr>
          <w:rFonts w:hint="eastAsia" w:hAnsi="宋体" w:cs="宋体"/>
          <w:color w:val="auto"/>
          <w:sz w:val="24"/>
          <w:szCs w:val="24"/>
          <w:highlight w:val="none"/>
          <w:lang w:val="en-US" w:eastAsia="zh-CN"/>
        </w:rPr>
        <w:t>的货物</w:t>
      </w:r>
      <w:r>
        <w:rPr>
          <w:rFonts w:hint="eastAsia" w:ascii="宋体" w:hAnsi="宋体" w:eastAsia="宋体" w:cs="宋体"/>
          <w:color w:val="auto"/>
          <w:sz w:val="24"/>
          <w:szCs w:val="24"/>
          <w:highlight w:val="none"/>
          <w:lang w:val="en-US" w:eastAsia="zh-CN"/>
        </w:rPr>
        <w:t>必须与现场</w:t>
      </w:r>
      <w:r>
        <w:rPr>
          <w:rFonts w:hint="eastAsia" w:hAnsi="宋体"/>
          <w:sz w:val="24"/>
          <w:lang w:val="en-US" w:eastAsia="zh-CN"/>
        </w:rPr>
        <w:t>设备</w:t>
      </w:r>
      <w:r>
        <w:rPr>
          <w:rFonts w:hint="eastAsia" w:hAnsi="宋体" w:cs="宋体"/>
          <w:color w:val="auto"/>
          <w:sz w:val="24"/>
          <w:szCs w:val="24"/>
          <w:highlight w:val="none"/>
          <w:lang w:val="en-US" w:eastAsia="zh-CN"/>
        </w:rPr>
        <w:t>适</w:t>
      </w:r>
      <w:r>
        <w:rPr>
          <w:rFonts w:hint="eastAsia" w:ascii="宋体" w:hAnsi="宋体" w:eastAsia="宋体" w:cs="宋体"/>
          <w:color w:val="auto"/>
          <w:sz w:val="24"/>
          <w:szCs w:val="24"/>
          <w:highlight w:val="none"/>
          <w:lang w:val="en-US" w:eastAsia="zh-CN"/>
        </w:rPr>
        <w:t>用，</w:t>
      </w:r>
      <w:r>
        <w:rPr>
          <w:rFonts w:hint="eastAsia" w:hAnsi="宋体" w:cs="宋体"/>
          <w:color w:val="auto"/>
          <w:sz w:val="24"/>
          <w:szCs w:val="24"/>
          <w:highlight w:val="none"/>
          <w:lang w:val="en-US" w:eastAsia="zh-CN"/>
        </w:rPr>
        <w:t>具备或高于原设备配件的功能要求，无瑕疵和缺陷，</w:t>
      </w:r>
      <w:r>
        <w:rPr>
          <w:rFonts w:hint="eastAsia" w:ascii="宋体" w:hAnsi="宋体" w:eastAsia="宋体" w:cs="宋体"/>
          <w:color w:val="auto"/>
          <w:sz w:val="24"/>
          <w:szCs w:val="24"/>
          <w:highlight w:val="none"/>
          <w:lang w:val="en-US" w:eastAsia="zh-CN"/>
        </w:rPr>
        <w:t>安装在现有设备即可正常投入使用，不</w:t>
      </w:r>
      <w:r>
        <w:rPr>
          <w:rFonts w:hint="eastAsia" w:hAnsi="宋体" w:cs="宋体"/>
          <w:color w:val="auto"/>
          <w:sz w:val="24"/>
          <w:szCs w:val="24"/>
          <w:highlight w:val="none"/>
          <w:lang w:val="en-US" w:eastAsia="zh-CN"/>
        </w:rPr>
        <w:t>能</w:t>
      </w:r>
      <w:r>
        <w:rPr>
          <w:rFonts w:hint="eastAsia" w:ascii="宋体" w:hAnsi="宋体" w:eastAsia="宋体" w:cs="宋体"/>
          <w:color w:val="auto"/>
          <w:sz w:val="24"/>
          <w:szCs w:val="24"/>
          <w:highlight w:val="none"/>
          <w:lang w:val="en-US" w:eastAsia="zh-CN"/>
        </w:rPr>
        <w:t>对现有设备进行任何改动。</w:t>
      </w:r>
    </w:p>
    <w:p w14:paraId="2F3BC9AE">
      <w:pPr>
        <w:keepNext w:val="0"/>
        <w:keepLines w:val="0"/>
        <w:pageBreakBefore w:val="0"/>
        <w:kinsoku/>
        <w:wordWrap/>
        <w:overflowPunct/>
        <w:topLinePunct w:val="0"/>
        <w:bidi w:val="0"/>
        <w:adjustRightInd/>
        <w:snapToGrid/>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服务单位为搭建能源在线监测平台及对接市平台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所供</w:t>
      </w:r>
      <w:r>
        <w:rPr>
          <w:rFonts w:hint="eastAsia" w:hAnsi="宋体" w:cs="宋体"/>
          <w:color w:val="auto"/>
          <w:sz w:val="24"/>
          <w:szCs w:val="24"/>
          <w:highlight w:val="none"/>
          <w:lang w:val="en-US" w:eastAsia="zh-CN"/>
        </w:rPr>
        <w:t>货的</w:t>
      </w:r>
      <w:r>
        <w:rPr>
          <w:rFonts w:hint="eastAsia" w:ascii="宋体" w:hAnsi="宋体" w:eastAsia="宋体" w:cs="宋体"/>
          <w:color w:val="auto"/>
          <w:sz w:val="24"/>
          <w:szCs w:val="24"/>
          <w:highlight w:val="none"/>
          <w:lang w:val="en-US" w:eastAsia="zh-CN"/>
        </w:rPr>
        <w:t>货物必须是全新的，货物运输到达</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场地时的包装必须是完整的，由</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签收后方可拆包安装。</w:t>
      </w:r>
    </w:p>
    <w:p w14:paraId="7184EF30">
      <w:pPr>
        <w:keepNext w:val="0"/>
        <w:keepLines w:val="0"/>
        <w:pageBreakBefore w:val="0"/>
        <w:kinsoku/>
        <w:wordWrap/>
        <w:overflowPunct/>
        <w:topLinePunct w:val="0"/>
        <w:bidi w:val="0"/>
        <w:adjustRightInd/>
        <w:snapToGrid/>
        <w:spacing w:line="360" w:lineRule="auto"/>
        <w:ind w:firstLine="530" w:firstLineChars="221"/>
        <w:rPr>
          <w:rFonts w:hint="eastAsia"/>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lang w:val="en-US" w:eastAsia="zh-CN"/>
        </w:rPr>
        <w:t>服务单位</w:t>
      </w:r>
      <w:r>
        <w:rPr>
          <w:rFonts w:hint="eastAsia" w:hAnsi="宋体" w:cs="宋体"/>
          <w:color w:val="auto"/>
          <w:sz w:val="24"/>
          <w:szCs w:val="24"/>
          <w:highlight w:val="none"/>
          <w:lang w:val="en-US" w:eastAsia="zh-CN"/>
        </w:rPr>
        <w:t>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需，所供货的</w:t>
      </w:r>
      <w:r>
        <w:rPr>
          <w:rFonts w:hint="eastAsia"/>
          <w:lang w:val="en-US" w:eastAsia="zh-CN"/>
        </w:rPr>
        <w:t>货物须满足国家及行业环保和质量标准；</w:t>
      </w:r>
      <w:r>
        <w:rPr>
          <w:rFonts w:hint="eastAsia" w:ascii="宋体" w:hAnsi="宋体" w:eastAsia="宋体" w:cs="宋体"/>
          <w:color w:val="auto"/>
          <w:sz w:val="24"/>
          <w:szCs w:val="24"/>
          <w:highlight w:val="none"/>
          <w:lang w:val="en-US" w:eastAsia="zh-CN"/>
        </w:rPr>
        <w:t>必须有质量检验合格证、装箱单、出厂检验报告（或测试性能、测试报告）及</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要求的其他合格证明文件等相关资料。</w:t>
      </w:r>
    </w:p>
    <w:p w14:paraId="1E26F11E">
      <w:pPr>
        <w:keepNext w:val="0"/>
        <w:keepLines w:val="0"/>
        <w:pageBreakBefore w:val="0"/>
        <w:kinsoku/>
        <w:wordWrap/>
        <w:overflowPunct/>
        <w:topLinePunct w:val="0"/>
        <w:bidi w:val="0"/>
        <w:adjustRightInd/>
        <w:snapToGrid/>
        <w:spacing w:line="360" w:lineRule="auto"/>
        <w:ind w:firstLine="530" w:firstLineChars="221"/>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服务单位负责为搭建能源在线监测平台及对接市平台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需，所供货的货物的供货及安装、调试工作</w:t>
      </w:r>
      <w:r>
        <w:rPr>
          <w:rFonts w:hint="eastAsia" w:ascii="宋体" w:hAnsi="宋体" w:eastAsia="宋体" w:cs="宋体"/>
          <w:color w:val="auto"/>
          <w:sz w:val="24"/>
          <w:szCs w:val="24"/>
          <w:highlight w:val="none"/>
          <w:lang w:val="en-US" w:eastAsia="zh-CN"/>
        </w:rPr>
        <w:t>。</w:t>
      </w:r>
    </w:p>
    <w:p w14:paraId="268A6DB2">
      <w:pPr>
        <w:keepNext w:val="0"/>
        <w:keepLines w:val="0"/>
        <w:pageBreakBefore w:val="0"/>
        <w:kinsoku/>
        <w:wordWrap/>
        <w:overflowPunct/>
        <w:topLinePunct w:val="0"/>
        <w:bidi w:val="0"/>
        <w:adjustRightInd/>
        <w:snapToGrid/>
        <w:spacing w:line="360" w:lineRule="auto"/>
        <w:ind w:firstLine="530" w:firstLineChars="221"/>
        <w:rPr>
          <w:rFonts w:hint="eastAsia"/>
          <w:lang w:val="en-US" w:eastAsia="zh-CN"/>
        </w:rPr>
      </w:pPr>
      <w:r>
        <w:rPr>
          <w:rFonts w:hint="eastAsia"/>
          <w:lang w:val="en-US" w:eastAsia="zh-CN"/>
        </w:rPr>
        <w:t>4.2安全要求：</w:t>
      </w:r>
    </w:p>
    <w:p w14:paraId="47A5EF4B">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w:t>
      </w:r>
      <w:r>
        <w:rPr>
          <w:rFonts w:hint="default" w:ascii="Times New Roman" w:hAnsi="Times New Roman" w:cs="Times New Roman"/>
          <w:sz w:val="24"/>
        </w:rPr>
        <w:t>1</w:t>
      </w:r>
      <w:r>
        <w:rPr>
          <w:rFonts w:hint="default" w:ascii="Times New Roman" w:hAnsi="Times New Roman" w:cs="Times New Roman"/>
          <w:sz w:val="24"/>
          <w:lang w:eastAsia="zh-CN"/>
        </w:rPr>
        <w:t>）</w:t>
      </w:r>
      <w:r>
        <w:rPr>
          <w:rFonts w:hint="eastAsia" w:ascii="Times New Roman" w:cs="Times New Roman"/>
          <w:sz w:val="24"/>
          <w:lang w:eastAsia="zh-CN"/>
        </w:rPr>
        <w:t>服务单位</w:t>
      </w:r>
      <w:r>
        <w:rPr>
          <w:rFonts w:hint="default" w:ascii="Times New Roman" w:hAnsi="Times New Roman" w:cs="Times New Roman"/>
          <w:sz w:val="24"/>
        </w:rPr>
        <w:t>在施工前需对施工人员做好施工安全培训、教育，施工期间严格执行有限空间作业、特种设备操作、用电安全等相关规范，并无条件接受</w:t>
      </w:r>
      <w:r>
        <w:rPr>
          <w:rFonts w:hint="eastAsia" w:ascii="Times New Roman" w:cs="Times New Roman"/>
          <w:sz w:val="24"/>
          <w:lang w:eastAsia="zh-CN"/>
        </w:rPr>
        <w:t>采购人</w:t>
      </w:r>
      <w:r>
        <w:rPr>
          <w:rFonts w:hint="default" w:ascii="Times New Roman" w:hAnsi="Times New Roman" w:cs="Times New Roman"/>
          <w:sz w:val="24"/>
        </w:rPr>
        <w:t>监督。</w:t>
      </w:r>
    </w:p>
    <w:p w14:paraId="02F0C469">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2</w:t>
      </w:r>
      <w:r>
        <w:rPr>
          <w:rFonts w:hint="default" w:ascii="Times New Roman" w:hAnsi="Times New Roman" w:cs="Times New Roman"/>
          <w:sz w:val="24"/>
          <w:lang w:eastAsia="zh-CN"/>
        </w:rPr>
        <w:t>）</w:t>
      </w:r>
      <w:r>
        <w:rPr>
          <w:rFonts w:hint="eastAsia" w:ascii="Times New Roman" w:cs="Times New Roman"/>
          <w:sz w:val="24"/>
          <w:lang w:eastAsia="zh-CN"/>
        </w:rPr>
        <w:t>服务单位</w:t>
      </w:r>
      <w:r>
        <w:rPr>
          <w:rFonts w:hint="default" w:ascii="Times New Roman" w:hAnsi="Times New Roman" w:cs="Times New Roman"/>
          <w:sz w:val="24"/>
        </w:rPr>
        <w:t>应当采取有效的职业卫生防护措施，为施工人员配备必要的防护用品（安全帽、防水手套、安全带、口罩等）。</w:t>
      </w:r>
    </w:p>
    <w:p w14:paraId="0F601766">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3</w:t>
      </w:r>
      <w:r>
        <w:rPr>
          <w:rFonts w:hint="default" w:ascii="Times New Roman" w:hAnsi="Times New Roman" w:cs="Times New Roman"/>
          <w:sz w:val="24"/>
          <w:lang w:eastAsia="zh-CN"/>
        </w:rPr>
        <w:t>）</w:t>
      </w:r>
      <w:r>
        <w:rPr>
          <w:rFonts w:hint="default" w:ascii="Times New Roman" w:hAnsi="Times New Roman" w:cs="Times New Roman"/>
          <w:sz w:val="24"/>
        </w:rPr>
        <w:t>施工人员需服从</w:t>
      </w:r>
      <w:r>
        <w:rPr>
          <w:rFonts w:hint="eastAsia" w:ascii="Times New Roman" w:cs="Times New Roman"/>
          <w:sz w:val="24"/>
          <w:lang w:eastAsia="zh-CN"/>
        </w:rPr>
        <w:t>采购人</w:t>
      </w:r>
      <w:r>
        <w:rPr>
          <w:rFonts w:hint="default" w:ascii="Times New Roman" w:hAnsi="Times New Roman" w:cs="Times New Roman"/>
          <w:sz w:val="24"/>
        </w:rPr>
        <w:t>管理，未经允许不能进入不相关的生产作业区。</w:t>
      </w:r>
    </w:p>
    <w:p w14:paraId="03B3FAB2">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4</w:t>
      </w:r>
      <w:r>
        <w:rPr>
          <w:rFonts w:hint="default" w:ascii="Times New Roman" w:hAnsi="Times New Roman" w:cs="Times New Roman"/>
          <w:sz w:val="24"/>
          <w:lang w:eastAsia="zh-CN"/>
        </w:rPr>
        <w:t>）</w:t>
      </w:r>
      <w:r>
        <w:rPr>
          <w:rFonts w:hint="default" w:ascii="Times New Roman" w:hAnsi="Times New Roman" w:cs="Times New Roman"/>
          <w:kern w:val="0"/>
          <w:sz w:val="24"/>
        </w:rPr>
        <w:t>施工作业期间，施工人员严禁打闹嬉戏、抽烟，严禁酒后工作。</w:t>
      </w:r>
    </w:p>
    <w:p w14:paraId="08BDE7EA">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5</w:t>
      </w:r>
      <w:r>
        <w:rPr>
          <w:rFonts w:hint="default" w:ascii="Times New Roman" w:hAnsi="Times New Roman" w:cs="Times New Roman"/>
          <w:sz w:val="24"/>
          <w:lang w:eastAsia="zh-CN"/>
        </w:rPr>
        <w:t>）</w:t>
      </w:r>
      <w:r>
        <w:rPr>
          <w:rFonts w:hint="default" w:ascii="Times New Roman" w:hAnsi="Times New Roman" w:cs="Times New Roman"/>
          <w:kern w:val="0"/>
          <w:sz w:val="24"/>
        </w:rPr>
        <w:t>施工作业期间，施工人员需穿戴好安全防护用品，如安全帽装等。</w:t>
      </w:r>
    </w:p>
    <w:p w14:paraId="22543BF5">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6</w:t>
      </w:r>
      <w:r>
        <w:rPr>
          <w:rFonts w:hint="default" w:ascii="Times New Roman" w:hAnsi="Times New Roman" w:cs="Times New Roman"/>
          <w:sz w:val="24"/>
          <w:lang w:eastAsia="zh-CN"/>
        </w:rPr>
        <w:t>）</w:t>
      </w:r>
      <w:r>
        <w:rPr>
          <w:rFonts w:hint="eastAsia" w:ascii="Times New Roman" w:cs="Times New Roman"/>
          <w:kern w:val="0"/>
          <w:sz w:val="24"/>
          <w:lang w:eastAsia="zh-CN"/>
        </w:rPr>
        <w:t>采购人</w:t>
      </w:r>
      <w:r>
        <w:rPr>
          <w:rFonts w:hint="default" w:ascii="Times New Roman" w:hAnsi="Times New Roman" w:cs="Times New Roman"/>
          <w:kern w:val="0"/>
          <w:sz w:val="24"/>
        </w:rPr>
        <w:t>有权要求</w:t>
      </w:r>
      <w:r>
        <w:rPr>
          <w:rFonts w:hint="eastAsia" w:ascii="Times New Roman" w:cs="Times New Roman"/>
          <w:kern w:val="0"/>
          <w:sz w:val="24"/>
          <w:lang w:eastAsia="zh-CN"/>
        </w:rPr>
        <w:t>服务单位</w:t>
      </w:r>
      <w:r>
        <w:rPr>
          <w:rFonts w:hint="default" w:ascii="Times New Roman" w:hAnsi="Times New Roman" w:cs="Times New Roman"/>
          <w:kern w:val="0"/>
          <w:sz w:val="24"/>
        </w:rPr>
        <w:t>对不称职人员进行更换，更换时间不超过2个工作日。</w:t>
      </w:r>
    </w:p>
    <w:p w14:paraId="0DDB624F">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7</w:t>
      </w:r>
      <w:r>
        <w:rPr>
          <w:rFonts w:hint="default" w:ascii="Times New Roman" w:hAnsi="Times New Roman" w:cs="Times New Roman"/>
          <w:sz w:val="24"/>
          <w:lang w:eastAsia="zh-CN"/>
        </w:rPr>
        <w:t>）</w:t>
      </w:r>
      <w:r>
        <w:rPr>
          <w:rFonts w:hint="eastAsia" w:ascii="Times New Roman" w:cs="Times New Roman"/>
          <w:kern w:val="0"/>
          <w:sz w:val="24"/>
          <w:lang w:eastAsia="zh-CN"/>
        </w:rPr>
        <w:t>服务单位</w:t>
      </w:r>
      <w:r>
        <w:rPr>
          <w:rFonts w:hint="default" w:ascii="Times New Roman" w:hAnsi="Times New Roman" w:cs="Times New Roman"/>
          <w:kern w:val="0"/>
          <w:sz w:val="24"/>
        </w:rPr>
        <w:t>须为每位施工人员购买保险。</w:t>
      </w:r>
    </w:p>
    <w:p w14:paraId="6F6B3278">
      <w:pPr>
        <w:keepNext w:val="0"/>
        <w:keepLines w:val="0"/>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default" w:ascii="Times New Roman" w:hAnsi="Times New Roman" w:cs="Times New Roman"/>
          <w:sz w:val="24"/>
          <w:lang w:eastAsia="zh-CN"/>
        </w:rPr>
        <w:t>（</w:t>
      </w:r>
      <w:r>
        <w:rPr>
          <w:rFonts w:hint="default" w:ascii="Times New Roman" w:hAnsi="Times New Roman" w:cs="Times New Roman"/>
          <w:sz w:val="24"/>
        </w:rPr>
        <w:t>8</w:t>
      </w:r>
      <w:r>
        <w:rPr>
          <w:rFonts w:hint="default" w:ascii="Times New Roman" w:hAnsi="Times New Roman" w:cs="Times New Roman"/>
          <w:sz w:val="24"/>
          <w:lang w:eastAsia="zh-CN"/>
        </w:rPr>
        <w:t>）</w:t>
      </w:r>
      <w:r>
        <w:rPr>
          <w:rFonts w:hint="default" w:ascii="Times New Roman" w:hAnsi="Times New Roman" w:cs="Times New Roman"/>
          <w:sz w:val="24"/>
        </w:rPr>
        <w:t>施工过程中出现的安全事故由</w:t>
      </w:r>
      <w:r>
        <w:rPr>
          <w:rFonts w:hint="eastAsia" w:ascii="Times New Roman" w:cs="Times New Roman"/>
          <w:sz w:val="24"/>
          <w:lang w:eastAsia="zh-CN"/>
        </w:rPr>
        <w:t>服务单位</w:t>
      </w:r>
      <w:r>
        <w:rPr>
          <w:rFonts w:hint="default" w:ascii="Times New Roman" w:hAnsi="Times New Roman" w:cs="Times New Roman"/>
          <w:sz w:val="24"/>
        </w:rPr>
        <w:t>自行承担</w:t>
      </w:r>
      <w:r>
        <w:rPr>
          <w:rFonts w:hint="eastAsia" w:ascii="Times New Roman" w:cs="Times New Roman"/>
          <w:sz w:val="24"/>
          <w:lang w:eastAsia="zh-CN"/>
        </w:rPr>
        <w:t>。</w:t>
      </w:r>
    </w:p>
    <w:p w14:paraId="15B18C9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lang w:val="en-US" w:eastAsia="zh-CN"/>
        </w:rPr>
        <w:t>验收要求</w:t>
      </w:r>
    </w:p>
    <w:p w14:paraId="69650825">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(1)验收：验收分</w:t>
      </w:r>
      <w:r>
        <w:rPr>
          <w:rFonts w:hint="eastAsia" w:hAnsi="宋体" w:cs="宋体"/>
          <w:color w:val="auto"/>
          <w:sz w:val="24"/>
          <w:szCs w:val="24"/>
          <w:highlight w:val="none"/>
          <w:lang w:val="en-US" w:eastAsia="zh-CN"/>
        </w:rPr>
        <w:t>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w:t>
      </w:r>
      <w:r>
        <w:rPr>
          <w:rFonts w:hint="eastAsia" w:ascii="宋体" w:hAnsi="宋体" w:eastAsia="宋体" w:cs="宋体"/>
          <w:color w:val="auto"/>
          <w:sz w:val="24"/>
          <w:szCs w:val="24"/>
          <w:highlight w:val="none"/>
          <w:lang w:val="en-US" w:eastAsia="zh-CN"/>
        </w:rPr>
        <w:t>货</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货物</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到现场初步验收和</w:t>
      </w:r>
      <w:r>
        <w:rPr>
          <w:rFonts w:hint="eastAsia" w:hAnsi="宋体" w:cs="宋体"/>
          <w:color w:val="auto"/>
          <w:sz w:val="24"/>
          <w:szCs w:val="24"/>
          <w:highlight w:val="none"/>
          <w:lang w:val="en-US" w:eastAsia="zh-CN"/>
        </w:rPr>
        <w:t>完成搭建市区厂丙级能源在线监测平台及对接市平台</w:t>
      </w:r>
      <w:r>
        <w:rPr>
          <w:rFonts w:hint="eastAsia" w:ascii="宋体" w:hAnsi="宋体" w:eastAsia="宋体" w:cs="宋体"/>
          <w:color w:val="auto"/>
          <w:sz w:val="24"/>
          <w:szCs w:val="24"/>
          <w:highlight w:val="none"/>
        </w:rPr>
        <w:t>后的最终验收。</w:t>
      </w:r>
    </w:p>
    <w:p w14:paraId="7750F848">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①初步验收：货物运抵交货地点后 3 日内，采购人（含采购人委托的第三方）、</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rPr>
        <w:t>代表共同验货。采购人按照合同及采购文件、国家相关法律法规以及规范的要求等相关的规定，对货物的品种、品牌、产地、型号规格、数量、外观质量、资料等进行清点和全面的检验，并作详细的记录。</w:t>
      </w:r>
    </w:p>
    <w:p w14:paraId="3BD0E96E">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初步验收如发现货物与合同不符，或货物短缺、质次、损坏等问题，应作详细记录，采购人可拒绝收货，或由</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在采购人规定的时间内立即、无条件为采购人调换或补齐，调换或补齐后的货物，采购人有权按照本条有关验收的规定进行验收，由此产生的制造、修理和运费及保险费等费用均应由</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负担，与采购人无关。</w:t>
      </w:r>
    </w:p>
    <w:p w14:paraId="19349003">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初步验收合格后，采购人出具相关签收手续</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并由甲乙双方共同书面确认初步验收结果</w:t>
      </w:r>
      <w:r>
        <w:rPr>
          <w:rFonts w:hint="eastAsia" w:ascii="宋体" w:hAnsi="宋体" w:eastAsia="宋体" w:cs="宋体"/>
          <w:color w:val="auto"/>
          <w:sz w:val="24"/>
          <w:szCs w:val="24"/>
          <w:highlight w:val="none"/>
        </w:rPr>
        <w:t>。</w:t>
      </w:r>
    </w:p>
    <w:p w14:paraId="7D240D98">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②最终验收：所供货物完成安装调试、</w:t>
      </w:r>
      <w:r>
        <w:rPr>
          <w:rFonts w:hint="eastAsia" w:hAnsi="宋体" w:cs="宋体"/>
          <w:color w:val="auto"/>
          <w:sz w:val="24"/>
          <w:szCs w:val="24"/>
          <w:highlight w:val="none"/>
          <w:lang w:val="en-US" w:eastAsia="zh-CN"/>
        </w:rPr>
        <w:t>建设好市区厂的丙级能源在线监测系统且市区厂能源数据</w:t>
      </w:r>
      <w:r>
        <w:rPr>
          <w:rFonts w:hint="eastAsia" w:ascii="宋体" w:hAnsi="宋体" w:eastAsia="宋体" w:cs="宋体"/>
          <w:color w:val="auto"/>
          <w:sz w:val="24"/>
          <w:szCs w:val="24"/>
          <w:highlight w:val="none"/>
        </w:rPr>
        <w:t>稳定</w:t>
      </w:r>
      <w:r>
        <w:rPr>
          <w:rFonts w:hint="eastAsia" w:hAnsi="宋体" w:cs="宋体"/>
          <w:color w:val="auto"/>
          <w:sz w:val="24"/>
          <w:szCs w:val="24"/>
          <w:highlight w:val="none"/>
          <w:lang w:val="en-US" w:eastAsia="zh-CN"/>
        </w:rPr>
        <w:t>上传市平台</w:t>
      </w:r>
      <w:r>
        <w:rPr>
          <w:rFonts w:hint="eastAsia" w:ascii="宋体" w:hAnsi="宋体" w:eastAsia="宋体" w:cs="宋体"/>
          <w:color w:val="auto"/>
          <w:sz w:val="24"/>
          <w:szCs w:val="24"/>
          <w:highlight w:val="none"/>
        </w:rPr>
        <w:t>后，采购人、</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货物安装调试的测试结果</w:t>
      </w:r>
      <w:r>
        <w:rPr>
          <w:rFonts w:hint="eastAsia" w:ascii="宋体" w:hAnsi="宋体" w:eastAsia="宋体" w:cs="宋体"/>
          <w:color w:val="auto"/>
          <w:sz w:val="24"/>
          <w:szCs w:val="24"/>
          <w:highlight w:val="none"/>
        </w:rPr>
        <w:t>进行检测，并做好详细的检测记录。检测结果应符合采购文件、国家相关法律法规以及规范的要求等相关的规定，如</w:t>
      </w:r>
      <w:r>
        <w:rPr>
          <w:rFonts w:hint="eastAsia" w:ascii="宋体" w:hAnsi="宋体" w:eastAsia="宋体" w:cs="宋体"/>
          <w:color w:val="auto"/>
          <w:sz w:val="24"/>
          <w:szCs w:val="24"/>
          <w:highlight w:val="none"/>
          <w:lang w:val="en-US" w:eastAsia="zh-CN"/>
        </w:rPr>
        <w:t>项目质量达不到厂区</w:t>
      </w:r>
      <w:r>
        <w:rPr>
          <w:rFonts w:hint="eastAsia" w:ascii="宋体" w:hAnsi="宋体" w:eastAsia="宋体" w:cs="宋体"/>
          <w:color w:val="auto"/>
          <w:sz w:val="24"/>
          <w:szCs w:val="24"/>
          <w:highlight w:val="none"/>
        </w:rPr>
        <w:t>运营要求，</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需在采购人规定的时间内立即、无条件为采购人</w:t>
      </w:r>
      <w:r>
        <w:rPr>
          <w:rFonts w:hint="eastAsia" w:ascii="宋体" w:hAnsi="宋体" w:eastAsia="宋体" w:cs="宋体"/>
          <w:color w:val="auto"/>
          <w:sz w:val="24"/>
          <w:szCs w:val="24"/>
          <w:highlight w:val="none"/>
          <w:lang w:val="en-US" w:eastAsia="zh-CN"/>
        </w:rPr>
        <w:t>整改</w:t>
      </w:r>
      <w:r>
        <w:rPr>
          <w:rFonts w:hint="eastAsia" w:ascii="宋体" w:hAnsi="宋体" w:eastAsia="宋体" w:cs="宋体"/>
          <w:color w:val="auto"/>
          <w:sz w:val="24"/>
          <w:szCs w:val="24"/>
          <w:highlight w:val="none"/>
        </w:rPr>
        <w:t>，直至满足</w:t>
      </w:r>
      <w:r>
        <w:rPr>
          <w:rFonts w:hint="eastAsia" w:ascii="宋体" w:hAnsi="宋体" w:eastAsia="宋体" w:cs="宋体"/>
          <w:color w:val="auto"/>
          <w:sz w:val="24"/>
          <w:szCs w:val="24"/>
          <w:highlight w:val="none"/>
          <w:lang w:val="en-US" w:eastAsia="zh-CN"/>
        </w:rPr>
        <w:t>厂区</w:t>
      </w:r>
      <w:r>
        <w:rPr>
          <w:rFonts w:hint="eastAsia" w:ascii="宋体" w:hAnsi="宋体" w:eastAsia="宋体" w:cs="宋体"/>
          <w:color w:val="auto"/>
          <w:sz w:val="24"/>
          <w:szCs w:val="24"/>
          <w:highlight w:val="none"/>
        </w:rPr>
        <w:t>的运营要求，由此产生的制造、运费、安装及保险费等费用均应由</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负担，与采购人无关。</w:t>
      </w:r>
    </w:p>
    <w:p w14:paraId="55C43776">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经最终验收合格，采购人向</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出具书面的验收合格报告，采购人、</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共同签字确认。</w:t>
      </w:r>
    </w:p>
    <w:p w14:paraId="364F62BB">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由于非采购人原因而引起</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货物的修理或更换的时间，以不影响生产为原则，否则将视为逾期交货。</w:t>
      </w:r>
    </w:p>
    <w:p w14:paraId="13E25567">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(3)采购人根据本条约定对货物所做出的验收，仅作为起算付款及质保期之用，不视为双方对于货物质量的最终认定。项目经验收合格后，</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仍应在质保期内对产品质量承担保证责任。</w:t>
      </w:r>
    </w:p>
    <w:p w14:paraId="74BABE0F">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货物在全部经</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验收合格前，其损耗、毁损、灭失等风险及责任由</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承担，如因发生前述情形，导致</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所供应的货物不能通过采购人验收的，</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应按采购人要求予以更换或退货。</w:t>
      </w:r>
    </w:p>
    <w:p w14:paraId="2113447F">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rPr>
      </w:pPr>
      <w:r>
        <w:rPr>
          <w:rFonts w:hint="eastAsia" w:ascii="宋体" w:hAnsi="宋体" w:eastAsia="宋体" w:cs="宋体"/>
          <w:color w:val="auto"/>
          <w:sz w:val="24"/>
          <w:szCs w:val="24"/>
          <w:highlight w:val="none"/>
          <w:lang w:val="en-US" w:eastAsia="zh-CN"/>
        </w:rPr>
        <w:t>(5)验收过程中，如对货物验收不能取得一致意见时，一方可委托交付地有资质权威的第三方检验机构合进行检验。检验结果具有约束力，检验费用由责任方负担。</w:t>
      </w:r>
    </w:p>
    <w:p w14:paraId="7C377B3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价款要求</w:t>
      </w:r>
    </w:p>
    <w:p w14:paraId="1B077553">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本项目总费用含完成本次供货的全部费用，包含但不限于</w:t>
      </w:r>
      <w:r>
        <w:rPr>
          <w:rFonts w:hint="eastAsia" w:ascii="宋体" w:hAnsi="宋体" w:eastAsia="宋体" w:cs="宋体"/>
          <w:sz w:val="24"/>
          <w:szCs w:val="24"/>
          <w:highlight w:val="none"/>
          <w:lang w:val="en-US" w:eastAsia="zh-CN"/>
        </w:rPr>
        <w:t>除</w:t>
      </w:r>
      <w:r>
        <w:rPr>
          <w:rFonts w:hint="eastAsia" w:hAnsi="宋体" w:cs="宋体"/>
          <w:color w:val="auto"/>
          <w:sz w:val="24"/>
          <w:szCs w:val="24"/>
          <w:highlight w:val="none"/>
          <w:lang w:eastAsia="zh-CN"/>
        </w:rPr>
        <w:t>服务单位</w:t>
      </w:r>
      <w:r>
        <w:rPr>
          <w:rFonts w:hint="eastAsia" w:ascii="宋体" w:hAnsi="宋体" w:eastAsia="宋体" w:cs="宋体"/>
          <w:sz w:val="24"/>
          <w:szCs w:val="24"/>
          <w:highlight w:val="none"/>
          <w:lang w:val="en-US" w:eastAsia="zh-CN"/>
        </w:rPr>
        <w:t>销项税额以外的税</w:t>
      </w:r>
      <w:r>
        <w:rPr>
          <w:rFonts w:hint="eastAsia" w:hAnsi="宋体" w:cs="宋体"/>
          <w:sz w:val="24"/>
          <w:szCs w:val="24"/>
          <w:highlight w:val="none"/>
          <w:lang w:val="en-US" w:eastAsia="zh-CN"/>
        </w:rPr>
        <w:t>费</w:t>
      </w:r>
      <w:r>
        <w:rPr>
          <w:rFonts w:hint="eastAsia" w:ascii="宋体" w:hAnsi="宋体" w:eastAsia="宋体" w:cs="宋体"/>
          <w:sz w:val="24"/>
          <w:szCs w:val="24"/>
          <w:highlight w:val="none"/>
          <w:lang w:val="en-US" w:eastAsia="zh-CN"/>
        </w:rPr>
        <w:t>及完成该项目所需要的</w:t>
      </w:r>
      <w:r>
        <w:rPr>
          <w:rFonts w:hint="eastAsia" w:hAnsi="宋体" w:cs="宋体"/>
          <w:sz w:val="24"/>
          <w:szCs w:val="24"/>
          <w:highlight w:val="none"/>
          <w:lang w:val="en-US" w:eastAsia="zh-CN"/>
        </w:rPr>
        <w:t>人</w:t>
      </w:r>
      <w:r>
        <w:rPr>
          <w:rFonts w:hint="eastAsia" w:ascii="宋体" w:hAnsi="宋体" w:eastAsia="宋体" w:cs="宋体"/>
          <w:sz w:val="24"/>
          <w:szCs w:val="24"/>
          <w:highlight w:val="none"/>
          <w:lang w:val="en-US" w:eastAsia="zh-CN"/>
        </w:rPr>
        <w:t>工</w:t>
      </w:r>
      <w:r>
        <w:rPr>
          <w:rFonts w:hint="eastAsia" w:hAnsi="宋体" w:cs="宋体"/>
          <w:sz w:val="24"/>
          <w:szCs w:val="24"/>
          <w:highlight w:val="none"/>
          <w:lang w:val="en-US" w:eastAsia="zh-CN"/>
        </w:rPr>
        <w:t>费</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材</w:t>
      </w:r>
      <w:r>
        <w:rPr>
          <w:rFonts w:hint="eastAsia" w:ascii="宋体" w:hAnsi="宋体" w:eastAsia="宋体" w:cs="宋体"/>
          <w:sz w:val="24"/>
          <w:szCs w:val="24"/>
          <w:highlight w:val="none"/>
          <w:lang w:val="en-US" w:eastAsia="zh-CN"/>
        </w:rPr>
        <w:t>料</w:t>
      </w:r>
      <w:r>
        <w:rPr>
          <w:rFonts w:hint="eastAsia" w:hAnsi="宋体" w:cs="宋体"/>
          <w:sz w:val="24"/>
          <w:szCs w:val="24"/>
          <w:highlight w:val="none"/>
          <w:lang w:val="en-US" w:eastAsia="zh-CN"/>
        </w:rPr>
        <w:t>费</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运费、</w:t>
      </w:r>
      <w:r>
        <w:rPr>
          <w:rFonts w:hint="eastAsia" w:hAnsi="宋体" w:cs="宋体"/>
          <w:sz w:val="24"/>
          <w:szCs w:val="24"/>
          <w:highlight w:val="none"/>
          <w:lang w:val="en-US" w:eastAsia="zh-CN"/>
        </w:rPr>
        <w:t>安全措施费、</w:t>
      </w:r>
      <w:r>
        <w:rPr>
          <w:rFonts w:hint="eastAsia" w:ascii="宋体" w:hAnsi="宋体" w:eastAsia="宋体" w:cs="宋体"/>
          <w:sz w:val="24"/>
          <w:szCs w:val="24"/>
          <w:highlight w:val="none"/>
          <w:lang w:val="en-US" w:eastAsia="zh-CN"/>
        </w:rPr>
        <w:t>文明</w:t>
      </w:r>
      <w:r>
        <w:rPr>
          <w:rFonts w:hint="eastAsia" w:hAnsi="宋体" w:cs="宋体"/>
          <w:sz w:val="24"/>
          <w:szCs w:val="24"/>
          <w:highlight w:val="none"/>
          <w:lang w:val="en-US" w:eastAsia="zh-CN"/>
        </w:rPr>
        <w:t>供货费、调试费等</w:t>
      </w:r>
      <w:r>
        <w:rPr>
          <w:rFonts w:hint="eastAsia" w:ascii="宋体" w:hAnsi="宋体" w:eastAsia="宋体" w:cs="宋体"/>
          <w:sz w:val="24"/>
          <w:szCs w:val="24"/>
          <w:highlight w:val="none"/>
          <w:lang w:val="en-US" w:eastAsia="zh-CN"/>
        </w:rPr>
        <w:t>与本项目相关的费用。</w:t>
      </w:r>
      <w:r>
        <w:rPr>
          <w:rFonts w:hint="eastAsia" w:ascii="宋体" w:hAnsi="宋体" w:eastAsia="宋体" w:cs="宋体"/>
          <w:color w:val="auto"/>
          <w:sz w:val="24"/>
          <w:szCs w:val="24"/>
          <w:highlight w:val="none"/>
          <w:lang w:val="en-US" w:eastAsia="zh-CN"/>
        </w:rPr>
        <w:t>本项目</w:t>
      </w:r>
      <w:r>
        <w:rPr>
          <w:rFonts w:hint="eastAsia" w:hAnsi="宋体" w:cs="宋体"/>
          <w:color w:val="auto"/>
          <w:sz w:val="24"/>
          <w:szCs w:val="24"/>
          <w:highlight w:val="none"/>
          <w:lang w:val="en-US" w:eastAsia="zh-CN"/>
        </w:rPr>
        <w:t>在</w:t>
      </w:r>
      <w:r>
        <w:rPr>
          <w:rFonts w:hint="eastAsia" w:ascii="宋体" w:hAnsi="宋体" w:eastAsia="宋体" w:cs="宋体"/>
          <w:sz w:val="24"/>
          <w:szCs w:val="24"/>
          <w:highlight w:val="none"/>
        </w:rPr>
        <w:t>履行过程中，</w:t>
      </w:r>
      <w:r>
        <w:rPr>
          <w:rFonts w:hint="eastAsia" w:ascii="宋体" w:hAnsi="宋体" w:eastAsia="宋体" w:cs="宋体"/>
          <w:color w:val="auto"/>
          <w:sz w:val="24"/>
          <w:szCs w:val="24"/>
          <w:highlight w:val="none"/>
          <w:lang w:val="en-US" w:eastAsia="zh-CN"/>
        </w:rPr>
        <w:t>总费用</w:t>
      </w:r>
      <w:r>
        <w:rPr>
          <w:rFonts w:hint="eastAsia" w:ascii="宋体" w:hAnsi="宋体" w:eastAsia="宋体" w:cs="宋体"/>
          <w:sz w:val="24"/>
          <w:szCs w:val="24"/>
          <w:highlight w:val="none"/>
        </w:rPr>
        <w:t>（即销售额，不含</w:t>
      </w:r>
      <w:r>
        <w:rPr>
          <w:rFonts w:hint="eastAsia" w:hAnsi="宋体" w:cs="宋体"/>
          <w:color w:val="auto"/>
          <w:sz w:val="24"/>
          <w:szCs w:val="24"/>
          <w:highlight w:val="none"/>
          <w:lang w:eastAsia="zh-CN"/>
        </w:rPr>
        <w:t>服务单位</w:t>
      </w:r>
      <w:r>
        <w:rPr>
          <w:rFonts w:hint="eastAsia" w:ascii="宋体" w:hAnsi="宋体" w:eastAsia="宋体" w:cs="宋体"/>
          <w:sz w:val="24"/>
          <w:szCs w:val="24"/>
          <w:highlight w:val="none"/>
        </w:rPr>
        <w:t>销项税额）不随法律法规政策、物价人工、工期调整而进行调整，未经</w:t>
      </w:r>
      <w:r>
        <w:rPr>
          <w:rFonts w:hint="eastAsia" w:ascii="宋体" w:hAnsi="宋体" w:eastAsia="宋体" w:cs="宋体"/>
          <w:color w:val="auto"/>
          <w:sz w:val="24"/>
          <w:szCs w:val="24"/>
          <w:highlight w:val="none"/>
        </w:rPr>
        <w:t>采购人</w:t>
      </w:r>
      <w:r>
        <w:rPr>
          <w:rFonts w:hint="eastAsia" w:ascii="宋体" w:hAnsi="宋体" w:eastAsia="宋体" w:cs="宋体"/>
          <w:sz w:val="24"/>
          <w:szCs w:val="24"/>
          <w:highlight w:val="none"/>
        </w:rPr>
        <w:t>书面确认，</w:t>
      </w:r>
      <w:r>
        <w:rPr>
          <w:rFonts w:hint="eastAsia" w:hAnsi="宋体" w:cs="宋体"/>
          <w:color w:val="auto"/>
          <w:sz w:val="24"/>
          <w:szCs w:val="24"/>
          <w:highlight w:val="none"/>
          <w:lang w:eastAsia="zh-CN"/>
        </w:rPr>
        <w:t>服务单位</w:t>
      </w:r>
      <w:r>
        <w:rPr>
          <w:rFonts w:hint="eastAsia" w:ascii="宋体" w:hAnsi="宋体" w:eastAsia="宋体" w:cs="宋体"/>
          <w:sz w:val="24"/>
          <w:szCs w:val="24"/>
          <w:highlight w:val="none"/>
        </w:rPr>
        <w:t>无权增加任何费用。</w:t>
      </w:r>
    </w:p>
    <w:p w14:paraId="5A1695CB">
      <w:pPr>
        <w:keepNext w:val="0"/>
        <w:keepLines w:val="0"/>
        <w:pageBreakBefore w:val="0"/>
        <w:kinsoku/>
        <w:wordWrap/>
        <w:overflowPunct/>
        <w:topLinePunct w:val="0"/>
        <w:bidi w:val="0"/>
        <w:adjustRightInd/>
        <w:snapToGrid/>
        <w:spacing w:line="360" w:lineRule="auto"/>
        <w:ind w:firstLine="480" w:firstLineChars="200"/>
        <w:textAlignment w:val="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val="en-US" w:eastAsia="zh-CN"/>
        </w:rPr>
        <w:t>采购清单中</w:t>
      </w:r>
      <w:r>
        <w:rPr>
          <w:rFonts w:hint="eastAsia"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货到现场、</w:t>
      </w:r>
      <w:r>
        <w:rPr>
          <w:rFonts w:hint="eastAsia" w:hAnsi="宋体" w:cs="宋体"/>
          <w:color w:val="auto"/>
          <w:sz w:val="24"/>
          <w:szCs w:val="24"/>
          <w:highlight w:val="none"/>
          <w:lang w:val="en-US" w:eastAsia="zh-CN"/>
        </w:rPr>
        <w:t>安装调试，完成建设市区厂丙级能源在线监测系统且将市区厂能源数据稳定上传市平台，并经</w:t>
      </w:r>
      <w:r>
        <w:rPr>
          <w:rFonts w:hint="eastAsia" w:ascii="宋体" w:hAnsi="宋体" w:eastAsia="宋体" w:cs="宋体"/>
          <w:color w:val="auto"/>
          <w:sz w:val="24"/>
          <w:szCs w:val="24"/>
          <w:highlight w:val="none"/>
          <w:lang w:val="en-US" w:eastAsia="zh-CN"/>
        </w:rPr>
        <w:t>采购人最终验收合格后，</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向</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提交请款报告及</w:t>
      </w:r>
      <w:r>
        <w:rPr>
          <w:rFonts w:hint="eastAsia" w:hAnsi="宋体" w:cs="宋体"/>
          <w:color w:val="auto"/>
          <w:sz w:val="24"/>
          <w:szCs w:val="24"/>
          <w:highlight w:val="none"/>
          <w:lang w:val="en-US" w:eastAsia="zh-CN"/>
        </w:rPr>
        <w:t>请款</w:t>
      </w:r>
      <w:r>
        <w:rPr>
          <w:rFonts w:hint="eastAsia" w:ascii="宋体" w:hAnsi="宋体" w:eastAsia="宋体" w:cs="宋体"/>
          <w:color w:val="auto"/>
          <w:sz w:val="24"/>
          <w:szCs w:val="24"/>
          <w:highlight w:val="none"/>
          <w:lang w:val="en-US" w:eastAsia="zh-CN"/>
        </w:rPr>
        <w:t>金额</w:t>
      </w:r>
      <w:r>
        <w:rPr>
          <w:rFonts w:hint="eastAsia" w:hAnsi="宋体" w:cs="宋体"/>
          <w:color w:val="auto"/>
          <w:sz w:val="24"/>
          <w:szCs w:val="24"/>
          <w:highlight w:val="none"/>
          <w:lang w:val="en-US" w:eastAsia="zh-CN"/>
        </w:rPr>
        <w:t>等额</w:t>
      </w:r>
      <w:r>
        <w:rPr>
          <w:rFonts w:hint="eastAsia" w:ascii="宋体" w:hAnsi="宋体" w:eastAsia="宋体" w:cs="宋体"/>
          <w:color w:val="auto"/>
          <w:sz w:val="24"/>
          <w:szCs w:val="24"/>
          <w:highlight w:val="none"/>
          <w:lang w:val="en-US" w:eastAsia="zh-CN"/>
        </w:rPr>
        <w:t>、合法、有效的增值税专用发票</w:t>
      </w:r>
      <w:r>
        <w:rPr>
          <w:rFonts w:hint="eastAsia" w:hAnsi="宋体" w:cs="宋体"/>
          <w:color w:val="auto"/>
          <w:sz w:val="24"/>
          <w:szCs w:val="24"/>
          <w:highlight w:val="none"/>
          <w:lang w:val="en-US" w:eastAsia="zh-CN"/>
        </w:rPr>
        <w:t>等请款资料</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在收到前述材料并确认无误后30日内，</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支付合同</w:t>
      </w:r>
      <w:r>
        <w:rPr>
          <w:rFonts w:hint="eastAsia" w:hAnsi="宋体" w:cs="宋体"/>
          <w:color w:val="auto"/>
          <w:sz w:val="24"/>
          <w:szCs w:val="24"/>
          <w:highlight w:val="none"/>
          <w:lang w:val="en-US" w:eastAsia="zh-CN"/>
        </w:rPr>
        <w:t>价100</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及对应的税额</w:t>
      </w:r>
      <w:r>
        <w:rPr>
          <w:rFonts w:hint="eastAsia" w:ascii="宋体" w:hAnsi="宋体" w:eastAsia="宋体" w:cs="宋体"/>
          <w:color w:val="auto"/>
          <w:sz w:val="24"/>
          <w:szCs w:val="24"/>
          <w:highlight w:val="none"/>
          <w:lang w:val="en-US" w:eastAsia="zh-CN"/>
        </w:rPr>
        <w:t>款项给</w:t>
      </w:r>
      <w:r>
        <w:rPr>
          <w:rFonts w:hint="eastAsia" w:hAnsi="宋体" w:cs="宋体"/>
          <w:color w:val="auto"/>
          <w:sz w:val="24"/>
          <w:szCs w:val="24"/>
          <w:highlight w:val="none"/>
          <w:lang w:val="en-US" w:eastAsia="zh-CN"/>
        </w:rPr>
        <w:t>服务单位。</w:t>
      </w:r>
    </w:p>
    <w:p w14:paraId="1551464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逾期提供请款资料及发票或提交资料不符合采购人要求的，采购人付款时间顺延，并不承担逾期付款违约责任。由于</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提供的发票不符合税法规定，给采购人造成的损失由</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承担赔偿责任。</w:t>
      </w:r>
    </w:p>
    <w:p w14:paraId="17964A0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质保期</w:t>
      </w:r>
      <w:r>
        <w:rPr>
          <w:rFonts w:hint="eastAsia" w:ascii="宋体" w:hAnsi="宋体" w:eastAsia="宋体" w:cs="宋体"/>
          <w:b/>
          <w:color w:val="auto"/>
          <w:sz w:val="24"/>
          <w:szCs w:val="24"/>
          <w:highlight w:val="none"/>
        </w:rPr>
        <w:t>及售后要求</w:t>
      </w:r>
    </w:p>
    <w:p w14:paraId="79F524FB">
      <w:pPr>
        <w:keepNext w:val="0"/>
        <w:keepLines w:val="0"/>
        <w:pageBreakBefore w:val="0"/>
        <w:kinsoku/>
        <w:wordWrap/>
        <w:overflowPunct/>
        <w:topLinePunct w:val="0"/>
        <w:autoSpaceDE/>
        <w:autoSpaceDN/>
        <w:bidi w:val="0"/>
        <w:adjustRightInd/>
        <w:snapToGrid/>
        <w:spacing w:line="360" w:lineRule="auto"/>
        <w:ind w:left="0" w:leftChars="0" w:firstLine="530" w:firstLineChars="22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质保期为</w:t>
      </w:r>
      <w:r>
        <w:rPr>
          <w:rFonts w:hint="eastAsia" w:hAnsi="宋体" w:cs="宋体"/>
          <w:color w:val="auto"/>
          <w:sz w:val="24"/>
          <w:szCs w:val="24"/>
          <w:highlight w:val="none"/>
          <w:lang w:val="en-US" w:eastAsia="zh-CN"/>
        </w:rPr>
        <w:t>12个月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最终验收合格之日起算。质保期内，</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对本项目进行免费保修，免费保修包括但不限于由</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承担完成质保期的工作而产生的运费、购置费、测试费、人工费等各项费用（包括进口关税和增值税等）。</w:t>
      </w:r>
    </w:p>
    <w:p w14:paraId="2C0B7C7F">
      <w:pPr>
        <w:keepNext w:val="0"/>
        <w:keepLines w:val="0"/>
        <w:pageBreakBefore w:val="0"/>
        <w:kinsoku/>
        <w:wordWrap/>
        <w:overflowPunct/>
        <w:topLinePunct w:val="0"/>
        <w:autoSpaceDE/>
        <w:autoSpaceDN/>
        <w:bidi w:val="0"/>
        <w:adjustRightInd/>
        <w:snapToGrid/>
        <w:spacing w:line="360" w:lineRule="auto"/>
        <w:ind w:left="0" w:leftChars="0" w:firstLine="530" w:firstLineChars="22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(2)质保期内，若</w:t>
      </w:r>
      <w:r>
        <w:rPr>
          <w:rFonts w:hint="eastAsia" w:hAnsi="宋体" w:cs="宋体"/>
          <w:color w:val="auto"/>
          <w:sz w:val="24"/>
          <w:szCs w:val="24"/>
          <w:highlight w:val="none"/>
          <w:lang w:val="en-US" w:eastAsia="zh-CN"/>
        </w:rPr>
        <w:t>平台数据</w:t>
      </w:r>
      <w:r>
        <w:rPr>
          <w:rFonts w:hint="eastAsia" w:ascii="宋体" w:hAnsi="宋体" w:eastAsia="宋体" w:cs="宋体"/>
          <w:color w:val="auto"/>
          <w:sz w:val="24"/>
          <w:szCs w:val="24"/>
          <w:highlight w:val="none"/>
        </w:rPr>
        <w:t>经1次维修或维修时间超过半个月，仍不能正常</w:t>
      </w:r>
      <w:r>
        <w:rPr>
          <w:rFonts w:hint="eastAsia" w:hAnsi="宋体" w:cs="宋体"/>
          <w:color w:val="auto"/>
          <w:sz w:val="24"/>
          <w:szCs w:val="24"/>
          <w:highlight w:val="none"/>
          <w:lang w:val="en-US" w:eastAsia="zh-CN"/>
        </w:rPr>
        <w:t>传输</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应免费给予</w:t>
      </w:r>
      <w:r>
        <w:rPr>
          <w:rFonts w:hint="default" w:ascii="宋体" w:hAnsi="宋体" w:eastAsia="宋体" w:cs="宋体"/>
          <w:color w:val="auto"/>
          <w:sz w:val="24"/>
          <w:szCs w:val="24"/>
          <w:highlight w:val="none"/>
          <w:lang w:val="en-US"/>
        </w:rPr>
        <w:t>更换</w:t>
      </w:r>
      <w:r>
        <w:rPr>
          <w:rFonts w:hint="eastAsia" w:hAnsi="宋体" w:cs="宋体"/>
          <w:color w:val="auto"/>
          <w:sz w:val="24"/>
          <w:szCs w:val="24"/>
          <w:highlight w:val="none"/>
          <w:lang w:val="en-US" w:eastAsia="zh-CN"/>
        </w:rPr>
        <w:t>或调试</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数据恢复上传后</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质保期为从</w:t>
      </w:r>
      <w:r>
        <w:rPr>
          <w:rFonts w:hint="eastAsia" w:hAnsi="宋体" w:cs="宋体"/>
          <w:color w:val="auto"/>
          <w:sz w:val="24"/>
          <w:szCs w:val="24"/>
          <w:highlight w:val="none"/>
          <w:lang w:val="en-US" w:eastAsia="zh-CN"/>
        </w:rPr>
        <w:t>数据恢复上传之</w:t>
      </w:r>
      <w:r>
        <w:rPr>
          <w:rFonts w:hint="eastAsia" w:ascii="宋体" w:hAnsi="宋体" w:eastAsia="宋体" w:cs="宋体"/>
          <w:color w:val="auto"/>
          <w:sz w:val="24"/>
          <w:szCs w:val="24"/>
          <w:highlight w:val="none"/>
        </w:rPr>
        <w:t>日起重新计算。</w:t>
      </w:r>
    </w:p>
    <w:p w14:paraId="68C26E75">
      <w:pPr>
        <w:keepNext w:val="0"/>
        <w:keepLines w:val="0"/>
        <w:pageBreakBefore w:val="0"/>
        <w:kinsoku/>
        <w:wordWrap/>
        <w:overflowPunct/>
        <w:topLinePunct w:val="0"/>
        <w:autoSpaceDE/>
        <w:autoSpaceDN/>
        <w:bidi w:val="0"/>
        <w:adjustRightInd/>
        <w:snapToGrid/>
        <w:spacing w:line="360" w:lineRule="auto"/>
        <w:ind w:left="0" w:leftChars="0" w:firstLine="530" w:firstLineChars="22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)采购人在</w:t>
      </w:r>
      <w:r>
        <w:rPr>
          <w:rFonts w:hint="eastAsia" w:ascii="宋体" w:hAnsi="宋体" w:eastAsia="宋体" w:cs="宋体"/>
          <w:color w:val="auto"/>
          <w:sz w:val="24"/>
          <w:szCs w:val="24"/>
          <w:highlight w:val="none"/>
          <w:lang w:val="en-US" w:eastAsia="zh-CN"/>
        </w:rPr>
        <w:t>使用时</w:t>
      </w:r>
      <w:r>
        <w:rPr>
          <w:rFonts w:hint="eastAsia" w:ascii="宋体" w:hAnsi="宋体" w:eastAsia="宋体" w:cs="宋体"/>
          <w:color w:val="auto"/>
          <w:sz w:val="24"/>
          <w:szCs w:val="24"/>
          <w:highlight w:val="none"/>
        </w:rPr>
        <w:t>所遇技术问题，</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应按采购人要求及时向采购人无偿提供技术指导服务。</w:t>
      </w:r>
    </w:p>
    <w:p w14:paraId="2C138488">
      <w:pPr>
        <w:pStyle w:val="2"/>
        <w:ind w:firstLine="480" w:firstLineChars="200"/>
        <w:rPr>
          <w:rFonts w:hint="default" w:ascii="宋体" w:hAnsi="宋体" w:eastAsia="宋体" w:cs="宋体"/>
          <w:color w:val="auto"/>
          <w:sz w:val="24"/>
          <w:szCs w:val="24"/>
          <w:highlight w:val="none"/>
          <w:lang w:val="en-US" w:eastAsia="zh-CN" w:bidi="ar-SA"/>
        </w:rPr>
        <w:sectPr>
          <w:pgSz w:w="11906" w:h="16838"/>
          <w:pgMar w:top="1134" w:right="1588" w:bottom="1440" w:left="1644" w:header="851" w:footer="992" w:gutter="0"/>
          <w:cols w:space="425" w:num="1"/>
          <w:docGrid w:linePitch="326" w:charSpace="0"/>
        </w:sectPr>
      </w:pPr>
      <w:r>
        <w:rPr>
          <w:rFonts w:hint="eastAsia" w:ascii="宋体" w:hAnsi="宋体" w:eastAsia="宋体" w:cs="宋体"/>
          <w:color w:val="auto"/>
          <w:sz w:val="24"/>
          <w:szCs w:val="24"/>
          <w:highlight w:val="none"/>
          <w:lang w:val="en-US" w:eastAsia="zh-CN" w:bidi="ar-SA"/>
        </w:rPr>
        <w:t>(4)服务单位未按上述要求提供售后服务的，采购人有权要求其他第三方提供相关服务，因此产生的费用全部由服务单位承担</w:t>
      </w:r>
    </w:p>
    <w:p w14:paraId="67F08A32">
      <w:pPr>
        <w:spacing w:after="120"/>
        <w:rPr>
          <w:rFonts w:hAnsi="宋体" w:cs="宋体"/>
        </w:rPr>
      </w:pPr>
    </w:p>
    <w:bookmarkEnd w:id="6"/>
    <w:bookmarkEnd w:id="7"/>
    <w:bookmarkEnd w:id="8"/>
    <w:p w14:paraId="17C457CD">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17A2F7D0">
      <w:pPr>
        <w:wordWrap w:val="0"/>
        <w:spacing w:line="360" w:lineRule="auto"/>
        <w:jc w:val="right"/>
        <w:rPr>
          <w:rFonts w:hint="default" w:ascii="Times New Roman" w:hAnsi="Times New Roman" w:cs="Times New Roman"/>
        </w:rPr>
      </w:pPr>
      <w:r>
        <w:rPr>
          <w:rFonts w:hint="default" w:ascii="Times New Roman" w:hAnsi="Times New Roman" w:cs="Times New Roman"/>
        </w:rPr>
        <w:t xml:space="preserve">合同编号：     </w:t>
      </w:r>
    </w:p>
    <w:p w14:paraId="55F80887">
      <w:pPr>
        <w:spacing w:line="360" w:lineRule="auto"/>
        <w:jc w:val="center"/>
        <w:rPr>
          <w:rFonts w:hint="default" w:ascii="Times New Roman" w:hAnsi="Times New Roman" w:cs="Times New Roman"/>
        </w:rPr>
      </w:pPr>
    </w:p>
    <w:p w14:paraId="45784C25">
      <w:pPr>
        <w:spacing w:line="360" w:lineRule="auto"/>
        <w:rPr>
          <w:rFonts w:hint="default" w:ascii="Times New Roman" w:hAnsi="Times New Roman" w:cs="Times New Roman"/>
        </w:rPr>
      </w:pPr>
    </w:p>
    <w:p w14:paraId="136EA1A9">
      <w:pPr>
        <w:pStyle w:val="4"/>
        <w:rPr>
          <w:rFonts w:hint="default" w:ascii="Times New Roman" w:hAnsi="Times New Roman" w:cs="Times New Roman"/>
        </w:rPr>
      </w:pPr>
    </w:p>
    <w:p w14:paraId="469ED888">
      <w:pPr>
        <w:spacing w:line="36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t>市区厂能源在线监测系统对接市平台</w:t>
      </w:r>
    </w:p>
    <w:p w14:paraId="776366B3">
      <w:pPr>
        <w:spacing w:line="360" w:lineRule="auto"/>
        <w:jc w:val="center"/>
        <w:rPr>
          <w:rFonts w:hint="default" w:ascii="Times New Roman" w:hAnsi="Times New Roman" w:cs="Times New Roman"/>
          <w:b/>
          <w:sz w:val="44"/>
          <w:szCs w:val="44"/>
        </w:rPr>
      </w:pPr>
      <w:r>
        <w:rPr>
          <w:rFonts w:hint="default" w:ascii="Times New Roman" w:hAnsi="Times New Roman" w:cs="Times New Roman"/>
          <w:b/>
          <w:sz w:val="44"/>
          <w:szCs w:val="44"/>
        </w:rPr>
        <w:t>采购项目合同</w:t>
      </w:r>
    </w:p>
    <w:p w14:paraId="19EA3600">
      <w:pPr>
        <w:spacing w:line="360" w:lineRule="auto"/>
        <w:rPr>
          <w:rFonts w:hint="default" w:ascii="Times New Roman" w:hAnsi="Times New Roman" w:cs="Times New Roman"/>
        </w:rPr>
      </w:pPr>
    </w:p>
    <w:p w14:paraId="30E2754F">
      <w:pPr>
        <w:spacing w:line="360" w:lineRule="auto"/>
        <w:rPr>
          <w:rFonts w:hint="default" w:ascii="Times New Roman" w:hAnsi="Times New Roman" w:cs="Times New Roman"/>
        </w:rPr>
      </w:pPr>
    </w:p>
    <w:p w14:paraId="2E889001">
      <w:pPr>
        <w:spacing w:line="360" w:lineRule="auto"/>
        <w:rPr>
          <w:rFonts w:hint="default" w:ascii="Times New Roman" w:hAnsi="Times New Roman" w:cs="Times New Roman"/>
        </w:rPr>
      </w:pPr>
    </w:p>
    <w:p w14:paraId="53005E24">
      <w:pPr>
        <w:spacing w:line="360" w:lineRule="auto"/>
        <w:jc w:val="center"/>
        <w:rPr>
          <w:rFonts w:hint="default" w:ascii="Times New Roman" w:hAnsi="Times New Roman" w:cs="Times New Roman"/>
        </w:rPr>
      </w:pPr>
    </w:p>
    <w:p w14:paraId="02EF34B9">
      <w:pPr>
        <w:spacing w:line="360" w:lineRule="auto"/>
        <w:jc w:val="center"/>
        <w:rPr>
          <w:rFonts w:hint="default" w:ascii="Times New Roman" w:hAnsi="Times New Roman" w:cs="Times New Roman"/>
        </w:rPr>
      </w:pPr>
    </w:p>
    <w:p w14:paraId="75512D4B">
      <w:pPr>
        <w:spacing w:line="360" w:lineRule="auto"/>
        <w:jc w:val="center"/>
        <w:rPr>
          <w:rFonts w:hint="default" w:ascii="Times New Roman" w:hAnsi="Times New Roman" w:cs="Times New Roman"/>
        </w:rPr>
      </w:pPr>
    </w:p>
    <w:p w14:paraId="1A191F1C">
      <w:pPr>
        <w:spacing w:line="360" w:lineRule="auto"/>
        <w:jc w:val="center"/>
        <w:rPr>
          <w:rFonts w:hint="default" w:ascii="Times New Roman" w:hAnsi="Times New Roman" w:cs="Times New Roman"/>
        </w:rPr>
      </w:pPr>
    </w:p>
    <w:p w14:paraId="5B95CD92">
      <w:pPr>
        <w:spacing w:line="360" w:lineRule="auto"/>
        <w:jc w:val="center"/>
        <w:rPr>
          <w:rFonts w:hint="default" w:ascii="Times New Roman" w:hAnsi="Times New Roman" w:cs="Times New Roman"/>
        </w:rPr>
      </w:pPr>
    </w:p>
    <w:p w14:paraId="596AC79A">
      <w:pPr>
        <w:spacing w:line="360" w:lineRule="auto"/>
        <w:jc w:val="center"/>
        <w:rPr>
          <w:rFonts w:hint="default" w:ascii="Times New Roman" w:hAnsi="Times New Roman" w:cs="Times New Roman"/>
        </w:rPr>
      </w:pPr>
    </w:p>
    <w:p w14:paraId="7254E7EC">
      <w:pPr>
        <w:spacing w:line="360" w:lineRule="auto"/>
        <w:jc w:val="center"/>
        <w:rPr>
          <w:rFonts w:hint="default" w:ascii="Times New Roman" w:hAnsi="Times New Roman" w:cs="Times New Roman"/>
        </w:rPr>
      </w:pPr>
    </w:p>
    <w:p w14:paraId="1A262E03">
      <w:pPr>
        <w:spacing w:line="360" w:lineRule="auto"/>
        <w:jc w:val="center"/>
        <w:rPr>
          <w:rFonts w:hint="default" w:ascii="Times New Roman" w:hAnsi="Times New Roman" w:cs="Times New Roman"/>
        </w:rPr>
      </w:pPr>
    </w:p>
    <w:p w14:paraId="514DC8DD">
      <w:pPr>
        <w:spacing w:line="360" w:lineRule="auto"/>
        <w:rPr>
          <w:rFonts w:hint="default" w:ascii="Times New Roman" w:hAnsi="Times New Roman" w:cs="Times New Roman"/>
        </w:rPr>
      </w:pPr>
    </w:p>
    <w:p w14:paraId="46582BE5">
      <w:pPr>
        <w:spacing w:line="360" w:lineRule="auto"/>
        <w:rPr>
          <w:rFonts w:hint="default" w:ascii="Times New Roman" w:hAnsi="Times New Roman" w:cs="Times New Roman"/>
        </w:rPr>
      </w:pPr>
    </w:p>
    <w:p w14:paraId="5775F3DA">
      <w:pPr>
        <w:spacing w:line="360" w:lineRule="auto"/>
        <w:ind w:firstLine="1800" w:firstLineChars="600"/>
        <w:rPr>
          <w:rFonts w:hint="default" w:ascii="Times New Roman" w:hAnsi="Times New Roman" w:cs="Times New Roman"/>
          <w:b/>
          <w:bCs/>
          <w:sz w:val="30"/>
          <w:szCs w:val="30"/>
          <w:u w:val="single"/>
        </w:rPr>
      </w:pPr>
      <w:r>
        <w:rPr>
          <w:rFonts w:hint="default" w:ascii="Times New Roman" w:hAnsi="Times New Roman" w:cs="Times New Roman"/>
          <w:sz w:val="30"/>
          <w:szCs w:val="30"/>
          <w:lang w:val="en-US" w:eastAsia="zh-CN"/>
        </w:rPr>
        <w:t>甲</w:t>
      </w:r>
      <w:r>
        <w:rPr>
          <w:rFonts w:hint="default" w:ascii="Times New Roman" w:hAnsi="Times New Roman" w:cs="Times New Roman"/>
          <w:sz w:val="30"/>
          <w:szCs w:val="30"/>
        </w:rPr>
        <w:t>方：</w:t>
      </w:r>
      <w:r>
        <w:rPr>
          <w:rFonts w:hint="default" w:ascii="Times New Roman" w:hAnsi="Times New Roman" w:cs="Times New Roman"/>
          <w:sz w:val="30"/>
          <w:szCs w:val="30"/>
          <w:u w:val="single"/>
        </w:rPr>
        <w:t>东莞市石鼓</w:t>
      </w:r>
      <w:r>
        <w:rPr>
          <w:rFonts w:hint="eastAsia" w:ascii="Times New Roman" w:cs="Times New Roman"/>
          <w:sz w:val="30"/>
          <w:szCs w:val="30"/>
          <w:u w:val="single"/>
          <w:lang w:val="en-US" w:eastAsia="zh-CN"/>
        </w:rPr>
        <w:t>净水</w:t>
      </w:r>
      <w:r>
        <w:rPr>
          <w:rFonts w:hint="default" w:ascii="Times New Roman" w:hAnsi="Times New Roman" w:cs="Times New Roman"/>
          <w:sz w:val="30"/>
          <w:szCs w:val="30"/>
          <w:u w:val="single"/>
        </w:rPr>
        <w:t>有限公司</w:t>
      </w:r>
    </w:p>
    <w:p w14:paraId="37E0F55A">
      <w:pPr>
        <w:spacing w:line="360" w:lineRule="auto"/>
        <w:ind w:firstLine="1800" w:firstLineChars="600"/>
        <w:rPr>
          <w:rFonts w:hint="default" w:ascii="Times New Roman" w:hAnsi="Times New Roman" w:cs="Times New Roman"/>
          <w:sz w:val="30"/>
          <w:szCs w:val="30"/>
        </w:rPr>
      </w:pPr>
    </w:p>
    <w:p w14:paraId="0522BACF">
      <w:pPr>
        <w:spacing w:line="360" w:lineRule="auto"/>
        <w:ind w:firstLine="1800" w:firstLineChars="600"/>
        <w:rPr>
          <w:rFonts w:hint="default" w:ascii="Times New Roman" w:hAnsi="Times New Roman" w:eastAsia="宋体" w:cs="Times New Roman"/>
          <w:sz w:val="30"/>
          <w:szCs w:val="30"/>
          <w:lang w:val="en-US" w:eastAsia="zh-CN"/>
        </w:rPr>
      </w:pPr>
      <w:r>
        <w:rPr>
          <w:rFonts w:hint="default" w:ascii="Times New Roman" w:hAnsi="Times New Roman" w:cs="Times New Roman"/>
          <w:sz w:val="30"/>
          <w:szCs w:val="30"/>
          <w:lang w:val="en-US" w:eastAsia="zh-CN"/>
        </w:rPr>
        <w:t>乙</w:t>
      </w:r>
      <w:r>
        <w:rPr>
          <w:rFonts w:hint="default" w:ascii="Times New Roman" w:hAnsi="Times New Roman" w:cs="Times New Roman"/>
          <w:sz w:val="30"/>
          <w:szCs w:val="30"/>
        </w:rPr>
        <w:t>方：</w:t>
      </w:r>
      <w:r>
        <w:rPr>
          <w:rFonts w:hint="eastAsia" w:ascii="Times New Roman" w:cs="Times New Roman"/>
          <w:sz w:val="30"/>
          <w:szCs w:val="30"/>
          <w:u w:val="single"/>
          <w:lang w:val="en-US" w:eastAsia="zh-CN"/>
        </w:rPr>
        <w:t xml:space="preserve">                      </w:t>
      </w:r>
    </w:p>
    <w:p w14:paraId="53ACA175">
      <w:pPr>
        <w:spacing w:line="360" w:lineRule="auto"/>
        <w:rPr>
          <w:rFonts w:hint="default" w:ascii="Times New Roman" w:hAnsi="Times New Roman" w:cs="Times New Roman"/>
          <w:sz w:val="30"/>
          <w:szCs w:val="30"/>
          <w:u w:val="single"/>
        </w:rPr>
      </w:pPr>
    </w:p>
    <w:p w14:paraId="39171BEC">
      <w:pPr>
        <w:spacing w:line="360" w:lineRule="auto"/>
        <w:rPr>
          <w:rFonts w:hint="default" w:ascii="Times New Roman" w:hAnsi="Times New Roman" w:cs="Times New Roman"/>
          <w:sz w:val="30"/>
          <w:szCs w:val="30"/>
          <w:u w:val="single"/>
        </w:rPr>
      </w:pPr>
    </w:p>
    <w:p w14:paraId="0B365254">
      <w:pPr>
        <w:spacing w:line="360" w:lineRule="auto"/>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cs="Times New Roman"/>
          <w:b/>
          <w:bCs/>
          <w:lang w:val="en-US" w:eastAsia="zh-CN"/>
        </w:rPr>
        <w:t>甲</w:t>
      </w:r>
      <w:r>
        <w:rPr>
          <w:rFonts w:hint="default" w:ascii="Times New Roman" w:hAnsi="Times New Roman" w:cs="Times New Roman"/>
          <w:b/>
        </w:rPr>
        <w:t>方：</w:t>
      </w:r>
      <w:r>
        <w:rPr>
          <w:rFonts w:hint="default" w:ascii="Times New Roman" w:hAnsi="Times New Roman" w:cs="Times New Roman"/>
          <w:u w:val="single"/>
        </w:rPr>
        <w:t>东莞市石鼓</w:t>
      </w:r>
      <w:r>
        <w:rPr>
          <w:rFonts w:hint="eastAsia" w:ascii="Times New Roman" w:cs="Times New Roman"/>
          <w:u w:val="single"/>
          <w:lang w:val="en-US" w:eastAsia="zh-CN"/>
        </w:rPr>
        <w:t>净水</w:t>
      </w:r>
      <w:r>
        <w:rPr>
          <w:rFonts w:hint="default" w:ascii="Times New Roman" w:hAnsi="Times New Roman" w:cs="Times New Roman"/>
          <w:u w:val="single"/>
        </w:rPr>
        <w:t xml:space="preserve">有限公司  </w:t>
      </w:r>
    </w:p>
    <w:p w14:paraId="0DA9D858">
      <w:pPr>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single"/>
        </w:rPr>
        <w:t>东莞市南城街道滨河路100号一期1号楼101室</w:t>
      </w:r>
    </w:p>
    <w:p w14:paraId="63C774A7">
      <w:pPr>
        <w:spacing w:line="360" w:lineRule="auto"/>
        <w:rPr>
          <w:rFonts w:hint="eastAsia" w:ascii="Times New Roman"/>
          <w:u w:val="single"/>
          <w:lang w:val="en-US" w:eastAsia="zh-CN"/>
        </w:rPr>
      </w:pPr>
      <w:r>
        <w:rPr>
          <w:rFonts w:hint="eastAsia" w:ascii="Times New Roman"/>
          <w:b/>
          <w:color w:val="000000"/>
          <w:lang w:val="en-US" w:eastAsia="zh-CN"/>
        </w:rPr>
        <w:t>乙</w:t>
      </w:r>
      <w:r>
        <w:rPr>
          <w:rFonts w:hint="eastAsia" w:ascii="Times New Roman"/>
          <w:b/>
          <w:color w:val="000000"/>
        </w:rPr>
        <w:t>方：</w:t>
      </w:r>
      <w:r>
        <w:rPr>
          <w:rFonts w:hint="eastAsia" w:ascii="Times New Roman"/>
          <w:u w:val="single"/>
          <w:lang w:val="en-US" w:eastAsia="zh-CN"/>
        </w:rPr>
        <w:t xml:space="preserve">                 </w:t>
      </w:r>
    </w:p>
    <w:p w14:paraId="55056A79">
      <w:pPr>
        <w:spacing w:line="360" w:lineRule="auto"/>
        <w:rPr>
          <w:rFonts w:hint="eastAsia" w:ascii="Times New Roman"/>
          <w:color w:val="000000"/>
          <w:u w:val="single"/>
          <w:lang w:val="en-US" w:eastAsia="zh-CN"/>
        </w:rPr>
      </w:pPr>
      <w:r>
        <w:rPr>
          <w:rFonts w:hint="eastAsia" w:ascii="Times New Roman"/>
          <w:color w:val="000000"/>
        </w:rPr>
        <w:t>地址：</w:t>
      </w:r>
      <w:r>
        <w:rPr>
          <w:rFonts w:hint="eastAsia" w:ascii="Times New Roman"/>
          <w:color w:val="000000"/>
          <w:u w:val="single"/>
          <w:lang w:val="en-US" w:eastAsia="zh-CN"/>
        </w:rPr>
        <w:t xml:space="preserve">                                  </w:t>
      </w:r>
    </w:p>
    <w:p w14:paraId="02EE73DB">
      <w:pPr>
        <w:spacing w:line="360" w:lineRule="auto"/>
        <w:ind w:firstLine="480" w:firstLineChars="200"/>
        <w:rPr>
          <w:rFonts w:hint="default" w:ascii="Times New Roman" w:hAnsi="Times New Roman" w:cs="Times New Roman"/>
          <w:bCs/>
          <w:u w:val="single"/>
        </w:rPr>
      </w:pPr>
      <w:r>
        <w:rPr>
          <w:rFonts w:hint="default" w:ascii="Times New Roman" w:hAnsi="Times New Roman" w:cs="Times New Roman"/>
        </w:rPr>
        <w:t>经甲方询价，现确定甲方向乙方采购</w:t>
      </w:r>
      <w:r>
        <w:rPr>
          <w:rFonts w:hint="default" w:ascii="Times New Roman" w:hAnsi="Times New Roman" w:cs="Times New Roman"/>
          <w:u w:val="single"/>
          <w:lang w:val="en-US" w:eastAsia="zh-CN"/>
        </w:rPr>
        <w:t>市区厂能源在线监测系统对接市平台</w:t>
      </w:r>
      <w:r>
        <w:rPr>
          <w:rFonts w:hint="eastAsia" w:ascii="Times New Roman" w:cs="Times New Roman"/>
          <w:u w:val="single"/>
          <w:lang w:val="en-US" w:eastAsia="zh-CN"/>
        </w:rPr>
        <w:t>服务</w:t>
      </w:r>
      <w:r>
        <w:rPr>
          <w:rFonts w:hint="default" w:ascii="Times New Roman" w:hAnsi="Times New Roman" w:cs="Times New Roman"/>
        </w:rPr>
        <w:t>。根据《中华人民共和国民法典》等法律法规的规定，经双方平等协商，双方就</w:t>
      </w:r>
      <w:r>
        <w:rPr>
          <w:rFonts w:hint="default" w:ascii="Times New Roman" w:hAnsi="Times New Roman" w:cs="Times New Roman"/>
          <w:u w:val="single"/>
          <w:lang w:val="en-US" w:eastAsia="zh-CN"/>
        </w:rPr>
        <w:t>市区厂能源在线监测系统对接市平台</w:t>
      </w:r>
      <w:r>
        <w:rPr>
          <w:rFonts w:hint="eastAsia" w:ascii="Times New Roman" w:cs="Times New Roman"/>
          <w:u w:val="single"/>
          <w:lang w:val="en-US" w:eastAsia="zh-CN"/>
        </w:rPr>
        <w:t>服务</w:t>
      </w:r>
      <w:r>
        <w:rPr>
          <w:rFonts w:hint="default" w:ascii="Times New Roman" w:hAnsi="Times New Roman" w:cs="Times New Roman"/>
        </w:rPr>
        <w:t>（以下称“</w:t>
      </w:r>
      <w:r>
        <w:rPr>
          <w:rFonts w:hint="eastAsia" w:ascii="Times New Roman" w:cs="Times New Roman"/>
          <w:lang w:val="en-US" w:eastAsia="zh-CN"/>
        </w:rPr>
        <w:t>服务</w:t>
      </w:r>
      <w:r>
        <w:rPr>
          <w:rFonts w:hint="default" w:ascii="Times New Roman" w:hAnsi="Times New Roman" w:cs="Times New Roman"/>
        </w:rPr>
        <w:t>”）</w:t>
      </w:r>
      <w:r>
        <w:rPr>
          <w:rFonts w:hint="default" w:ascii="Times New Roman" w:hAnsi="Times New Roman" w:cs="Times New Roman"/>
          <w:lang w:val="en-US" w:eastAsia="zh-CN"/>
        </w:rPr>
        <w:t>采购</w:t>
      </w:r>
      <w:r>
        <w:rPr>
          <w:rFonts w:hint="default" w:ascii="Times New Roman" w:hAnsi="Times New Roman" w:cs="Times New Roman"/>
        </w:rPr>
        <w:t>事宜，签订本合同。</w:t>
      </w:r>
    </w:p>
    <w:p w14:paraId="36E75683">
      <w:pPr>
        <w:spacing w:line="360" w:lineRule="auto"/>
        <w:rPr>
          <w:rFonts w:hint="default" w:ascii="Times New Roman" w:hAnsi="Times New Roman" w:cs="Times New Roman"/>
        </w:rPr>
      </w:pPr>
    </w:p>
    <w:p w14:paraId="6526FBE6">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rPr>
      </w:pPr>
      <w:bookmarkStart w:id="11" w:name="_Toc27495478"/>
      <w:r>
        <w:rPr>
          <w:rFonts w:hint="default" w:ascii="Times New Roman" w:hAnsi="Times New Roman" w:cs="Times New Roman"/>
          <w:b/>
        </w:rPr>
        <w:t>合同</w:t>
      </w:r>
      <w:r>
        <w:rPr>
          <w:rFonts w:hint="eastAsia" w:ascii="Times New Roman" w:cs="Times New Roman"/>
          <w:b/>
          <w:lang w:val="en-US" w:eastAsia="zh-CN"/>
        </w:rPr>
        <w:t>服务</w:t>
      </w:r>
      <w:r>
        <w:rPr>
          <w:rFonts w:hint="default" w:ascii="Times New Roman" w:hAnsi="Times New Roman" w:cs="Times New Roman"/>
          <w:b/>
        </w:rPr>
        <w:t>清单</w:t>
      </w:r>
      <w:bookmarkEnd w:id="11"/>
    </w:p>
    <w:p w14:paraId="463BE67F">
      <w:pPr>
        <w:numPr>
          <w:ilvl w:val="0"/>
          <w:numId w:val="3"/>
        </w:numPr>
        <w:spacing w:line="360" w:lineRule="auto"/>
        <w:ind w:left="480" w:leftChars="0" w:firstLine="0" w:firstLineChars="0"/>
        <w:rPr>
          <w:rFonts w:hint="default" w:ascii="Times New Roman" w:hAnsi="Times New Roman" w:cs="Times New Roman"/>
        </w:rPr>
      </w:pPr>
      <w:r>
        <w:rPr>
          <w:rFonts w:hint="eastAsia" w:ascii="Times New Roman" w:cs="Times New Roman"/>
          <w:lang w:val="en-US" w:eastAsia="zh-CN"/>
        </w:rPr>
        <w:t>服务</w:t>
      </w:r>
      <w:r>
        <w:rPr>
          <w:rFonts w:hint="default" w:ascii="Times New Roman" w:hAnsi="Times New Roman" w:cs="Times New Roman"/>
          <w:lang w:val="en-US" w:eastAsia="zh-CN"/>
        </w:rPr>
        <w:t>清单详见</w:t>
      </w:r>
      <w:r>
        <w:rPr>
          <w:rFonts w:hint="default" w:ascii="Times New Roman" w:hAnsi="Times New Roman" w:cs="Times New Roman"/>
        </w:rPr>
        <w:t>《分项报价表》和《用户需求书》</w:t>
      </w:r>
      <w:r>
        <w:rPr>
          <w:rFonts w:hint="default" w:ascii="Times New Roman" w:hAnsi="Times New Roman" w:cs="Times New Roman"/>
          <w:lang w:eastAsia="zh-CN"/>
        </w:rPr>
        <w:t>。</w:t>
      </w:r>
    </w:p>
    <w:p w14:paraId="7DDA546B">
      <w:pPr>
        <w:numPr>
          <w:ilvl w:val="0"/>
          <w:numId w:val="3"/>
        </w:numPr>
        <w:spacing w:line="360" w:lineRule="auto"/>
        <w:ind w:left="480" w:leftChars="0" w:firstLine="0" w:firstLineChars="0"/>
        <w:jc w:val="both"/>
        <w:rPr>
          <w:rFonts w:hint="default" w:ascii="Times New Roman" w:hAnsi="Times New Roman" w:cs="Times New Roman"/>
        </w:rPr>
      </w:pPr>
      <w:r>
        <w:rPr>
          <w:rFonts w:hint="default" w:ascii="Times New Roman" w:hAnsi="Times New Roman" w:cs="Times New Roman"/>
        </w:rPr>
        <w:t>乙方需按照合同中甲方要求的供货范围供货</w:t>
      </w:r>
      <w:r>
        <w:rPr>
          <w:rFonts w:hint="eastAsia" w:ascii="Times New Roman" w:cs="Times New Roman"/>
          <w:lang w:val="en-US" w:eastAsia="zh-CN"/>
        </w:rPr>
        <w:t>及完成相关服务</w:t>
      </w:r>
      <w:r>
        <w:rPr>
          <w:rFonts w:hint="default" w:ascii="Times New Roman" w:hAnsi="Times New Roman" w:cs="Times New Roman"/>
        </w:rPr>
        <w:t>。若甲方未在合</w:t>
      </w:r>
    </w:p>
    <w:p w14:paraId="6812BFE5">
      <w:pPr>
        <w:numPr>
          <w:ilvl w:val="0"/>
          <w:numId w:val="0"/>
        </w:numPr>
        <w:spacing w:line="360" w:lineRule="auto"/>
        <w:jc w:val="both"/>
        <w:rPr>
          <w:rFonts w:hint="default" w:ascii="Times New Roman" w:hAnsi="Times New Roman" w:cs="Times New Roman"/>
        </w:rPr>
      </w:pPr>
      <w:r>
        <w:rPr>
          <w:rFonts w:hint="default" w:ascii="Times New Roman" w:hAnsi="Times New Roman" w:cs="Times New Roman"/>
        </w:rPr>
        <w:t>同、用户需求书、采购文件等文件中列明，但为了满足甲方的正常使用及达到验收标准而需增加货物</w:t>
      </w:r>
      <w:r>
        <w:rPr>
          <w:rFonts w:hint="eastAsia" w:ascii="Times New Roman" w:cs="Times New Roman"/>
          <w:lang w:val="en-US" w:eastAsia="zh-CN"/>
        </w:rPr>
        <w:t>或服务</w:t>
      </w:r>
      <w:r>
        <w:rPr>
          <w:rFonts w:hint="default" w:ascii="Times New Roman" w:hAnsi="Times New Roman" w:cs="Times New Roman"/>
        </w:rPr>
        <w:t>的，由乙方为甲方提供完善方案。完善方案经甲方同意后，由乙方按照完善方案履行义务，其中涉及的增加的费用已包含在合同价中，甲方不另行向乙方支付费用。</w:t>
      </w:r>
    </w:p>
    <w:p w14:paraId="2819A76F">
      <w:pPr>
        <w:spacing w:line="360" w:lineRule="auto"/>
        <w:rPr>
          <w:rFonts w:hint="default" w:ascii="Times New Roman" w:hAnsi="Times New Roman" w:cs="Times New Roman"/>
        </w:rPr>
      </w:pPr>
    </w:p>
    <w:p w14:paraId="19D91C2B">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rPr>
      </w:pPr>
      <w:r>
        <w:rPr>
          <w:rFonts w:hint="eastAsia" w:ascii="Times New Roman" w:cs="Times New Roman"/>
          <w:b/>
          <w:lang w:val="en-US" w:eastAsia="zh-CN"/>
        </w:rPr>
        <w:t>技术、安装界限及安全要求</w:t>
      </w:r>
    </w:p>
    <w:p w14:paraId="1D293E3E">
      <w:pPr>
        <w:keepNext w:val="0"/>
        <w:keepLines w:val="0"/>
        <w:pageBreakBefore w:val="0"/>
        <w:kinsoku/>
        <w:wordWrap/>
        <w:overflowPunct/>
        <w:topLinePunct w:val="0"/>
        <w:bidi w:val="0"/>
        <w:adjustRightInd/>
        <w:snapToGrid/>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乙方为搭建能源在线监测平台及对接市平台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w:t>
      </w:r>
      <w:r>
        <w:rPr>
          <w:rFonts w:hint="eastAsia" w:ascii="宋体" w:hAnsi="宋体" w:eastAsia="宋体" w:cs="宋体"/>
          <w:color w:val="auto"/>
          <w:sz w:val="24"/>
          <w:szCs w:val="24"/>
          <w:highlight w:val="none"/>
          <w:lang w:val="en-US" w:eastAsia="zh-CN"/>
        </w:rPr>
        <w:t>货</w:t>
      </w:r>
      <w:r>
        <w:rPr>
          <w:rFonts w:hint="eastAsia" w:hAnsi="宋体" w:cs="宋体"/>
          <w:color w:val="auto"/>
          <w:sz w:val="24"/>
          <w:szCs w:val="24"/>
          <w:highlight w:val="none"/>
          <w:lang w:val="en-US" w:eastAsia="zh-CN"/>
        </w:rPr>
        <w:t>的货物</w:t>
      </w:r>
      <w:r>
        <w:rPr>
          <w:rFonts w:hint="eastAsia" w:ascii="宋体" w:hAnsi="宋体" w:eastAsia="宋体" w:cs="宋体"/>
          <w:color w:val="auto"/>
          <w:sz w:val="24"/>
          <w:szCs w:val="24"/>
          <w:highlight w:val="none"/>
          <w:lang w:val="en-US" w:eastAsia="zh-CN"/>
        </w:rPr>
        <w:t>必须与现场</w:t>
      </w:r>
      <w:r>
        <w:rPr>
          <w:rFonts w:hint="eastAsia" w:hAnsi="宋体"/>
          <w:sz w:val="24"/>
          <w:lang w:val="en-US" w:eastAsia="zh-CN"/>
        </w:rPr>
        <w:t>设备</w:t>
      </w:r>
      <w:r>
        <w:rPr>
          <w:rFonts w:hint="eastAsia" w:hAnsi="宋体" w:cs="宋体"/>
          <w:color w:val="auto"/>
          <w:sz w:val="24"/>
          <w:szCs w:val="24"/>
          <w:highlight w:val="none"/>
          <w:lang w:val="en-US" w:eastAsia="zh-CN"/>
        </w:rPr>
        <w:t>适</w:t>
      </w:r>
      <w:r>
        <w:rPr>
          <w:rFonts w:hint="eastAsia" w:ascii="宋体" w:hAnsi="宋体" w:eastAsia="宋体" w:cs="宋体"/>
          <w:color w:val="auto"/>
          <w:sz w:val="24"/>
          <w:szCs w:val="24"/>
          <w:highlight w:val="none"/>
          <w:lang w:val="en-US" w:eastAsia="zh-CN"/>
        </w:rPr>
        <w:t>用，</w:t>
      </w:r>
      <w:r>
        <w:rPr>
          <w:rFonts w:hint="eastAsia" w:hAnsi="宋体" w:cs="宋体"/>
          <w:color w:val="auto"/>
          <w:sz w:val="24"/>
          <w:szCs w:val="24"/>
          <w:highlight w:val="none"/>
          <w:lang w:val="en-US" w:eastAsia="zh-CN"/>
        </w:rPr>
        <w:t>具备或高于原设备配件的功能要求，无瑕疵和缺陷，</w:t>
      </w:r>
      <w:r>
        <w:rPr>
          <w:rFonts w:hint="eastAsia" w:ascii="宋体" w:hAnsi="宋体" w:eastAsia="宋体" w:cs="宋体"/>
          <w:color w:val="auto"/>
          <w:sz w:val="24"/>
          <w:szCs w:val="24"/>
          <w:highlight w:val="none"/>
          <w:lang w:val="en-US" w:eastAsia="zh-CN"/>
        </w:rPr>
        <w:t>安装在现有设备即可正常投入使用，不</w:t>
      </w:r>
      <w:r>
        <w:rPr>
          <w:rFonts w:hint="eastAsia" w:hAnsi="宋体" w:cs="宋体"/>
          <w:color w:val="auto"/>
          <w:sz w:val="24"/>
          <w:szCs w:val="24"/>
          <w:highlight w:val="none"/>
          <w:lang w:val="en-US" w:eastAsia="zh-CN"/>
        </w:rPr>
        <w:t>能</w:t>
      </w:r>
      <w:r>
        <w:rPr>
          <w:rFonts w:hint="eastAsia" w:ascii="宋体" w:hAnsi="宋体" w:eastAsia="宋体" w:cs="宋体"/>
          <w:color w:val="auto"/>
          <w:sz w:val="24"/>
          <w:szCs w:val="24"/>
          <w:highlight w:val="none"/>
          <w:lang w:val="en-US" w:eastAsia="zh-CN"/>
        </w:rPr>
        <w:t>对现有设备进行任何改动。</w:t>
      </w:r>
    </w:p>
    <w:p w14:paraId="4DA9FE47">
      <w:pPr>
        <w:keepNext w:val="0"/>
        <w:keepLines w:val="0"/>
        <w:pageBreakBefore w:val="0"/>
        <w:kinsoku/>
        <w:wordWrap/>
        <w:overflowPunct/>
        <w:topLinePunct w:val="0"/>
        <w:bidi w:val="0"/>
        <w:adjustRightInd/>
        <w:snapToGrid/>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乙方为搭建能源在线监测平台及对接市平台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所供</w:t>
      </w:r>
      <w:r>
        <w:rPr>
          <w:rFonts w:hint="eastAsia" w:hAnsi="宋体" w:cs="宋体"/>
          <w:color w:val="auto"/>
          <w:sz w:val="24"/>
          <w:szCs w:val="24"/>
          <w:highlight w:val="none"/>
          <w:lang w:val="en-US" w:eastAsia="zh-CN"/>
        </w:rPr>
        <w:t>货的</w:t>
      </w:r>
      <w:r>
        <w:rPr>
          <w:rFonts w:hint="eastAsia" w:ascii="宋体" w:hAnsi="宋体" w:eastAsia="宋体" w:cs="宋体"/>
          <w:color w:val="auto"/>
          <w:sz w:val="24"/>
          <w:szCs w:val="24"/>
          <w:highlight w:val="none"/>
          <w:lang w:val="en-US" w:eastAsia="zh-CN"/>
        </w:rPr>
        <w:t>货物必须是全新的，货物运输到达</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场地时的包装必须是完整的，由</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签收后方可拆包安装。</w:t>
      </w:r>
    </w:p>
    <w:p w14:paraId="038EACF3">
      <w:pPr>
        <w:keepNext w:val="0"/>
        <w:keepLines w:val="0"/>
        <w:pageBreakBefore w:val="0"/>
        <w:kinsoku/>
        <w:wordWrap/>
        <w:overflowPunct/>
        <w:topLinePunct w:val="0"/>
        <w:bidi w:val="0"/>
        <w:adjustRightInd/>
        <w:snapToGrid/>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lang w:val="en-US" w:eastAsia="zh-CN"/>
        </w:rPr>
        <w:t>乙方</w:t>
      </w:r>
      <w:r>
        <w:rPr>
          <w:rFonts w:hint="eastAsia" w:hAnsi="宋体" w:cs="宋体"/>
          <w:color w:val="auto"/>
          <w:sz w:val="24"/>
          <w:szCs w:val="24"/>
          <w:highlight w:val="none"/>
          <w:lang w:val="en-US" w:eastAsia="zh-CN"/>
        </w:rPr>
        <w:t>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需，所供货的</w:t>
      </w:r>
      <w:r>
        <w:rPr>
          <w:rFonts w:hint="eastAsia"/>
          <w:lang w:val="en-US" w:eastAsia="zh-CN"/>
        </w:rPr>
        <w:t>货物须满足国家及行业环保和质量标准；</w:t>
      </w:r>
      <w:r>
        <w:rPr>
          <w:rFonts w:hint="eastAsia" w:ascii="宋体" w:hAnsi="宋体" w:eastAsia="宋体" w:cs="宋体"/>
          <w:color w:val="auto"/>
          <w:sz w:val="24"/>
          <w:szCs w:val="24"/>
          <w:highlight w:val="none"/>
          <w:lang w:val="en-US" w:eastAsia="zh-CN"/>
        </w:rPr>
        <w:t>必须有质量检验合格证、装箱单、出厂检验报告（或测试性能、测试报告）及</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要求的其他合格证明文件等相关资料。</w:t>
      </w:r>
    </w:p>
    <w:p w14:paraId="74AF194E">
      <w:pPr>
        <w:keepNext w:val="0"/>
        <w:keepLines w:val="0"/>
        <w:pageBreakBefore w:val="0"/>
        <w:kinsoku/>
        <w:wordWrap/>
        <w:overflowPunct/>
        <w:topLinePunct w:val="0"/>
        <w:bidi w:val="0"/>
        <w:adjustRightInd/>
        <w:snapToGrid/>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乙方负责为搭建能源在线监测平台及对接市平台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需，所供货的货物的供货及安装、调试工作</w:t>
      </w:r>
      <w:r>
        <w:rPr>
          <w:rFonts w:hint="eastAsia" w:ascii="宋体" w:hAnsi="宋体" w:eastAsia="宋体" w:cs="宋体"/>
          <w:color w:val="auto"/>
          <w:sz w:val="24"/>
          <w:szCs w:val="24"/>
          <w:highlight w:val="none"/>
          <w:lang w:val="en-US" w:eastAsia="zh-CN"/>
        </w:rPr>
        <w:t>。</w:t>
      </w:r>
    </w:p>
    <w:p w14:paraId="2C4C7B01">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交货方式与风险承担：在货物移交给</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并经</w:t>
      </w:r>
      <w:r>
        <w:rPr>
          <w:rFonts w:hint="eastAsia" w:hAnsi="宋体" w:cs="宋体"/>
          <w:color w:val="auto"/>
          <w:sz w:val="24"/>
          <w:szCs w:val="24"/>
          <w:highlight w:val="none"/>
          <w:lang w:eastAsia="zh-CN"/>
        </w:rPr>
        <w:t>甲方</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rPr>
        <w:t>验收合格前，货物的毁损、灭失的风险和责任均由</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59356C4E">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的货物应当按照</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要求送到指定的地点，由于使用第三方送货服务导致货物未能经过双方共同验收、未送到指定地点仓库的，</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有权拒绝收货。</w:t>
      </w:r>
    </w:p>
    <w:p w14:paraId="64DF4C0A">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未经</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同意，</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或</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委托的第三方送货服务仅将货物放置在门口/门卫室，而没有送货至</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指定的地点的，视为</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未履行送货义务，</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有权拒绝接受货物且不予支付货款。上述情况下</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不负保管责任，货物未按照</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要求放置而造成的损毁、灭失风险概由</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66D95ED6">
      <w:pPr>
        <w:snapToGrid w:val="0"/>
        <w:spacing w:line="360" w:lineRule="auto"/>
        <w:ind w:firstLine="480" w:firstLineChars="200"/>
        <w:rPr>
          <w:rFonts w:hint="default" w:ascii="Times New Roman" w:hAnsi="Times New Roman" w:cs="Times New Roman"/>
          <w:sz w:val="24"/>
          <w:lang w:val="en-US" w:eastAsia="zh-CN"/>
        </w:rPr>
      </w:pPr>
      <w:r>
        <w:rPr>
          <w:rFonts w:hint="eastAsia" w:ascii="Times New Roman" w:cs="Times New Roman"/>
          <w:sz w:val="24"/>
          <w:lang w:val="en-US" w:eastAsia="zh-CN"/>
        </w:rPr>
        <w:t>8</w:t>
      </w:r>
      <w:r>
        <w:rPr>
          <w:rFonts w:hint="default" w:ascii="Times New Roman" w:hAnsi="Times New Roman" w:cs="Times New Roman"/>
          <w:sz w:val="24"/>
          <w:lang w:val="en-US" w:eastAsia="zh-CN"/>
        </w:rPr>
        <w:t>、安全要求：</w:t>
      </w:r>
    </w:p>
    <w:p w14:paraId="3BEF29E5">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w:t>
      </w:r>
      <w:r>
        <w:rPr>
          <w:rFonts w:hint="default" w:ascii="Times New Roman" w:hAnsi="Times New Roman" w:cs="Times New Roman"/>
          <w:sz w:val="24"/>
        </w:rPr>
        <w:t>1</w:t>
      </w:r>
      <w:r>
        <w:rPr>
          <w:rFonts w:hint="default" w:ascii="Times New Roman" w:hAnsi="Times New Roman" w:cs="Times New Roman"/>
          <w:sz w:val="24"/>
          <w:lang w:eastAsia="zh-CN"/>
        </w:rPr>
        <w:t>）乙方</w:t>
      </w:r>
      <w:r>
        <w:rPr>
          <w:rFonts w:hint="default" w:ascii="Times New Roman" w:hAnsi="Times New Roman" w:cs="Times New Roman"/>
          <w:sz w:val="24"/>
        </w:rPr>
        <w:t>在施工前需对施工人员做好施工安全培训、教育，施工期间严格执行有限空间作业、特种设备操作、用电安全等相关规范，并无条件接受</w:t>
      </w:r>
      <w:r>
        <w:rPr>
          <w:rFonts w:hint="default" w:ascii="Times New Roman" w:hAnsi="Times New Roman" w:cs="Times New Roman"/>
          <w:sz w:val="24"/>
          <w:lang w:eastAsia="zh-CN"/>
        </w:rPr>
        <w:t>甲方</w:t>
      </w:r>
      <w:r>
        <w:rPr>
          <w:rFonts w:hint="default" w:ascii="Times New Roman" w:hAnsi="Times New Roman" w:cs="Times New Roman"/>
          <w:sz w:val="24"/>
        </w:rPr>
        <w:t>监督。</w:t>
      </w:r>
    </w:p>
    <w:p w14:paraId="6229D042">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2</w:t>
      </w:r>
      <w:r>
        <w:rPr>
          <w:rFonts w:hint="default" w:ascii="Times New Roman" w:hAnsi="Times New Roman" w:cs="Times New Roman"/>
          <w:sz w:val="24"/>
          <w:lang w:eastAsia="zh-CN"/>
        </w:rPr>
        <w:t>）乙方</w:t>
      </w:r>
      <w:r>
        <w:rPr>
          <w:rFonts w:hint="default" w:ascii="Times New Roman" w:hAnsi="Times New Roman" w:cs="Times New Roman"/>
          <w:sz w:val="24"/>
        </w:rPr>
        <w:t>应当采取有效的职业卫生防护措施，为施工人员配备必要的防护用品（安全帽、防水手套、安全带、口罩等）。</w:t>
      </w:r>
    </w:p>
    <w:p w14:paraId="405CC652">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3</w:t>
      </w:r>
      <w:r>
        <w:rPr>
          <w:rFonts w:hint="default" w:ascii="Times New Roman" w:hAnsi="Times New Roman" w:cs="Times New Roman"/>
          <w:sz w:val="24"/>
          <w:lang w:eastAsia="zh-CN"/>
        </w:rPr>
        <w:t>）</w:t>
      </w:r>
      <w:r>
        <w:rPr>
          <w:rFonts w:hint="default" w:ascii="Times New Roman" w:hAnsi="Times New Roman" w:cs="Times New Roman"/>
          <w:sz w:val="24"/>
        </w:rPr>
        <w:t>施工人员需服从</w:t>
      </w:r>
      <w:r>
        <w:rPr>
          <w:rFonts w:hint="default" w:ascii="Times New Roman" w:hAnsi="Times New Roman" w:cs="Times New Roman"/>
          <w:sz w:val="24"/>
          <w:lang w:eastAsia="zh-CN"/>
        </w:rPr>
        <w:t>甲方</w:t>
      </w:r>
      <w:r>
        <w:rPr>
          <w:rFonts w:hint="default" w:ascii="Times New Roman" w:hAnsi="Times New Roman" w:cs="Times New Roman"/>
          <w:sz w:val="24"/>
        </w:rPr>
        <w:t>管理，未经允许不能进入不相关的生产作业区。</w:t>
      </w:r>
    </w:p>
    <w:p w14:paraId="5E92CEFD">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4</w:t>
      </w:r>
      <w:r>
        <w:rPr>
          <w:rFonts w:hint="default" w:ascii="Times New Roman" w:hAnsi="Times New Roman" w:cs="Times New Roman"/>
          <w:sz w:val="24"/>
          <w:lang w:eastAsia="zh-CN"/>
        </w:rPr>
        <w:t>）</w:t>
      </w:r>
      <w:r>
        <w:rPr>
          <w:rFonts w:hint="default" w:ascii="Times New Roman" w:hAnsi="Times New Roman" w:cs="Times New Roman"/>
          <w:kern w:val="0"/>
          <w:sz w:val="24"/>
        </w:rPr>
        <w:t>施工作业期间，施工人员严禁打闹嬉戏、抽烟，严禁酒后工作。</w:t>
      </w:r>
    </w:p>
    <w:p w14:paraId="5538F801">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5</w:t>
      </w:r>
      <w:r>
        <w:rPr>
          <w:rFonts w:hint="default" w:ascii="Times New Roman" w:hAnsi="Times New Roman" w:cs="Times New Roman"/>
          <w:sz w:val="24"/>
          <w:lang w:eastAsia="zh-CN"/>
        </w:rPr>
        <w:t>）</w:t>
      </w:r>
      <w:r>
        <w:rPr>
          <w:rFonts w:hint="default" w:ascii="Times New Roman" w:hAnsi="Times New Roman" w:cs="Times New Roman"/>
          <w:kern w:val="0"/>
          <w:sz w:val="24"/>
        </w:rPr>
        <w:t>施工作业期间，施工人员需穿戴好安全防护用品，如安全帽装等。</w:t>
      </w:r>
    </w:p>
    <w:p w14:paraId="7E103D43">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6</w:t>
      </w:r>
      <w:r>
        <w:rPr>
          <w:rFonts w:hint="default" w:ascii="Times New Roman" w:hAnsi="Times New Roman" w:cs="Times New Roman"/>
          <w:sz w:val="24"/>
          <w:lang w:eastAsia="zh-CN"/>
        </w:rPr>
        <w:t>）</w:t>
      </w:r>
      <w:r>
        <w:rPr>
          <w:rFonts w:hint="default" w:ascii="Times New Roman" w:hAnsi="Times New Roman" w:cs="Times New Roman"/>
          <w:kern w:val="0"/>
          <w:sz w:val="24"/>
          <w:lang w:eastAsia="zh-CN"/>
        </w:rPr>
        <w:t>甲方</w:t>
      </w:r>
      <w:r>
        <w:rPr>
          <w:rFonts w:hint="default" w:ascii="Times New Roman" w:hAnsi="Times New Roman" w:cs="Times New Roman"/>
          <w:kern w:val="0"/>
          <w:sz w:val="24"/>
        </w:rPr>
        <w:t>有权要求</w:t>
      </w:r>
      <w:r>
        <w:rPr>
          <w:rFonts w:hint="default" w:ascii="Times New Roman" w:hAnsi="Times New Roman" w:cs="Times New Roman"/>
          <w:kern w:val="0"/>
          <w:sz w:val="24"/>
          <w:lang w:eastAsia="zh-CN"/>
        </w:rPr>
        <w:t>乙方</w:t>
      </w:r>
      <w:r>
        <w:rPr>
          <w:rFonts w:hint="default" w:ascii="Times New Roman" w:hAnsi="Times New Roman" w:cs="Times New Roman"/>
          <w:kern w:val="0"/>
          <w:sz w:val="24"/>
        </w:rPr>
        <w:t>对不称职人员进行更换，更换时间不超过2个工作日。</w:t>
      </w:r>
    </w:p>
    <w:p w14:paraId="398278AF">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7</w:t>
      </w:r>
      <w:r>
        <w:rPr>
          <w:rFonts w:hint="default" w:ascii="Times New Roman" w:hAnsi="Times New Roman" w:cs="Times New Roman"/>
          <w:sz w:val="24"/>
          <w:lang w:eastAsia="zh-CN"/>
        </w:rPr>
        <w:t>）</w:t>
      </w:r>
      <w:r>
        <w:rPr>
          <w:rFonts w:hint="default" w:ascii="Times New Roman" w:hAnsi="Times New Roman" w:cs="Times New Roman"/>
          <w:kern w:val="0"/>
          <w:sz w:val="24"/>
          <w:lang w:eastAsia="zh-CN"/>
        </w:rPr>
        <w:t>乙方</w:t>
      </w:r>
      <w:r>
        <w:rPr>
          <w:rFonts w:hint="default" w:ascii="Times New Roman" w:hAnsi="Times New Roman" w:cs="Times New Roman"/>
          <w:kern w:val="0"/>
          <w:sz w:val="24"/>
        </w:rPr>
        <w:t>须为每位施工人员购买保险。</w:t>
      </w:r>
    </w:p>
    <w:p w14:paraId="3A7D3318">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8</w:t>
      </w:r>
      <w:r>
        <w:rPr>
          <w:rFonts w:hint="default" w:ascii="Times New Roman" w:hAnsi="Times New Roman" w:cs="Times New Roman"/>
          <w:sz w:val="24"/>
          <w:lang w:eastAsia="zh-CN"/>
        </w:rPr>
        <w:t>）</w:t>
      </w:r>
      <w:r>
        <w:rPr>
          <w:rFonts w:hint="default" w:ascii="Times New Roman" w:hAnsi="Times New Roman" w:cs="Times New Roman"/>
          <w:sz w:val="24"/>
        </w:rPr>
        <w:t>施工过程中出现的安全事故由</w:t>
      </w:r>
      <w:r>
        <w:rPr>
          <w:rFonts w:hint="default" w:ascii="Times New Roman" w:hAnsi="Times New Roman" w:cs="Times New Roman"/>
          <w:sz w:val="24"/>
          <w:lang w:eastAsia="zh-CN"/>
        </w:rPr>
        <w:t>乙方</w:t>
      </w:r>
      <w:r>
        <w:rPr>
          <w:rFonts w:hint="default" w:ascii="Times New Roman" w:hAnsi="Times New Roman" w:cs="Times New Roman"/>
          <w:sz w:val="24"/>
        </w:rPr>
        <w:t>自行承担。</w:t>
      </w:r>
    </w:p>
    <w:p w14:paraId="564CB8DB">
      <w:pPr>
        <w:spacing w:line="360" w:lineRule="auto"/>
        <w:rPr>
          <w:rFonts w:hint="default" w:ascii="Times New Roman" w:hAnsi="Times New Roman" w:cs="Times New Roman"/>
        </w:rPr>
      </w:pPr>
      <w:bookmarkStart w:id="12" w:name="_Toc27495480"/>
    </w:p>
    <w:p w14:paraId="62D62287">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r>
        <w:rPr>
          <w:rFonts w:hint="default" w:ascii="Times New Roman" w:hAnsi="Times New Roman" w:cs="Times New Roman"/>
          <w:b/>
          <w:lang w:val="en-US" w:eastAsia="zh-CN"/>
        </w:rPr>
        <w:t>服务</w:t>
      </w:r>
      <w:bookmarkEnd w:id="12"/>
      <w:r>
        <w:rPr>
          <w:rFonts w:hint="eastAsia" w:ascii="Times New Roman" w:cs="Times New Roman"/>
          <w:b/>
          <w:lang w:val="en-US" w:eastAsia="zh-CN"/>
        </w:rPr>
        <w:t>工作要求</w:t>
      </w:r>
    </w:p>
    <w:p w14:paraId="12EF5B05">
      <w:pPr>
        <w:tabs>
          <w:tab w:val="left" w:pos="567"/>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lang w:val="en-US" w:eastAsia="zh-CN"/>
        </w:rPr>
        <w:t>1、</w:t>
      </w:r>
      <w:r>
        <w:rPr>
          <w:rFonts w:hint="eastAsia" w:ascii="Times New Roman" w:cs="Times New Roman"/>
          <w:lang w:val="en-US" w:eastAsia="zh-CN"/>
        </w:rPr>
        <w:t>服务时间</w:t>
      </w:r>
      <w:r>
        <w:rPr>
          <w:rFonts w:hint="default" w:ascii="Times New Roman" w:hAnsi="Times New Roman" w:cs="Times New Roman"/>
        </w:rPr>
        <w:t>：</w:t>
      </w:r>
      <w:r>
        <w:rPr>
          <w:rFonts w:hint="eastAsia" w:hAnsi="宋体" w:cs="宋体"/>
          <w:color w:val="auto"/>
          <w:sz w:val="24"/>
          <w:szCs w:val="24"/>
          <w:highlight w:val="none"/>
          <w:lang w:val="en-US" w:eastAsia="zh-CN"/>
        </w:rPr>
        <w:t>乙方需在2025年12月31日前</w:t>
      </w:r>
      <w:r>
        <w:rPr>
          <w:rFonts w:hint="eastAsia" w:ascii="宋体" w:hAnsi="宋体" w:eastAsia="宋体" w:cs="宋体"/>
          <w:color w:val="auto"/>
          <w:sz w:val="24"/>
          <w:szCs w:val="24"/>
          <w:highlight w:val="none"/>
          <w:lang w:val="en-US" w:eastAsia="zh-CN"/>
        </w:rPr>
        <w:t>完成</w:t>
      </w:r>
      <w:r>
        <w:rPr>
          <w:rFonts w:hint="eastAsia" w:hAnsi="宋体" w:cs="宋体"/>
          <w:color w:val="auto"/>
          <w:sz w:val="24"/>
          <w:szCs w:val="24"/>
          <w:highlight w:val="none"/>
          <w:lang w:val="en-US" w:eastAsia="zh-CN"/>
        </w:rPr>
        <w:t>清单货物的货到现场，且</w:t>
      </w:r>
      <w:r>
        <w:rPr>
          <w:rFonts w:hint="default" w:hAnsi="宋体" w:cs="宋体"/>
          <w:color w:val="auto"/>
          <w:sz w:val="24"/>
          <w:szCs w:val="24"/>
          <w:highlight w:val="none"/>
          <w:lang w:val="en-US" w:eastAsia="zh-CN"/>
        </w:rPr>
        <w:t>搭建市区厂能源在线监测系统并将能耗数据上传至东莞市智慧能源平台</w:t>
      </w:r>
      <w:r>
        <w:rPr>
          <w:rFonts w:hint="eastAsia" w:ascii="宋体" w:hAnsi="宋体" w:eastAsia="宋体" w:cs="宋体"/>
          <w:color w:val="auto"/>
          <w:sz w:val="24"/>
          <w:szCs w:val="24"/>
          <w:highlight w:val="none"/>
          <w:lang w:val="en-US" w:eastAsia="zh-CN"/>
        </w:rPr>
        <w:t>。</w:t>
      </w:r>
    </w:p>
    <w:p w14:paraId="584E8E38">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Times New Roman" w:hAnsi="Times New Roman" w:cs="Times New Roman"/>
          <w:lang w:val="en-US" w:eastAsia="zh-CN"/>
        </w:rPr>
        <w:t>2、服务地点</w:t>
      </w:r>
      <w:r>
        <w:rPr>
          <w:rFonts w:hint="default" w:ascii="Times New Roman" w:hAnsi="Times New Roman" w:cs="Times New Roman"/>
        </w:rPr>
        <w:t>：</w:t>
      </w:r>
      <w:r>
        <w:rPr>
          <w:rFonts w:hint="eastAsia" w:hAnsi="宋体"/>
          <w:sz w:val="24"/>
          <w:szCs w:val="24"/>
          <w:highlight w:val="none"/>
          <w:lang w:val="en-US" w:eastAsia="zh-CN"/>
        </w:rPr>
        <w:t>市区污水处理厂</w:t>
      </w:r>
      <w:r>
        <w:rPr>
          <w:rFonts w:hint="eastAsia" w:ascii="宋体" w:hAnsi="宋体" w:eastAsia="宋体" w:cs="宋体"/>
          <w:color w:val="auto"/>
          <w:sz w:val="24"/>
          <w:szCs w:val="24"/>
          <w:highlight w:val="none"/>
          <w:lang w:val="en-US" w:eastAsia="zh-CN"/>
        </w:rPr>
        <w:t>。</w:t>
      </w:r>
    </w:p>
    <w:p w14:paraId="47E426E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sz w:val="24"/>
          <w:lang w:val="en-US"/>
        </w:rPr>
      </w:pPr>
      <w:r>
        <w:rPr>
          <w:rFonts w:hint="default" w:ascii="Times New Roman" w:hAnsi="Times New Roman" w:cs="Times New Roman"/>
          <w:lang w:val="en-US" w:eastAsia="zh-CN"/>
        </w:rPr>
        <w:t>3、服务要求：</w:t>
      </w:r>
      <w:r>
        <w:rPr>
          <w:rFonts w:hint="eastAsia" w:hAnsi="宋体" w:cs="宋体"/>
          <w:b w:val="0"/>
          <w:bCs/>
          <w:color w:val="auto"/>
          <w:sz w:val="24"/>
          <w:szCs w:val="24"/>
          <w:highlight w:val="none"/>
          <w:lang w:val="en-US" w:eastAsia="zh-CN"/>
        </w:rPr>
        <w:t>乙方需建设市区厂丙级能源在线监测系统，将市区厂12个低压变压器智能电表的用电量数据上传至能源在线监测系统，同时将市区厂的能耗数据上传至</w:t>
      </w:r>
      <w:r>
        <w:rPr>
          <w:rFonts w:hint="eastAsia" w:hAnsi="宋体" w:cs="宋体"/>
          <w:color w:val="auto"/>
          <w:sz w:val="24"/>
          <w:szCs w:val="24"/>
          <w:highlight w:val="none"/>
          <w:lang w:val="en-US" w:eastAsia="zh-CN"/>
        </w:rPr>
        <w:t>东莞市智慧能源平台，最终成果需满足东莞市能源和信用中心相关要求。服务、施工期间不得导致甲方停电，若导致甲方停电，甲方所产生的损失将由乙方承担。</w:t>
      </w:r>
    </w:p>
    <w:p w14:paraId="74787390">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hAnsi="宋体" w:cs="宋体"/>
          <w:color w:val="auto"/>
          <w:sz w:val="24"/>
          <w:szCs w:val="24"/>
          <w:highlight w:val="none"/>
          <w:lang w:val="en-US" w:eastAsia="zh-CN"/>
        </w:rPr>
        <w:t>乙方应对市区厂能源在线监测平台数据及上传至市平台数据的真实性、准确性、可靠性负责。</w:t>
      </w:r>
    </w:p>
    <w:p w14:paraId="5BB18F41">
      <w:pPr>
        <w:spacing w:line="360" w:lineRule="auto"/>
        <w:rPr>
          <w:rFonts w:hint="default" w:ascii="Times New Roman" w:hAnsi="Times New Roman" w:cs="Times New Roman"/>
        </w:rPr>
      </w:pPr>
    </w:p>
    <w:p w14:paraId="45E92842">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3" w:name="_Toc27495481"/>
      <w:r>
        <w:rPr>
          <w:rFonts w:hint="default" w:ascii="Times New Roman" w:hAnsi="Times New Roman" w:cs="Times New Roman"/>
          <w:b/>
          <w:lang w:val="en-US" w:eastAsia="zh-CN"/>
        </w:rPr>
        <w:t>验收</w:t>
      </w:r>
      <w:bookmarkEnd w:id="13"/>
      <w:r>
        <w:rPr>
          <w:rFonts w:hint="default" w:ascii="Times New Roman" w:hAnsi="Times New Roman" w:cs="Times New Roman"/>
          <w:b/>
          <w:lang w:val="en-US" w:eastAsia="zh-CN"/>
        </w:rPr>
        <w:t>要求</w:t>
      </w:r>
    </w:p>
    <w:p w14:paraId="1A1AB022">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bookmarkStart w:id="14" w:name="_Toc27495483"/>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验收：验收分</w:t>
      </w:r>
      <w:r>
        <w:rPr>
          <w:rFonts w:hint="eastAsia" w:hAnsi="宋体" w:cs="宋体"/>
          <w:color w:val="auto"/>
          <w:sz w:val="24"/>
          <w:szCs w:val="24"/>
          <w:highlight w:val="none"/>
          <w:lang w:val="en-US" w:eastAsia="zh-CN"/>
        </w:rPr>
        <w:t>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w:t>
      </w:r>
      <w:r>
        <w:rPr>
          <w:rFonts w:hint="eastAsia" w:ascii="宋体" w:hAnsi="宋体" w:eastAsia="宋体" w:cs="宋体"/>
          <w:color w:val="auto"/>
          <w:sz w:val="24"/>
          <w:szCs w:val="24"/>
          <w:highlight w:val="none"/>
          <w:lang w:val="en-US" w:eastAsia="zh-CN"/>
        </w:rPr>
        <w:t>货</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货物</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到现场初步验收和</w:t>
      </w:r>
      <w:r>
        <w:rPr>
          <w:rFonts w:hint="eastAsia" w:hAnsi="宋体" w:cs="宋体"/>
          <w:color w:val="auto"/>
          <w:sz w:val="24"/>
          <w:szCs w:val="24"/>
          <w:highlight w:val="none"/>
          <w:lang w:val="en-US" w:eastAsia="zh-CN"/>
        </w:rPr>
        <w:t>完成搭建市区厂丙级能源在线监测平台及对接市平台</w:t>
      </w:r>
      <w:r>
        <w:rPr>
          <w:rFonts w:hint="eastAsia" w:ascii="宋体" w:hAnsi="宋体" w:eastAsia="宋体" w:cs="宋体"/>
          <w:color w:val="auto"/>
          <w:sz w:val="24"/>
          <w:szCs w:val="24"/>
          <w:highlight w:val="none"/>
        </w:rPr>
        <w:t>后的最终验收。</w:t>
      </w:r>
    </w:p>
    <w:p w14:paraId="30DBE564">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①初步验收：货物运抵交货地点后 3 日内，</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（含</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委托的第三方）、</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代表共同验货。</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按照合同及采购文件、国家相关法律法规以及规范的要求等相关的规定，对货物的品种、品牌、产地、型号规格、数量、外观质量、资料等进行清点和全面的检验，并作详细的记录。</w:t>
      </w:r>
    </w:p>
    <w:p w14:paraId="330690E3">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初步验收如发现货物与合同不符，或货物短缺、质次、损坏等问题，应作详细记录，</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可拒绝收货，或由</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在</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规定的时间内立即、无条件为</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调换或补齐，调换或补齐后的货物，</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有权按照本条有关验收的规定进行验收，由此产生的制造、修理和运费及保险费等费用均应由</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负担，与</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无关。</w:t>
      </w:r>
    </w:p>
    <w:p w14:paraId="31FD3A89">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初步验收合格后，</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出具相关签收手续</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并由甲乙双方共同书面确认初步验收结果</w:t>
      </w:r>
      <w:r>
        <w:rPr>
          <w:rFonts w:hint="eastAsia" w:ascii="宋体" w:hAnsi="宋体" w:eastAsia="宋体" w:cs="宋体"/>
          <w:color w:val="auto"/>
          <w:sz w:val="24"/>
          <w:szCs w:val="24"/>
          <w:highlight w:val="none"/>
        </w:rPr>
        <w:t>。</w:t>
      </w:r>
    </w:p>
    <w:p w14:paraId="1A434DFF">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最终验收：</w:t>
      </w:r>
      <w:r>
        <w:rPr>
          <w:rFonts w:hint="eastAsia" w:hAnsi="宋体" w:cs="宋体"/>
          <w:color w:val="auto"/>
          <w:sz w:val="24"/>
          <w:szCs w:val="24"/>
          <w:highlight w:val="none"/>
          <w:lang w:val="en-US" w:eastAsia="zh-CN"/>
        </w:rPr>
        <w:t>所供货物完成安装调试、建设好市区厂的丙级能源在线监测系统且市区厂能源数据</w:t>
      </w:r>
      <w:r>
        <w:rPr>
          <w:rFonts w:hint="eastAsia" w:ascii="宋体" w:hAnsi="宋体" w:eastAsia="宋体" w:cs="宋体"/>
          <w:color w:val="auto"/>
          <w:sz w:val="24"/>
          <w:szCs w:val="24"/>
          <w:highlight w:val="none"/>
        </w:rPr>
        <w:t>稳定</w:t>
      </w:r>
      <w:r>
        <w:rPr>
          <w:rFonts w:hint="eastAsia" w:hAnsi="宋体" w:cs="宋体"/>
          <w:color w:val="auto"/>
          <w:sz w:val="24"/>
          <w:szCs w:val="24"/>
          <w:highlight w:val="none"/>
          <w:lang w:val="en-US" w:eastAsia="zh-CN"/>
        </w:rPr>
        <w:t>上传市平台</w:t>
      </w:r>
      <w:r>
        <w:rPr>
          <w:rFonts w:hint="eastAsia" w:ascii="宋体" w:hAnsi="宋体" w:eastAsia="宋体" w:cs="宋体"/>
          <w:color w:val="auto"/>
          <w:sz w:val="24"/>
          <w:szCs w:val="24"/>
          <w:highlight w:val="none"/>
        </w:rPr>
        <w:t>后，</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对</w:t>
      </w:r>
      <w:r>
        <w:rPr>
          <w:rFonts w:hint="eastAsia" w:hAnsi="宋体" w:cs="宋体"/>
          <w:color w:val="auto"/>
          <w:sz w:val="24"/>
          <w:szCs w:val="24"/>
          <w:highlight w:val="none"/>
          <w:lang w:val="en-US" w:eastAsia="zh-CN"/>
        </w:rPr>
        <w:t>平台</w:t>
      </w:r>
      <w:r>
        <w:rPr>
          <w:rFonts w:hint="eastAsia" w:ascii="宋体" w:hAnsi="宋体" w:eastAsia="宋体" w:cs="宋体"/>
          <w:color w:val="auto"/>
          <w:sz w:val="24"/>
          <w:szCs w:val="24"/>
          <w:highlight w:val="none"/>
          <w:lang w:val="en-US" w:eastAsia="zh-CN"/>
        </w:rPr>
        <w:t>的测试结果</w:t>
      </w:r>
      <w:r>
        <w:rPr>
          <w:rFonts w:hint="eastAsia" w:ascii="宋体" w:hAnsi="宋体" w:eastAsia="宋体" w:cs="宋体"/>
          <w:color w:val="auto"/>
          <w:sz w:val="24"/>
          <w:szCs w:val="24"/>
          <w:highlight w:val="none"/>
        </w:rPr>
        <w:t>进行检测，并做好详细的检测记录。检测结果应符合采购文件、国家相关法律法规以及规范的要求等相关的规定，如</w:t>
      </w:r>
      <w:r>
        <w:rPr>
          <w:rFonts w:hint="eastAsia" w:ascii="宋体" w:hAnsi="宋体" w:eastAsia="宋体" w:cs="宋体"/>
          <w:color w:val="auto"/>
          <w:sz w:val="24"/>
          <w:szCs w:val="24"/>
          <w:highlight w:val="none"/>
          <w:lang w:val="en-US" w:eastAsia="zh-CN"/>
        </w:rPr>
        <w:t>项目质量达不到厂区</w:t>
      </w:r>
      <w:r>
        <w:rPr>
          <w:rFonts w:hint="eastAsia" w:ascii="宋体" w:hAnsi="宋体" w:eastAsia="宋体" w:cs="宋体"/>
          <w:color w:val="auto"/>
          <w:sz w:val="24"/>
          <w:szCs w:val="24"/>
          <w:highlight w:val="none"/>
        </w:rPr>
        <w:t>运营要求，</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需在</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规定的时间内立即、无条件为</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整改</w:t>
      </w:r>
      <w:r>
        <w:rPr>
          <w:rFonts w:hint="eastAsia" w:ascii="宋体" w:hAnsi="宋体" w:eastAsia="宋体" w:cs="宋体"/>
          <w:color w:val="auto"/>
          <w:sz w:val="24"/>
          <w:szCs w:val="24"/>
          <w:highlight w:val="none"/>
        </w:rPr>
        <w:t>，直至满足</w:t>
      </w:r>
      <w:r>
        <w:rPr>
          <w:rFonts w:hint="eastAsia" w:ascii="宋体" w:hAnsi="宋体" w:eastAsia="宋体" w:cs="宋体"/>
          <w:color w:val="auto"/>
          <w:sz w:val="24"/>
          <w:szCs w:val="24"/>
          <w:highlight w:val="none"/>
          <w:lang w:val="en-US" w:eastAsia="zh-CN"/>
        </w:rPr>
        <w:t>厂区</w:t>
      </w:r>
      <w:r>
        <w:rPr>
          <w:rFonts w:hint="eastAsia" w:ascii="宋体" w:hAnsi="宋体" w:eastAsia="宋体" w:cs="宋体"/>
          <w:color w:val="auto"/>
          <w:sz w:val="24"/>
          <w:szCs w:val="24"/>
          <w:highlight w:val="none"/>
        </w:rPr>
        <w:t>的运营要求，由此产生的制造、运费、安装及保险费等费用均应由</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负担，与</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无关。</w:t>
      </w:r>
    </w:p>
    <w:p w14:paraId="4BA8903F">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经最终验收合格，</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向</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出具书面的验收合格报告，</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共同签字确认。</w:t>
      </w:r>
    </w:p>
    <w:p w14:paraId="2D62B838">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3、由于非</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原因而引起</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货物</w:t>
      </w:r>
      <w:r>
        <w:rPr>
          <w:rFonts w:hint="eastAsia" w:hAnsi="宋体" w:cs="宋体"/>
          <w:color w:val="auto"/>
          <w:sz w:val="24"/>
          <w:szCs w:val="24"/>
          <w:highlight w:val="none"/>
          <w:lang w:val="en-US" w:eastAsia="zh-CN"/>
        </w:rPr>
        <w:t>或平台</w:t>
      </w:r>
      <w:r>
        <w:rPr>
          <w:rFonts w:hint="eastAsia" w:ascii="宋体" w:hAnsi="宋体" w:eastAsia="宋体" w:cs="宋体"/>
          <w:color w:val="auto"/>
          <w:sz w:val="24"/>
          <w:szCs w:val="24"/>
          <w:highlight w:val="none"/>
          <w:lang w:val="en-US" w:eastAsia="zh-CN"/>
        </w:rPr>
        <w:t>的修理或更换的时间，以不影响生产为原则，否则将视为逾期交货。</w:t>
      </w:r>
    </w:p>
    <w:p w14:paraId="7F673D6F">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根据本条约定对货物</w:t>
      </w:r>
      <w:r>
        <w:rPr>
          <w:rFonts w:hint="eastAsia" w:hAnsi="宋体" w:cs="宋体"/>
          <w:color w:val="auto"/>
          <w:sz w:val="24"/>
          <w:szCs w:val="24"/>
          <w:highlight w:val="none"/>
          <w:lang w:val="en-US" w:eastAsia="zh-CN"/>
        </w:rPr>
        <w:t>及平台</w:t>
      </w:r>
      <w:r>
        <w:rPr>
          <w:rFonts w:hint="eastAsia" w:ascii="宋体" w:hAnsi="宋体" w:eastAsia="宋体" w:cs="宋体"/>
          <w:color w:val="auto"/>
          <w:sz w:val="24"/>
          <w:szCs w:val="24"/>
          <w:highlight w:val="none"/>
          <w:lang w:val="en-US" w:eastAsia="zh-CN"/>
        </w:rPr>
        <w:t>所做出的验收，仅作为起算付款及质保期之用，不视为双方对于货物质量的最终认定。项目经验收合格后，</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仍应在质保期内对产品质量承担保证责任。</w:t>
      </w:r>
    </w:p>
    <w:p w14:paraId="3E788399">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货物在全部经</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验收合格前，其损耗、毁损、灭失等风险及责任由</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承担，如因发生前述情形，导致</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所供应的货物不能通过</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验收的，</w:t>
      </w:r>
      <w:r>
        <w:rPr>
          <w:rFonts w:hint="eastAsia"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应按</w:t>
      </w:r>
      <w:r>
        <w:rPr>
          <w:rFonts w:hint="eastAsia"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要求予以更换或退货。</w:t>
      </w:r>
    </w:p>
    <w:p w14:paraId="512B57CF">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rPr>
      </w:pPr>
      <w:r>
        <w:rPr>
          <w:rFonts w:hint="eastAsia" w:ascii="宋体" w:hAnsi="宋体" w:eastAsia="宋体" w:cs="宋体"/>
          <w:color w:val="auto"/>
          <w:sz w:val="24"/>
          <w:szCs w:val="24"/>
          <w:highlight w:val="none"/>
          <w:lang w:val="en-US" w:eastAsia="zh-CN"/>
        </w:rPr>
        <w:t>6、验收过程中，如对货物</w:t>
      </w:r>
      <w:r>
        <w:rPr>
          <w:rFonts w:hint="eastAsia" w:hAnsi="宋体" w:cs="宋体"/>
          <w:color w:val="auto"/>
          <w:sz w:val="24"/>
          <w:szCs w:val="24"/>
          <w:highlight w:val="none"/>
          <w:lang w:val="en-US" w:eastAsia="zh-CN"/>
        </w:rPr>
        <w:t>或平台</w:t>
      </w:r>
      <w:r>
        <w:rPr>
          <w:rFonts w:hint="eastAsia" w:ascii="宋体" w:hAnsi="宋体" w:eastAsia="宋体" w:cs="宋体"/>
          <w:color w:val="auto"/>
          <w:sz w:val="24"/>
          <w:szCs w:val="24"/>
          <w:highlight w:val="none"/>
          <w:lang w:val="en-US" w:eastAsia="zh-CN"/>
        </w:rPr>
        <w:t>验收不能取得一致意见时，一方可委托交付地有资质权威的第三方检验机构合进行检验。检验结果具有约束力，检验费用由责任方负担。</w:t>
      </w:r>
    </w:p>
    <w:p w14:paraId="05A5F300">
      <w:pPr>
        <w:spacing w:line="360" w:lineRule="auto"/>
        <w:rPr>
          <w:rFonts w:hint="default" w:ascii="Times New Roman" w:hAnsi="Times New Roman" w:cs="Times New Roman"/>
        </w:rPr>
      </w:pPr>
    </w:p>
    <w:p w14:paraId="2FADC000">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r>
        <w:rPr>
          <w:rFonts w:hint="default" w:ascii="Times New Roman" w:hAnsi="Times New Roman" w:cs="Times New Roman"/>
          <w:b/>
          <w:lang w:val="en-US" w:eastAsia="zh-CN"/>
        </w:rPr>
        <w:t>价款要求及付款方式</w:t>
      </w:r>
      <w:bookmarkEnd w:id="14"/>
    </w:p>
    <w:p w14:paraId="26D26723">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cs="Times New Roman"/>
        </w:rPr>
        <w:t>本合同价（即销售额，不含乙方销项税额）为</w:t>
      </w:r>
      <w:r>
        <w:rPr>
          <w:rFonts w:hint="default" w:ascii="Times New Roman" w:hAnsi="Times New Roman" w:cs="Times New Roman"/>
          <w:u w:val="single"/>
        </w:rPr>
        <w:t>¥</w:t>
      </w:r>
      <w:r>
        <w:rPr>
          <w:rFonts w:hint="eastAsia" w:ascii="Times New Roman" w:cs="Times New Roman"/>
          <w:u w:val="single"/>
          <w:lang w:val="en-US" w:eastAsia="zh-CN"/>
        </w:rPr>
        <w:t xml:space="preserve">      </w:t>
      </w:r>
      <w:r>
        <w:rPr>
          <w:rFonts w:hint="default" w:ascii="Times New Roman" w:hAnsi="Times New Roman" w:cs="Times New Roman"/>
          <w:u w:val="single"/>
        </w:rPr>
        <w:t>元</w:t>
      </w:r>
      <w:r>
        <w:rPr>
          <w:rFonts w:hint="default" w:ascii="Times New Roman" w:hAnsi="Times New Roman" w:cs="Times New Roman"/>
        </w:rPr>
        <w:t>（大写人民</w:t>
      </w:r>
    </w:p>
    <w:p w14:paraId="323B4EC5">
      <w:pPr>
        <w:numPr>
          <w:ilvl w:val="0"/>
          <w:numId w:val="0"/>
        </w:numPr>
        <w:spacing w:line="360" w:lineRule="auto"/>
        <w:rPr>
          <w:rFonts w:hint="default" w:ascii="Times New Roman" w:hAnsi="Times New Roman" w:cs="Times New Roman"/>
        </w:rPr>
      </w:pPr>
      <w:r>
        <w:rPr>
          <w:rFonts w:hint="default" w:ascii="Times New Roman" w:hAnsi="Times New Roman" w:cs="Times New Roman"/>
        </w:rPr>
        <w:t>币</w:t>
      </w:r>
      <w:r>
        <w:rPr>
          <w:rFonts w:hint="eastAsia" w:ascii="Times New Roman" w:cs="Times New Roman"/>
          <w:u w:val="single"/>
          <w:lang w:val="en-US" w:eastAsia="zh-CN"/>
        </w:rPr>
        <w:t xml:space="preserve">          </w:t>
      </w:r>
      <w:r>
        <w:rPr>
          <w:rFonts w:hint="default" w:ascii="Times New Roman" w:hAnsi="Times New Roman" w:cs="Times New Roman"/>
        </w:rPr>
        <w:t>）。以上合同价（即销售额，不含乙方销项税额）包含但不限于</w:t>
      </w:r>
      <w:r>
        <w:rPr>
          <w:rFonts w:hint="default" w:ascii="Times New Roman" w:hAnsi="Times New Roman" w:cs="Times New Roman"/>
          <w:sz w:val="24"/>
        </w:rPr>
        <w:t>本次</w:t>
      </w:r>
      <w:r>
        <w:rPr>
          <w:rFonts w:hint="eastAsia" w:ascii="Times New Roman" w:cs="Times New Roman"/>
          <w:sz w:val="24"/>
          <w:lang w:val="en-US" w:eastAsia="zh-CN"/>
        </w:rPr>
        <w:t>服务的</w:t>
      </w:r>
      <w:r>
        <w:rPr>
          <w:rFonts w:hint="eastAsia" w:hAnsi="宋体" w:cs="宋体"/>
          <w:sz w:val="24"/>
          <w:szCs w:val="24"/>
          <w:highlight w:val="none"/>
          <w:lang w:val="en-US" w:eastAsia="zh-CN"/>
        </w:rPr>
        <w:t>人</w:t>
      </w:r>
      <w:r>
        <w:rPr>
          <w:rFonts w:hint="eastAsia" w:ascii="宋体" w:hAnsi="宋体" w:eastAsia="宋体" w:cs="宋体"/>
          <w:sz w:val="24"/>
          <w:szCs w:val="24"/>
          <w:highlight w:val="none"/>
          <w:lang w:val="en-US" w:eastAsia="zh-CN"/>
        </w:rPr>
        <w:t>工</w:t>
      </w:r>
      <w:r>
        <w:rPr>
          <w:rFonts w:hint="eastAsia" w:hAnsi="宋体" w:cs="宋体"/>
          <w:sz w:val="24"/>
          <w:szCs w:val="24"/>
          <w:highlight w:val="none"/>
          <w:lang w:val="en-US" w:eastAsia="zh-CN"/>
        </w:rPr>
        <w:t>费</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材</w:t>
      </w:r>
      <w:r>
        <w:rPr>
          <w:rFonts w:hint="eastAsia" w:ascii="宋体" w:hAnsi="宋体" w:eastAsia="宋体" w:cs="宋体"/>
          <w:sz w:val="24"/>
          <w:szCs w:val="24"/>
          <w:highlight w:val="none"/>
          <w:lang w:val="en-US" w:eastAsia="zh-CN"/>
        </w:rPr>
        <w:t>料</w:t>
      </w:r>
      <w:r>
        <w:rPr>
          <w:rFonts w:hint="eastAsia" w:hAnsi="宋体" w:cs="宋体"/>
          <w:sz w:val="24"/>
          <w:szCs w:val="24"/>
          <w:highlight w:val="none"/>
          <w:lang w:val="en-US" w:eastAsia="zh-CN"/>
        </w:rPr>
        <w:t>费</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运费、</w:t>
      </w:r>
      <w:r>
        <w:rPr>
          <w:rFonts w:hint="eastAsia" w:hAnsi="宋体" w:cs="宋体"/>
          <w:sz w:val="24"/>
          <w:szCs w:val="24"/>
          <w:highlight w:val="none"/>
          <w:lang w:val="en-US" w:eastAsia="zh-CN"/>
        </w:rPr>
        <w:t>安全措施费、</w:t>
      </w:r>
      <w:r>
        <w:rPr>
          <w:rFonts w:hint="eastAsia" w:ascii="宋体" w:hAnsi="宋体" w:eastAsia="宋体" w:cs="宋体"/>
          <w:sz w:val="24"/>
          <w:szCs w:val="24"/>
          <w:highlight w:val="none"/>
          <w:lang w:val="en-US" w:eastAsia="zh-CN"/>
        </w:rPr>
        <w:t>文明</w:t>
      </w:r>
      <w:r>
        <w:rPr>
          <w:rFonts w:hint="eastAsia" w:hAnsi="宋体" w:cs="宋体"/>
          <w:sz w:val="24"/>
          <w:szCs w:val="24"/>
          <w:highlight w:val="none"/>
          <w:lang w:val="en-US" w:eastAsia="zh-CN"/>
        </w:rPr>
        <w:t>供货费、调试费等</w:t>
      </w:r>
      <w:r>
        <w:rPr>
          <w:rFonts w:hint="eastAsia" w:ascii="宋体" w:hAnsi="宋体" w:eastAsia="宋体" w:cs="宋体"/>
          <w:sz w:val="24"/>
          <w:szCs w:val="24"/>
          <w:highlight w:val="none"/>
          <w:lang w:val="en-US" w:eastAsia="zh-CN"/>
        </w:rPr>
        <w:t>与本项目相关的费用、</w:t>
      </w:r>
      <w:r>
        <w:rPr>
          <w:rFonts w:hint="default" w:ascii="Times New Roman" w:hAnsi="Times New Roman" w:cs="Times New Roman"/>
          <w:sz w:val="24"/>
          <w:lang w:val="en-US" w:eastAsia="zh-CN"/>
        </w:rPr>
        <w:t>乙方</w:t>
      </w:r>
      <w:r>
        <w:rPr>
          <w:rFonts w:hint="default" w:ascii="Times New Roman" w:hAnsi="Times New Roman" w:cs="Times New Roman"/>
          <w:color w:val="000000"/>
          <w:kern w:val="0"/>
          <w:sz w:val="24"/>
        </w:rPr>
        <w:t>销项税额以外的</w:t>
      </w:r>
      <w:r>
        <w:rPr>
          <w:rFonts w:hint="default" w:ascii="Times New Roman" w:hAnsi="Times New Roman" w:cs="Times New Roman"/>
          <w:sz w:val="24"/>
        </w:rPr>
        <w:t>税费、安全生产措施费、材料检验费、保险、质保期免费上门提供售后服务、责任等各项应有费用（包括人工、材料、机械等上涨风险费用）。</w:t>
      </w:r>
      <w:r>
        <w:rPr>
          <w:rFonts w:hint="default" w:ascii="Times New Roman" w:hAnsi="Times New Roman" w:cs="Times New Roman"/>
        </w:rPr>
        <w:t>在本合同履行过程中，合同价（即销售额，不含乙方销项税额）不随法律法规政策、物价人工、工期调整而进行调整，未经甲方书面确认，乙方无权增加任何费用。</w:t>
      </w:r>
    </w:p>
    <w:p w14:paraId="0BFC3CF4">
      <w:pPr>
        <w:numPr>
          <w:ilvl w:val="0"/>
          <w:numId w:val="4"/>
        </w:numPr>
        <w:spacing w:line="360" w:lineRule="auto"/>
        <w:ind w:left="480" w:leftChars="0" w:firstLine="0" w:firstLineChars="0"/>
        <w:rPr>
          <w:rFonts w:hint="default" w:ascii="Times New Roman" w:hAnsi="Times New Roman" w:cs="Times New Roman"/>
        </w:rPr>
      </w:pPr>
      <w:r>
        <w:rPr>
          <w:rFonts w:hint="default" w:ascii="Times New Roman" w:hAnsi="Times New Roman" w:cs="Times New Roman"/>
        </w:rPr>
        <w:t>依法计得并根据本合同约定确定的销项税额由甲方承担。根据《中华人民共</w:t>
      </w:r>
    </w:p>
    <w:p w14:paraId="4BE62D37">
      <w:pPr>
        <w:numPr>
          <w:ilvl w:val="0"/>
          <w:numId w:val="0"/>
        </w:numPr>
        <w:spacing w:line="360" w:lineRule="auto"/>
        <w:rPr>
          <w:rFonts w:hint="default" w:ascii="Times New Roman" w:hAnsi="Times New Roman" w:cs="Times New Roman"/>
        </w:rPr>
      </w:pPr>
      <w:r>
        <w:rPr>
          <w:rFonts w:hint="default" w:ascii="Times New Roman" w:hAnsi="Times New Roman" w:cs="Times New Roman"/>
        </w:rPr>
        <w:t>和国增值税暂行条例》（国务院令第691号修订版）及当前税务部门的相关规定，本合同项目的增值税税率为</w:t>
      </w:r>
      <w:r>
        <w:rPr>
          <w:rFonts w:hint="eastAsia" w:ascii="Times New Roman" w:cs="Times New Roman"/>
          <w:u w:val="single"/>
          <w:lang w:val="en-US" w:eastAsia="zh-CN"/>
        </w:rPr>
        <w:t xml:space="preserve">   </w:t>
      </w:r>
      <w:r>
        <w:rPr>
          <w:rFonts w:hint="default" w:ascii="Times New Roman" w:hAnsi="Times New Roman" w:cs="Times New Roman"/>
          <w:u w:val="single"/>
          <w:lang w:val="en-US" w:eastAsia="zh-CN"/>
        </w:rPr>
        <w:t>%</w:t>
      </w:r>
      <w:r>
        <w:rPr>
          <w:rFonts w:hint="default" w:ascii="Times New Roman" w:hAnsi="Times New Roman" w:cs="Times New Roman"/>
        </w:rPr>
        <w:t>，对应的销项税额为</w:t>
      </w:r>
      <w:r>
        <w:rPr>
          <w:rFonts w:hint="default" w:ascii="Times New Roman" w:hAnsi="Times New Roman" w:cs="Times New Roman"/>
          <w:u w:val="single"/>
        </w:rPr>
        <w:t>¥</w:t>
      </w:r>
      <w:r>
        <w:rPr>
          <w:rFonts w:hint="eastAsia" w:ascii="Times New Roman" w:cs="Times New Roman"/>
          <w:u w:val="single"/>
          <w:lang w:val="en-US" w:eastAsia="zh-CN"/>
        </w:rPr>
        <w:t xml:space="preserve">     </w:t>
      </w:r>
      <w:r>
        <w:rPr>
          <w:rFonts w:hint="default" w:ascii="Times New Roman" w:hAnsi="Times New Roman" w:cs="Times New Roman"/>
          <w:u w:val="single"/>
        </w:rPr>
        <w:t>元</w:t>
      </w:r>
      <w:r>
        <w:rPr>
          <w:rFonts w:hint="default" w:ascii="Times New Roman" w:hAnsi="Times New Roman" w:cs="Times New Roman"/>
        </w:rPr>
        <w:t>（大写人民币</w:t>
      </w:r>
      <w:r>
        <w:rPr>
          <w:rFonts w:hint="eastAsia" w:ascii="Times New Roman" w:cs="Times New Roman"/>
          <w:u w:val="single"/>
          <w:lang w:val="en-US" w:eastAsia="zh-CN"/>
        </w:rPr>
        <w:t xml:space="preserve">         </w:t>
      </w:r>
      <w:r>
        <w:rPr>
          <w:rFonts w:hint="default" w:ascii="Times New Roman" w:hAnsi="Times New Roman" w:cs="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3FFF1312">
      <w:pPr>
        <w:pStyle w:val="28"/>
        <w:spacing w:line="360" w:lineRule="auto"/>
        <w:ind w:firstLine="480"/>
        <w:rPr>
          <w:rFonts w:hint="default" w:ascii="Times New Roman" w:hAnsi="Times New Roman" w:cs="Times New Roman"/>
        </w:rPr>
      </w:pPr>
      <w:r>
        <w:rPr>
          <w:rFonts w:hint="default" w:ascii="Times New Roman" w:hAnsi="Times New Roman" w:cs="Times New Roman"/>
        </w:rPr>
        <w:t>因乙方未按法定税率计算税额或未根据本合同约定出具对应税额的增值税专用发票等原因导致甲方多支付税额的，乙方必须退还甲方，给甲方造成损失的，乙方须向甲方赔偿相应损失。</w:t>
      </w:r>
    </w:p>
    <w:p w14:paraId="61C405CB">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cs="Times New Roman"/>
        </w:rPr>
        <w:t>合同价税合计为</w:t>
      </w:r>
      <w:r>
        <w:rPr>
          <w:rFonts w:hint="default" w:ascii="Times New Roman" w:hAnsi="Times New Roman" w:cs="Times New Roman"/>
          <w:u w:val="single"/>
        </w:rPr>
        <w:t>¥</w:t>
      </w:r>
      <w:r>
        <w:rPr>
          <w:rFonts w:hint="eastAsia" w:ascii="Times New Roman" w:cs="Times New Roman"/>
          <w:u w:val="single"/>
          <w:lang w:val="en-US" w:eastAsia="zh-CN"/>
        </w:rPr>
        <w:t xml:space="preserve">      </w:t>
      </w:r>
      <w:r>
        <w:rPr>
          <w:rFonts w:hint="default" w:ascii="Times New Roman" w:hAnsi="Times New Roman" w:cs="Times New Roman"/>
          <w:u w:val="single"/>
        </w:rPr>
        <w:t>元</w:t>
      </w:r>
      <w:r>
        <w:rPr>
          <w:rFonts w:hint="default" w:ascii="Times New Roman" w:hAnsi="Times New Roman" w:cs="Times New Roman"/>
        </w:rPr>
        <w:t>（大写人民币</w:t>
      </w:r>
      <w:r>
        <w:rPr>
          <w:rFonts w:hint="eastAsia" w:ascii="Times New Roman" w:cs="Times New Roman"/>
          <w:u w:val="single"/>
          <w:lang w:val="en-US" w:eastAsia="zh-CN"/>
        </w:rPr>
        <w:t xml:space="preserve">             </w:t>
      </w:r>
      <w:r>
        <w:rPr>
          <w:rFonts w:hint="default" w:ascii="Times New Roman" w:hAnsi="Times New Roman" w:cs="Times New Roman"/>
        </w:rPr>
        <w:t>），合同履行期间根据本条第2项规定调整销项税额的，结算合同价税合计对应调整。</w:t>
      </w:r>
    </w:p>
    <w:p w14:paraId="2A1FB850">
      <w:pPr>
        <w:numPr>
          <w:ilvl w:val="0"/>
          <w:numId w:val="4"/>
        </w:numPr>
        <w:spacing w:line="360" w:lineRule="auto"/>
        <w:ind w:left="480" w:leftChars="0" w:firstLine="0" w:firstLineChars="0"/>
        <w:rPr>
          <w:rFonts w:hint="default" w:ascii="Times New Roman" w:hAnsi="Times New Roman" w:cs="Times New Roman"/>
        </w:rPr>
      </w:pPr>
      <w:r>
        <w:rPr>
          <w:rFonts w:hint="default" w:ascii="Times New Roman" w:hAnsi="Times New Roman" w:cs="Times New Roman"/>
        </w:rPr>
        <w:t>合同在履约过程中，乙方根据本合同约定需向甲方支付违约金、赔偿金、或</w:t>
      </w:r>
    </w:p>
    <w:p w14:paraId="356BEB67">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rPr>
      </w:pPr>
      <w:r>
        <w:rPr>
          <w:rFonts w:hint="default" w:ascii="Times New Roman" w:hAnsi="Times New Roman" w:cs="Times New Roman"/>
        </w:rPr>
        <w:t>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w:t>
      </w:r>
      <w:r>
        <w:rPr>
          <w:rFonts w:hint="default" w:ascii="Times New Roman" w:hAnsi="Times New Roman" w:eastAsia="宋体" w:cs="Times New Roman"/>
        </w:rPr>
        <w:t>合同价（销售额）开具增值税专用发票，保证增值税税额符合法律规定。</w:t>
      </w:r>
    </w:p>
    <w:p w14:paraId="5A7D1326">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imes New Roman" w:hAnsi="Times New Roman" w:eastAsia="宋体" w:cs="Times New Roman"/>
          <w:lang w:val="en-US" w:eastAsia="zh-CN"/>
        </w:rPr>
      </w:pPr>
      <w:r>
        <w:rPr>
          <w:rFonts w:hint="eastAsia" w:ascii="Times New Roman" w:cs="Times New Roman"/>
          <w:lang w:val="en-US" w:eastAsia="zh-CN"/>
        </w:rPr>
        <w:t>乙方</w:t>
      </w:r>
      <w:r>
        <w:rPr>
          <w:rFonts w:hint="eastAsia" w:ascii="Times New Roman" w:hAnsi="Times New Roman" w:eastAsia="宋体" w:cs="Times New Roman"/>
        </w:rPr>
        <w:t>完成</w:t>
      </w:r>
      <w:r>
        <w:rPr>
          <w:rFonts w:hint="eastAsia" w:ascii="Times New Roman" w:hAnsi="Times New Roman" w:eastAsia="宋体" w:cs="Times New Roman"/>
          <w:lang w:val="en-US" w:eastAsia="zh-CN"/>
        </w:rPr>
        <w:t>采购清单中货物</w:t>
      </w:r>
      <w:r>
        <w:rPr>
          <w:rFonts w:hint="eastAsia" w:ascii="Times New Roman" w:hAnsi="Times New Roman" w:eastAsia="宋体" w:cs="Times New Roman"/>
        </w:rPr>
        <w:t>的</w:t>
      </w:r>
      <w:r>
        <w:rPr>
          <w:rFonts w:hint="eastAsia" w:ascii="Times New Roman" w:hAnsi="Times New Roman" w:eastAsia="宋体" w:cs="Times New Roman"/>
          <w:lang w:eastAsia="zh-CN"/>
        </w:rPr>
        <w:t>货到现场、</w:t>
      </w:r>
      <w:r>
        <w:rPr>
          <w:rFonts w:hint="eastAsia" w:ascii="Times New Roman" w:hAnsi="Times New Roman" w:eastAsia="宋体" w:cs="Times New Roman"/>
          <w:lang w:val="en-US" w:eastAsia="zh-CN"/>
        </w:rPr>
        <w:t>安装调试，完成建设市区厂丙级能源在线监测系统且将市区厂能源数据稳定上传市平台，并经</w:t>
      </w:r>
      <w:r>
        <w:rPr>
          <w:rFonts w:hint="eastAsia" w:ascii="Times New Roman" w:cs="Times New Roman"/>
          <w:lang w:val="en-US" w:eastAsia="zh-CN"/>
        </w:rPr>
        <w:t>甲方</w:t>
      </w:r>
      <w:r>
        <w:rPr>
          <w:rFonts w:hint="eastAsia" w:ascii="Times New Roman" w:hAnsi="Times New Roman" w:eastAsia="宋体" w:cs="Times New Roman"/>
          <w:lang w:val="en-US" w:eastAsia="zh-CN"/>
        </w:rPr>
        <w:t>最终验收合格后，</w:t>
      </w:r>
      <w:r>
        <w:rPr>
          <w:rFonts w:hint="eastAsia" w:ascii="Times New Roman" w:cs="Times New Roman"/>
          <w:lang w:val="en-US" w:eastAsia="zh-CN"/>
        </w:rPr>
        <w:t>乙方</w:t>
      </w:r>
      <w:r>
        <w:rPr>
          <w:rFonts w:hint="eastAsia" w:ascii="Times New Roman" w:hAnsi="Times New Roman" w:eastAsia="宋体" w:cs="Times New Roman"/>
          <w:lang w:val="en-US" w:eastAsia="zh-CN"/>
        </w:rPr>
        <w:t>向</w:t>
      </w:r>
      <w:r>
        <w:rPr>
          <w:rFonts w:hint="eastAsia" w:ascii="Times New Roman" w:cs="Times New Roman"/>
          <w:lang w:val="en-US" w:eastAsia="zh-CN"/>
        </w:rPr>
        <w:t>甲方</w:t>
      </w:r>
      <w:r>
        <w:rPr>
          <w:rFonts w:hint="eastAsia" w:ascii="Times New Roman" w:hAnsi="Times New Roman" w:eastAsia="宋体" w:cs="Times New Roman"/>
          <w:lang w:val="en-US" w:eastAsia="zh-CN"/>
        </w:rPr>
        <w:t>提交请款报告及请款金额等额、合法、有效的增值税专用发票等请款资料，</w:t>
      </w:r>
      <w:r>
        <w:rPr>
          <w:rFonts w:hint="eastAsia" w:ascii="Times New Roman" w:cs="Times New Roman"/>
          <w:lang w:val="en-US" w:eastAsia="zh-CN"/>
        </w:rPr>
        <w:t>甲方</w:t>
      </w:r>
      <w:r>
        <w:rPr>
          <w:rFonts w:hint="eastAsia" w:ascii="Times New Roman" w:hAnsi="Times New Roman" w:eastAsia="宋体" w:cs="Times New Roman"/>
          <w:lang w:val="en-US" w:eastAsia="zh-CN"/>
        </w:rPr>
        <w:t>在收到前述材料并确认无误后30日内，</w:t>
      </w:r>
      <w:r>
        <w:rPr>
          <w:rFonts w:hint="eastAsia" w:ascii="Times New Roman" w:cs="Times New Roman"/>
          <w:lang w:val="en-US" w:eastAsia="zh-CN"/>
        </w:rPr>
        <w:t>甲方</w:t>
      </w:r>
      <w:r>
        <w:rPr>
          <w:rFonts w:hint="eastAsia" w:ascii="Times New Roman" w:hAnsi="Times New Roman" w:eastAsia="宋体" w:cs="Times New Roman"/>
          <w:lang w:val="en-US" w:eastAsia="zh-CN"/>
        </w:rPr>
        <w:t>支付合同价100%及对应的税额款项给</w:t>
      </w:r>
      <w:r>
        <w:rPr>
          <w:rFonts w:hint="eastAsia" w:ascii="Times New Roman" w:cs="Times New Roman"/>
          <w:lang w:val="en-US" w:eastAsia="zh-CN"/>
        </w:rPr>
        <w:t>乙方</w:t>
      </w:r>
      <w:r>
        <w:rPr>
          <w:rFonts w:hint="eastAsia" w:ascii="Times New Roman" w:hAnsi="Times New Roman" w:eastAsia="宋体" w:cs="Times New Roman"/>
          <w:lang w:val="en-US" w:eastAsia="zh-CN"/>
        </w:rPr>
        <w:t>。</w:t>
      </w:r>
    </w:p>
    <w:p w14:paraId="5B07A584">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cs="Times New Roman"/>
        </w:rPr>
        <w:t>以上款项由甲方直接以银行转账形式支付给乙方。乙方逾期提交请款材料</w:t>
      </w:r>
      <w:r>
        <w:rPr>
          <w:rFonts w:hint="default" w:ascii="Times New Roman" w:hAnsi="Times New Roman" w:cs="Times New Roman"/>
          <w:lang w:val="en-US" w:eastAsia="zh-CN"/>
        </w:rPr>
        <w:t>及</w:t>
      </w:r>
    </w:p>
    <w:p w14:paraId="6A48F9F8">
      <w:pPr>
        <w:numPr>
          <w:ilvl w:val="0"/>
          <w:numId w:val="0"/>
        </w:numPr>
        <w:spacing w:line="360" w:lineRule="auto"/>
        <w:rPr>
          <w:rFonts w:hint="default" w:ascii="Times New Roman" w:hAnsi="Times New Roman" w:cs="Times New Roman"/>
        </w:rPr>
      </w:pPr>
      <w:r>
        <w:rPr>
          <w:rFonts w:hint="default" w:ascii="Times New Roman" w:hAnsi="Times New Roman" w:cs="Times New Roman"/>
          <w:lang w:val="en-US" w:eastAsia="zh-CN"/>
        </w:rPr>
        <w:t>发票</w:t>
      </w:r>
      <w:r>
        <w:rPr>
          <w:rFonts w:hint="default" w:ascii="Times New Roman" w:hAnsi="Times New Roman" w:cs="Times New Roman"/>
        </w:rPr>
        <w:t>或提交材料</w:t>
      </w:r>
      <w:r>
        <w:rPr>
          <w:rFonts w:hint="eastAsia" w:ascii="Times New Roman" w:cs="Times New Roman"/>
          <w:lang w:eastAsia="zh-CN"/>
        </w:rPr>
        <w:t>、</w:t>
      </w:r>
      <w:r>
        <w:rPr>
          <w:rFonts w:hint="eastAsia" w:ascii="Times New Roman" w:cs="Times New Roman"/>
          <w:lang w:val="en-US" w:eastAsia="zh-CN"/>
        </w:rPr>
        <w:t>发票</w:t>
      </w:r>
      <w:r>
        <w:rPr>
          <w:rFonts w:hint="default" w:ascii="Times New Roman" w:hAnsi="Times New Roman" w:cs="Times New Roman"/>
        </w:rPr>
        <w:t>不符合甲方要求的，甲方有权顺延支付相应款项，并不承担逾期付款的违约责任，由于乙方提供的发票不符合税法规定，给甲方造成的损失由乙方承担赔偿责任，乙方不得以此延迟而拒绝履行合同义务。</w:t>
      </w:r>
    </w:p>
    <w:p w14:paraId="1F431F26">
      <w:pPr>
        <w:numPr>
          <w:ilvl w:val="0"/>
          <w:numId w:val="4"/>
        </w:numPr>
        <w:spacing w:line="360" w:lineRule="auto"/>
        <w:ind w:left="480" w:leftChars="0" w:firstLine="0" w:firstLineChars="0"/>
        <w:rPr>
          <w:rFonts w:hint="default" w:ascii="Times New Roman" w:hAnsi="Times New Roman" w:cs="Times New Roman"/>
        </w:rPr>
      </w:pPr>
      <w:r>
        <w:rPr>
          <w:rFonts w:hint="default" w:ascii="Times New Roman" w:hAnsi="Times New Roman" w:cs="Times New Roman"/>
        </w:rPr>
        <w:t>乙方收款账号：</w:t>
      </w:r>
    </w:p>
    <w:p w14:paraId="15C926BC">
      <w:pPr>
        <w:spacing w:line="360" w:lineRule="auto"/>
        <w:ind w:firstLine="420" w:firstLineChars="0"/>
        <w:rPr>
          <w:rFonts w:hint="default" w:ascii="Times New Roman" w:eastAsia="宋体"/>
          <w:color w:val="000000"/>
          <w:u w:val="single"/>
          <w:lang w:val="en-US" w:eastAsia="zh-CN"/>
        </w:rPr>
      </w:pPr>
      <w:r>
        <w:rPr>
          <w:rFonts w:hint="eastAsia" w:ascii="Times New Roman"/>
          <w:color w:val="000000"/>
        </w:rPr>
        <w:t>户名：</w:t>
      </w:r>
      <w:r>
        <w:rPr>
          <w:rFonts w:hint="eastAsia" w:ascii="Times New Roman"/>
          <w:color w:val="000000"/>
          <w:u w:val="single"/>
          <w:lang w:val="en-US" w:eastAsia="zh-CN"/>
        </w:rPr>
        <w:t xml:space="preserve">                     </w:t>
      </w:r>
    </w:p>
    <w:p w14:paraId="5CF2F5EF">
      <w:pPr>
        <w:spacing w:line="360" w:lineRule="auto"/>
        <w:ind w:firstLine="420" w:firstLineChars="0"/>
        <w:rPr>
          <w:rFonts w:hint="default" w:ascii="Times New Roman" w:eastAsia="宋体"/>
          <w:color w:val="000000"/>
          <w:u w:val="single"/>
          <w:lang w:val="en-US" w:eastAsia="zh-CN"/>
        </w:rPr>
      </w:pPr>
      <w:r>
        <w:rPr>
          <w:rFonts w:hint="eastAsia" w:ascii="Times New Roman"/>
          <w:color w:val="000000"/>
        </w:rPr>
        <w:t>开户行：</w:t>
      </w:r>
      <w:r>
        <w:rPr>
          <w:rFonts w:hint="eastAsia" w:ascii="Times New Roman"/>
          <w:color w:val="000000"/>
          <w:u w:val="single"/>
          <w:lang w:val="en-US" w:eastAsia="zh-CN"/>
        </w:rPr>
        <w:t xml:space="preserve">                   </w:t>
      </w:r>
    </w:p>
    <w:p w14:paraId="6B1FD619">
      <w:pPr>
        <w:spacing w:line="360" w:lineRule="auto"/>
        <w:ind w:firstLine="420" w:firstLineChars="0"/>
        <w:rPr>
          <w:rFonts w:hint="default" w:ascii="Times New Roman" w:hAnsi="Times New Roman" w:cs="Times New Roman"/>
          <w:color w:val="000000"/>
          <w:u w:val="single"/>
        </w:rPr>
      </w:pPr>
      <w:r>
        <w:rPr>
          <w:rFonts w:hint="eastAsia" w:ascii="Times New Roman"/>
          <w:color w:val="000000"/>
        </w:rPr>
        <w:t>账号：</w:t>
      </w:r>
      <w:r>
        <w:rPr>
          <w:rFonts w:hint="eastAsia" w:ascii="Times New Roman"/>
          <w:color w:val="000000"/>
          <w:u w:val="single"/>
          <w:lang w:val="en-US" w:eastAsia="zh-CN"/>
        </w:rPr>
        <w:t xml:space="preserve">                      </w:t>
      </w:r>
      <w:r>
        <w:rPr>
          <w:rFonts w:hint="default" w:ascii="Times New Roman" w:hAnsi="Times New Roman" w:cs="Times New Roman"/>
          <w:color w:val="000000"/>
        </w:rPr>
        <w:t xml:space="preserve"> </w:t>
      </w:r>
    </w:p>
    <w:p w14:paraId="7F226227">
      <w:pPr>
        <w:spacing w:line="360" w:lineRule="auto"/>
        <w:rPr>
          <w:rFonts w:hint="default" w:ascii="Times New Roman" w:hAnsi="Times New Roman" w:cs="Times New Roman"/>
        </w:rPr>
      </w:pPr>
    </w:p>
    <w:p w14:paraId="1002D440">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5" w:name="_Toc27495484"/>
      <w:r>
        <w:rPr>
          <w:rFonts w:hint="default" w:ascii="Times New Roman" w:hAnsi="Times New Roman" w:cs="Times New Roman"/>
          <w:b/>
          <w:lang w:val="en-US" w:eastAsia="zh-CN"/>
        </w:rPr>
        <w:t>质保期及售后服务</w:t>
      </w:r>
      <w:bookmarkEnd w:id="15"/>
    </w:p>
    <w:p w14:paraId="4E97288D">
      <w:pPr>
        <w:keepNext w:val="0"/>
        <w:keepLines w:val="0"/>
        <w:pageBreakBefore w:val="0"/>
        <w:kinsoku/>
        <w:wordWrap/>
        <w:overflowPunct/>
        <w:topLinePunct w:val="0"/>
        <w:autoSpaceDE/>
        <w:autoSpaceDN/>
        <w:bidi w:val="0"/>
        <w:adjustRightInd/>
        <w:snapToGrid/>
        <w:spacing w:line="360" w:lineRule="auto"/>
        <w:ind w:left="0" w:leftChars="0" w:firstLine="530" w:firstLineChars="221"/>
        <w:jc w:val="left"/>
        <w:textAlignment w:val="auto"/>
        <w:rPr>
          <w:rFonts w:hint="eastAsia" w:ascii="宋体" w:hAnsi="宋体" w:eastAsia="宋体" w:cs="宋体"/>
          <w:color w:val="auto"/>
          <w:sz w:val="24"/>
          <w:szCs w:val="24"/>
          <w:highlight w:val="none"/>
        </w:rPr>
      </w:pPr>
      <w:r>
        <w:rPr>
          <w:rFonts w:hint="default" w:ascii="Times New Roman" w:hAnsi="Times New Roman" w:cs="Times New Roman"/>
          <w:sz w:val="24"/>
          <w:lang w:val="en-US" w:eastAsia="zh-CN"/>
        </w:rPr>
        <w:t>1、</w:t>
      </w:r>
      <w:r>
        <w:rPr>
          <w:rFonts w:hint="default" w:ascii="Times New Roman" w:hAnsi="Times New Roman" w:cs="Times New Roman"/>
          <w:sz w:val="24"/>
        </w:rPr>
        <w:t>质保期为</w:t>
      </w:r>
      <w:r>
        <w:rPr>
          <w:rFonts w:hint="default" w:ascii="Times New Roman" w:hAnsi="Times New Roman" w:cs="Times New Roman"/>
          <w:sz w:val="24"/>
          <w:u w:val="single"/>
        </w:rPr>
        <w:t>12</w:t>
      </w:r>
      <w:r>
        <w:rPr>
          <w:rFonts w:hint="default" w:ascii="Times New Roman" w:hAnsi="Times New Roman" w:cs="Times New Roman"/>
          <w:sz w:val="24"/>
        </w:rPr>
        <w:t>个月，</w:t>
      </w:r>
      <w:r>
        <w:rPr>
          <w:rFonts w:hint="eastAsia" w:ascii="宋体" w:hAnsi="宋体" w:eastAsia="宋体" w:cs="宋体"/>
          <w:color w:val="auto"/>
          <w:sz w:val="24"/>
          <w:szCs w:val="24"/>
          <w:highlight w:val="none"/>
        </w:rPr>
        <w:t>自最终验收合格之日起算。质保期内，</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对本项目进行免费保修，免费保修包括但不限于由</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承担完成质保期的工作而产生的运费、购置费、测试费、人工费等各项费用（包括进口关税和增值税等）。</w:t>
      </w:r>
    </w:p>
    <w:p w14:paraId="3ED63C84">
      <w:pPr>
        <w:keepNext w:val="0"/>
        <w:keepLines w:val="0"/>
        <w:pageBreakBefore w:val="0"/>
        <w:kinsoku/>
        <w:wordWrap/>
        <w:overflowPunct/>
        <w:topLinePunct w:val="0"/>
        <w:autoSpaceDE/>
        <w:autoSpaceDN/>
        <w:bidi w:val="0"/>
        <w:adjustRightInd/>
        <w:snapToGrid/>
        <w:spacing w:line="360" w:lineRule="auto"/>
        <w:ind w:left="0" w:leftChars="0" w:firstLine="530" w:firstLineChars="221"/>
        <w:jc w:val="lef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2、</w:t>
      </w:r>
      <w:r>
        <w:rPr>
          <w:rFonts w:hint="default" w:ascii="Times New Roman" w:hAnsi="Times New Roman" w:cs="Times New Roman"/>
          <w:sz w:val="24"/>
          <w:highlight w:val="none"/>
        </w:rPr>
        <w:t>在质保期内，</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平台数据</w:t>
      </w:r>
      <w:r>
        <w:rPr>
          <w:rFonts w:hint="eastAsia" w:ascii="宋体" w:hAnsi="宋体" w:eastAsia="宋体" w:cs="宋体"/>
          <w:color w:val="auto"/>
          <w:sz w:val="24"/>
          <w:szCs w:val="24"/>
          <w:highlight w:val="none"/>
        </w:rPr>
        <w:t>经1次维修或维修时间超过半个月，仍不能正常</w:t>
      </w:r>
      <w:r>
        <w:rPr>
          <w:rFonts w:hint="eastAsia" w:ascii="宋体" w:hAnsi="宋体" w:eastAsia="宋体" w:cs="宋体"/>
          <w:color w:val="auto"/>
          <w:sz w:val="24"/>
          <w:szCs w:val="24"/>
          <w:highlight w:val="none"/>
          <w:lang w:val="en-US" w:eastAsia="zh-CN"/>
        </w:rPr>
        <w:t>传输</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应免费给予</w:t>
      </w:r>
      <w:r>
        <w:rPr>
          <w:rFonts w:hint="eastAsia" w:ascii="宋体" w:hAnsi="宋体" w:eastAsia="宋体" w:cs="宋体"/>
          <w:color w:val="auto"/>
          <w:sz w:val="24"/>
          <w:szCs w:val="24"/>
          <w:highlight w:val="none"/>
          <w:lang w:val="en-US" w:eastAsia="zh-CN"/>
        </w:rPr>
        <w:t>调试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数据</w:t>
      </w:r>
      <w:r>
        <w:rPr>
          <w:rFonts w:hint="eastAsia" w:hAnsi="宋体" w:cs="宋体"/>
          <w:color w:val="auto"/>
          <w:sz w:val="24"/>
          <w:szCs w:val="24"/>
          <w:highlight w:val="none"/>
          <w:lang w:val="en-US" w:eastAsia="zh-CN"/>
        </w:rPr>
        <w:t>恢</w:t>
      </w:r>
      <w:r>
        <w:rPr>
          <w:rFonts w:hint="eastAsia" w:ascii="宋体" w:hAnsi="宋体" w:eastAsia="宋体" w:cs="宋体"/>
          <w:color w:val="auto"/>
          <w:sz w:val="24"/>
          <w:szCs w:val="24"/>
          <w:highlight w:val="none"/>
          <w:lang w:val="en-US" w:eastAsia="zh-CN"/>
        </w:rPr>
        <w:t>复上传后，</w:t>
      </w:r>
      <w:r>
        <w:rPr>
          <w:rFonts w:hint="eastAsia" w:ascii="宋体" w:hAnsi="宋体" w:eastAsia="宋体" w:cs="宋体"/>
          <w:color w:val="auto"/>
          <w:sz w:val="24"/>
          <w:szCs w:val="24"/>
          <w:highlight w:val="none"/>
        </w:rPr>
        <w:t>质保期为从</w:t>
      </w:r>
      <w:r>
        <w:rPr>
          <w:rFonts w:hint="eastAsia" w:ascii="宋体" w:hAnsi="宋体" w:eastAsia="宋体" w:cs="宋体"/>
          <w:color w:val="auto"/>
          <w:sz w:val="24"/>
          <w:szCs w:val="24"/>
          <w:highlight w:val="none"/>
          <w:lang w:val="en-US" w:eastAsia="zh-CN"/>
        </w:rPr>
        <w:t>数据恢复上传之</w:t>
      </w:r>
      <w:r>
        <w:rPr>
          <w:rFonts w:hint="eastAsia" w:ascii="宋体" w:hAnsi="宋体" w:eastAsia="宋体" w:cs="宋体"/>
          <w:color w:val="auto"/>
          <w:sz w:val="24"/>
          <w:szCs w:val="24"/>
          <w:highlight w:val="none"/>
        </w:rPr>
        <w:t>日起重新计算。</w:t>
      </w:r>
    </w:p>
    <w:p w14:paraId="37296DE8">
      <w:pPr>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项目质量保证期内发生的全部服务费用（含更换零部件、达到本合同相关要求的更换项目或退</w:t>
      </w:r>
      <w:r>
        <w:rPr>
          <w:rFonts w:hint="default" w:ascii="Times New Roman" w:hAnsi="Times New Roman" w:cs="Times New Roman"/>
          <w:sz w:val="24"/>
        </w:rPr>
        <w:t>货）由</w:t>
      </w:r>
      <w:r>
        <w:rPr>
          <w:rFonts w:hint="eastAsia" w:ascii="Times New Roman" w:hAnsi="Times New Roman" w:cs="Times New Roman"/>
          <w:sz w:val="24"/>
          <w:lang w:eastAsia="zh-CN"/>
        </w:rPr>
        <w:t>乙方</w:t>
      </w:r>
      <w:r>
        <w:rPr>
          <w:rFonts w:hint="default" w:ascii="Times New Roman" w:hAnsi="Times New Roman" w:cs="Times New Roman"/>
          <w:sz w:val="24"/>
        </w:rPr>
        <w:t>承担，包括但不限于由</w:t>
      </w:r>
      <w:r>
        <w:rPr>
          <w:rFonts w:hint="eastAsia" w:ascii="Times New Roman" w:hAnsi="Times New Roman" w:cs="Times New Roman"/>
          <w:sz w:val="24"/>
          <w:lang w:eastAsia="zh-CN"/>
        </w:rPr>
        <w:t>乙方</w:t>
      </w:r>
      <w:r>
        <w:rPr>
          <w:rFonts w:hint="default" w:ascii="Times New Roman" w:hAnsi="Times New Roman" w:cs="Times New Roman"/>
          <w:sz w:val="24"/>
        </w:rPr>
        <w:t>承担完成项目质量保证期内所有工作而产生的维修费、运费、装卸费、购置费、测试费、人工费、交通费等各项费用（包括进口关税和增值税等）。</w:t>
      </w:r>
    </w:p>
    <w:p w14:paraId="6EDB37D2">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4、</w:t>
      </w:r>
      <w:r>
        <w:rPr>
          <w:rFonts w:hint="eastAsia" w:ascii="Times New Roman" w:hAnsi="Times New Roman" w:cs="Times New Roman"/>
          <w:sz w:val="24"/>
          <w:lang w:eastAsia="zh-CN"/>
        </w:rPr>
        <w:t>乙方</w:t>
      </w:r>
      <w:r>
        <w:rPr>
          <w:rFonts w:hint="default" w:ascii="Times New Roman" w:hAnsi="Times New Roman" w:cs="Times New Roman"/>
          <w:sz w:val="24"/>
        </w:rPr>
        <w:t>未按上述要求提供售后服务的，</w:t>
      </w:r>
      <w:r>
        <w:rPr>
          <w:rFonts w:hint="eastAsia" w:ascii="Times New Roman" w:hAnsi="Times New Roman" w:cs="Times New Roman"/>
          <w:sz w:val="24"/>
          <w:lang w:eastAsia="zh-CN"/>
        </w:rPr>
        <w:t>甲方</w:t>
      </w:r>
      <w:r>
        <w:rPr>
          <w:rFonts w:hint="default" w:ascii="Times New Roman" w:hAnsi="Times New Roman" w:cs="Times New Roman"/>
          <w:sz w:val="24"/>
        </w:rPr>
        <w:t>有权要求其他第三方提供相关服务，因此产生的费用全部由</w:t>
      </w:r>
      <w:r>
        <w:rPr>
          <w:rFonts w:hint="eastAsia" w:ascii="Times New Roman" w:hAnsi="Times New Roman" w:cs="Times New Roman"/>
          <w:sz w:val="24"/>
          <w:lang w:eastAsia="zh-CN"/>
        </w:rPr>
        <w:t>乙方</w:t>
      </w:r>
      <w:r>
        <w:rPr>
          <w:rFonts w:hint="default" w:ascii="Times New Roman" w:hAnsi="Times New Roman" w:cs="Times New Roman"/>
          <w:sz w:val="24"/>
        </w:rPr>
        <w:t>承担。</w:t>
      </w:r>
    </w:p>
    <w:p w14:paraId="2C0F72DB">
      <w:pPr>
        <w:pStyle w:val="13"/>
        <w:ind w:firstLine="480"/>
        <w:rPr>
          <w:rFonts w:hint="eastAsia" w:ascii="宋体" w:hAnsi="宋体" w:eastAsia="宋体" w:cs="宋体"/>
          <w:color w:val="auto"/>
          <w:sz w:val="24"/>
          <w:szCs w:val="24"/>
          <w:highlight w:val="none"/>
        </w:rPr>
      </w:pPr>
      <w:r>
        <w:rPr>
          <w:rFonts w:hint="eastAsia"/>
          <w:lang w:val="en-US" w:eastAsia="zh-CN"/>
        </w:rPr>
        <w:t>5、</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使用时</w:t>
      </w:r>
      <w:r>
        <w:rPr>
          <w:rFonts w:hint="eastAsia" w:ascii="宋体" w:hAnsi="宋体" w:eastAsia="宋体" w:cs="宋体"/>
          <w:color w:val="auto"/>
          <w:sz w:val="24"/>
          <w:szCs w:val="24"/>
          <w:highlight w:val="none"/>
        </w:rPr>
        <w:t>所遇技术问题，</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应按</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要求及时向</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无偿提供技术指导服务。</w:t>
      </w:r>
    </w:p>
    <w:p w14:paraId="098C9F9C">
      <w:pPr>
        <w:ind w:firstLine="480"/>
        <w:rPr>
          <w:rFonts w:hint="default"/>
          <w:lang w:val="en-US" w:eastAsia="zh-CN"/>
        </w:rPr>
      </w:pPr>
    </w:p>
    <w:p w14:paraId="205A6587">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6" w:name="_Toc27495485"/>
      <w:r>
        <w:rPr>
          <w:rFonts w:hint="default" w:ascii="Times New Roman" w:hAnsi="Times New Roman" w:cs="Times New Roman"/>
          <w:b/>
          <w:lang w:val="en-US" w:eastAsia="zh-CN"/>
        </w:rPr>
        <w:t>违约责任</w:t>
      </w:r>
      <w:bookmarkEnd w:id="16"/>
    </w:p>
    <w:p w14:paraId="399D549D">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、如乙方未按合同约定的时间</w:t>
      </w:r>
      <w:r>
        <w:rPr>
          <w:rFonts w:hint="default" w:ascii="Times New Roman" w:hAnsi="Times New Roman" w:cs="Times New Roman"/>
          <w:lang w:val="en-US" w:eastAsia="zh-CN"/>
        </w:rPr>
        <w:t>完成所有清单货物的货到现场、安装</w:t>
      </w:r>
      <w:r>
        <w:rPr>
          <w:rFonts w:hint="eastAsia" w:ascii="Times New Roman" w:cs="Times New Roman"/>
          <w:lang w:val="en-US" w:eastAsia="zh-CN"/>
        </w:rPr>
        <w:t>、搭建市区厂丙级能源在线监测平台及市区厂能耗数据上传至市平台</w:t>
      </w:r>
      <w:r>
        <w:rPr>
          <w:rFonts w:hint="default" w:ascii="Times New Roman" w:hAnsi="Times New Roman" w:cs="Times New Roman"/>
        </w:rPr>
        <w:t>，乙方每逾期一日，乙方应按合同价的</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向甲方支付违约金</w:t>
      </w:r>
      <w:r>
        <w:rPr>
          <w:rFonts w:hint="eastAsia" w:ascii="Times New Roman" w:cs="Times New Roman"/>
          <w:lang w:eastAsia="zh-CN"/>
        </w:rPr>
        <w:t>，逾期违约金累计总额最高不超过合同价的</w:t>
      </w:r>
      <w:r>
        <w:rPr>
          <w:rFonts w:hint="eastAsia" w:ascii="Times New Roman" w:cs="Times New Roman"/>
          <w:lang w:val="en-US" w:eastAsia="zh-CN"/>
        </w:rPr>
        <w:t>20</w:t>
      </w:r>
      <w:r>
        <w:rPr>
          <w:rFonts w:hint="eastAsia" w:ascii="Times New Roman" w:cs="Times New Roman"/>
          <w:lang w:eastAsia="zh-CN"/>
        </w:rPr>
        <w:t>%</w:t>
      </w:r>
      <w:r>
        <w:rPr>
          <w:rFonts w:hint="default" w:ascii="Times New Roman" w:hAnsi="Times New Roman" w:cs="Times New Roman"/>
        </w:rPr>
        <w:t>。逾期交货超过</w:t>
      </w:r>
      <w:r>
        <w:rPr>
          <w:rFonts w:hint="default" w:ascii="Times New Roman" w:hAnsi="Times New Roman" w:cs="Times New Roman"/>
          <w:u w:val="single"/>
        </w:rPr>
        <w:t xml:space="preserve"> 10 </w:t>
      </w:r>
      <w:r>
        <w:rPr>
          <w:rFonts w:hint="default" w:ascii="Times New Roman" w:hAnsi="Times New Roman" w:cs="Times New Roman"/>
          <w:u w:val="single"/>
          <w:lang w:val="en-US" w:eastAsia="zh-CN"/>
        </w:rPr>
        <w:t>日</w:t>
      </w:r>
      <w:r>
        <w:rPr>
          <w:rFonts w:hint="default" w:ascii="Times New Roman" w:hAnsi="Times New Roman" w:cs="Times New Roman"/>
        </w:rPr>
        <w:t>的，除上述违约金外，甲方有权单方解除合同且有权要求乙方支付合同价</w:t>
      </w:r>
      <w:r>
        <w:rPr>
          <w:rFonts w:hint="default" w:ascii="Times New Roman" w:hAnsi="Times New Roman" w:cs="Times New Roman"/>
          <w:u w:val="single"/>
        </w:rPr>
        <w:t xml:space="preserve"> 15 %</w:t>
      </w:r>
      <w:r>
        <w:rPr>
          <w:rFonts w:hint="default" w:ascii="Times New Roman" w:hAnsi="Times New Roman" w:cs="Times New Roman"/>
        </w:rPr>
        <w:t>的违约金。造成甲方损失的，乙方应当承担全部责任及损失赔偿。</w:t>
      </w:r>
    </w:p>
    <w:p w14:paraId="2876578B">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、乙方所交货物（包括但不限于品种、型号、规格、质量）不符合合同约定的，甲方有权拒收，并要求乙方予以免费更换或无条件退货，同时乙方应向甲方支付该批货款合同价的</w:t>
      </w:r>
      <w:r>
        <w:rPr>
          <w:rFonts w:hint="default" w:ascii="Times New Roman" w:hAnsi="Times New Roman" w:cs="Times New Roman"/>
          <w:u w:val="single"/>
        </w:rPr>
        <w:t xml:space="preserve"> 5 %</w:t>
      </w:r>
      <w:r>
        <w:rPr>
          <w:rFonts w:hint="default" w:ascii="Times New Roman" w:hAnsi="Times New Roman" w:cs="Times New Roman"/>
        </w:rPr>
        <w:t>的违约金。若因乙方原因导致乙方无法按照本合同约定供货的，甲方有权单方解除合同，且有权要求乙方支付合同价</w:t>
      </w:r>
      <w:r>
        <w:rPr>
          <w:rFonts w:hint="default" w:ascii="Times New Roman" w:hAnsi="Times New Roman" w:cs="Times New Roman"/>
          <w:u w:val="single"/>
        </w:rPr>
        <w:t xml:space="preserve"> 20 </w:t>
      </w:r>
      <w:r>
        <w:rPr>
          <w:rFonts w:hint="default" w:ascii="Times New Roman" w:hAnsi="Times New Roman" w:cs="Times New Roman"/>
          <w:color w:val="000000"/>
          <w:u w:val="single"/>
        </w:rPr>
        <w:t>%</w:t>
      </w:r>
      <w:r>
        <w:rPr>
          <w:rFonts w:hint="default" w:ascii="Times New Roman" w:hAnsi="Times New Roman" w:cs="Times New Roman"/>
        </w:rPr>
        <w:t>的违约金。</w:t>
      </w:r>
    </w:p>
    <w:p w14:paraId="3CCF05B2">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、乙方未按约定履行售后服务义务的，甲方有权要求限期改正。如逾期仍未改正的，甲方有权要求乙方支付合同价【</w:t>
      </w:r>
      <w:r>
        <w:rPr>
          <w:rFonts w:hint="eastAsia" w:ascii="Times New Roman" w:cs="Times New Roman"/>
          <w:lang w:val="en-US" w:eastAsia="zh-CN"/>
        </w:rPr>
        <w:t>5</w:t>
      </w:r>
      <w:r>
        <w:rPr>
          <w:rFonts w:hint="default" w:ascii="Times New Roman" w:hAnsi="Times New Roman" w:cs="Times New Roman"/>
        </w:rPr>
        <w:t>】%的违约金，且有权委托第三方提供售后服务，所产生的费用甲方有权从未付款项中扣除，如不足扣除的，乙方还应另行向甲方赔偿。</w:t>
      </w:r>
    </w:p>
    <w:p w14:paraId="009C685A">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、无论是否在质保期内，因货物质量问题发生安全事故或引起其他损失、造成不良后果的，乙方应承担全部责任及损失赔偿。</w:t>
      </w:r>
    </w:p>
    <w:p w14:paraId="692CE7AF">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、甲方根据本合同的约定要求乙方更换货物</w:t>
      </w:r>
      <w:r>
        <w:rPr>
          <w:rFonts w:hint="default" w:ascii="Times New Roman" w:hAnsi="Times New Roman" w:cs="Times New Roman"/>
          <w:lang w:val="en-US" w:eastAsia="zh-CN"/>
        </w:rPr>
        <w:t>或整改安装等服务工作的</w:t>
      </w:r>
      <w:r>
        <w:rPr>
          <w:rFonts w:hint="default" w:ascii="Times New Roman" w:hAnsi="Times New Roman" w:cs="Times New Roman"/>
        </w:rPr>
        <w:t>，乙方在收到甲方发出更换</w:t>
      </w:r>
      <w:r>
        <w:rPr>
          <w:rFonts w:hint="default" w:ascii="Times New Roman" w:hAnsi="Times New Roman" w:cs="Times New Roman"/>
          <w:lang w:val="en-US" w:eastAsia="zh-CN"/>
        </w:rPr>
        <w:t>或整改</w:t>
      </w:r>
      <w:r>
        <w:rPr>
          <w:rFonts w:hint="default" w:ascii="Times New Roman" w:hAnsi="Times New Roman" w:cs="Times New Roman"/>
        </w:rPr>
        <w:t>通知后</w:t>
      </w:r>
      <w:r>
        <w:rPr>
          <w:rFonts w:hint="default" w:ascii="Times New Roman" w:hAnsi="Times New Roman" w:cs="Times New Roman"/>
          <w:u w:val="single"/>
        </w:rPr>
        <w:t xml:space="preserve"> 3 </w:t>
      </w:r>
      <w:r>
        <w:rPr>
          <w:rFonts w:hint="default" w:ascii="Times New Roman" w:hAnsi="Times New Roman" w:cs="Times New Roman"/>
        </w:rPr>
        <w:t>日内或甲方要求时限内无条件更换全新并符合本合同的约定的货物</w:t>
      </w:r>
      <w:r>
        <w:rPr>
          <w:rFonts w:hint="default" w:ascii="Times New Roman" w:hAnsi="Times New Roman" w:cs="Times New Roman"/>
          <w:lang w:val="en-US" w:eastAsia="zh-CN"/>
        </w:rPr>
        <w:t>或完成整改工作</w:t>
      </w:r>
      <w:r>
        <w:rPr>
          <w:rFonts w:hint="default" w:ascii="Times New Roman" w:hAnsi="Times New Roman" w:cs="Times New Roman"/>
        </w:rPr>
        <w:t>，否则按本条</w:t>
      </w:r>
      <w:r>
        <w:rPr>
          <w:rFonts w:hint="default" w:ascii="Times New Roman" w:hAnsi="Times New Roman" w:cs="Times New Roman"/>
          <w:lang w:val="en-US" w:eastAsia="zh-CN"/>
        </w:rPr>
        <w:t>1</w:t>
      </w:r>
      <w:r>
        <w:rPr>
          <w:rFonts w:hint="default" w:ascii="Times New Roman" w:hAnsi="Times New Roman" w:cs="Times New Roman"/>
        </w:rPr>
        <w:t>款逾期的违约规定进行处理，同时应承担因此产生的全部费用并赔偿甲方因此遭受的损失，更换的货物的质量保证期应按本合同的相关约定重新计算。</w:t>
      </w:r>
    </w:p>
    <w:p w14:paraId="1430F09D">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、甲方根据本合同的约定要求退货，或因本合同被解除或提前终止而需要退货的，乙方在收到甲方发出退货通知后</w:t>
      </w:r>
      <w:r>
        <w:rPr>
          <w:rFonts w:hint="default" w:ascii="Times New Roman" w:hAnsi="Times New Roman" w:cs="Times New Roman"/>
          <w:u w:val="single"/>
        </w:rPr>
        <w:t xml:space="preserve"> 3 </w:t>
      </w:r>
      <w:r>
        <w:rPr>
          <w:rFonts w:hint="default" w:ascii="Times New Roman" w:hAnsi="Times New Roman" w:cs="Times New Roman"/>
        </w:rPr>
        <w:t>日内无条件将退货货物运回，并自退货之日起</w:t>
      </w:r>
      <w:r>
        <w:rPr>
          <w:rFonts w:hint="default" w:ascii="Times New Roman" w:hAnsi="Times New Roman" w:cs="Times New Roman"/>
          <w:u w:val="single"/>
        </w:rPr>
        <w:t xml:space="preserve"> 3 </w:t>
      </w:r>
      <w:r>
        <w:rPr>
          <w:rFonts w:hint="default" w:ascii="Times New Roman" w:hAnsi="Times New Roman" w:cs="Times New Roman"/>
        </w:rPr>
        <w:t>日内返还甲方已全部支付的货款（合同价税合计），并承担因此产生的全部费用，以及赔偿因此造成甲方的损失。</w:t>
      </w:r>
    </w:p>
    <w:p w14:paraId="474B5A67">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、甲方损失无法计算的，乙方同意按合同价的</w:t>
      </w:r>
      <w:r>
        <w:rPr>
          <w:rFonts w:hint="default" w:ascii="Times New Roman" w:hAnsi="Times New Roman" w:cs="Times New Roman"/>
          <w:u w:val="single"/>
        </w:rPr>
        <w:t xml:space="preserve"> 20 %</w:t>
      </w:r>
      <w:r>
        <w:rPr>
          <w:rFonts w:hint="default" w:ascii="Times New Roman" w:hAnsi="Times New Roman" w:cs="Times New Roman"/>
        </w:rPr>
        <w:t>计算损失并赔偿给甲方。</w:t>
      </w:r>
    </w:p>
    <w:p w14:paraId="0A683AD6">
      <w:pPr>
        <w:spacing w:line="360" w:lineRule="auto"/>
        <w:ind w:firstLine="480" w:firstLineChars="200"/>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、乙方逾期将应退款项退还给甲方的，乙方需每日按应退款项的</w:t>
      </w:r>
      <w:r>
        <w:rPr>
          <w:rFonts w:hint="default" w:ascii="Times New Roman" w:hAnsi="Times New Roman" w:cs="Times New Roman"/>
          <w:u w:val="single"/>
        </w:rPr>
        <w:t xml:space="preserve"> 5 </w:t>
      </w:r>
      <w:r>
        <w:rPr>
          <w:rFonts w:hint="default" w:ascii="Times New Roman" w:hAnsi="Times New Roman" w:cs="Times New Roman"/>
          <w:color w:val="000000"/>
          <w:u w:val="single"/>
        </w:rPr>
        <w:t>‰</w:t>
      </w:r>
      <w:r>
        <w:rPr>
          <w:rFonts w:hint="default" w:ascii="Times New Roman" w:hAnsi="Times New Roman" w:cs="Times New Roman"/>
        </w:rPr>
        <w:t>支付</w:t>
      </w:r>
      <w:r>
        <w:rPr>
          <w:rFonts w:hint="eastAsia" w:ascii="Times New Roman" w:cs="Times New Roman"/>
          <w:lang w:val="en-US" w:eastAsia="zh-CN"/>
        </w:rPr>
        <w:t>违约金</w:t>
      </w:r>
      <w:r>
        <w:rPr>
          <w:rFonts w:hint="default" w:ascii="Times New Roman" w:hAnsi="Times New Roman" w:cs="Times New Roman"/>
        </w:rPr>
        <w:t>。</w:t>
      </w:r>
    </w:p>
    <w:p w14:paraId="037950ED">
      <w:pPr>
        <w:spacing w:line="360" w:lineRule="auto"/>
        <w:ind w:firstLine="480" w:firstLineChars="200"/>
        <w:rPr>
          <w:rFonts w:hint="eastAsia" w:ascii="Times New Roman" w:cs="Times New Roman"/>
          <w:lang w:val="en-US" w:eastAsia="zh-CN"/>
        </w:rPr>
      </w:pPr>
      <w:r>
        <w:rPr>
          <w:rFonts w:hint="eastAsia" w:ascii="Times New Roman" w:cs="Times New Roman"/>
          <w:lang w:val="en-US" w:eastAsia="zh-CN"/>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E1FE04D">
      <w:pPr>
        <w:spacing w:line="360" w:lineRule="auto"/>
        <w:ind w:firstLine="480" w:firstLineChars="200"/>
        <w:rPr>
          <w:rFonts w:hint="eastAsia" w:ascii="Times New Roman" w:hAnsi="Times New Roman" w:eastAsia="宋体" w:cs="Times New Roman"/>
          <w:lang w:val="en-US" w:eastAsia="zh-CN"/>
        </w:rPr>
      </w:pPr>
      <w:r>
        <w:rPr>
          <w:rFonts w:hint="eastAsia" w:ascii="Times New Roman" w:cs="Times New Roman"/>
          <w:lang w:val="en-US" w:eastAsia="zh-CN"/>
        </w:rPr>
        <w:t>10、乙方违反本合同约定，合同对违约责任有特别约定的，适用该特别约定；无特别约定的，甲方有权扣除乙方合同价20%作为违约金。违约金不足以弥补甲方因此所受损失的，乙方应予以补足。</w:t>
      </w:r>
    </w:p>
    <w:p w14:paraId="22373247">
      <w:pPr>
        <w:spacing w:line="360" w:lineRule="auto"/>
        <w:ind w:firstLine="480" w:firstLineChars="200"/>
        <w:rPr>
          <w:rFonts w:hint="default" w:ascii="Times New Roman" w:hAnsi="Times New Roman" w:cs="Times New Roman"/>
        </w:rPr>
      </w:pPr>
    </w:p>
    <w:p w14:paraId="39988A63">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7" w:name="_Toc27495486"/>
      <w:r>
        <w:rPr>
          <w:rFonts w:hint="default" w:ascii="Times New Roman" w:hAnsi="Times New Roman" w:cs="Times New Roman"/>
          <w:b/>
          <w:lang w:val="en-US" w:eastAsia="zh-CN"/>
        </w:rPr>
        <w:t>不可抗力</w:t>
      </w:r>
      <w:bookmarkEnd w:id="17"/>
    </w:p>
    <w:p w14:paraId="54917200">
      <w:pPr>
        <w:spacing w:line="360" w:lineRule="auto"/>
        <w:ind w:firstLine="480" w:firstLineChars="200"/>
        <w:rPr>
          <w:rFonts w:hint="default" w:ascii="Times New Roman" w:hAnsi="Times New Roman" w:cs="Times New Roman"/>
        </w:rPr>
      </w:pPr>
      <w:r>
        <w:rPr>
          <w:rFonts w:hint="default" w:ascii="Times New Roman" w:hAnsi="Times New Roman" w:cs="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2A67A95">
      <w:pPr>
        <w:spacing w:line="360" w:lineRule="auto"/>
        <w:ind w:firstLine="480" w:firstLineChars="200"/>
        <w:rPr>
          <w:rFonts w:hint="default" w:ascii="Times New Roman" w:hAnsi="Times New Roman" w:cs="Times New Roman"/>
        </w:rPr>
      </w:pPr>
    </w:p>
    <w:p w14:paraId="7D12BAFC">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8" w:name="_Toc27495487"/>
      <w:r>
        <w:rPr>
          <w:rFonts w:hint="default" w:ascii="Times New Roman" w:hAnsi="Times New Roman" w:cs="Times New Roman"/>
          <w:b/>
          <w:lang w:val="en-US" w:eastAsia="zh-CN"/>
        </w:rPr>
        <w:t>承诺与保证</w:t>
      </w:r>
      <w:bookmarkEnd w:id="18"/>
    </w:p>
    <w:p w14:paraId="72A90982">
      <w:pPr>
        <w:spacing w:line="360" w:lineRule="auto"/>
        <w:ind w:firstLine="480" w:firstLineChars="200"/>
        <w:rPr>
          <w:rFonts w:hint="default" w:ascii="Times New Roman" w:hAnsi="Times New Roman" w:cs="Times New Roman"/>
        </w:rPr>
      </w:pPr>
      <w:r>
        <w:rPr>
          <w:rFonts w:hint="default" w:ascii="Times New Roman" w:hAnsi="Times New Roman" w:cs="Times New Roman"/>
        </w:rPr>
        <w:t>乙方应保证提供</w:t>
      </w:r>
      <w:r>
        <w:rPr>
          <w:rFonts w:hint="eastAsia" w:ascii="Times New Roman" w:cs="Times New Roman"/>
          <w:lang w:val="en-US" w:eastAsia="zh-CN"/>
        </w:rPr>
        <w:t>货物</w:t>
      </w:r>
      <w:r>
        <w:rPr>
          <w:rFonts w:hint="default" w:ascii="Times New Roman" w:hAnsi="Times New Roman" w:cs="Times New Roman"/>
        </w:rPr>
        <w:t>不侵犯第三方的合法权益，如第三方以本合同</w:t>
      </w:r>
      <w:r>
        <w:rPr>
          <w:rFonts w:hint="eastAsia" w:ascii="Times New Roman" w:cs="Times New Roman"/>
          <w:lang w:val="en-US" w:eastAsia="zh-CN"/>
        </w:rPr>
        <w:t>货物</w:t>
      </w:r>
      <w:r>
        <w:rPr>
          <w:rFonts w:hint="default" w:ascii="Times New Roman" w:hAnsi="Times New Roman" w:cs="Times New Roman"/>
        </w:rPr>
        <w:t>侵权为由提起侵权主张，乙方须与第三方交涉并承担由此发生的一切责任、费用和经济赔偿。由于乙方提供的</w:t>
      </w:r>
      <w:r>
        <w:rPr>
          <w:rFonts w:hint="eastAsia" w:ascii="Times New Roman" w:cs="Times New Roman"/>
          <w:lang w:val="en-US" w:eastAsia="zh-CN"/>
        </w:rPr>
        <w:t>货物</w:t>
      </w:r>
      <w:r>
        <w:rPr>
          <w:rFonts w:hint="default" w:ascii="Times New Roman" w:hAnsi="Times New Roman" w:cs="Times New Roman"/>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654F33B9">
      <w:pPr>
        <w:spacing w:line="360" w:lineRule="auto"/>
        <w:ind w:firstLine="480" w:firstLineChars="200"/>
        <w:rPr>
          <w:rFonts w:hint="default" w:ascii="Times New Roman" w:hAnsi="Times New Roman" w:cs="Times New Roman"/>
        </w:rPr>
      </w:pPr>
    </w:p>
    <w:p w14:paraId="07354F39">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19" w:name="_Toc27495488"/>
      <w:r>
        <w:rPr>
          <w:rFonts w:hint="default" w:ascii="Times New Roman" w:hAnsi="Times New Roman" w:cs="Times New Roman"/>
          <w:b/>
          <w:lang w:val="en-US" w:eastAsia="zh-CN"/>
        </w:rPr>
        <w:t>合同争议的解决办法</w:t>
      </w:r>
      <w:bookmarkEnd w:id="19"/>
    </w:p>
    <w:p w14:paraId="7A00013D">
      <w:pPr>
        <w:spacing w:line="360" w:lineRule="auto"/>
        <w:ind w:firstLine="403"/>
        <w:rPr>
          <w:rFonts w:hint="default" w:ascii="Times New Roman" w:hAnsi="Times New Roman" w:cs="Times New Roman"/>
        </w:rPr>
      </w:pPr>
      <w:r>
        <w:rPr>
          <w:rFonts w:hint="default" w:ascii="Times New Roman" w:hAnsi="Times New Roman" w:cs="Times New Roman"/>
        </w:rPr>
        <w:t>1、双方因本合同发生争议的，可协商解决。协商不成的，任何一方可向甲方住所地有管辖权的人民法院提起诉讼。</w:t>
      </w:r>
    </w:p>
    <w:p w14:paraId="5938D244">
      <w:pPr>
        <w:spacing w:line="360" w:lineRule="auto"/>
        <w:ind w:firstLine="403"/>
        <w:rPr>
          <w:rFonts w:hint="default" w:ascii="Times New Roman" w:hAnsi="Times New Roman" w:cs="Times New Roman"/>
        </w:rPr>
      </w:pPr>
      <w:r>
        <w:rPr>
          <w:rFonts w:hint="default" w:ascii="Times New Roman" w:hAnsi="Times New Roman" w:cs="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3B0DADEC">
      <w:pPr>
        <w:spacing w:line="360" w:lineRule="auto"/>
        <w:ind w:firstLine="403"/>
        <w:rPr>
          <w:rFonts w:hint="default" w:ascii="Times New Roman" w:hAnsi="Times New Roman" w:cs="Times New Roman"/>
        </w:rPr>
      </w:pPr>
    </w:p>
    <w:p w14:paraId="73DCB026">
      <w:pPr>
        <w:keepNext w:val="0"/>
        <w:keepLines w:val="0"/>
        <w:pageBreakBefore w:val="0"/>
        <w:widowControl w:val="0"/>
        <w:numPr>
          <w:ilvl w:val="0"/>
          <w:numId w:val="2"/>
        </w:numP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cs="Times New Roman"/>
          <w:b/>
          <w:lang w:val="en-US" w:eastAsia="zh-CN"/>
        </w:rPr>
      </w:pPr>
      <w:bookmarkStart w:id="20" w:name="_Toc27495489"/>
      <w:r>
        <w:rPr>
          <w:rFonts w:hint="default" w:ascii="Times New Roman" w:hAnsi="Times New Roman" w:cs="Times New Roman"/>
          <w:b/>
          <w:lang w:val="en-US" w:eastAsia="zh-CN"/>
        </w:rPr>
        <w:t>其他</w:t>
      </w:r>
      <w:bookmarkEnd w:id="20"/>
    </w:p>
    <w:p w14:paraId="0440846A">
      <w:pPr>
        <w:widowControl/>
        <w:numPr>
          <w:ilvl w:val="0"/>
          <w:numId w:val="5"/>
        </w:numPr>
        <w:spacing w:line="360" w:lineRule="auto"/>
        <w:ind w:left="480" w:leftChars="0" w:firstLine="0" w:firstLineChars="0"/>
        <w:rPr>
          <w:rFonts w:hint="default" w:ascii="Times New Roman" w:hAnsi="Times New Roman" w:cs="Times New Roman"/>
        </w:rPr>
      </w:pPr>
      <w:r>
        <w:rPr>
          <w:rFonts w:hint="default" w:ascii="Times New Roman" w:hAnsi="Times New Roman" w:cs="Times New Roman"/>
        </w:rPr>
        <w:t>乙方确认：本合同中列明的乙方“地址”为有效的收件地址，甲方对乙方的相</w:t>
      </w:r>
    </w:p>
    <w:p w14:paraId="0AA17D93">
      <w:pPr>
        <w:widowControl/>
        <w:numPr>
          <w:ilvl w:val="0"/>
          <w:numId w:val="0"/>
        </w:numPr>
        <w:spacing w:line="360" w:lineRule="auto"/>
        <w:rPr>
          <w:rFonts w:hint="default" w:ascii="Times New Roman" w:hAnsi="Times New Roman" w:cs="Times New Roman"/>
        </w:rPr>
      </w:pPr>
      <w:r>
        <w:rPr>
          <w:rFonts w:hint="default" w:ascii="Times New Roman" w:hAnsi="Times New Roman" w:cs="Times New Roman"/>
        </w:rPr>
        <w:t>关通知、函件等可通过特快专递方式送达至该地址。甲方通过特快专递方式向乙方“地址”发出相关通知、函件等</w:t>
      </w:r>
      <w:r>
        <w:rPr>
          <w:rFonts w:hint="default" w:ascii="Times New Roman" w:hAnsi="Times New Roman" w:cs="Times New Roman"/>
          <w:u w:val="single"/>
        </w:rPr>
        <w:t>3</w:t>
      </w:r>
      <w:r>
        <w:rPr>
          <w:rFonts w:hint="default" w:ascii="Times New Roman" w:hAnsi="Times New Roman" w:cs="Times New Roman"/>
          <w:u w:val="single"/>
          <w:lang w:val="en-US" w:eastAsia="zh-CN"/>
        </w:rPr>
        <w:t>日</w:t>
      </w:r>
      <w:r>
        <w:rPr>
          <w:rFonts w:hint="default" w:ascii="Times New Roman" w:hAnsi="Times New Roman" w:cs="Times New Roman"/>
        </w:rPr>
        <w:t>后，即视为有效送达。乙方更换地址的，应该</w:t>
      </w:r>
      <w:r>
        <w:rPr>
          <w:rFonts w:hint="default" w:ascii="Times New Roman" w:hAnsi="Times New Roman" w:cs="Times New Roman"/>
          <w:u w:val="single"/>
        </w:rPr>
        <w:t>3</w:t>
      </w:r>
      <w:r>
        <w:rPr>
          <w:rFonts w:hint="default" w:ascii="Times New Roman" w:hAnsi="Times New Roman" w:cs="Times New Roman"/>
        </w:rPr>
        <w:t>日内书面告知甲方。</w:t>
      </w:r>
    </w:p>
    <w:p w14:paraId="17CAE98A">
      <w:pPr>
        <w:keepNext w:val="0"/>
        <w:keepLines w:val="0"/>
        <w:pageBreakBefore w:val="0"/>
        <w:widowControl/>
        <w:numPr>
          <w:ilvl w:val="0"/>
          <w:numId w:val="5"/>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cs="Times New Roman"/>
        </w:rPr>
      </w:pPr>
      <w:r>
        <w:rPr>
          <w:rFonts w:hint="default" w:ascii="Times New Roman" w:hAnsi="Times New Roman" w:cs="Times New Roman"/>
        </w:rPr>
        <w:t>乙方在进入甲方场地前应签订《安全生产管理协议》。乙方须做好安全防护</w:t>
      </w:r>
    </w:p>
    <w:p w14:paraId="20A2BE97">
      <w:pPr>
        <w:widowControl/>
        <w:numPr>
          <w:ilvl w:val="0"/>
          <w:numId w:val="0"/>
        </w:numPr>
        <w:spacing w:line="360" w:lineRule="auto"/>
        <w:rPr>
          <w:rFonts w:hint="default" w:ascii="Times New Roman" w:hAnsi="Times New Roman" w:cs="Times New Roman"/>
        </w:rPr>
      </w:pPr>
      <w:r>
        <w:rPr>
          <w:rFonts w:hint="default" w:ascii="Times New Roman" w:hAnsi="Times New Roman" w:cs="Times New Roman"/>
        </w:rPr>
        <w:t>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99DB472">
      <w:pPr>
        <w:widowControl/>
        <w:numPr>
          <w:ilvl w:val="0"/>
          <w:numId w:val="5"/>
        </w:numPr>
        <w:spacing w:line="360" w:lineRule="auto"/>
        <w:ind w:left="480" w:leftChars="0" w:firstLine="0" w:firstLineChars="0"/>
        <w:rPr>
          <w:rFonts w:hint="default" w:ascii="Times New Roman" w:hAnsi="Times New Roman" w:cs="Times New Roman"/>
        </w:rPr>
      </w:pPr>
      <w:r>
        <w:rPr>
          <w:rFonts w:hint="default" w:ascii="Times New Roman" w:hAnsi="Times New Roman" w:cs="Times New Roman"/>
        </w:rPr>
        <w:t>本合同一式</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叁</w:t>
      </w:r>
      <w:r>
        <w:rPr>
          <w:rFonts w:hint="default" w:ascii="Times New Roman" w:hAnsi="Times New Roman" w:cs="Times New Roman"/>
          <w:u w:val="single"/>
        </w:rPr>
        <w:t xml:space="preserve"> </w:t>
      </w:r>
      <w:r>
        <w:rPr>
          <w:rFonts w:hint="default" w:ascii="Times New Roman" w:hAnsi="Times New Roman" w:cs="Times New Roman"/>
        </w:rPr>
        <w:t>份，其中甲方执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贰</w:t>
      </w:r>
      <w:r>
        <w:rPr>
          <w:rFonts w:hint="default" w:ascii="Times New Roman" w:hAnsi="Times New Roman" w:cs="Times New Roman"/>
          <w:u w:val="single"/>
        </w:rPr>
        <w:t xml:space="preserve"> </w:t>
      </w:r>
      <w:r>
        <w:rPr>
          <w:rFonts w:hint="default" w:ascii="Times New Roman" w:hAnsi="Times New Roman" w:cs="Times New Roman"/>
        </w:rPr>
        <w:t>份，乙方执</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壹</w:t>
      </w:r>
      <w:r>
        <w:rPr>
          <w:rFonts w:hint="default" w:ascii="Times New Roman" w:hAnsi="Times New Roman" w:cs="Times New Roman"/>
          <w:u w:val="single"/>
        </w:rPr>
        <w:t xml:space="preserve"> </w:t>
      </w:r>
      <w:r>
        <w:rPr>
          <w:rFonts w:hint="default" w:ascii="Times New Roman" w:hAnsi="Times New Roman" w:cs="Times New Roman"/>
        </w:rPr>
        <w:t>份，每份均具有同</w:t>
      </w:r>
    </w:p>
    <w:p w14:paraId="37A35296">
      <w:pPr>
        <w:widowControl/>
        <w:numPr>
          <w:ilvl w:val="0"/>
          <w:numId w:val="0"/>
        </w:numPr>
        <w:spacing w:line="360" w:lineRule="auto"/>
        <w:rPr>
          <w:rFonts w:hint="default" w:ascii="Times New Roman" w:hAnsi="Times New Roman" w:cs="Times New Roman"/>
        </w:rPr>
      </w:pPr>
      <w:r>
        <w:rPr>
          <w:rFonts w:hint="default" w:ascii="Times New Roman" w:hAnsi="Times New Roman" w:cs="Times New Roman"/>
        </w:rPr>
        <w:t>等法律效力。</w:t>
      </w:r>
    </w:p>
    <w:p w14:paraId="66776F66">
      <w:pPr>
        <w:widowControl/>
        <w:numPr>
          <w:ilvl w:val="0"/>
          <w:numId w:val="5"/>
        </w:numPr>
        <w:spacing w:line="360" w:lineRule="auto"/>
        <w:ind w:left="480" w:leftChars="0" w:firstLine="0" w:firstLineChars="0"/>
        <w:rPr>
          <w:rFonts w:hint="default" w:ascii="Times New Roman" w:hAnsi="Times New Roman" w:cs="Times New Roman"/>
        </w:rPr>
      </w:pPr>
      <w:r>
        <w:rPr>
          <w:rFonts w:hint="default" w:ascii="Times New Roman" w:hAnsi="Times New Roman" w:cs="Times New Roman"/>
        </w:rPr>
        <w:t>本合同经双方</w:t>
      </w:r>
      <w:r>
        <w:rPr>
          <w:rFonts w:hint="eastAsia" w:ascii="Times New Roman" w:cs="Times New Roman"/>
          <w:lang w:val="en-US" w:eastAsia="zh-CN"/>
        </w:rPr>
        <w:t>盖章、法定代表人</w:t>
      </w:r>
      <w:r>
        <w:rPr>
          <w:rFonts w:hint="default" w:ascii="Times New Roman" w:hAnsi="Times New Roman" w:cs="Times New Roman"/>
        </w:rPr>
        <w:t>签名后生效。</w:t>
      </w:r>
    </w:p>
    <w:p w14:paraId="77D4908F">
      <w:pPr>
        <w:widowControl/>
        <w:numPr>
          <w:ilvl w:val="0"/>
          <w:numId w:val="5"/>
        </w:numPr>
        <w:spacing w:line="360" w:lineRule="auto"/>
        <w:ind w:left="480" w:leftChars="0" w:firstLine="0" w:firstLineChars="0"/>
        <w:rPr>
          <w:rFonts w:hint="default" w:ascii="Times New Roman" w:hAnsi="Times New Roman" w:cs="Times New Roman"/>
        </w:rPr>
      </w:pPr>
      <w:r>
        <w:rPr>
          <w:rFonts w:hint="default" w:ascii="Times New Roman" w:hAnsi="Times New Roman" w:cs="Times New Roman"/>
        </w:rPr>
        <w:t>本合同附件是本合同不可分割内容，与本合同同时生效，同具法律效力。合</w:t>
      </w:r>
    </w:p>
    <w:p w14:paraId="69BFF685">
      <w:pPr>
        <w:widowControl/>
        <w:numPr>
          <w:ilvl w:val="0"/>
          <w:numId w:val="0"/>
        </w:numPr>
        <w:spacing w:line="360" w:lineRule="auto"/>
        <w:rPr>
          <w:rFonts w:hint="default" w:ascii="Times New Roman" w:hAnsi="Times New Roman" w:cs="Times New Roman"/>
        </w:rPr>
      </w:pPr>
      <w:r>
        <w:rPr>
          <w:rFonts w:hint="default" w:ascii="Times New Roman" w:hAnsi="Times New Roman" w:cs="Times New Roman"/>
        </w:rPr>
        <w:t>同条款与附件、采购文件、报价文件等其他文件不一致的，以有利于甲方的约定/解释为准。</w:t>
      </w:r>
    </w:p>
    <w:p w14:paraId="2D3254FA">
      <w:pPr>
        <w:ind w:firstLine="480" w:firstLineChars="200"/>
        <w:rPr>
          <w:rFonts w:hint="default" w:ascii="Times New Roman" w:hAnsi="Times New Roman" w:eastAsia="宋体" w:cs="Times New Roman"/>
          <w:lang w:val="en-US" w:eastAsia="zh-CN"/>
        </w:rPr>
      </w:pPr>
      <w:r>
        <w:rPr>
          <w:rFonts w:hint="default" w:ascii="Times New Roman" w:hAnsi="Times New Roman" w:cs="Times New Roman"/>
        </w:rPr>
        <w:t>附件一：</w:t>
      </w:r>
      <w:r>
        <w:rPr>
          <w:rFonts w:hint="default" w:ascii="Times New Roman" w:hAnsi="Times New Roman" w:cs="Times New Roman"/>
          <w:lang w:val="en-US" w:eastAsia="zh-CN"/>
        </w:rPr>
        <w:t>安全生产管理协议</w:t>
      </w:r>
      <w:r>
        <w:rPr>
          <w:rFonts w:hint="default" w:ascii="Times New Roman" w:hAnsi="Times New Roman" w:cs="Times New Roman"/>
        </w:rPr>
        <w:t>；附件二：</w:t>
      </w:r>
      <w:r>
        <w:rPr>
          <w:rFonts w:hint="default" w:ascii="Times New Roman" w:hAnsi="Times New Roman" w:cs="Times New Roman"/>
          <w:lang w:val="en-US" w:eastAsia="zh-CN"/>
        </w:rPr>
        <w:t>分项报价表</w:t>
      </w:r>
      <w:r>
        <w:rPr>
          <w:rFonts w:hint="default" w:ascii="Times New Roman" w:hAnsi="Times New Roman" w:cs="Times New Roman"/>
        </w:rPr>
        <w:t>；附件三：用户需求书</w:t>
      </w:r>
      <w:r>
        <w:rPr>
          <w:rFonts w:hint="eastAsia" w:ascii="Times New Roman" w:cs="Times New Roman"/>
          <w:lang w:eastAsia="zh-CN"/>
        </w:rPr>
        <w:t>；</w:t>
      </w:r>
      <w:r>
        <w:rPr>
          <w:rFonts w:hint="eastAsia" w:ascii="Times New Roman" w:cs="Times New Roman"/>
          <w:lang w:val="en-US" w:eastAsia="zh-CN"/>
        </w:rPr>
        <w:t>附件四：阳光合作告知函</w:t>
      </w:r>
    </w:p>
    <w:p w14:paraId="602FC803">
      <w:pPr>
        <w:ind w:firstLine="480" w:firstLineChars="200"/>
        <w:rPr>
          <w:rFonts w:hint="default"/>
        </w:rPr>
      </w:pPr>
      <w:r>
        <w:rPr>
          <w:rFonts w:hint="eastAsia" w:ascii="Times New Roman" w:hAnsi="Times New Roman" w:cs="Times New Roman"/>
          <w:lang w:val="en-US" w:eastAsia="zh-CN"/>
        </w:rPr>
        <w:t>（以下无正文）</w:t>
      </w:r>
      <w:r>
        <w:rPr>
          <w:rFonts w:hint="default"/>
        </w:rPr>
        <w:br w:type="page"/>
      </w:r>
    </w:p>
    <w:p w14:paraId="33429BFC">
      <w:pPr>
        <w:rPr>
          <w:rFonts w:hint="default"/>
        </w:rPr>
      </w:pPr>
    </w:p>
    <w:p w14:paraId="0E09C7DC">
      <w:pPr>
        <w:rPr>
          <w:rFonts w:hint="default" w:ascii="Times New Roman" w:hAnsi="Times New Roman" w:cs="Times New Roman"/>
        </w:rPr>
      </w:pPr>
    </w:p>
    <w:tbl>
      <w:tblPr>
        <w:tblStyle w:val="20"/>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1AF2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7E4EEC05">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甲方（盖章）</w:t>
            </w:r>
            <w:r>
              <w:rPr>
                <w:rFonts w:hint="default" w:ascii="Times New Roman" w:hAnsi="Times New Roman" w:cs="Times New Roman"/>
                <w:vertAlign w:val="baseline"/>
                <w:lang w:eastAsia="zh-CN"/>
              </w:rPr>
              <w:t>：东莞市石鼓</w:t>
            </w:r>
            <w:r>
              <w:rPr>
                <w:rFonts w:hint="eastAsia" w:ascii="Times New Roman" w:cs="Times New Roman"/>
                <w:vertAlign w:val="baseline"/>
                <w:lang w:val="en-US" w:eastAsia="zh-CN"/>
              </w:rPr>
              <w:t>净水</w:t>
            </w:r>
            <w:r>
              <w:rPr>
                <w:rFonts w:hint="default" w:ascii="Times New Roman" w:hAnsi="Times New Roman" w:cs="Times New Roman"/>
                <w:vertAlign w:val="baseline"/>
                <w:lang w:eastAsia="zh-CN"/>
              </w:rPr>
              <w:t>有限公司</w:t>
            </w:r>
          </w:p>
        </w:tc>
        <w:tc>
          <w:tcPr>
            <w:tcW w:w="5102" w:type="dxa"/>
            <w:tcBorders>
              <w:top w:val="nil"/>
              <w:left w:val="nil"/>
              <w:bottom w:val="nil"/>
              <w:right w:val="nil"/>
              <w:tl2br w:val="nil"/>
              <w:tr2bl w:val="nil"/>
            </w:tcBorders>
            <w:noWrap/>
            <w:tcMar>
              <w:left w:w="57" w:type="dxa"/>
              <w:right w:w="57" w:type="dxa"/>
            </w:tcMar>
            <w:vAlign w:val="top"/>
          </w:tcPr>
          <w:p w14:paraId="4019D6D5">
            <w:pPr>
              <w:spacing w:line="360" w:lineRule="auto"/>
              <w:jc w:val="both"/>
              <w:rPr>
                <w:rFonts w:hint="default" w:ascii="Times New Roman" w:hAnsi="Times New Roman" w:eastAsia="宋体" w:cs="Times New Roman"/>
                <w:vertAlign w:val="baseline"/>
                <w:lang w:val="en-US" w:eastAsia="zh-CN"/>
              </w:rPr>
            </w:pPr>
            <w:r>
              <w:rPr>
                <w:rFonts w:hint="eastAsia" w:ascii="Times New Roman" w:hAnsi="Times New Roman"/>
                <w:vertAlign w:val="baseline"/>
              </w:rPr>
              <w:t>乙方（盖章）：</w:t>
            </w:r>
          </w:p>
        </w:tc>
      </w:tr>
      <w:tr w14:paraId="0C7B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5815B1EB">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法定代表人：</w:t>
            </w:r>
          </w:p>
        </w:tc>
        <w:tc>
          <w:tcPr>
            <w:tcW w:w="5102" w:type="dxa"/>
            <w:tcBorders>
              <w:top w:val="nil"/>
              <w:left w:val="nil"/>
              <w:bottom w:val="nil"/>
              <w:right w:val="nil"/>
              <w:tl2br w:val="nil"/>
              <w:tr2bl w:val="nil"/>
            </w:tcBorders>
            <w:noWrap/>
            <w:tcMar>
              <w:left w:w="57" w:type="dxa"/>
              <w:right w:w="57" w:type="dxa"/>
            </w:tcMar>
            <w:vAlign w:val="top"/>
          </w:tcPr>
          <w:p w14:paraId="3A57386C">
            <w:pPr>
              <w:spacing w:line="360" w:lineRule="auto"/>
              <w:jc w:val="both"/>
              <w:rPr>
                <w:rFonts w:hint="default" w:ascii="Times New Roman" w:hAnsi="Times New Roman" w:cs="Times New Roman"/>
                <w:vertAlign w:val="baseline"/>
              </w:rPr>
            </w:pPr>
            <w:r>
              <w:rPr>
                <w:rFonts w:hint="eastAsia" w:ascii="Times New Roman" w:hAnsi="Times New Roman"/>
                <w:vertAlign w:val="baseline"/>
              </w:rPr>
              <w:t>法定代表人：</w:t>
            </w:r>
          </w:p>
        </w:tc>
      </w:tr>
      <w:tr w14:paraId="6B04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5FC25116">
            <w:pPr>
              <w:spacing w:line="360" w:lineRule="auto"/>
              <w:jc w:val="both"/>
              <w:rPr>
                <w:rFonts w:hint="default" w:ascii="Times New Roman" w:hAnsi="Times New Roman" w:cs="Times New Roman"/>
                <w:vertAlign w:val="baseline"/>
              </w:rPr>
            </w:pPr>
            <w:r>
              <w:rPr>
                <w:rFonts w:hint="default" w:ascii="Times New Roman" w:hAnsi="Times New Roman" w:cs="Times New Roman"/>
                <w:vertAlign w:val="baseline"/>
              </w:rPr>
              <w:t>地址：广东省东莞市南城街道滨河路100号一期</w:t>
            </w:r>
          </w:p>
          <w:p w14:paraId="7D1D366B">
            <w:pPr>
              <w:spacing w:line="360" w:lineRule="auto"/>
              <w:ind w:firstLine="720" w:firstLineChars="300"/>
              <w:jc w:val="both"/>
              <w:rPr>
                <w:rFonts w:hint="default" w:ascii="Times New Roman" w:hAnsi="Times New Roman" w:cs="Times New Roman"/>
                <w:vertAlign w:val="baseline"/>
              </w:rPr>
            </w:pPr>
            <w:r>
              <w:rPr>
                <w:rFonts w:hint="default" w:ascii="Times New Roman" w:hAnsi="Times New Roman" w:cs="Times New Roman"/>
                <w:vertAlign w:val="baseline"/>
              </w:rPr>
              <w:t>1号楼101室</w:t>
            </w:r>
          </w:p>
        </w:tc>
        <w:tc>
          <w:tcPr>
            <w:tcW w:w="5102" w:type="dxa"/>
            <w:tcBorders>
              <w:top w:val="nil"/>
              <w:left w:val="nil"/>
              <w:bottom w:val="nil"/>
              <w:right w:val="nil"/>
              <w:tl2br w:val="nil"/>
              <w:tr2bl w:val="nil"/>
            </w:tcBorders>
            <w:noWrap/>
            <w:tcMar>
              <w:left w:w="57" w:type="dxa"/>
              <w:right w:w="57" w:type="dxa"/>
            </w:tcMar>
            <w:vAlign w:val="top"/>
          </w:tcPr>
          <w:p w14:paraId="7F58DFED">
            <w:pPr>
              <w:spacing w:line="360" w:lineRule="auto"/>
              <w:jc w:val="both"/>
              <w:rPr>
                <w:rFonts w:hint="default" w:ascii="Times New Roman" w:hAnsi="Times New Roman" w:eastAsia="宋体" w:cs="Times New Roman"/>
                <w:vertAlign w:val="baseline"/>
                <w:lang w:val="en-US" w:eastAsia="zh-CN"/>
              </w:rPr>
            </w:pPr>
            <w:r>
              <w:rPr>
                <w:rFonts w:hint="eastAsia" w:ascii="Times New Roman" w:hAnsi="Times New Roman"/>
                <w:vertAlign w:val="baseline"/>
              </w:rPr>
              <w:t>地址：</w:t>
            </w:r>
          </w:p>
        </w:tc>
      </w:tr>
      <w:tr w14:paraId="3887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166BE350">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14:paraId="6132B78D">
            <w:pPr>
              <w:spacing w:line="360" w:lineRule="auto"/>
              <w:jc w:val="both"/>
              <w:rPr>
                <w:rFonts w:hint="default" w:ascii="Times New Roman" w:hAnsi="Times New Roman" w:cs="Times New Roman"/>
                <w:color w:val="auto"/>
                <w:vertAlign w:val="baseline"/>
              </w:rPr>
            </w:pPr>
            <w:r>
              <w:rPr>
                <w:rFonts w:hint="eastAsia" w:ascii="Times New Roman" w:hAnsi="Times New Roman"/>
                <w:color w:val="auto"/>
                <w:vertAlign w:val="baseline"/>
              </w:rPr>
              <w:t>电话：</w:t>
            </w:r>
          </w:p>
        </w:tc>
      </w:tr>
      <w:tr w14:paraId="4EDE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55FCC018">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14:paraId="0FE228E3">
            <w:pPr>
              <w:spacing w:line="360" w:lineRule="auto"/>
              <w:jc w:val="both"/>
              <w:rPr>
                <w:rFonts w:hint="default" w:ascii="Times New Roman" w:hAnsi="Times New Roman" w:cs="Times New Roman"/>
                <w:color w:val="auto"/>
                <w:vertAlign w:val="baseline"/>
              </w:rPr>
            </w:pPr>
            <w:r>
              <w:rPr>
                <w:rFonts w:hint="eastAsia" w:ascii="Times New Roman" w:hAnsi="Times New Roman"/>
                <w:color w:val="auto"/>
                <w:vertAlign w:val="baseline"/>
              </w:rPr>
              <w:t>名称：</w:t>
            </w:r>
          </w:p>
        </w:tc>
      </w:tr>
      <w:tr w14:paraId="1C98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5FCCD5FA">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14:paraId="08A39F57">
            <w:pPr>
              <w:spacing w:line="360" w:lineRule="auto"/>
              <w:jc w:val="both"/>
              <w:rPr>
                <w:rFonts w:hint="default" w:ascii="Times New Roman" w:hAnsi="Times New Roman" w:cs="Times New Roman"/>
                <w:color w:val="auto"/>
                <w:vertAlign w:val="baseline"/>
              </w:rPr>
            </w:pPr>
            <w:r>
              <w:rPr>
                <w:rFonts w:hint="eastAsia" w:ascii="Times New Roman" w:hAnsi="Times New Roman"/>
                <w:color w:val="auto"/>
                <w:vertAlign w:val="baseline"/>
              </w:rPr>
              <w:t>开户银行：</w:t>
            </w:r>
          </w:p>
        </w:tc>
      </w:tr>
      <w:tr w14:paraId="5B45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21BA9D98">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14:paraId="6F11900D">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360" w:lineRule="auto"/>
              <w:contextualSpacing w:val="0"/>
              <w:jc w:val="left"/>
              <w:rPr>
                <w:rFonts w:hint="default" w:ascii="Times New Roman" w:hAnsi="Times New Roman" w:cs="Times New Roman"/>
                <w:color w:val="auto"/>
                <w:sz w:val="32"/>
                <w:szCs w:val="32"/>
              </w:rPr>
            </w:pPr>
            <w:r>
              <w:rPr>
                <w:rFonts w:hint="eastAsia" w:ascii="Times New Roman" w:hAnsi="Times New Roman"/>
                <w:color w:val="auto"/>
                <w:vertAlign w:val="baseline"/>
              </w:rPr>
              <w:t>银行账号：</w:t>
            </w:r>
          </w:p>
        </w:tc>
      </w:tr>
      <w:tr w14:paraId="10D0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op w:val="nil"/>
              <w:left w:val="nil"/>
              <w:bottom w:val="nil"/>
              <w:right w:val="nil"/>
              <w:tl2br w:val="nil"/>
              <w:tr2bl w:val="nil"/>
            </w:tcBorders>
            <w:noWrap/>
            <w:tcMar>
              <w:left w:w="57" w:type="dxa"/>
              <w:right w:w="57" w:type="dxa"/>
            </w:tcMar>
          </w:tcPr>
          <w:p w14:paraId="64485B63">
            <w:pPr>
              <w:spacing w:line="360" w:lineRule="auto"/>
              <w:jc w:val="both"/>
              <w:rPr>
                <w:rFonts w:hint="default" w:ascii="Times New Roman" w:hAnsi="Times New Roman" w:cs="Times New Roman"/>
                <w:color w:val="auto"/>
                <w:vertAlign w:val="baseline"/>
              </w:rPr>
            </w:pPr>
          </w:p>
        </w:tc>
        <w:tc>
          <w:tcPr>
            <w:tcW w:w="5102" w:type="dxa"/>
            <w:tcBorders>
              <w:top w:val="nil"/>
              <w:left w:val="nil"/>
              <w:bottom w:val="nil"/>
              <w:right w:val="nil"/>
              <w:tl2br w:val="nil"/>
              <w:tr2bl w:val="nil"/>
            </w:tcBorders>
            <w:noWrap/>
            <w:tcMar>
              <w:left w:w="57" w:type="dxa"/>
              <w:right w:w="57" w:type="dxa"/>
            </w:tcMar>
            <w:vAlign w:val="top"/>
          </w:tcPr>
          <w:p w14:paraId="3453A809">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360" w:lineRule="auto"/>
              <w:contextualSpacing w:val="0"/>
              <w:jc w:val="left"/>
              <w:rPr>
                <w:rFonts w:hint="default" w:ascii="Times New Roman" w:hAnsi="Times New Roman" w:cs="Times New Roman"/>
                <w:color w:val="auto"/>
                <w:sz w:val="32"/>
                <w:szCs w:val="32"/>
              </w:rPr>
            </w:pPr>
            <w:r>
              <w:rPr>
                <w:rFonts w:hint="eastAsia" w:ascii="Times New Roman" w:hAnsi="Times New Roman"/>
                <w:color w:val="auto"/>
                <w:vertAlign w:val="baseline"/>
              </w:rPr>
              <w:t>税号</w:t>
            </w:r>
            <w:r>
              <w:rPr>
                <w:rFonts w:hint="eastAsia" w:ascii="Times New Roman" w:hAnsi="Times New Roman"/>
                <w:color w:val="auto"/>
              </w:rPr>
              <w:t>：</w:t>
            </w:r>
          </w:p>
        </w:tc>
      </w:tr>
    </w:tbl>
    <w:p w14:paraId="2A8C96AA">
      <w:pPr>
        <w:spacing w:line="360" w:lineRule="auto"/>
        <w:rPr>
          <w:rFonts w:hint="default" w:ascii="Times New Roman" w:hAnsi="Times New Roman" w:cs="Times New Roman"/>
        </w:rPr>
      </w:pPr>
    </w:p>
    <w:p w14:paraId="13409B3F">
      <w:pPr>
        <w:spacing w:line="360" w:lineRule="auto"/>
        <w:rPr>
          <w:rFonts w:hint="default" w:ascii="Times New Roman" w:hAnsi="Times New Roman" w:cs="Times New Roman"/>
        </w:rPr>
      </w:pPr>
      <w:r>
        <w:rPr>
          <w:rFonts w:hint="default" w:ascii="Times New Roman" w:hAnsi="Times New Roman" w:cs="Times New Roman"/>
        </w:rPr>
        <w:t>签约日期：</w:t>
      </w:r>
      <w:r>
        <w:rPr>
          <w:rFonts w:hint="eastAsia" w:ascii="Times New Roman" w:hAnsi="Times New Roman" w:cs="Times New Roman"/>
          <w:lang w:val="en-US" w:eastAsia="zh-CN"/>
        </w:rPr>
        <w:t xml:space="preserve">    </w:t>
      </w:r>
      <w:r>
        <w:rPr>
          <w:rFonts w:hint="default" w:ascii="Times New Roman" w:hAnsi="Times New Roman" w:cs="Times New Roman"/>
        </w:rPr>
        <w:t>年</w:t>
      </w:r>
      <w:r>
        <w:rPr>
          <w:rFonts w:hint="eastAsia" w:ascii="Times New Roman" w:hAnsi="Times New Roman" w:cs="Times New Roman"/>
          <w:lang w:val="en-US" w:eastAsia="zh-CN"/>
        </w:rPr>
        <w:t xml:space="preserve">  </w:t>
      </w:r>
      <w:r>
        <w:rPr>
          <w:rFonts w:hint="default" w:ascii="Times New Roman" w:hAnsi="Times New Roman" w:cs="Times New Roman"/>
        </w:rPr>
        <w:t>月</w:t>
      </w:r>
      <w:r>
        <w:rPr>
          <w:rFonts w:hint="eastAsia" w:ascii="Times New Roman" w:hAnsi="Times New Roman" w:cs="Times New Roman"/>
          <w:lang w:val="en-US" w:eastAsia="zh-CN"/>
        </w:rPr>
        <w:t xml:space="preserve">  </w:t>
      </w:r>
      <w:r>
        <w:rPr>
          <w:rFonts w:hint="default" w:ascii="Times New Roman" w:hAnsi="Times New Roman" w:cs="Times New Roman"/>
        </w:rPr>
        <w:t xml:space="preserve">日 </w:t>
      </w:r>
    </w:p>
    <w:p w14:paraId="2DF6C7D3">
      <w:pPr>
        <w:spacing w:line="360" w:lineRule="auto"/>
        <w:rPr>
          <w:rFonts w:hint="default" w:ascii="Times New Roman" w:hAnsi="Times New Roman" w:cs="Times New Roman"/>
        </w:rPr>
      </w:pPr>
      <w:r>
        <w:rPr>
          <w:rFonts w:hint="default" w:ascii="Times New Roman" w:hAnsi="Times New Roman" w:cs="Times New Roman"/>
        </w:rPr>
        <w:t>签约地点：广东省东莞市</w:t>
      </w:r>
    </w:p>
    <w:p w14:paraId="491D9F04">
      <w:pPr>
        <w:rPr>
          <w:rFonts w:hint="default" w:ascii="Times New Roman" w:hAnsi="Times New Roman" w:cs="Times New Roman"/>
        </w:rPr>
      </w:pPr>
      <w:r>
        <w:rPr>
          <w:rFonts w:hint="default" w:ascii="Times New Roman" w:hAnsi="Times New Roman" w:cs="Times New Roman"/>
        </w:rPr>
        <w:br w:type="page"/>
      </w:r>
    </w:p>
    <w:p w14:paraId="0857401F">
      <w:pPr>
        <w:spacing w:line="420" w:lineRule="exact"/>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附件一：</w:t>
      </w:r>
    </w:p>
    <w:p w14:paraId="6D29402D">
      <w:pPr>
        <w:spacing w:line="42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安全生产管理协议</w:t>
      </w:r>
    </w:p>
    <w:p w14:paraId="6E2709A8">
      <w:pPr>
        <w:spacing w:line="420" w:lineRule="exact"/>
        <w:rPr>
          <w:rFonts w:ascii="仿宋_GB2312" w:hAnsi="仿宋_GB2312" w:eastAsia="仿宋_GB2312" w:cs="仿宋_GB2312"/>
          <w:sz w:val="28"/>
          <w:szCs w:val="28"/>
        </w:rPr>
      </w:pPr>
    </w:p>
    <w:p w14:paraId="73F72B12">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hint="eastAsia" w:ascii="仿宋_GB2312" w:hAnsi="仿宋" w:eastAsia="仿宋_GB2312" w:cs="仿宋"/>
          <w:color w:val="000000" w:themeColor="text1"/>
          <w:sz w:val="28"/>
          <w:szCs w:val="28"/>
          <w:u w:val="single"/>
          <w14:textFill>
            <w14:solidFill>
              <w14:schemeClr w14:val="tx1"/>
            </w14:solidFill>
          </w14:textFill>
        </w:rPr>
        <w:t>东莞市石鼓净水有限公司</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7CCFDC99">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14:textFill>
            <w14:solidFill>
              <w14:schemeClr w14:val="tx1"/>
            </w14:solidFill>
          </w14:textFill>
        </w:rPr>
        <w:t>广东省东莞市南城街道滨河路100号一期1号楼101室</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7B29256">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14:textFill>
            <w14:solidFill>
              <w14:schemeClr w14:val="tx1"/>
            </w14:solidFill>
          </w14:textFill>
        </w:rPr>
        <w:t>0769-28823292</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1CBD3F25">
      <w:pPr>
        <w:spacing w:line="420" w:lineRule="exact"/>
        <w:rPr>
          <w:rFonts w:ascii="仿宋_GB2312" w:hAnsi="仿宋_GB2312" w:eastAsia="仿宋_GB2312" w:cs="仿宋_GB2312"/>
          <w:sz w:val="28"/>
          <w:szCs w:val="28"/>
        </w:rPr>
      </w:pPr>
    </w:p>
    <w:p w14:paraId="6042E2D0">
      <w:pPr>
        <w:spacing w:line="42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u w:val="single"/>
          <w:lang w:val="en-US" w:eastAsia="zh-CN"/>
        </w:rPr>
        <w:t xml:space="preserve">                   </w:t>
      </w:r>
    </w:p>
    <w:p w14:paraId="4F0FF557">
      <w:pPr>
        <w:spacing w:line="4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lang w:val="en-US" w:eastAsia="zh-CN"/>
        </w:rPr>
        <w:t xml:space="preserve">                   </w:t>
      </w:r>
    </w:p>
    <w:p w14:paraId="74D9D057">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lang w:val="en-US" w:eastAsia="zh-CN"/>
        </w:rPr>
        <w:t xml:space="preserve">                   </w:t>
      </w:r>
    </w:p>
    <w:p w14:paraId="1509089F">
      <w:pPr>
        <w:pStyle w:val="8"/>
        <w:spacing w:line="276" w:lineRule="auto"/>
        <w:rPr>
          <w:rFonts w:hint="eastAsia" w:ascii="仿宋" w:hAnsi="仿宋" w:eastAsia="仿宋" w:cs="仿宋"/>
          <w:color w:val="000000" w:themeColor="text1"/>
          <w:kern w:val="0"/>
          <w:szCs w:val="28"/>
          <w14:textFill>
            <w14:solidFill>
              <w14:schemeClr w14:val="tx1"/>
            </w14:solidFill>
          </w14:textFill>
        </w:rPr>
      </w:pPr>
    </w:p>
    <w:p w14:paraId="7065F3D0">
      <w:pPr>
        <w:pStyle w:val="8"/>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229E64BB">
      <w:pPr>
        <w:spacing w:line="360" w:lineRule="auto"/>
        <w:ind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项目名称：</w:t>
      </w:r>
      <w:r>
        <w:rPr>
          <w:rFonts w:hint="default" w:ascii="仿宋" w:hAnsi="仿宋" w:eastAsia="仿宋" w:cs="仿宋"/>
          <w:color w:val="000000" w:themeColor="text1"/>
          <w:kern w:val="2"/>
          <w:sz w:val="28"/>
          <w:szCs w:val="28"/>
          <w:lang w:val="en-US" w:eastAsia="zh-CN" w:bidi="ar-SA"/>
          <w14:textFill>
            <w14:solidFill>
              <w14:schemeClr w14:val="tx1"/>
            </w14:solidFill>
          </w14:textFill>
        </w:rPr>
        <w:t>市区厂能源在线监测系统对接市平台</w:t>
      </w:r>
      <w:r>
        <w:rPr>
          <w:rFonts w:hint="eastAsia" w:ascii="仿宋" w:hAnsi="仿宋" w:eastAsia="仿宋" w:cs="仿宋"/>
          <w:color w:val="000000" w:themeColor="text1"/>
          <w:kern w:val="2"/>
          <w:sz w:val="28"/>
          <w:szCs w:val="28"/>
          <w:lang w:val="en-US" w:eastAsia="zh-CN" w:bidi="ar-SA"/>
          <w14:textFill>
            <w14:solidFill>
              <w14:schemeClr w14:val="tx1"/>
            </w14:solidFill>
          </w14:textFill>
        </w:rPr>
        <w:t>项目</w:t>
      </w:r>
    </w:p>
    <w:p w14:paraId="417429A9">
      <w:pPr>
        <w:autoSpaceDE/>
        <w:autoSpaceDN/>
        <w:adjustRightInd/>
        <w:spacing w:line="360" w:lineRule="auto"/>
        <w:ind w:left="557" w:leftChars="232" w:firstLine="0" w:firstLineChars="0"/>
        <w:jc w:val="both"/>
        <w:rPr>
          <w:rFonts w:hint="eastAsia" w:ascii="Times New Roman" w:hAnsi="Times New Roman" w:eastAsia="宋体" w:cs="Times New Roman"/>
          <w:highlight w:val="none"/>
          <w:lang w:val="en-US" w:eastAsia="zh-CN"/>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 w:hAnsi="仿宋" w:eastAsia="仿宋" w:cs="仿宋"/>
          <w:color w:val="000000" w:themeColor="text1"/>
          <w:kern w:val="2"/>
          <w:sz w:val="28"/>
          <w:szCs w:val="28"/>
          <w:lang w:val="en-US" w:eastAsia="zh-CN" w:bidi="ar-SA"/>
          <w14:textFill>
            <w14:solidFill>
              <w14:schemeClr w14:val="tx1"/>
            </w14:solidFill>
          </w14:textFill>
        </w:rPr>
        <w:t>：东莞市南城街道滨河路100号市区水质净化厂</w:t>
      </w:r>
    </w:p>
    <w:p w14:paraId="6C6FB38B">
      <w:pPr>
        <w:autoSpaceDE/>
        <w:autoSpaceDN/>
        <w:adjustRightInd/>
        <w:spacing w:line="360" w:lineRule="auto"/>
        <w:ind w:left="557" w:leftChars="232" w:firstLine="0" w:firstLineChars="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ascii="仿宋" w:hAnsi="仿宋" w:eastAsia="仿宋" w:cs="仿宋"/>
          <w:color w:val="000000" w:themeColor="text1"/>
          <w:sz w:val="28"/>
          <w:szCs w:val="28"/>
          <w14:textFill>
            <w14:solidFill>
              <w14:schemeClr w14:val="tx1"/>
            </w14:solidFill>
          </w14:textFill>
        </w:rPr>
        <w:t>至</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5A70DAA6">
      <w:pPr>
        <w:autoSpaceDE/>
        <w:autoSpaceDN/>
        <w:adjustRightInd/>
        <w:spacing w:line="276" w:lineRule="auto"/>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一、污水处理厂风险辨识</w:t>
      </w:r>
    </w:p>
    <w:p w14:paraId="1EB48F41">
      <w:pPr>
        <w:autoSpaceDE w:val="0"/>
        <w:autoSpaceDN w:val="0"/>
        <w:adjustRightInd w:val="0"/>
        <w:spacing w:before="181" w:line="276" w:lineRule="auto"/>
        <w:ind w:left="100" w:right="99" w:firstLine="600" w:firstLineChars="200"/>
        <w:jc w:val="both"/>
        <w:rPr>
          <w:rFonts w:ascii="仿宋" w:hAnsi="仿宋" w:eastAsia="仿宋" w:cs="仿宋"/>
          <w:color w:val="000000"/>
          <w:kern w:val="0"/>
          <w:sz w:val="30"/>
          <w:szCs w:val="30"/>
        </w:rPr>
      </w:pPr>
      <w:r>
        <w:rPr>
          <w:rFonts w:ascii="仿宋" w:hAnsi="仿宋" w:eastAsia="仿宋" w:cs="仿宋"/>
          <w:color w:val="000000"/>
          <w:kern w:val="0"/>
          <w:sz w:val="30"/>
          <w:szCs w:val="30"/>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kern w:val="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6222D721">
      <w:pPr>
        <w:autoSpaceDE w:val="0"/>
        <w:autoSpaceDN w:val="0"/>
        <w:adjustRightInd w:val="0"/>
        <w:spacing w:before="181" w:line="276" w:lineRule="auto"/>
        <w:ind w:left="100" w:right="99" w:firstLine="600" w:firstLineChars="200"/>
        <w:jc w:val="both"/>
        <w:rPr>
          <w:rFonts w:ascii="仿宋" w:hAnsi="仿宋" w:eastAsia="仿宋" w:cs="仿宋"/>
          <w:color w:val="000000"/>
          <w:kern w:val="0"/>
          <w:sz w:val="30"/>
          <w:szCs w:val="30"/>
        </w:rPr>
      </w:pPr>
      <w:r>
        <w:rPr>
          <w:rFonts w:ascii="仿宋" w:hAnsi="仿宋" w:eastAsia="仿宋" w:cs="仿宋"/>
          <w:color w:val="000000"/>
          <w:kern w:val="0"/>
          <w:sz w:val="30"/>
          <w:szCs w:val="30"/>
        </w:rPr>
        <w:t>2、其他有限空间辨识，如:建筑施工未完工的地下暗室、管道及管道井等封闭、半封闭的设施及场所（地下隐蔽工程、</w:t>
      </w:r>
      <w:r>
        <w:rPr>
          <w:rFonts w:hint="eastAsia" w:ascii="仿宋" w:hAnsi="仿宋" w:eastAsia="仿宋" w:cs="仿宋"/>
          <w:color w:val="000000"/>
          <w:kern w:val="0"/>
          <w:sz w:val="30"/>
          <w:szCs w:val="30"/>
        </w:rPr>
        <w:t>密闭容器、长期不用的设施或通风不畅的场所等）等。</w:t>
      </w:r>
    </w:p>
    <w:p w14:paraId="3B385C19">
      <w:pPr>
        <w:autoSpaceDE w:val="0"/>
        <w:autoSpaceDN w:val="0"/>
        <w:adjustRightInd w:val="0"/>
        <w:spacing w:before="44" w:line="276" w:lineRule="auto"/>
        <w:jc w:val="lef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二、危害因素分析</w:t>
      </w:r>
    </w:p>
    <w:p w14:paraId="4E85A6CF">
      <w:pPr>
        <w:autoSpaceDE/>
        <w:autoSpaceDN/>
        <w:adjustRightInd/>
        <w:spacing w:line="276" w:lineRule="auto"/>
        <w:ind w:firstLine="600" w:firstLineChars="200"/>
        <w:jc w:val="both"/>
        <w:rPr>
          <w:rFonts w:hint="eastAsia" w:ascii="仿宋" w:hAnsi="仿宋" w:eastAsia="仿宋" w:cs="仿宋"/>
          <w:color w:val="000000"/>
          <w:kern w:val="0"/>
          <w:sz w:val="30"/>
          <w:szCs w:val="30"/>
          <w:lang w:eastAsia="zh-CN"/>
        </w:rPr>
      </w:pPr>
      <w:r>
        <w:rPr>
          <w:rFonts w:ascii="仿宋" w:hAnsi="仿宋" w:eastAsia="仿宋" w:cs="仿宋"/>
          <w:color w:val="000000"/>
          <w:kern w:val="0"/>
          <w:sz w:val="30"/>
          <w:szCs w:val="30"/>
        </w:rPr>
        <w:t>实施作业前，乙方应当对作业环境进行评估，分析存在的危险有害因素，列出危害因素清单</w:t>
      </w:r>
      <w:r>
        <w:rPr>
          <w:rFonts w:hint="eastAsia" w:ascii="仿宋" w:hAnsi="仿宋" w:eastAsia="仿宋" w:cs="仿宋"/>
          <w:color w:val="000000"/>
          <w:kern w:val="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kern w:val="0"/>
          <w:sz w:val="30"/>
          <w:szCs w:val="30"/>
          <w:lang w:eastAsia="zh-CN"/>
        </w:rPr>
        <w:t>。</w:t>
      </w:r>
    </w:p>
    <w:p w14:paraId="4141F35B">
      <w:pPr>
        <w:numPr>
          <w:ilvl w:val="255"/>
          <w:numId w:val="0"/>
        </w:numPr>
        <w:autoSpaceDE/>
        <w:autoSpaceDN/>
        <w:adjustRightInd/>
        <w:spacing w:line="500" w:lineRule="exact"/>
        <w:jc w:val="both"/>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三、协议实施条款</w:t>
      </w:r>
    </w:p>
    <w:p w14:paraId="14B3C7F7">
      <w:pPr>
        <w:numPr>
          <w:ilvl w:val="0"/>
          <w:numId w:val="6"/>
        </w:numPr>
        <w:autoSpaceDE w:val="0"/>
        <w:autoSpaceDN w:val="0"/>
        <w:adjustRightInd w:val="0"/>
        <w:spacing w:line="276" w:lineRule="auto"/>
        <w:ind w:firstLine="400" w:firstLineChars="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“相关方”是指：在公司从事与公司生产经营活动有关的、在公司内从事各种公务活动和进行业务往来的外部单位和个人</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以下简称“相关方”</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 xml:space="preserve">。主要包括： </w:t>
      </w:r>
    </w:p>
    <w:p w14:paraId="5B42D156">
      <w:pPr>
        <w:numPr>
          <w:ilvl w:val="-1"/>
          <w:numId w:val="0"/>
        </w:numPr>
        <w:autoSpaceDE w:val="0"/>
        <w:autoSpaceDN w:val="0"/>
        <w:adjustRightInd w:val="0"/>
        <w:spacing w:line="276" w:lineRule="auto"/>
        <w:ind w:left="0"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（1）依照与公司订立的有关合同，在公司内从事基建、设</w:t>
      </w:r>
    </w:p>
    <w:p w14:paraId="26F7EA07">
      <w:pPr>
        <w:numPr>
          <w:ilvl w:val="-1"/>
          <w:numId w:val="0"/>
        </w:numPr>
        <w:autoSpaceDE w:val="0"/>
        <w:autoSpaceDN w:val="0"/>
        <w:adjustRightInd w:val="0"/>
        <w:spacing w:line="276" w:lineRule="auto"/>
        <w:ind w:left="0"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备安装、维修保养、运输、后勤服务、劳务输出以及其他承包各种项目的外来单位或个人。 </w:t>
      </w:r>
    </w:p>
    <w:p w14:paraId="35B06BCD">
      <w:pPr>
        <w:numPr>
          <w:ilvl w:val="0"/>
          <w:numId w:val="7"/>
        </w:numPr>
        <w:autoSpaceDE/>
        <w:autoSpaceDN/>
        <w:adjustRightInd/>
        <w:spacing w:line="276" w:lineRule="auto"/>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进入单位内进行商务洽谈、参观访问、工作检查、学习交流及其他各类公务活动的外来单位或个人。</w:t>
      </w:r>
    </w:p>
    <w:p w14:paraId="0A9EDCE7">
      <w:pPr>
        <w:numPr>
          <w:ilvl w:val="0"/>
          <w:numId w:val="7"/>
        </w:numPr>
        <w:autoSpaceDE/>
        <w:autoSpaceDN/>
        <w:adjustRightInd/>
        <w:spacing w:line="276" w:lineRule="auto"/>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目前我司相关方包括但不限于保安人员、绿化环卫人员、安装施工人员、配送人员、参观人员等。</w:t>
      </w:r>
    </w:p>
    <w:p w14:paraId="66571826">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危险作业包括但不限于以下内容：临水作业、进入受限空间作业、临时用电作业、高处作业、断路作业、破土作业、吊装作业、盲板抽堵作业。（以下简称：危险作业）</w:t>
      </w:r>
    </w:p>
    <w:p w14:paraId="194B5F15">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ascii="仿宋" w:hAnsi="仿宋" w:eastAsia="仿宋" w:cs="仿宋"/>
          <w:color w:val="000000"/>
          <w:kern w:val="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556FC13C">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安全交底。每次进行危险作业等其他可能存在危险的作业前需由乙方的带班人员对作业人员进行安全交底。</w:t>
      </w:r>
    </w:p>
    <w:p w14:paraId="7014A9A9">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乙方需完善并加强对</w:t>
      </w:r>
      <w:r>
        <w:rPr>
          <w:rFonts w:hint="eastAsia" w:ascii="仿宋" w:hAnsi="仿宋" w:eastAsia="仿宋" w:cs="仿宋"/>
          <w:color w:val="000000"/>
          <w:kern w:val="0"/>
          <w:sz w:val="30"/>
          <w:szCs w:val="30"/>
          <w:lang w:val="en-US" w:eastAsia="zh-CN"/>
        </w:rPr>
        <w:t>相关方的的日常考勤管理，严格遵守厂区对进出人员的管理要求。</w:t>
      </w:r>
    </w:p>
    <w:p w14:paraId="4E206813">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w:t>
      </w:r>
      <w:r>
        <w:rPr>
          <w:rFonts w:hint="eastAsia" w:ascii="仿宋" w:hAnsi="仿宋" w:eastAsia="仿宋" w:cs="仿宋"/>
          <w:color w:val="000000"/>
          <w:kern w:val="0"/>
          <w:sz w:val="30"/>
          <w:szCs w:val="30"/>
          <w:lang w:val="en-US" w:eastAsia="zh-CN"/>
        </w:rPr>
        <w:t>在</w:t>
      </w:r>
      <w:r>
        <w:rPr>
          <w:rFonts w:hint="eastAsia" w:ascii="仿宋" w:hAnsi="仿宋" w:eastAsia="仿宋" w:cs="仿宋"/>
          <w:color w:val="000000"/>
          <w:kern w:val="0"/>
          <w:sz w:val="30"/>
          <w:szCs w:val="30"/>
        </w:rPr>
        <w:t>作业场所配备</w:t>
      </w:r>
      <w:r>
        <w:rPr>
          <w:rFonts w:hint="eastAsia" w:ascii="仿宋" w:hAnsi="仿宋" w:eastAsia="仿宋" w:cs="仿宋"/>
          <w:color w:val="000000"/>
          <w:kern w:val="0"/>
          <w:sz w:val="30"/>
          <w:szCs w:val="30"/>
          <w:lang w:val="en-US" w:eastAsia="zh-CN"/>
        </w:rPr>
        <w:t>专职或兼职</w:t>
      </w:r>
      <w:r>
        <w:rPr>
          <w:rFonts w:hint="eastAsia" w:ascii="仿宋" w:hAnsi="仿宋" w:eastAsia="仿宋" w:cs="仿宋"/>
          <w:color w:val="000000"/>
          <w:kern w:val="0"/>
          <w:sz w:val="30"/>
          <w:szCs w:val="30"/>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kern w:val="0"/>
          <w:sz w:val="30"/>
          <w:szCs w:val="30"/>
          <w:lang w:val="en-US" w:eastAsia="zh-CN"/>
        </w:rPr>
        <w:t>进行维修作业</w:t>
      </w:r>
      <w:r>
        <w:rPr>
          <w:rFonts w:hint="eastAsia" w:ascii="仿宋" w:hAnsi="仿宋" w:eastAsia="仿宋" w:cs="仿宋"/>
          <w:color w:val="000000"/>
          <w:kern w:val="0"/>
          <w:sz w:val="30"/>
          <w:szCs w:val="30"/>
        </w:rPr>
        <w:t>等其他可能存在危险的作业前需由</w:t>
      </w:r>
      <w:r>
        <w:rPr>
          <w:rFonts w:hint="eastAsia" w:ascii="仿宋" w:hAnsi="仿宋" w:eastAsia="仿宋" w:cs="仿宋"/>
          <w:color w:val="000000"/>
          <w:kern w:val="0"/>
          <w:sz w:val="30"/>
          <w:szCs w:val="30"/>
          <w:lang w:val="en-US" w:eastAsia="zh-CN"/>
        </w:rPr>
        <w:t>乙方的</w:t>
      </w:r>
      <w:r>
        <w:rPr>
          <w:rFonts w:hint="eastAsia" w:ascii="仿宋" w:hAnsi="仿宋" w:eastAsia="仿宋" w:cs="仿宋"/>
          <w:color w:val="000000"/>
          <w:kern w:val="0"/>
          <w:sz w:val="30"/>
          <w:szCs w:val="30"/>
        </w:rPr>
        <w:t>带班</w:t>
      </w:r>
      <w:r>
        <w:rPr>
          <w:rFonts w:hint="eastAsia" w:ascii="仿宋" w:hAnsi="仿宋" w:eastAsia="仿宋" w:cs="仿宋"/>
          <w:color w:val="000000"/>
          <w:kern w:val="0"/>
          <w:sz w:val="30"/>
          <w:szCs w:val="30"/>
          <w:lang w:val="en-US" w:eastAsia="zh-CN"/>
        </w:rPr>
        <w:t>人员</w:t>
      </w:r>
      <w:r>
        <w:rPr>
          <w:rFonts w:hint="eastAsia" w:ascii="仿宋" w:hAnsi="仿宋" w:eastAsia="仿宋" w:cs="仿宋"/>
          <w:color w:val="000000"/>
          <w:kern w:val="0"/>
          <w:sz w:val="30"/>
          <w:szCs w:val="30"/>
        </w:rPr>
        <w:t>对作业人员进行安全交底。</w:t>
      </w:r>
    </w:p>
    <w:p w14:paraId="7D985E59">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乙方使用被派遣劳动者的，应当将被派遣劳动者纳入本单位从业人员统一管理，对被派遣劳动者进行岗位安全操作规程和安全操作技能的教育和培训。</w:t>
      </w:r>
    </w:p>
    <w:p w14:paraId="77781FBA">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乙方应制定与作业范围相适应的应急处置预案，并定期组织演练或者参加甲方组织的演练。</w:t>
      </w:r>
    </w:p>
    <w:p w14:paraId="4BE52562">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2737AE6">
      <w:pPr>
        <w:numPr>
          <w:ilvl w:val="0"/>
          <w:numId w:val="6"/>
        </w:numPr>
        <w:autoSpaceDE w:val="0"/>
        <w:autoSpaceDN w:val="0"/>
        <w:adjustRightInd w:val="0"/>
        <w:spacing w:line="276" w:lineRule="auto"/>
        <w:ind w:firstLine="400" w:firstLineChars="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乙方应当教育和督促从业人员严格执行本单位的安全生产规章制度和安全操作规程；并向从业人员如实告知作业场所和工作岗位存在的危险因素、防范措施以及事故应急措施。</w:t>
      </w:r>
    </w:p>
    <w:p w14:paraId="204965B2">
      <w:pPr>
        <w:numPr>
          <w:ilvl w:val="0"/>
          <w:numId w:val="6"/>
        </w:numPr>
        <w:autoSpaceDE w:val="0"/>
        <w:autoSpaceDN w:val="0"/>
        <w:adjustRightInd w:val="0"/>
        <w:spacing w:line="276" w:lineRule="auto"/>
        <w:ind w:firstLine="400" w:firstLineChars="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乙方依法参加工伤保险，为从业人员缴纳保险费，并应当为从事危险作业的人员办理意外伤害保险。</w:t>
      </w:r>
    </w:p>
    <w:p w14:paraId="6131BD74">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乙方应严格遵守国家、地方政府有关安全生产及劳动保护的法律法规、标准、规定，贯彻执行甲方的各项安全管理规章制度，严格按照生产场所操作规程制度。</w:t>
      </w:r>
    </w:p>
    <w:p w14:paraId="72868B13">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8160ED4">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9C80663">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734CA6BC">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kern w:val="0"/>
          <w:sz w:val="30"/>
          <w:szCs w:val="30"/>
          <w:lang w:val="en-US" w:eastAsia="zh-CN"/>
        </w:rPr>
        <w:t>单方</w:t>
      </w:r>
      <w:r>
        <w:rPr>
          <w:rFonts w:hint="eastAsia" w:ascii="仿宋" w:hAnsi="仿宋" w:eastAsia="仿宋" w:cs="仿宋"/>
          <w:color w:val="000000"/>
          <w:kern w:val="0"/>
          <w:sz w:val="30"/>
          <w:szCs w:val="30"/>
        </w:rPr>
        <w:t>解除合同，并要求乙方清退出场。</w:t>
      </w:r>
    </w:p>
    <w:p w14:paraId="5CC5E7C0">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0B527357">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w:t>
      </w:r>
      <w:r>
        <w:rPr>
          <w:rFonts w:hint="eastAsia" w:ascii="仿宋" w:hAnsi="仿宋" w:eastAsia="仿宋" w:cs="仿宋"/>
          <w:color w:val="000000"/>
          <w:kern w:val="0"/>
          <w:sz w:val="30"/>
          <w:szCs w:val="30"/>
          <w:lang w:val="en-US" w:eastAsia="zh-CN"/>
        </w:rPr>
        <w:t>作业人员在甲方区域内</w:t>
      </w:r>
      <w:r>
        <w:rPr>
          <w:rFonts w:hint="eastAsia" w:ascii="仿宋" w:hAnsi="仿宋" w:eastAsia="仿宋" w:cs="仿宋"/>
          <w:color w:val="000000"/>
          <w:kern w:val="0"/>
          <w:sz w:val="30"/>
          <w:szCs w:val="30"/>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kern w:val="0"/>
          <w:sz w:val="28"/>
          <w:szCs w:val="28"/>
        </w:rPr>
        <w:t>若甲方代为承担相应责任的，有权全部向乙方追偿</w:t>
      </w:r>
      <w:r>
        <w:rPr>
          <w:rFonts w:hint="eastAsia" w:ascii="Times New Roman" w:hAnsi="Times New Roman" w:eastAsia="仿宋" w:cs="Times New Roman"/>
          <w:kern w:val="0"/>
          <w:sz w:val="28"/>
          <w:szCs w:val="28"/>
          <w:lang w:val="en-US" w:eastAsia="zh-CN"/>
        </w:rPr>
        <w:t>并要求乙方承担违约责任</w:t>
      </w:r>
      <w:r>
        <w:rPr>
          <w:rFonts w:hint="default" w:ascii="Times New Roman" w:hAnsi="Times New Roman" w:eastAsia="仿宋" w:cs="Times New Roman"/>
          <w:kern w:val="0"/>
          <w:sz w:val="28"/>
          <w:szCs w:val="28"/>
        </w:rPr>
        <w:t>。</w:t>
      </w:r>
    </w:p>
    <w:p w14:paraId="3B11CFC3">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4B599AD3">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3B822781">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因乙方原因，造成乙方损失，由乙方自负，给甲方造成财产损失和人员伤害，乙方要负全部责任，并全额赔偿甲方。</w:t>
      </w:r>
    </w:p>
    <w:p w14:paraId="163C2675">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非因甲方原因，造成乙方损失的，甲方不承担任何责任，由乙方自行承担全部责任。</w:t>
      </w:r>
    </w:p>
    <w:p w14:paraId="41C74ACB">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乙方应严格遵守法律法规以及甲方的安全管理要求，并接受甲方的安全生产工作协调和监督，积极消除安全隐患。安全管理的基本要求包括但不限于以下条款：</w:t>
      </w:r>
    </w:p>
    <w:p w14:paraId="0437865D">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①禁火区内严禁吸烟、动火。有火灾危险的作业区域，乙方必须配置足够的灭火设施。</w:t>
      </w:r>
    </w:p>
    <w:p w14:paraId="29C9B5DA">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②焊接、气割作业时两瓶距离必须达到</w:t>
      </w:r>
      <w:r>
        <w:rPr>
          <w:rFonts w:ascii="仿宋" w:hAnsi="仿宋" w:eastAsia="仿宋" w:cs="仿宋"/>
          <w:color w:val="000000"/>
          <w:kern w:val="0"/>
          <w:sz w:val="30"/>
          <w:szCs w:val="30"/>
        </w:rPr>
        <w:t>5M及以上，气瓶距可能产生火花的电器、设备和其它火源的间距必须达到10M及以上。</w:t>
      </w:r>
    </w:p>
    <w:p w14:paraId="701075D8">
      <w:pPr>
        <w:autoSpaceDE w:val="0"/>
        <w:autoSpaceDN w:val="0"/>
        <w:adjustRightInd w:val="0"/>
        <w:spacing w:line="276" w:lineRule="auto"/>
        <w:ind w:left="600" w:leftChars="250" w:firstLine="0" w:firstLineChars="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③严禁</w:t>
      </w:r>
      <w:r>
        <w:rPr>
          <w:rFonts w:hint="default" w:ascii="仿宋" w:hAnsi="仿宋" w:eastAsia="仿宋" w:cs="仿宋"/>
          <w:color w:val="000000"/>
          <w:kern w:val="0"/>
          <w:sz w:val="30"/>
          <w:szCs w:val="30"/>
          <w:lang w:val="en-US"/>
        </w:rPr>
        <w:t>在厂内道路、消防通道内搭建临时建筑或堆放物资</w:t>
      </w:r>
      <w:r>
        <w:rPr>
          <w:rFonts w:hint="eastAsia" w:ascii="仿宋" w:hAnsi="仿宋" w:eastAsia="仿宋" w:cs="仿宋"/>
          <w:color w:val="000000"/>
          <w:kern w:val="0"/>
          <w:sz w:val="30"/>
          <w:szCs w:val="30"/>
          <w:lang w:val="en-US" w:eastAsia="zh-CN"/>
        </w:rPr>
        <w:t>；</w:t>
      </w:r>
    </w:p>
    <w:p w14:paraId="64BACF06">
      <w:pPr>
        <w:autoSpaceDE w:val="0"/>
        <w:autoSpaceDN w:val="0"/>
        <w:adjustRightInd w:val="0"/>
        <w:spacing w:line="276" w:lineRule="auto"/>
        <w:ind w:left="0" w:leftChars="0" w:firstLine="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严禁</w:t>
      </w:r>
      <w:r>
        <w:rPr>
          <w:rFonts w:hint="eastAsia" w:ascii="仿宋" w:hAnsi="仿宋" w:eastAsia="仿宋" w:cs="仿宋"/>
          <w:color w:val="000000"/>
          <w:kern w:val="0"/>
          <w:sz w:val="30"/>
          <w:szCs w:val="30"/>
        </w:rPr>
        <w:t>占用、堵塞、遮掩、挪用、损毁、破坏</w:t>
      </w:r>
      <w:r>
        <w:rPr>
          <w:rFonts w:hint="eastAsia" w:ascii="仿宋" w:hAnsi="仿宋" w:eastAsia="仿宋" w:cs="仿宋"/>
          <w:color w:val="000000"/>
          <w:kern w:val="0"/>
          <w:sz w:val="30"/>
          <w:szCs w:val="30"/>
          <w:lang w:val="en-US" w:eastAsia="zh-CN"/>
        </w:rPr>
        <w:t>或因装修作业等工作或其他原因导致消防设施设备损坏</w:t>
      </w:r>
      <w:r>
        <w:rPr>
          <w:rFonts w:hint="eastAsia" w:ascii="仿宋" w:hAnsi="仿宋" w:eastAsia="仿宋" w:cs="仿宋"/>
          <w:color w:val="000000"/>
          <w:kern w:val="0"/>
          <w:sz w:val="30"/>
          <w:szCs w:val="30"/>
        </w:rPr>
        <w:t>。</w:t>
      </w:r>
    </w:p>
    <w:p w14:paraId="1D50476C">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④作业场所的电动工具、电焊机等须有漏电保护器和相应的安全防护装置。</w:t>
      </w:r>
    </w:p>
    <w:p w14:paraId="5B6A29AD">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⑤作业现场及居住室、办公室内的用电设施必须符合要求，严禁电线乱接、乱拉，刀闸和开关无盖，在电器设施上堆放物品。</w:t>
      </w:r>
    </w:p>
    <w:p w14:paraId="3F031DF5">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⑥防雷、防静电设施及用电设施要有良好接地。</w:t>
      </w:r>
    </w:p>
    <w:p w14:paraId="2EF3FE41">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⑦作业现场的危险区域，如临边、深坑、土方堆填区等，必须设置围栏和危险标志，夜间要设信号灯。</w:t>
      </w:r>
    </w:p>
    <w:p w14:paraId="0CF13A5F">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07404DC3">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C271366">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CAB661E">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B90716B">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乙方必须接受甲方的检查与监督，并应主动配合，做好安全工作。乙方若有出现违反本协议</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第三条，</w:t>
      </w:r>
      <w:r>
        <w:rPr>
          <w:rFonts w:hint="eastAsia" w:ascii="仿宋" w:hAnsi="仿宋" w:eastAsia="仿宋" w:cs="仿宋"/>
          <w:color w:val="000000"/>
          <w:kern w:val="0"/>
          <w:sz w:val="30"/>
          <w:szCs w:val="30"/>
        </w:rPr>
        <w:t>协议实施条款</w:t>
      </w:r>
      <w:r>
        <w:rPr>
          <w:rFonts w:hint="eastAsia" w:ascii="仿宋" w:hAnsi="仿宋" w:eastAsia="仿宋" w:cs="仿宋"/>
          <w:color w:val="000000"/>
          <w:kern w:val="0"/>
          <w:sz w:val="30"/>
          <w:szCs w:val="30"/>
          <w:lang w:eastAsia="zh-CN"/>
        </w:rPr>
        <w:t>”</w:t>
      </w:r>
      <w:r>
        <w:rPr>
          <w:rFonts w:ascii="仿宋" w:hAnsi="仿宋" w:eastAsia="仿宋" w:cs="仿宋"/>
          <w:color w:val="000000"/>
          <w:kern w:val="0"/>
          <w:sz w:val="30"/>
          <w:szCs w:val="30"/>
        </w:rPr>
        <w:t>任一情形的，甲方有权要求乙方立即整改，且甲方有权视情况从工程结算款/服务价款中扣除（1000-2000）元/次作为违约金。</w:t>
      </w:r>
    </w:p>
    <w:p w14:paraId="39C301A1">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若乙方有下列情形之一的或在整改后仍违反协议的，甲方有权单方解除合同，</w:t>
      </w:r>
      <w:r>
        <w:rPr>
          <w:rFonts w:hint="eastAsia" w:ascii="仿宋" w:hAnsi="仿宋" w:eastAsia="仿宋" w:cs="仿宋"/>
          <w:color w:val="000000"/>
          <w:kern w:val="0"/>
          <w:sz w:val="30"/>
          <w:szCs w:val="30"/>
          <w:lang w:val="en-US" w:eastAsia="zh-CN"/>
        </w:rPr>
        <w:t>甲方有权要求</w:t>
      </w:r>
      <w:r>
        <w:rPr>
          <w:rFonts w:hint="eastAsia" w:ascii="仿宋" w:hAnsi="仿宋" w:eastAsia="仿宋" w:cs="仿宋"/>
          <w:color w:val="000000"/>
          <w:kern w:val="0"/>
          <w:sz w:val="30"/>
          <w:szCs w:val="30"/>
        </w:rPr>
        <w:t>乙方向甲方支付</w:t>
      </w:r>
      <w:r>
        <w:rPr>
          <w:rFonts w:hint="eastAsia" w:ascii="仿宋" w:hAnsi="仿宋" w:eastAsia="仿宋" w:cs="仿宋"/>
          <w:color w:val="000000"/>
          <w:kern w:val="0"/>
          <w:sz w:val="30"/>
          <w:szCs w:val="30"/>
          <w:lang w:val="en-US" w:eastAsia="zh-CN"/>
        </w:rPr>
        <w:t>本合同总金额的10%</w:t>
      </w:r>
      <w:r>
        <w:rPr>
          <w:rFonts w:hint="eastAsia" w:ascii="仿宋" w:hAnsi="仿宋" w:eastAsia="仿宋" w:cs="仿宋"/>
          <w:color w:val="000000"/>
          <w:kern w:val="0"/>
          <w:sz w:val="30"/>
          <w:szCs w:val="30"/>
        </w:rPr>
        <w:t>作为违约金，同时甲方有权要求乙方承担第</w:t>
      </w:r>
      <w:r>
        <w:rPr>
          <w:rFonts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5</w:t>
      </w:r>
      <w:r>
        <w:rPr>
          <w:rFonts w:ascii="仿宋" w:hAnsi="仿宋" w:eastAsia="仿宋" w:cs="仿宋"/>
          <w:color w:val="000000"/>
          <w:kern w:val="0"/>
          <w:sz w:val="30"/>
          <w:szCs w:val="30"/>
        </w:rPr>
        <w:t>条的违约金。造成甲方损失的，乙方需另行赔偿：</w:t>
      </w:r>
    </w:p>
    <w:p w14:paraId="773C6126">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①乙方不能提供与项目相匹配的营业执照、施工资质、安全生产许可证、技术人员、特种作业人员、安全员和设备设施的；</w:t>
      </w:r>
    </w:p>
    <w:p w14:paraId="3E3207BE">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②乙方未对作业人员进行岗位安全操作规程和安全操作技能的教育和培训的；没有向作业人员提供劳动防护用品的；</w:t>
      </w:r>
    </w:p>
    <w:p w14:paraId="373D3ABA">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③乙方未对所属员工定期开展安全教育培训的；</w:t>
      </w:r>
    </w:p>
    <w:p w14:paraId="5B7C2E43">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④在开展涉及危险性较高的作业时，乙方未在作业前报甲方的；</w:t>
      </w:r>
    </w:p>
    <w:p w14:paraId="678E5AC9">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⑤乙方违章作业或违章指挥作业的；</w:t>
      </w:r>
    </w:p>
    <w:p w14:paraId="2636EB55">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⑥乙方现场安全管理不到位或不服从甲方安全管理的；</w:t>
      </w:r>
    </w:p>
    <w:p w14:paraId="40D1751B">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⑦发生事故后，乙方未及时开展应急救援工作的；</w:t>
      </w:r>
    </w:p>
    <w:p w14:paraId="1D13406F">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⑨未制定与作业范围相适应的应急处置预案；</w:t>
      </w:r>
    </w:p>
    <w:p w14:paraId="7EC7B8FC">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⑩乙方不履行协议义务或者未按协议约定履行义务的其他情况。</w:t>
      </w:r>
    </w:p>
    <w:p w14:paraId="3D833924">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乙方需</w:t>
      </w:r>
      <w:r>
        <w:rPr>
          <w:rFonts w:hint="eastAsia" w:ascii="仿宋" w:hAnsi="仿宋" w:eastAsia="仿宋" w:cs="仿宋"/>
          <w:color w:val="000000"/>
          <w:kern w:val="0"/>
          <w:sz w:val="30"/>
          <w:szCs w:val="30"/>
        </w:rPr>
        <w:t>做好</w:t>
      </w:r>
      <w:r>
        <w:rPr>
          <w:rFonts w:hint="eastAsia" w:ascii="仿宋" w:hAnsi="仿宋" w:eastAsia="仿宋" w:cs="仿宋"/>
          <w:color w:val="000000"/>
          <w:kern w:val="0"/>
          <w:sz w:val="30"/>
          <w:szCs w:val="30"/>
          <w:lang w:val="en-US" w:eastAsia="zh-CN"/>
        </w:rPr>
        <w:t>临水</w:t>
      </w:r>
      <w:r>
        <w:rPr>
          <w:rFonts w:hint="eastAsia" w:ascii="仿宋" w:hAnsi="仿宋" w:eastAsia="仿宋" w:cs="仿宋"/>
          <w:color w:val="000000"/>
          <w:kern w:val="0"/>
          <w:sz w:val="30"/>
          <w:szCs w:val="30"/>
        </w:rPr>
        <w:t>作业安全保障工作，</w:t>
      </w:r>
      <w:r>
        <w:rPr>
          <w:rFonts w:hint="eastAsia" w:ascii="仿宋" w:hAnsi="仿宋" w:eastAsia="仿宋" w:cs="仿宋"/>
          <w:color w:val="000000"/>
          <w:kern w:val="0"/>
          <w:sz w:val="30"/>
          <w:szCs w:val="30"/>
          <w:lang w:val="en-US" w:eastAsia="zh-CN"/>
        </w:rPr>
        <w:t>临水</w:t>
      </w:r>
      <w:r>
        <w:rPr>
          <w:rFonts w:hint="eastAsia" w:ascii="仿宋" w:hAnsi="仿宋" w:eastAsia="仿宋" w:cs="仿宋"/>
          <w:color w:val="000000"/>
          <w:kern w:val="0"/>
          <w:sz w:val="30"/>
          <w:szCs w:val="30"/>
        </w:rPr>
        <w:t>作业的范围包括但不限于：构筑物水面垃圾的打捞（含粗格栅、细格栅、生化池、沉淀池/二沉池；生化池、二沉池、滤布滤池、出水明渠、硝化池、反硝化池等构筑物）的池内清洗等。具体要求如下：</w:t>
      </w:r>
    </w:p>
    <w:p w14:paraId="0364491A">
      <w:pPr>
        <w:numPr>
          <w:ilvl w:val="0"/>
          <w:numId w:val="8"/>
        </w:numPr>
        <w:autoSpaceDE w:val="0"/>
        <w:autoSpaceDN w:val="0"/>
        <w:adjustRightInd w:val="0"/>
        <w:spacing w:line="276" w:lineRule="auto"/>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乙方在实施</w:t>
      </w:r>
      <w:r>
        <w:rPr>
          <w:rFonts w:hint="eastAsia" w:ascii="仿宋" w:hAnsi="仿宋" w:eastAsia="仿宋" w:cs="仿宋"/>
          <w:color w:val="000000"/>
          <w:kern w:val="0"/>
          <w:sz w:val="30"/>
          <w:szCs w:val="30"/>
          <w:lang w:val="en-US" w:eastAsia="zh-CN"/>
        </w:rPr>
        <w:t>临水</w:t>
      </w:r>
      <w:r>
        <w:rPr>
          <w:rFonts w:hint="eastAsia" w:ascii="仿宋" w:hAnsi="仿宋" w:eastAsia="仿宋" w:cs="仿宋"/>
          <w:color w:val="000000"/>
          <w:kern w:val="0"/>
          <w:sz w:val="30"/>
          <w:szCs w:val="30"/>
        </w:rPr>
        <w:t>作业时，需设一名或以上监护人员</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作业</w:t>
      </w:r>
      <w:r>
        <w:rPr>
          <w:rFonts w:hint="eastAsia" w:ascii="仿宋" w:hAnsi="仿宋" w:eastAsia="仿宋" w:cs="仿宋"/>
          <w:color w:val="000000"/>
          <w:kern w:val="0"/>
          <w:sz w:val="30"/>
          <w:szCs w:val="30"/>
        </w:rPr>
        <w:t>存在</w:t>
      </w:r>
      <w:r>
        <w:rPr>
          <w:rFonts w:hint="eastAsia" w:ascii="仿宋" w:hAnsi="仿宋" w:eastAsia="仿宋" w:cs="仿宋"/>
          <w:color w:val="000000"/>
          <w:kern w:val="0"/>
          <w:sz w:val="30"/>
          <w:szCs w:val="30"/>
          <w:lang w:val="en-US" w:eastAsia="zh-CN"/>
        </w:rPr>
        <w:t>多种</w:t>
      </w:r>
      <w:r>
        <w:rPr>
          <w:rFonts w:hint="eastAsia" w:ascii="仿宋" w:hAnsi="仿宋" w:eastAsia="仿宋" w:cs="仿宋"/>
          <w:color w:val="000000"/>
          <w:kern w:val="0"/>
          <w:sz w:val="30"/>
          <w:szCs w:val="30"/>
        </w:rPr>
        <w:t>危险作业</w:t>
      </w:r>
      <w:r>
        <w:rPr>
          <w:rFonts w:hint="eastAsia" w:ascii="仿宋" w:hAnsi="仿宋" w:eastAsia="仿宋" w:cs="仿宋"/>
          <w:color w:val="000000"/>
          <w:kern w:val="0"/>
          <w:sz w:val="30"/>
          <w:szCs w:val="30"/>
          <w:lang w:val="en-US" w:eastAsia="zh-CN"/>
        </w:rPr>
        <w:t>情况下，</w:t>
      </w:r>
      <w:r>
        <w:rPr>
          <w:rFonts w:hint="eastAsia" w:ascii="仿宋" w:hAnsi="仿宋" w:eastAsia="仿宋" w:cs="仿宋"/>
          <w:color w:val="000000"/>
          <w:kern w:val="0"/>
          <w:sz w:val="30"/>
          <w:szCs w:val="30"/>
        </w:rPr>
        <w:t>需严格落实2人或2人以上为一组协同作业</w:t>
      </w:r>
      <w:r>
        <w:rPr>
          <w:rFonts w:hint="eastAsia" w:ascii="仿宋" w:hAnsi="仿宋" w:eastAsia="仿宋" w:cs="仿宋"/>
          <w:color w:val="000000"/>
          <w:kern w:val="0"/>
          <w:sz w:val="30"/>
          <w:szCs w:val="30"/>
          <w:lang w:val="en-US" w:eastAsia="zh-CN"/>
        </w:rPr>
        <w:t>或交替作业</w:t>
      </w:r>
      <w:r>
        <w:rPr>
          <w:rFonts w:hint="eastAsia" w:ascii="仿宋" w:hAnsi="仿宋" w:eastAsia="仿宋" w:cs="仿宋"/>
          <w:color w:val="000000"/>
          <w:kern w:val="0"/>
          <w:sz w:val="30"/>
          <w:szCs w:val="30"/>
        </w:rPr>
        <w:t>，不能单独作业。</w:t>
      </w:r>
    </w:p>
    <w:p w14:paraId="7DC477BD">
      <w:pPr>
        <w:numPr>
          <w:ilvl w:val="0"/>
          <w:numId w:val="8"/>
        </w:numPr>
        <w:autoSpaceDE w:val="0"/>
        <w:autoSpaceDN w:val="0"/>
        <w:adjustRightInd w:val="0"/>
        <w:spacing w:line="276" w:lineRule="auto"/>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危险作业前，必须检查作业工具是否完好，做好交底工作。</w:t>
      </w:r>
    </w:p>
    <w:p w14:paraId="57CF845D">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）危险作业时，必须做好安全防护措施（穿戴救生衣、安全绳（带）、水鞋、手套、不得穿拖鞋或凉鞋等），严格落实2人或2人以上为一组进行协同作业，不得单独作业。</w:t>
      </w:r>
    </w:p>
    <w:p w14:paraId="5FD2E450">
      <w:pPr>
        <w:autoSpaceDE w:val="0"/>
        <w:autoSpaceDN w:val="0"/>
        <w:adjustRightInd w:val="0"/>
        <w:spacing w:line="276" w:lineRule="auto"/>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）如遇阴雨及大雾、雷暴雨、台风等恶劣天气，禁止危险作业。</w:t>
      </w:r>
    </w:p>
    <w:p w14:paraId="0D1443E7">
      <w:pPr>
        <w:numPr>
          <w:ilvl w:val="0"/>
          <w:numId w:val="6"/>
        </w:numPr>
        <w:autoSpaceDE w:val="0"/>
        <w:autoSpaceDN w:val="0"/>
        <w:adjustRightInd w:val="0"/>
        <w:spacing w:line="276" w:lineRule="auto"/>
        <w:ind w:firstLine="400" w:firstLineChars="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乙方对作业过程中潜在的安全风险不明确的，不可盲目作业，否则，造成的后果由乙方独自承担。</w:t>
      </w:r>
    </w:p>
    <w:p w14:paraId="6C866530">
      <w:pPr>
        <w:numPr>
          <w:ilvl w:val="0"/>
          <w:numId w:val="6"/>
        </w:numPr>
        <w:autoSpaceDE w:val="0"/>
        <w:autoSpaceDN w:val="0"/>
        <w:adjustRightInd w:val="0"/>
        <w:spacing w:line="276" w:lineRule="auto"/>
        <w:ind w:firstLine="400" w:firstLineChars="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kern w:val="0"/>
          <w:sz w:val="30"/>
          <w:szCs w:val="30"/>
        </w:rPr>
        <w:t>本协议一式</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叁</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rPr>
        <w:t>份，甲</w:t>
      </w:r>
      <w:r>
        <w:rPr>
          <w:rFonts w:hint="eastAsia" w:ascii="仿宋" w:hAnsi="仿宋" w:eastAsia="仿宋" w:cs="仿宋"/>
          <w:color w:val="000000"/>
          <w:kern w:val="0"/>
          <w:sz w:val="30"/>
          <w:szCs w:val="30"/>
          <w:lang w:val="en-US" w:eastAsia="zh-CN"/>
        </w:rPr>
        <w:t>方</w:t>
      </w:r>
      <w:r>
        <w:rPr>
          <w:rFonts w:hint="eastAsia" w:ascii="仿宋" w:hAnsi="仿宋" w:eastAsia="仿宋" w:cs="仿宋"/>
          <w:color w:val="000000"/>
          <w:kern w:val="0"/>
          <w:sz w:val="30"/>
          <w:szCs w:val="30"/>
        </w:rPr>
        <w:t>执</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贰</w:t>
      </w:r>
      <w:r>
        <w:rPr>
          <w:rFonts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rPr>
        <w:t>份、乙方执</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u w:val="single"/>
          <w:lang w:val="en-US" w:eastAsia="zh-CN"/>
        </w:rPr>
        <w:t>壹</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rPr>
        <w:t>份，</w:t>
      </w:r>
      <w:r>
        <w:rPr>
          <w:rFonts w:hint="eastAsia" w:ascii="仿宋" w:hAnsi="仿宋" w:eastAsia="仿宋" w:cs="仿宋"/>
          <w:color w:val="000000"/>
          <w:sz w:val="30"/>
          <w:szCs w:val="30"/>
          <w:highlight w:val="none"/>
          <w:lang w:bidi="ar"/>
        </w:rPr>
        <w:t>本合同经双方盖章、并由双方法定代表人签字后生效</w:t>
      </w:r>
      <w:r>
        <w:rPr>
          <w:rFonts w:hint="eastAsia" w:ascii="仿宋" w:hAnsi="仿宋" w:eastAsia="仿宋" w:cs="仿宋"/>
          <w:color w:val="000000"/>
          <w:kern w:val="0"/>
          <w:sz w:val="30"/>
          <w:szCs w:val="30"/>
        </w:rPr>
        <w:t>。</w:t>
      </w:r>
    </w:p>
    <w:p w14:paraId="2F75ABD9">
      <w:pPr>
        <w:spacing w:line="276" w:lineRule="auto"/>
        <w:ind w:firstLine="560" w:firstLineChars="200"/>
        <w:rPr>
          <w:rFonts w:ascii="仿宋" w:hAnsi="仿宋" w:eastAsia="仿宋" w:cs="仿宋"/>
          <w:color w:val="000000" w:themeColor="text1"/>
          <w:sz w:val="28"/>
          <w14:textFill>
            <w14:solidFill>
              <w14:schemeClr w14:val="tx1"/>
            </w14:solidFill>
          </w14:textFill>
        </w:rPr>
      </w:pPr>
    </w:p>
    <w:p w14:paraId="0D30DA3D">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5AA7419F">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09120ADD">
      <w:pPr>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12C5049F">
      <w:pPr>
        <w:ind w:firstLine="560" w:firstLineChars="200"/>
        <w:rPr>
          <w:rFonts w:ascii="仿宋_GB2312" w:hAnsi="仿宋" w:eastAsia="仿宋_GB2312" w:cs="仿宋"/>
          <w:color w:val="000000" w:themeColor="text1"/>
          <w:sz w:val="28"/>
          <w:szCs w:val="28"/>
          <w14:textFill>
            <w14:solidFill>
              <w14:schemeClr w14:val="tx1"/>
            </w14:solidFill>
          </w14:textFill>
        </w:rPr>
      </w:pPr>
    </w:p>
    <w:p w14:paraId="34CC3612">
      <w:pPr>
        <w:autoSpaceDE/>
        <w:autoSpaceDN/>
        <w:spacing w:line="360" w:lineRule="auto"/>
        <w:ind w:left="6720" w:hanging="6720" w:hangingChars="24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hint="eastAsia" w:ascii="仿宋" w:hAnsi="仿宋" w:eastAsia="仿宋" w:cs="仿宋"/>
          <w:color w:val="000000" w:themeColor="text1"/>
          <w:sz w:val="24"/>
          <w:szCs w:val="24"/>
          <w14:textFill>
            <w14:solidFill>
              <w14:schemeClr w14:val="tx1"/>
            </w14:solidFill>
          </w14:textFill>
        </w:rPr>
        <w:t>东莞市石鼓净水</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乙方（盖章）： </w:t>
      </w:r>
    </w:p>
    <w:p w14:paraId="781AFE80">
      <w:pPr>
        <w:autoSpaceDE/>
        <w:autoSpaceDN/>
        <w:spacing w:line="360" w:lineRule="auto"/>
        <w:ind w:left="5760" w:leftChars="800" w:hanging="3840" w:hangingChars="16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有限公司</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4CD0E7A3">
      <w:pPr>
        <w:autoSpaceDE/>
        <w:autoSpaceDN/>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法定代表人</w:t>
      </w:r>
      <w:r>
        <w:rPr>
          <w:rFonts w:hint="eastAsia" w:ascii="仿宋" w:hAnsi="仿宋" w:eastAsia="仿宋" w:cs="仿宋"/>
          <w:color w:val="000000" w:themeColor="text1"/>
          <w:sz w:val="28"/>
          <w:szCs w:val="28"/>
          <w14:textFill>
            <w14:solidFill>
              <w14:schemeClr w14:val="tx1"/>
            </w14:solidFill>
          </w14:textFill>
        </w:rPr>
        <w:t>：</w:t>
      </w:r>
    </w:p>
    <w:p w14:paraId="0346BDB6">
      <w:pPr>
        <w:autoSpaceDE/>
        <w:autoSpaceDN/>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日期：</w:t>
      </w:r>
    </w:p>
    <w:p w14:paraId="285048EF">
      <w:pPr>
        <w:rPr>
          <w:rFonts w:hint="default" w:ascii="Times New Roman" w:hAnsi="Times New Roman" w:cs="Times New Roman"/>
          <w:lang w:val="en-US" w:eastAsia="zh-CN"/>
        </w:rPr>
      </w:pPr>
    </w:p>
    <w:p w14:paraId="3EB69B6C">
      <w:pPr>
        <w:rPr>
          <w:rFonts w:hint="default" w:ascii="Times New Roman" w:hAnsi="Times New Roman" w:cs="Times New Roman"/>
          <w:lang w:val="en-US" w:eastAsia="zh-CN"/>
        </w:rPr>
      </w:pPr>
    </w:p>
    <w:p w14:paraId="58C916B1">
      <w:pPr>
        <w:rPr>
          <w:rFonts w:hint="default" w:ascii="Times New Roman" w:hAnsi="Times New Roman" w:cs="Times New Roman"/>
          <w:lang w:val="en-US" w:eastAsia="zh-CN"/>
        </w:rPr>
      </w:pPr>
    </w:p>
    <w:p w14:paraId="06771E32">
      <w:pPr>
        <w:rPr>
          <w:rFonts w:hint="default" w:ascii="Times New Roman" w:hAnsi="Times New Roman" w:cs="Times New Roman"/>
          <w:lang w:val="en-US" w:eastAsia="zh-CN"/>
        </w:rPr>
      </w:pPr>
    </w:p>
    <w:p w14:paraId="6CCD489D">
      <w:pPr>
        <w:rPr>
          <w:rFonts w:hint="default" w:ascii="Times New Roman" w:hAnsi="Times New Roman" w:cs="Times New Roman"/>
          <w:lang w:val="en-US" w:eastAsia="zh-CN"/>
        </w:rPr>
        <w:sectPr>
          <w:footerReference r:id="rId4" w:type="default"/>
          <w:pgSz w:w="11906" w:h="16838"/>
          <w:pgMar w:top="1134" w:right="1588" w:bottom="1440" w:left="1644" w:header="851" w:footer="992" w:gutter="0"/>
          <w:cols w:space="425" w:num="1"/>
          <w:docGrid w:linePitch="326" w:charSpace="0"/>
        </w:sectPr>
      </w:pPr>
    </w:p>
    <w:p w14:paraId="3B5CF8FB">
      <w:pPr>
        <w:pStyle w:val="2"/>
        <w:rPr>
          <w:rFonts w:hint="eastAsia"/>
          <w:lang w:val="en-US" w:eastAsia="zh-CN"/>
        </w:rPr>
      </w:pPr>
      <w:r>
        <w:rPr>
          <w:rFonts w:hint="eastAsia"/>
          <w:lang w:val="en-US" w:eastAsia="zh-CN"/>
        </w:rPr>
        <w:t>附件三</w:t>
      </w:r>
    </w:p>
    <w:p w14:paraId="42D09264">
      <w:pPr>
        <w:pStyle w:val="2"/>
        <w:rPr>
          <w:rFonts w:hint="eastAsia"/>
          <w:lang w:val="en-US" w:eastAsia="zh-CN"/>
        </w:rPr>
      </w:pPr>
    </w:p>
    <w:p w14:paraId="7813D76F">
      <w:pPr>
        <w:jc w:val="center"/>
        <w:rPr>
          <w:rFonts w:hint="eastAsia"/>
          <w:b/>
          <w:sz w:val="36"/>
          <w:szCs w:val="36"/>
          <w:lang w:val="en-US" w:eastAsia="zh-CN"/>
        </w:rPr>
      </w:pPr>
      <w:r>
        <w:rPr>
          <w:rFonts w:hint="eastAsia"/>
          <w:b/>
          <w:sz w:val="36"/>
          <w:szCs w:val="36"/>
          <w:lang w:val="en-US" w:eastAsia="zh-CN"/>
        </w:rPr>
        <w:t>市区厂能源在线监测系统对接市平台采购项目</w:t>
      </w:r>
    </w:p>
    <w:p w14:paraId="79B25FC7">
      <w:pPr>
        <w:jc w:val="center"/>
        <w:rPr>
          <w:rFonts w:hint="eastAsia"/>
          <w:color w:val="auto"/>
          <w:highlight w:val="none"/>
        </w:rPr>
      </w:pPr>
      <w:r>
        <w:rPr>
          <w:rFonts w:hint="eastAsia"/>
          <w:b/>
          <w:sz w:val="36"/>
          <w:szCs w:val="36"/>
          <w:lang w:val="en-US" w:eastAsia="zh-CN"/>
        </w:rPr>
        <w:t>用户需求书</w:t>
      </w:r>
    </w:p>
    <w:p w14:paraId="3529A76F">
      <w:pPr>
        <w:rPr>
          <w:rFonts w:hint="eastAsia"/>
          <w:color w:val="auto"/>
          <w:highlight w:val="none"/>
        </w:rPr>
      </w:pPr>
    </w:p>
    <w:p w14:paraId="7944B95C">
      <w:pPr>
        <w:keepNext w:val="0"/>
        <w:keepLines w:val="0"/>
        <w:pageBreakBefore w:val="0"/>
        <w:kinsoku/>
        <w:wordWrap/>
        <w:overflowPunct/>
        <w:topLinePunct w:val="0"/>
        <w:bidi w:val="0"/>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hAnsi="宋体" w:cs="宋体"/>
          <w:b/>
          <w:color w:val="auto"/>
          <w:sz w:val="24"/>
          <w:szCs w:val="24"/>
          <w:highlight w:val="none"/>
          <w:lang w:eastAsia="zh-CN"/>
        </w:rPr>
        <w:t>、</w:t>
      </w:r>
      <w:r>
        <w:rPr>
          <w:rFonts w:hint="eastAsia" w:ascii="宋体" w:hAnsi="宋体" w:eastAsia="宋体" w:cs="宋体"/>
          <w:b/>
          <w:color w:val="auto"/>
          <w:sz w:val="24"/>
          <w:szCs w:val="24"/>
          <w:highlight w:val="none"/>
        </w:rPr>
        <w:t>项目信息</w:t>
      </w:r>
    </w:p>
    <w:p w14:paraId="77FE8E0F">
      <w:pPr>
        <w:keepNext w:val="0"/>
        <w:keepLines w:val="0"/>
        <w:pageBreakBefore w:val="0"/>
        <w:kinsoku/>
        <w:wordWrap/>
        <w:overflowPunct/>
        <w:topLinePunct w:val="0"/>
        <w:bidi w:val="0"/>
        <w:adjustRightInd/>
        <w:snapToGrid/>
        <w:spacing w:line="360" w:lineRule="auto"/>
        <w:ind w:firstLine="530" w:firstLineChars="22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采购人：东莞市石鼓</w:t>
      </w:r>
      <w:r>
        <w:rPr>
          <w:rFonts w:hint="eastAsia" w:hAnsi="宋体" w:cs="宋体"/>
          <w:color w:val="auto"/>
          <w:sz w:val="24"/>
          <w:szCs w:val="24"/>
          <w:highlight w:val="none"/>
          <w:lang w:val="en-US" w:eastAsia="zh-CN"/>
        </w:rPr>
        <w:t>净水</w:t>
      </w:r>
      <w:r>
        <w:rPr>
          <w:rFonts w:hint="eastAsia" w:ascii="宋体" w:hAnsi="宋体" w:eastAsia="宋体" w:cs="宋体"/>
          <w:color w:val="auto"/>
          <w:sz w:val="24"/>
          <w:szCs w:val="24"/>
          <w:highlight w:val="none"/>
        </w:rPr>
        <w:t>有限公司</w:t>
      </w:r>
      <w:r>
        <w:rPr>
          <w:rFonts w:hint="eastAsia" w:hAnsi="宋体" w:cs="宋体"/>
          <w:color w:val="auto"/>
          <w:sz w:val="24"/>
          <w:szCs w:val="24"/>
          <w:highlight w:val="none"/>
          <w:lang w:val="en-US" w:eastAsia="zh-CN"/>
        </w:rPr>
        <w:t>市区水质净化厂（以下简称“市区厂”）</w:t>
      </w:r>
    </w:p>
    <w:p w14:paraId="408464EC">
      <w:pPr>
        <w:keepNext w:val="0"/>
        <w:keepLines w:val="0"/>
        <w:pageBreakBefore w:val="0"/>
        <w:kinsoku/>
        <w:wordWrap/>
        <w:overflowPunct/>
        <w:topLinePunct w:val="0"/>
        <w:bidi w:val="0"/>
        <w:adjustRightInd/>
        <w:snapToGrid/>
        <w:spacing w:line="360" w:lineRule="auto"/>
        <w:ind w:firstLine="530" w:firstLineChars="221"/>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采购内容：</w:t>
      </w:r>
      <w:r>
        <w:rPr>
          <w:rFonts w:hint="eastAsia" w:hAnsi="宋体" w:cs="宋体"/>
          <w:color w:val="auto"/>
          <w:sz w:val="24"/>
          <w:szCs w:val="24"/>
          <w:highlight w:val="none"/>
          <w:lang w:val="en-US" w:eastAsia="zh-CN"/>
        </w:rPr>
        <w:t>市区厂能源在线监测系统对接市平台</w:t>
      </w:r>
    </w:p>
    <w:p w14:paraId="5B7E38E4">
      <w:pPr>
        <w:keepNext w:val="0"/>
        <w:keepLines w:val="0"/>
        <w:pageBreakBefore w:val="0"/>
        <w:kinsoku/>
        <w:wordWrap/>
        <w:overflowPunct/>
        <w:topLinePunct w:val="0"/>
        <w:bidi w:val="0"/>
        <w:adjustRightInd/>
        <w:snapToGrid/>
        <w:spacing w:line="360" w:lineRule="auto"/>
        <w:ind w:firstLine="530" w:firstLineChars="221"/>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采购预算：</w:t>
      </w:r>
      <w:r>
        <w:rPr>
          <w:rFonts w:hint="eastAsia" w:hAnsi="宋体" w:cs="宋体"/>
          <w:color w:val="auto"/>
          <w:sz w:val="24"/>
          <w:szCs w:val="24"/>
          <w:highlight w:val="none"/>
          <w:lang w:val="en-US" w:eastAsia="zh-CN"/>
        </w:rPr>
        <w:t>47,166.60元（不含税)</w:t>
      </w:r>
    </w:p>
    <w:p w14:paraId="779B25A8">
      <w:pPr>
        <w:keepNext w:val="0"/>
        <w:keepLines w:val="0"/>
        <w:pageBreakBefore w:val="0"/>
        <w:numPr>
          <w:ilvl w:val="0"/>
          <w:numId w:val="1"/>
        </w:numPr>
        <w:kinsoku/>
        <w:wordWrap/>
        <w:overflowPunct/>
        <w:topLinePunct w:val="0"/>
        <w:bidi w:val="0"/>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14:paraId="7FBB0187">
      <w:pPr>
        <w:keepNext w:val="0"/>
        <w:keepLines w:val="0"/>
        <w:pageBreakBefore w:val="0"/>
        <w:kinsoku/>
        <w:wordWrap/>
        <w:overflowPunct/>
        <w:topLinePunct w:val="0"/>
        <w:bidi w:val="0"/>
        <w:adjustRightInd/>
        <w:snapToGrid/>
        <w:spacing w:line="360" w:lineRule="auto"/>
        <w:ind w:firstLine="530" w:firstLineChars="221"/>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依据东莞市能源和信用中心印发的《关于做好我市能耗在线监测工作的通知》，重点用能单位须将能耗在线监测数据稳定接入“东莞市智慧能源平台”，以提高广东能源局能源管理中心平台和东莞市智慧能源平台的能耗在线检测数据质量。市区厂属于广东省重点用能单位，需按文件要求搭建能源在线监测系统并将市区厂能耗数据对接到东莞市智慧能源平台。</w:t>
      </w:r>
    </w:p>
    <w:p w14:paraId="1C974E2E">
      <w:pPr>
        <w:keepNext w:val="0"/>
        <w:keepLines w:val="0"/>
        <w:pageBreakBefore w:val="0"/>
        <w:kinsoku/>
        <w:wordWrap/>
        <w:overflowPunct/>
        <w:topLinePunct w:val="0"/>
        <w:bidi w:val="0"/>
        <w:adjustRightInd/>
        <w:snapToGrid/>
        <w:spacing w:line="360" w:lineRule="auto"/>
        <w:ind w:firstLine="530" w:firstLineChars="221"/>
        <w:rPr>
          <w:rFonts w:hint="eastAsia" w:ascii="黑体" w:hAnsi="黑体" w:eastAsia="黑体" w:cs="黑体"/>
          <w:bCs/>
          <w:sz w:val="28"/>
          <w:szCs w:val="28"/>
          <w:highlight w:val="none"/>
          <w:lang w:val="en-US" w:eastAsia="zh-CN"/>
        </w:rPr>
      </w:pPr>
      <w:r>
        <w:rPr>
          <w:rFonts w:hint="eastAsia" w:ascii="宋体" w:hAnsi="宋体"/>
          <w:sz w:val="24"/>
          <w:szCs w:val="24"/>
          <w:lang w:val="en-US" w:eastAsia="zh-CN"/>
        </w:rPr>
        <w:t>市区厂目前共配备12台低压变压器，每台变压器配有一个智能电表，电表上已连接通讯线用于数据传输至厂区内部中控系统。由于智能电表只配置一个通讯接口，故需接入一个一分二分接器，新增通讯线将数据传输至市区厂能源在线监测系统，再由市区厂能源在线监测系统将市区厂能源数据对接至</w:t>
      </w:r>
      <w:r>
        <w:rPr>
          <w:rFonts w:hint="eastAsia" w:hAnsi="宋体" w:cs="宋体"/>
          <w:color w:val="auto"/>
          <w:sz w:val="24"/>
          <w:szCs w:val="24"/>
          <w:highlight w:val="none"/>
          <w:lang w:val="en-US" w:eastAsia="zh-CN"/>
        </w:rPr>
        <w:t>东莞市智慧能源平台。</w:t>
      </w:r>
    </w:p>
    <w:p w14:paraId="2D726C7B">
      <w:pPr>
        <w:keepNext w:val="0"/>
        <w:keepLines w:val="0"/>
        <w:pageBreakBefore w:val="0"/>
        <w:kinsoku/>
        <w:wordWrap/>
        <w:overflowPunct/>
        <w:topLinePunct w:val="0"/>
        <w:bidi w:val="0"/>
        <w:adjustRightInd/>
        <w:snapToGrid/>
        <w:spacing w:line="360" w:lineRule="auto"/>
        <w:ind w:firstLine="480" w:firstLineChars="200"/>
        <w:rPr>
          <w:rFonts w:hint="default" w:hAnsi="宋体" w:cs="宋体"/>
          <w:color w:val="auto"/>
          <w:sz w:val="24"/>
          <w:szCs w:val="24"/>
          <w:highlight w:val="none"/>
          <w:lang w:val="en-US" w:eastAsia="zh-CN"/>
        </w:rPr>
      </w:pPr>
    </w:p>
    <w:p w14:paraId="7CF06906">
      <w:pPr>
        <w:keepNext w:val="0"/>
        <w:keepLines w:val="0"/>
        <w:pageBreakBefore w:val="0"/>
        <w:kinsoku/>
        <w:wordWrap/>
        <w:overflowPunct/>
        <w:topLinePunct w:val="0"/>
        <w:bidi w:val="0"/>
        <w:adjustRightInd/>
        <w:snapToGrid/>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服务清单</w:t>
      </w:r>
      <w:r>
        <w:rPr>
          <w:rFonts w:hint="eastAsia" w:ascii="宋体" w:hAnsi="宋体" w:eastAsia="宋体" w:cs="宋体"/>
          <w:b/>
          <w:color w:val="auto"/>
          <w:sz w:val="24"/>
          <w:szCs w:val="24"/>
          <w:highlight w:val="none"/>
        </w:rPr>
        <w:t>及要求</w:t>
      </w:r>
    </w:p>
    <w:p w14:paraId="01FF4AD6">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w:t>
      </w:r>
      <w:r>
        <w:rPr>
          <w:rFonts w:hint="eastAsia" w:hAnsi="宋体" w:cs="宋体"/>
          <w:b w:val="0"/>
          <w:bCs/>
          <w:color w:val="auto"/>
          <w:sz w:val="24"/>
          <w:szCs w:val="24"/>
          <w:highlight w:val="none"/>
          <w:lang w:val="en-US" w:eastAsia="zh-CN"/>
        </w:rPr>
        <w:t>服务清单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81"/>
        <w:gridCol w:w="1776"/>
        <w:gridCol w:w="1486"/>
        <w:gridCol w:w="1320"/>
        <w:gridCol w:w="1169"/>
      </w:tblGrid>
      <w:tr w14:paraId="65A2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041FAD7A">
            <w:pPr>
              <w:pStyle w:val="13"/>
              <w:jc w:val="center"/>
              <w:rPr>
                <w:rFonts w:hint="default"/>
                <w:vertAlign w:val="baseline"/>
                <w:lang w:val="en-US" w:eastAsia="zh-CN"/>
              </w:rPr>
            </w:pPr>
            <w:r>
              <w:rPr>
                <w:rFonts w:hint="eastAsia"/>
                <w:vertAlign w:val="baseline"/>
                <w:lang w:val="en-US" w:eastAsia="zh-CN"/>
              </w:rPr>
              <w:t>序号</w:t>
            </w:r>
          </w:p>
        </w:tc>
        <w:tc>
          <w:tcPr>
            <w:tcW w:w="1981" w:type="dxa"/>
          </w:tcPr>
          <w:p w14:paraId="561A7C5A">
            <w:pPr>
              <w:pStyle w:val="13"/>
              <w:jc w:val="center"/>
              <w:rPr>
                <w:rFonts w:hint="default"/>
                <w:vertAlign w:val="baseline"/>
                <w:lang w:val="en-US" w:eastAsia="zh-CN"/>
              </w:rPr>
            </w:pPr>
            <w:r>
              <w:rPr>
                <w:rFonts w:hint="eastAsia"/>
                <w:vertAlign w:val="baseline"/>
                <w:lang w:val="en-US" w:eastAsia="zh-CN"/>
              </w:rPr>
              <w:t>名称</w:t>
            </w:r>
          </w:p>
        </w:tc>
        <w:tc>
          <w:tcPr>
            <w:tcW w:w="1486" w:type="dxa"/>
          </w:tcPr>
          <w:p w14:paraId="63067997">
            <w:pPr>
              <w:pStyle w:val="13"/>
              <w:jc w:val="center"/>
              <w:rPr>
                <w:rFonts w:hint="eastAsia"/>
                <w:vertAlign w:val="baseline"/>
                <w:lang w:val="en-US" w:eastAsia="zh-CN"/>
              </w:rPr>
            </w:pPr>
            <w:r>
              <w:rPr>
                <w:rFonts w:hint="eastAsia" w:ascii="Calibri" w:hAnsi="Calibri"/>
                <w:b/>
                <w:bCs/>
                <w:color w:val="000000"/>
                <w:szCs w:val="24"/>
                <w:lang w:val="en-US" w:eastAsia="zh-CN"/>
              </w:rPr>
              <w:t>服务/规格要求</w:t>
            </w:r>
          </w:p>
        </w:tc>
        <w:tc>
          <w:tcPr>
            <w:tcW w:w="1486" w:type="dxa"/>
          </w:tcPr>
          <w:p w14:paraId="53134FE2">
            <w:pPr>
              <w:pStyle w:val="13"/>
              <w:jc w:val="center"/>
              <w:rPr>
                <w:rFonts w:hint="default"/>
                <w:vertAlign w:val="baseline"/>
                <w:lang w:val="en-US" w:eastAsia="zh-CN"/>
              </w:rPr>
            </w:pPr>
            <w:r>
              <w:rPr>
                <w:rFonts w:hint="eastAsia"/>
                <w:vertAlign w:val="baseline"/>
                <w:lang w:val="en-US" w:eastAsia="zh-CN"/>
              </w:rPr>
              <w:t>单位</w:t>
            </w:r>
          </w:p>
        </w:tc>
        <w:tc>
          <w:tcPr>
            <w:tcW w:w="1320" w:type="dxa"/>
          </w:tcPr>
          <w:p w14:paraId="1BF43EF4">
            <w:pPr>
              <w:pStyle w:val="13"/>
              <w:jc w:val="center"/>
              <w:rPr>
                <w:rFonts w:hint="default"/>
                <w:vertAlign w:val="baseline"/>
                <w:lang w:val="en-US" w:eastAsia="zh-CN"/>
              </w:rPr>
            </w:pPr>
            <w:r>
              <w:rPr>
                <w:rFonts w:hint="eastAsia"/>
                <w:vertAlign w:val="baseline"/>
                <w:lang w:val="en-US" w:eastAsia="zh-CN"/>
              </w:rPr>
              <w:t>数量</w:t>
            </w:r>
          </w:p>
        </w:tc>
        <w:tc>
          <w:tcPr>
            <w:tcW w:w="1169" w:type="dxa"/>
          </w:tcPr>
          <w:p w14:paraId="34010515">
            <w:pPr>
              <w:pStyle w:val="13"/>
              <w:jc w:val="center"/>
              <w:rPr>
                <w:rFonts w:hint="default"/>
                <w:vertAlign w:val="baseline"/>
                <w:lang w:val="en-US" w:eastAsia="zh-CN"/>
              </w:rPr>
            </w:pPr>
            <w:r>
              <w:rPr>
                <w:rFonts w:hint="eastAsia"/>
                <w:vertAlign w:val="baseline"/>
                <w:lang w:val="en-US" w:eastAsia="zh-CN"/>
              </w:rPr>
              <w:t>备注</w:t>
            </w:r>
          </w:p>
        </w:tc>
      </w:tr>
      <w:tr w14:paraId="4929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58032A78">
            <w:pPr>
              <w:pStyle w:val="13"/>
              <w:jc w:val="center"/>
              <w:rPr>
                <w:rFonts w:hint="default"/>
                <w:vertAlign w:val="baseline"/>
                <w:lang w:val="en-US" w:eastAsia="zh-CN"/>
              </w:rPr>
            </w:pPr>
            <w:r>
              <w:rPr>
                <w:rFonts w:hint="eastAsia"/>
                <w:vertAlign w:val="baseline"/>
                <w:lang w:val="en-US" w:eastAsia="zh-CN"/>
              </w:rPr>
              <w:t>1</w:t>
            </w:r>
          </w:p>
        </w:tc>
        <w:tc>
          <w:tcPr>
            <w:tcW w:w="1981" w:type="dxa"/>
          </w:tcPr>
          <w:p w14:paraId="3BE94447">
            <w:pPr>
              <w:pStyle w:val="13"/>
              <w:jc w:val="center"/>
              <w:rPr>
                <w:rFonts w:hint="default"/>
                <w:vertAlign w:val="baseline"/>
                <w:lang w:val="en-US" w:eastAsia="zh-CN"/>
              </w:rPr>
            </w:pPr>
            <w:r>
              <w:rPr>
                <w:rFonts w:hint="eastAsia"/>
                <w:vertAlign w:val="baseline"/>
                <w:lang w:val="en-US" w:eastAsia="zh-CN"/>
              </w:rPr>
              <w:t>市区厂能源在线监测系统</w:t>
            </w:r>
          </w:p>
        </w:tc>
        <w:tc>
          <w:tcPr>
            <w:tcW w:w="1486" w:type="dxa"/>
            <w:shd w:val="clear" w:color="auto" w:fill="auto"/>
            <w:vAlign w:val="center"/>
          </w:tcPr>
          <w:p w14:paraId="0DD8B8B4">
            <w:pPr>
              <w:jc w:val="center"/>
              <w:rPr>
                <w:rFonts w:hint="eastAsia" w:ascii="宋体" w:hAnsi="宋体" w:eastAsia="宋体" w:cs="宋体"/>
                <w:color w:val="000000"/>
                <w:kern w:val="2"/>
                <w:sz w:val="24"/>
                <w:szCs w:val="24"/>
                <w:lang w:val="en-US" w:eastAsia="zh-CN" w:bidi="ar-SA"/>
              </w:rPr>
            </w:pPr>
            <w:r>
              <w:rPr>
                <w:rFonts w:hint="eastAsia" w:ascii="宋体" w:hAnsi="宋体" w:cs="Times New Roman"/>
                <w:kern w:val="2"/>
                <w:sz w:val="24"/>
                <w:szCs w:val="24"/>
                <w:lang w:val="en-US" w:eastAsia="zh-CN" w:bidi="ar-SA"/>
              </w:rPr>
              <w:t>需</w:t>
            </w:r>
            <w:r>
              <w:rPr>
                <w:rFonts w:hint="eastAsia" w:hAnsi="宋体" w:cs="Times New Roman"/>
                <w:kern w:val="2"/>
                <w:sz w:val="24"/>
                <w:szCs w:val="24"/>
                <w:lang w:val="en-US" w:eastAsia="zh-CN" w:bidi="ar-SA"/>
              </w:rPr>
              <w:t>建设</w:t>
            </w:r>
            <w:r>
              <w:rPr>
                <w:rFonts w:hint="eastAsia" w:ascii="宋体" w:hAnsi="宋体" w:cs="Times New Roman"/>
                <w:kern w:val="2"/>
                <w:sz w:val="24"/>
                <w:szCs w:val="24"/>
                <w:lang w:val="en-US" w:eastAsia="zh-CN" w:bidi="ar-SA"/>
              </w:rPr>
              <w:t>丙级能源在线监测系统</w:t>
            </w:r>
            <w:r>
              <w:rPr>
                <w:rFonts w:hint="eastAsia" w:hAnsi="宋体" w:cs="Times New Roman"/>
                <w:kern w:val="2"/>
                <w:sz w:val="24"/>
                <w:szCs w:val="24"/>
                <w:lang w:val="en-US" w:eastAsia="zh-CN" w:bidi="ar-SA"/>
              </w:rPr>
              <w:t>，</w:t>
            </w:r>
            <w:r>
              <w:rPr>
                <w:rFonts w:hint="eastAsia" w:ascii="宋体" w:hAnsi="宋体" w:cs="Times New Roman"/>
                <w:kern w:val="2"/>
                <w:sz w:val="24"/>
                <w:szCs w:val="24"/>
                <w:lang w:val="en-US" w:eastAsia="zh-CN" w:bidi="ar-SA"/>
              </w:rPr>
              <w:t>将市区厂12个低压变压器的智能电表数据接入系统</w:t>
            </w:r>
          </w:p>
        </w:tc>
        <w:tc>
          <w:tcPr>
            <w:tcW w:w="1486" w:type="dxa"/>
          </w:tcPr>
          <w:p w14:paraId="0FDEB725">
            <w:pPr>
              <w:pStyle w:val="13"/>
              <w:jc w:val="center"/>
              <w:rPr>
                <w:rFonts w:hint="default"/>
                <w:vertAlign w:val="baseline"/>
                <w:lang w:val="en-US" w:eastAsia="zh-CN"/>
              </w:rPr>
            </w:pPr>
            <w:r>
              <w:rPr>
                <w:rFonts w:hint="eastAsia"/>
                <w:vertAlign w:val="baseline"/>
                <w:lang w:val="en-US" w:eastAsia="zh-CN"/>
              </w:rPr>
              <w:t>套</w:t>
            </w:r>
          </w:p>
        </w:tc>
        <w:tc>
          <w:tcPr>
            <w:tcW w:w="1320" w:type="dxa"/>
          </w:tcPr>
          <w:p w14:paraId="6C02F9AD">
            <w:pPr>
              <w:pStyle w:val="13"/>
              <w:jc w:val="center"/>
              <w:rPr>
                <w:rFonts w:hint="default"/>
                <w:vertAlign w:val="baseline"/>
                <w:lang w:val="en-US" w:eastAsia="zh-CN"/>
              </w:rPr>
            </w:pPr>
            <w:r>
              <w:rPr>
                <w:rFonts w:hint="eastAsia"/>
                <w:vertAlign w:val="baseline"/>
                <w:lang w:val="en-US" w:eastAsia="zh-CN"/>
              </w:rPr>
              <w:t>1</w:t>
            </w:r>
          </w:p>
        </w:tc>
        <w:tc>
          <w:tcPr>
            <w:tcW w:w="1169" w:type="dxa"/>
          </w:tcPr>
          <w:p w14:paraId="2F013E43">
            <w:pPr>
              <w:pStyle w:val="13"/>
              <w:jc w:val="center"/>
              <w:rPr>
                <w:rFonts w:hint="default"/>
                <w:vertAlign w:val="baseline"/>
                <w:lang w:val="en-US" w:eastAsia="zh-CN"/>
              </w:rPr>
            </w:pPr>
          </w:p>
        </w:tc>
      </w:tr>
      <w:tr w14:paraId="24DC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1B04977">
            <w:pPr>
              <w:pStyle w:val="13"/>
              <w:jc w:val="center"/>
              <w:rPr>
                <w:rFonts w:hint="default"/>
                <w:vertAlign w:val="baseline"/>
                <w:lang w:val="en-US" w:eastAsia="zh-CN"/>
              </w:rPr>
            </w:pPr>
            <w:r>
              <w:rPr>
                <w:rFonts w:hint="eastAsia"/>
                <w:vertAlign w:val="baseline"/>
                <w:lang w:val="en-US" w:eastAsia="zh-CN"/>
              </w:rPr>
              <w:t>2</w:t>
            </w:r>
          </w:p>
        </w:tc>
        <w:tc>
          <w:tcPr>
            <w:tcW w:w="1981" w:type="dxa"/>
          </w:tcPr>
          <w:p w14:paraId="47496597">
            <w:pPr>
              <w:pStyle w:val="13"/>
              <w:jc w:val="center"/>
              <w:rPr>
                <w:rFonts w:hint="default"/>
                <w:vertAlign w:val="baseline"/>
                <w:lang w:val="en-US" w:eastAsia="zh-CN"/>
              </w:rPr>
            </w:pPr>
            <w:r>
              <w:rPr>
                <w:rFonts w:hint="eastAsia"/>
                <w:vertAlign w:val="baseline"/>
                <w:lang w:val="en-US" w:eastAsia="zh-CN"/>
              </w:rPr>
              <w:t>市区厂能源数据对接市平台</w:t>
            </w:r>
          </w:p>
        </w:tc>
        <w:tc>
          <w:tcPr>
            <w:tcW w:w="1486" w:type="dxa"/>
            <w:shd w:val="clear" w:color="auto" w:fill="auto"/>
            <w:vAlign w:val="center"/>
          </w:tcPr>
          <w:p w14:paraId="1D93F216">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需将市区厂能源在线监测系统数据对接至</w:t>
            </w:r>
            <w:r>
              <w:rPr>
                <w:rFonts w:hint="eastAsia" w:hAnsi="宋体" w:cs="宋体"/>
                <w:color w:val="auto"/>
                <w:sz w:val="24"/>
                <w:szCs w:val="24"/>
                <w:highlight w:val="none"/>
                <w:lang w:val="en-US" w:eastAsia="zh-CN"/>
              </w:rPr>
              <w:t>东莞市智慧能源平台</w:t>
            </w:r>
          </w:p>
        </w:tc>
        <w:tc>
          <w:tcPr>
            <w:tcW w:w="1486" w:type="dxa"/>
          </w:tcPr>
          <w:p w14:paraId="55D4C406">
            <w:pPr>
              <w:pStyle w:val="13"/>
              <w:jc w:val="center"/>
              <w:rPr>
                <w:rFonts w:hint="default"/>
                <w:vertAlign w:val="baseline"/>
                <w:lang w:val="en-US" w:eastAsia="zh-CN"/>
              </w:rPr>
            </w:pPr>
            <w:r>
              <w:rPr>
                <w:rFonts w:hint="eastAsia"/>
                <w:vertAlign w:val="baseline"/>
                <w:lang w:val="en-US" w:eastAsia="zh-CN"/>
              </w:rPr>
              <w:t>套</w:t>
            </w:r>
          </w:p>
        </w:tc>
        <w:tc>
          <w:tcPr>
            <w:tcW w:w="1320" w:type="dxa"/>
          </w:tcPr>
          <w:p w14:paraId="64F50C1A">
            <w:pPr>
              <w:pStyle w:val="13"/>
              <w:jc w:val="center"/>
              <w:rPr>
                <w:rFonts w:hint="default"/>
                <w:vertAlign w:val="baseline"/>
                <w:lang w:val="en-US" w:eastAsia="zh-CN"/>
              </w:rPr>
            </w:pPr>
            <w:r>
              <w:rPr>
                <w:rFonts w:hint="eastAsia"/>
                <w:vertAlign w:val="baseline"/>
                <w:lang w:val="en-US" w:eastAsia="zh-CN"/>
              </w:rPr>
              <w:t>1</w:t>
            </w:r>
          </w:p>
        </w:tc>
        <w:tc>
          <w:tcPr>
            <w:tcW w:w="1169" w:type="dxa"/>
          </w:tcPr>
          <w:p w14:paraId="1DD8EB84">
            <w:pPr>
              <w:pStyle w:val="13"/>
              <w:jc w:val="center"/>
              <w:rPr>
                <w:rFonts w:hint="default"/>
                <w:vertAlign w:val="baseline"/>
                <w:lang w:val="en-US" w:eastAsia="zh-CN"/>
              </w:rPr>
            </w:pPr>
          </w:p>
        </w:tc>
      </w:tr>
      <w:tr w14:paraId="2486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B9995C0">
            <w:pPr>
              <w:pStyle w:val="13"/>
              <w:jc w:val="center"/>
              <w:rPr>
                <w:rFonts w:hint="default"/>
                <w:vertAlign w:val="baseline"/>
                <w:lang w:val="en-US" w:eastAsia="zh-CN"/>
              </w:rPr>
            </w:pPr>
            <w:r>
              <w:rPr>
                <w:rFonts w:hint="eastAsia"/>
                <w:vertAlign w:val="baseline"/>
                <w:lang w:val="en-US" w:eastAsia="zh-CN"/>
              </w:rPr>
              <w:t>3</w:t>
            </w:r>
          </w:p>
        </w:tc>
        <w:tc>
          <w:tcPr>
            <w:tcW w:w="1981" w:type="dxa"/>
            <w:vAlign w:val="top"/>
          </w:tcPr>
          <w:p w14:paraId="421C7CBE">
            <w:pPr>
              <w:pStyle w:val="13"/>
              <w:jc w:val="center"/>
              <w:rPr>
                <w:rFonts w:hint="default"/>
                <w:vertAlign w:val="baseline"/>
                <w:lang w:val="en-US" w:eastAsia="zh-CN"/>
              </w:rPr>
            </w:pPr>
            <w:r>
              <w:rPr>
                <w:rFonts w:hint="eastAsia"/>
                <w:vertAlign w:val="baseline"/>
                <w:lang w:val="en-US" w:eastAsia="zh-CN"/>
              </w:rPr>
              <w:t>一分二分接器</w:t>
            </w:r>
          </w:p>
        </w:tc>
        <w:tc>
          <w:tcPr>
            <w:tcW w:w="1486" w:type="dxa"/>
            <w:shd w:val="clear" w:color="auto" w:fill="auto"/>
            <w:vAlign w:val="center"/>
          </w:tcPr>
          <w:p w14:paraId="6267DA9D">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BJ-3212</w:t>
            </w:r>
          </w:p>
        </w:tc>
        <w:tc>
          <w:tcPr>
            <w:tcW w:w="1486" w:type="dxa"/>
            <w:vAlign w:val="top"/>
          </w:tcPr>
          <w:p w14:paraId="26FE35A7">
            <w:pPr>
              <w:pStyle w:val="13"/>
              <w:jc w:val="center"/>
              <w:rPr>
                <w:rFonts w:hint="default"/>
                <w:vertAlign w:val="baseline"/>
                <w:lang w:val="en-US" w:eastAsia="zh-CN"/>
              </w:rPr>
            </w:pPr>
            <w:r>
              <w:rPr>
                <w:rFonts w:hint="eastAsia"/>
                <w:vertAlign w:val="baseline"/>
                <w:lang w:val="en-US" w:eastAsia="zh-CN"/>
              </w:rPr>
              <w:t>块</w:t>
            </w:r>
          </w:p>
        </w:tc>
        <w:tc>
          <w:tcPr>
            <w:tcW w:w="1320" w:type="dxa"/>
            <w:vAlign w:val="top"/>
          </w:tcPr>
          <w:p w14:paraId="4F24E893">
            <w:pPr>
              <w:pStyle w:val="13"/>
              <w:jc w:val="center"/>
              <w:rPr>
                <w:rFonts w:hint="default"/>
                <w:vertAlign w:val="baseline"/>
                <w:lang w:val="en-US" w:eastAsia="zh-CN"/>
              </w:rPr>
            </w:pPr>
            <w:r>
              <w:rPr>
                <w:rFonts w:hint="eastAsia"/>
                <w:vertAlign w:val="baseline"/>
                <w:lang w:val="en-US" w:eastAsia="zh-CN"/>
              </w:rPr>
              <w:t>12</w:t>
            </w:r>
          </w:p>
        </w:tc>
        <w:tc>
          <w:tcPr>
            <w:tcW w:w="1169" w:type="dxa"/>
          </w:tcPr>
          <w:p w14:paraId="58BF46E4">
            <w:pPr>
              <w:pStyle w:val="13"/>
              <w:jc w:val="center"/>
              <w:rPr>
                <w:rFonts w:hint="default"/>
                <w:vertAlign w:val="baseline"/>
                <w:lang w:val="en-US" w:eastAsia="zh-CN"/>
              </w:rPr>
            </w:pPr>
          </w:p>
        </w:tc>
      </w:tr>
      <w:tr w14:paraId="1D2D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0F0EE93">
            <w:pPr>
              <w:pStyle w:val="13"/>
              <w:jc w:val="center"/>
              <w:rPr>
                <w:rFonts w:hint="default"/>
                <w:vertAlign w:val="baseline"/>
                <w:lang w:val="en-US" w:eastAsia="zh-CN"/>
              </w:rPr>
            </w:pPr>
            <w:r>
              <w:rPr>
                <w:rFonts w:hint="eastAsia"/>
                <w:vertAlign w:val="baseline"/>
                <w:lang w:val="en-US" w:eastAsia="zh-CN"/>
              </w:rPr>
              <w:t>4</w:t>
            </w:r>
          </w:p>
        </w:tc>
        <w:tc>
          <w:tcPr>
            <w:tcW w:w="1981" w:type="dxa"/>
            <w:vAlign w:val="top"/>
          </w:tcPr>
          <w:p w14:paraId="0782E4C8">
            <w:pPr>
              <w:pStyle w:val="13"/>
              <w:jc w:val="center"/>
              <w:rPr>
                <w:rFonts w:hint="default"/>
                <w:vertAlign w:val="baseline"/>
                <w:lang w:val="en-US" w:eastAsia="zh-CN"/>
              </w:rPr>
            </w:pPr>
            <w:r>
              <w:rPr>
                <w:rFonts w:hint="eastAsia"/>
                <w:vertAlign w:val="baseline"/>
                <w:lang w:val="en-US" w:eastAsia="zh-CN"/>
              </w:rPr>
              <w:t>LoRa无线收发器</w:t>
            </w:r>
          </w:p>
        </w:tc>
        <w:tc>
          <w:tcPr>
            <w:tcW w:w="1486" w:type="dxa"/>
            <w:shd w:val="clear" w:color="auto" w:fill="auto"/>
            <w:vAlign w:val="center"/>
          </w:tcPr>
          <w:p w14:paraId="7531AA70">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F3X26Q</w:t>
            </w:r>
          </w:p>
        </w:tc>
        <w:tc>
          <w:tcPr>
            <w:tcW w:w="1486" w:type="dxa"/>
            <w:vAlign w:val="top"/>
          </w:tcPr>
          <w:p w14:paraId="6EA54695">
            <w:pPr>
              <w:pStyle w:val="13"/>
              <w:jc w:val="center"/>
              <w:rPr>
                <w:rFonts w:hint="default"/>
                <w:vertAlign w:val="baseline"/>
                <w:lang w:val="en-US" w:eastAsia="zh-CN"/>
              </w:rPr>
            </w:pPr>
            <w:r>
              <w:rPr>
                <w:rFonts w:hint="eastAsia"/>
                <w:vertAlign w:val="baseline"/>
                <w:lang w:val="en-US" w:eastAsia="zh-CN"/>
              </w:rPr>
              <w:t>套</w:t>
            </w:r>
          </w:p>
        </w:tc>
        <w:tc>
          <w:tcPr>
            <w:tcW w:w="1320" w:type="dxa"/>
            <w:vAlign w:val="top"/>
          </w:tcPr>
          <w:p w14:paraId="30F80FEB">
            <w:pPr>
              <w:pStyle w:val="13"/>
              <w:jc w:val="center"/>
              <w:rPr>
                <w:rFonts w:hint="default"/>
                <w:vertAlign w:val="baseline"/>
                <w:lang w:val="en-US" w:eastAsia="zh-CN"/>
              </w:rPr>
            </w:pPr>
            <w:r>
              <w:rPr>
                <w:rFonts w:hint="eastAsia"/>
                <w:vertAlign w:val="baseline"/>
                <w:lang w:val="en-US" w:eastAsia="zh-CN"/>
              </w:rPr>
              <w:t>12</w:t>
            </w:r>
          </w:p>
        </w:tc>
        <w:tc>
          <w:tcPr>
            <w:tcW w:w="1169" w:type="dxa"/>
          </w:tcPr>
          <w:p w14:paraId="71614E9A">
            <w:pPr>
              <w:pStyle w:val="13"/>
              <w:jc w:val="center"/>
              <w:rPr>
                <w:rFonts w:hint="default"/>
                <w:vertAlign w:val="baseline"/>
                <w:lang w:val="en-US" w:eastAsia="zh-CN"/>
              </w:rPr>
            </w:pPr>
          </w:p>
        </w:tc>
      </w:tr>
      <w:tr w14:paraId="773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3DEADCDE">
            <w:pPr>
              <w:pStyle w:val="13"/>
              <w:jc w:val="center"/>
              <w:rPr>
                <w:rFonts w:hint="default"/>
                <w:vertAlign w:val="baseline"/>
                <w:lang w:val="en-US" w:eastAsia="zh-CN"/>
              </w:rPr>
            </w:pPr>
            <w:r>
              <w:rPr>
                <w:rFonts w:hint="eastAsia"/>
                <w:vertAlign w:val="baseline"/>
                <w:lang w:val="en-US" w:eastAsia="zh-CN"/>
              </w:rPr>
              <w:t>5</w:t>
            </w:r>
          </w:p>
        </w:tc>
        <w:tc>
          <w:tcPr>
            <w:tcW w:w="1981" w:type="dxa"/>
            <w:vAlign w:val="top"/>
          </w:tcPr>
          <w:p w14:paraId="64F04F77">
            <w:pPr>
              <w:pStyle w:val="13"/>
              <w:jc w:val="center"/>
              <w:rPr>
                <w:rFonts w:hint="default"/>
                <w:vertAlign w:val="baseline"/>
                <w:lang w:val="en-US" w:eastAsia="zh-CN"/>
              </w:rPr>
            </w:pPr>
            <w:r>
              <w:rPr>
                <w:rFonts w:hint="eastAsia"/>
                <w:vertAlign w:val="baseline"/>
                <w:lang w:val="en-US" w:eastAsia="zh-CN"/>
              </w:rPr>
              <w:t>通讯线</w:t>
            </w:r>
          </w:p>
        </w:tc>
        <w:tc>
          <w:tcPr>
            <w:tcW w:w="1486" w:type="dxa"/>
            <w:shd w:val="clear" w:color="auto" w:fill="auto"/>
            <w:vAlign w:val="center"/>
          </w:tcPr>
          <w:p w14:paraId="36916017">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超五类带屏蔽网络线</w:t>
            </w:r>
          </w:p>
        </w:tc>
        <w:tc>
          <w:tcPr>
            <w:tcW w:w="1486" w:type="dxa"/>
            <w:vAlign w:val="top"/>
          </w:tcPr>
          <w:p w14:paraId="6413AC0F">
            <w:pPr>
              <w:pStyle w:val="13"/>
              <w:jc w:val="center"/>
              <w:rPr>
                <w:rFonts w:hint="default"/>
                <w:vertAlign w:val="baseline"/>
                <w:lang w:val="en-US" w:eastAsia="zh-CN"/>
              </w:rPr>
            </w:pPr>
            <w:r>
              <w:rPr>
                <w:rFonts w:hint="eastAsia"/>
                <w:vertAlign w:val="baseline"/>
                <w:lang w:val="en-US" w:eastAsia="zh-CN"/>
              </w:rPr>
              <w:t>米</w:t>
            </w:r>
          </w:p>
        </w:tc>
        <w:tc>
          <w:tcPr>
            <w:tcW w:w="1320" w:type="dxa"/>
            <w:vAlign w:val="top"/>
          </w:tcPr>
          <w:p w14:paraId="3FADD0DC">
            <w:pPr>
              <w:pStyle w:val="13"/>
              <w:jc w:val="center"/>
              <w:rPr>
                <w:rFonts w:hint="default"/>
                <w:vertAlign w:val="baseline"/>
                <w:lang w:val="en-US" w:eastAsia="zh-CN"/>
              </w:rPr>
            </w:pPr>
            <w:r>
              <w:rPr>
                <w:rFonts w:hint="eastAsia"/>
                <w:vertAlign w:val="baseline"/>
                <w:lang w:val="en-US" w:eastAsia="zh-CN"/>
              </w:rPr>
              <w:t>200</w:t>
            </w:r>
          </w:p>
        </w:tc>
        <w:tc>
          <w:tcPr>
            <w:tcW w:w="1169" w:type="dxa"/>
          </w:tcPr>
          <w:p w14:paraId="53B73DCD">
            <w:pPr>
              <w:pStyle w:val="13"/>
              <w:jc w:val="center"/>
              <w:rPr>
                <w:rFonts w:hint="default"/>
                <w:vertAlign w:val="baseline"/>
                <w:lang w:val="en-US" w:eastAsia="zh-CN"/>
              </w:rPr>
            </w:pPr>
          </w:p>
        </w:tc>
      </w:tr>
      <w:tr w14:paraId="757B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B50973D">
            <w:pPr>
              <w:pStyle w:val="13"/>
              <w:jc w:val="center"/>
              <w:rPr>
                <w:rFonts w:hint="default"/>
                <w:vertAlign w:val="baseline"/>
                <w:lang w:val="en-US" w:eastAsia="zh-CN"/>
              </w:rPr>
            </w:pPr>
            <w:r>
              <w:rPr>
                <w:rFonts w:hint="eastAsia"/>
                <w:vertAlign w:val="baseline"/>
                <w:lang w:val="en-US" w:eastAsia="zh-CN"/>
              </w:rPr>
              <w:t>6</w:t>
            </w:r>
          </w:p>
        </w:tc>
        <w:tc>
          <w:tcPr>
            <w:tcW w:w="1981" w:type="dxa"/>
            <w:vAlign w:val="top"/>
          </w:tcPr>
          <w:p w14:paraId="0A285D4F">
            <w:pPr>
              <w:pStyle w:val="13"/>
              <w:jc w:val="center"/>
              <w:rPr>
                <w:rFonts w:hint="default"/>
                <w:vertAlign w:val="baseline"/>
                <w:lang w:val="en-US" w:eastAsia="zh-CN"/>
              </w:rPr>
            </w:pPr>
            <w:r>
              <w:rPr>
                <w:rFonts w:hint="eastAsia"/>
                <w:vertAlign w:val="baseline"/>
                <w:lang w:val="en-US" w:eastAsia="zh-CN"/>
              </w:rPr>
              <w:t>RVV电缆</w:t>
            </w:r>
          </w:p>
        </w:tc>
        <w:tc>
          <w:tcPr>
            <w:tcW w:w="1486" w:type="dxa"/>
            <w:shd w:val="clear" w:color="auto" w:fill="auto"/>
            <w:vAlign w:val="center"/>
          </w:tcPr>
          <w:p w14:paraId="1CB39403">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3*1.5mm</w:t>
            </w:r>
            <w:r>
              <w:rPr>
                <w:rFonts w:hint="eastAsia" w:ascii="宋体" w:hAnsi="宋体" w:cs="Times New Roman"/>
                <w:kern w:val="2"/>
                <w:sz w:val="24"/>
                <w:szCs w:val="24"/>
                <w:vertAlign w:val="superscript"/>
                <w:lang w:val="en-US" w:eastAsia="zh-CN" w:bidi="ar-SA"/>
              </w:rPr>
              <w:t>2</w:t>
            </w:r>
          </w:p>
        </w:tc>
        <w:tc>
          <w:tcPr>
            <w:tcW w:w="1486" w:type="dxa"/>
            <w:vAlign w:val="top"/>
          </w:tcPr>
          <w:p w14:paraId="6AE1D62F">
            <w:pPr>
              <w:pStyle w:val="13"/>
              <w:jc w:val="center"/>
              <w:rPr>
                <w:rFonts w:hint="default"/>
                <w:vertAlign w:val="baseline"/>
                <w:lang w:val="en-US" w:eastAsia="zh-CN"/>
              </w:rPr>
            </w:pPr>
            <w:r>
              <w:rPr>
                <w:rFonts w:hint="eastAsia"/>
                <w:vertAlign w:val="baseline"/>
                <w:lang w:val="en-US" w:eastAsia="zh-CN"/>
              </w:rPr>
              <w:t>米</w:t>
            </w:r>
          </w:p>
        </w:tc>
        <w:tc>
          <w:tcPr>
            <w:tcW w:w="1320" w:type="dxa"/>
            <w:vAlign w:val="top"/>
          </w:tcPr>
          <w:p w14:paraId="6F39F91F">
            <w:pPr>
              <w:pStyle w:val="13"/>
              <w:jc w:val="center"/>
              <w:rPr>
                <w:rFonts w:hint="default"/>
                <w:vertAlign w:val="baseline"/>
                <w:lang w:val="en-US" w:eastAsia="zh-CN"/>
              </w:rPr>
            </w:pPr>
            <w:r>
              <w:rPr>
                <w:rFonts w:hint="eastAsia"/>
                <w:vertAlign w:val="baseline"/>
                <w:lang w:val="en-US" w:eastAsia="zh-CN"/>
              </w:rPr>
              <w:t>200</w:t>
            </w:r>
          </w:p>
        </w:tc>
        <w:tc>
          <w:tcPr>
            <w:tcW w:w="1169" w:type="dxa"/>
          </w:tcPr>
          <w:p w14:paraId="5A04053A">
            <w:pPr>
              <w:pStyle w:val="13"/>
              <w:jc w:val="center"/>
              <w:rPr>
                <w:rFonts w:hint="default"/>
                <w:vertAlign w:val="baseline"/>
                <w:lang w:val="en-US" w:eastAsia="zh-CN"/>
              </w:rPr>
            </w:pPr>
          </w:p>
        </w:tc>
      </w:tr>
      <w:tr w14:paraId="43DE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8EF177E">
            <w:pPr>
              <w:pStyle w:val="13"/>
              <w:jc w:val="center"/>
              <w:rPr>
                <w:rFonts w:hint="default"/>
                <w:vertAlign w:val="baseline"/>
                <w:lang w:val="en-US" w:eastAsia="zh-CN"/>
              </w:rPr>
            </w:pPr>
            <w:r>
              <w:rPr>
                <w:rFonts w:hint="eastAsia"/>
                <w:vertAlign w:val="baseline"/>
                <w:lang w:val="en-US" w:eastAsia="zh-CN"/>
              </w:rPr>
              <w:t>7</w:t>
            </w:r>
          </w:p>
        </w:tc>
        <w:tc>
          <w:tcPr>
            <w:tcW w:w="1981" w:type="dxa"/>
            <w:vAlign w:val="top"/>
          </w:tcPr>
          <w:p w14:paraId="3E3930C7">
            <w:pPr>
              <w:pStyle w:val="13"/>
              <w:jc w:val="center"/>
              <w:rPr>
                <w:rFonts w:hint="default"/>
                <w:vertAlign w:val="baseline"/>
                <w:lang w:val="en-US" w:eastAsia="zh-CN"/>
              </w:rPr>
            </w:pPr>
            <w:r>
              <w:rPr>
                <w:rFonts w:hint="eastAsia"/>
                <w:vertAlign w:val="baseline"/>
                <w:lang w:val="en-US" w:eastAsia="zh-CN"/>
              </w:rPr>
              <w:t>数据采集箱</w:t>
            </w:r>
          </w:p>
        </w:tc>
        <w:tc>
          <w:tcPr>
            <w:tcW w:w="1486" w:type="dxa"/>
            <w:shd w:val="clear" w:color="auto" w:fill="auto"/>
            <w:vAlign w:val="center"/>
          </w:tcPr>
          <w:p w14:paraId="122A617A">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400*300*200mm</w:t>
            </w:r>
          </w:p>
        </w:tc>
        <w:tc>
          <w:tcPr>
            <w:tcW w:w="1486" w:type="dxa"/>
            <w:vAlign w:val="top"/>
          </w:tcPr>
          <w:p w14:paraId="2B332765">
            <w:pPr>
              <w:pStyle w:val="13"/>
              <w:jc w:val="center"/>
              <w:rPr>
                <w:rFonts w:hint="default"/>
                <w:vertAlign w:val="baseline"/>
                <w:lang w:val="en-US" w:eastAsia="zh-CN"/>
              </w:rPr>
            </w:pPr>
            <w:r>
              <w:rPr>
                <w:rFonts w:hint="eastAsia"/>
                <w:vertAlign w:val="baseline"/>
                <w:lang w:val="en-US" w:eastAsia="zh-CN"/>
              </w:rPr>
              <w:t>个</w:t>
            </w:r>
          </w:p>
        </w:tc>
        <w:tc>
          <w:tcPr>
            <w:tcW w:w="1320" w:type="dxa"/>
            <w:vAlign w:val="top"/>
          </w:tcPr>
          <w:p w14:paraId="7878EC0A">
            <w:pPr>
              <w:pStyle w:val="13"/>
              <w:jc w:val="center"/>
              <w:rPr>
                <w:rFonts w:hint="default"/>
                <w:vertAlign w:val="baseline"/>
                <w:lang w:val="en-US" w:eastAsia="zh-CN"/>
              </w:rPr>
            </w:pPr>
            <w:r>
              <w:rPr>
                <w:rFonts w:hint="eastAsia"/>
                <w:vertAlign w:val="baseline"/>
                <w:lang w:val="en-US" w:eastAsia="zh-CN"/>
              </w:rPr>
              <w:t>7</w:t>
            </w:r>
          </w:p>
        </w:tc>
        <w:tc>
          <w:tcPr>
            <w:tcW w:w="1169" w:type="dxa"/>
          </w:tcPr>
          <w:p w14:paraId="0C45790B">
            <w:pPr>
              <w:pStyle w:val="13"/>
              <w:jc w:val="center"/>
              <w:rPr>
                <w:rFonts w:hint="default"/>
                <w:vertAlign w:val="baseline"/>
                <w:lang w:val="en-US" w:eastAsia="zh-CN"/>
              </w:rPr>
            </w:pPr>
          </w:p>
        </w:tc>
      </w:tr>
      <w:tr w14:paraId="2FC5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591B7181">
            <w:pPr>
              <w:pStyle w:val="13"/>
              <w:jc w:val="center"/>
              <w:rPr>
                <w:rFonts w:hint="default"/>
                <w:vertAlign w:val="baseline"/>
                <w:lang w:val="en-US" w:eastAsia="zh-CN"/>
              </w:rPr>
            </w:pPr>
            <w:r>
              <w:rPr>
                <w:rFonts w:hint="eastAsia"/>
                <w:vertAlign w:val="baseline"/>
                <w:lang w:val="en-US" w:eastAsia="zh-CN"/>
              </w:rPr>
              <w:t>8</w:t>
            </w:r>
          </w:p>
        </w:tc>
        <w:tc>
          <w:tcPr>
            <w:tcW w:w="1981" w:type="dxa"/>
            <w:vAlign w:val="top"/>
          </w:tcPr>
          <w:p w14:paraId="76DCFE07">
            <w:pPr>
              <w:pStyle w:val="13"/>
              <w:jc w:val="center"/>
              <w:rPr>
                <w:rFonts w:hint="default"/>
                <w:vertAlign w:val="baseline"/>
                <w:lang w:val="en-US" w:eastAsia="zh-CN"/>
              </w:rPr>
            </w:pPr>
            <w:r>
              <w:rPr>
                <w:rFonts w:hint="eastAsia"/>
                <w:vertAlign w:val="baseline"/>
                <w:lang w:val="en-US" w:eastAsia="zh-CN"/>
              </w:rPr>
              <w:t>空气开关</w:t>
            </w:r>
          </w:p>
        </w:tc>
        <w:tc>
          <w:tcPr>
            <w:tcW w:w="1486" w:type="dxa"/>
            <w:shd w:val="clear" w:color="auto" w:fill="auto"/>
            <w:vAlign w:val="center"/>
          </w:tcPr>
          <w:p w14:paraId="6675F66C">
            <w:pPr>
              <w:jc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2P10a</w:t>
            </w:r>
          </w:p>
        </w:tc>
        <w:tc>
          <w:tcPr>
            <w:tcW w:w="1486" w:type="dxa"/>
            <w:vAlign w:val="top"/>
          </w:tcPr>
          <w:p w14:paraId="621F259A">
            <w:pPr>
              <w:pStyle w:val="13"/>
              <w:jc w:val="center"/>
              <w:rPr>
                <w:rFonts w:hint="default"/>
                <w:vertAlign w:val="baseline"/>
                <w:lang w:val="en-US" w:eastAsia="zh-CN"/>
              </w:rPr>
            </w:pPr>
            <w:r>
              <w:rPr>
                <w:rFonts w:hint="eastAsia"/>
                <w:vertAlign w:val="baseline"/>
                <w:lang w:val="en-US" w:eastAsia="zh-CN"/>
              </w:rPr>
              <w:t>个</w:t>
            </w:r>
          </w:p>
        </w:tc>
        <w:tc>
          <w:tcPr>
            <w:tcW w:w="1320" w:type="dxa"/>
            <w:vAlign w:val="top"/>
          </w:tcPr>
          <w:p w14:paraId="4416B1AA">
            <w:pPr>
              <w:pStyle w:val="13"/>
              <w:jc w:val="center"/>
              <w:rPr>
                <w:rFonts w:hint="default"/>
                <w:vertAlign w:val="baseline"/>
                <w:lang w:val="en-US" w:eastAsia="zh-CN"/>
              </w:rPr>
            </w:pPr>
            <w:r>
              <w:rPr>
                <w:rFonts w:hint="eastAsia"/>
                <w:vertAlign w:val="baseline"/>
                <w:lang w:val="en-US" w:eastAsia="zh-CN"/>
              </w:rPr>
              <w:t>7</w:t>
            </w:r>
          </w:p>
        </w:tc>
        <w:tc>
          <w:tcPr>
            <w:tcW w:w="1169" w:type="dxa"/>
          </w:tcPr>
          <w:p w14:paraId="49CDD9C2">
            <w:pPr>
              <w:pStyle w:val="13"/>
              <w:jc w:val="center"/>
              <w:rPr>
                <w:rFonts w:hint="default"/>
                <w:vertAlign w:val="baseline"/>
                <w:lang w:val="en-US" w:eastAsia="zh-CN"/>
              </w:rPr>
            </w:pPr>
          </w:p>
        </w:tc>
      </w:tr>
      <w:tr w14:paraId="440B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0EA2C3D6">
            <w:pPr>
              <w:pStyle w:val="13"/>
              <w:jc w:val="center"/>
              <w:rPr>
                <w:rFonts w:hint="default"/>
                <w:vertAlign w:val="baseline"/>
                <w:lang w:val="en-US" w:eastAsia="zh-CN"/>
              </w:rPr>
            </w:pPr>
            <w:r>
              <w:rPr>
                <w:rFonts w:hint="eastAsia"/>
                <w:vertAlign w:val="baseline"/>
                <w:lang w:val="en-US" w:eastAsia="zh-CN"/>
              </w:rPr>
              <w:t>9</w:t>
            </w:r>
          </w:p>
        </w:tc>
        <w:tc>
          <w:tcPr>
            <w:tcW w:w="1981" w:type="dxa"/>
            <w:vAlign w:val="top"/>
          </w:tcPr>
          <w:p w14:paraId="00BE1435">
            <w:pPr>
              <w:pStyle w:val="13"/>
              <w:jc w:val="center"/>
              <w:rPr>
                <w:rFonts w:hint="eastAsia"/>
                <w:vertAlign w:val="baseline"/>
                <w:lang w:val="en-US" w:eastAsia="zh-CN"/>
              </w:rPr>
            </w:pPr>
            <w:r>
              <w:rPr>
                <w:rFonts w:hint="eastAsia"/>
                <w:vertAlign w:val="baseline"/>
                <w:lang w:val="en-US" w:eastAsia="zh-CN"/>
              </w:rPr>
              <w:t>阻燃RVVP线管（含配件）</w:t>
            </w:r>
          </w:p>
        </w:tc>
        <w:tc>
          <w:tcPr>
            <w:tcW w:w="1486" w:type="dxa"/>
            <w:shd w:val="clear" w:color="auto" w:fill="auto"/>
            <w:vAlign w:val="center"/>
          </w:tcPr>
          <w:p w14:paraId="227E1CDF">
            <w:pPr>
              <w:jc w:val="center"/>
              <w:rPr>
                <w:rFonts w:hint="eastAsia" w:ascii="宋体" w:hAnsi="宋体" w:eastAsia="宋体" w:cs="Times New Roman"/>
                <w:kern w:val="2"/>
                <w:sz w:val="24"/>
                <w:szCs w:val="24"/>
                <w:vertAlign w:val="baseline"/>
                <w:lang w:val="en-US" w:eastAsia="zh-CN" w:bidi="ar-SA"/>
              </w:rPr>
            </w:pPr>
            <w:r>
              <w:rPr>
                <w:rFonts w:hint="eastAsia" w:ascii="宋体" w:hAnsi="宋体" w:cs="Times New Roman"/>
                <w:kern w:val="2"/>
                <w:sz w:val="24"/>
                <w:szCs w:val="24"/>
                <w:lang w:val="en-US" w:eastAsia="zh-CN" w:bidi="ar-SA"/>
              </w:rPr>
              <w:t>DN20</w:t>
            </w:r>
          </w:p>
        </w:tc>
        <w:tc>
          <w:tcPr>
            <w:tcW w:w="1486" w:type="dxa"/>
            <w:vAlign w:val="top"/>
          </w:tcPr>
          <w:p w14:paraId="131C5D5F">
            <w:pPr>
              <w:pStyle w:val="13"/>
              <w:jc w:val="center"/>
              <w:rPr>
                <w:rFonts w:hint="eastAsia"/>
                <w:vertAlign w:val="baseline"/>
                <w:lang w:val="en-US" w:eastAsia="zh-CN"/>
              </w:rPr>
            </w:pPr>
            <w:r>
              <w:rPr>
                <w:rFonts w:hint="eastAsia"/>
                <w:vertAlign w:val="baseline"/>
                <w:lang w:val="en-US" w:eastAsia="zh-CN"/>
              </w:rPr>
              <w:t>米</w:t>
            </w:r>
          </w:p>
        </w:tc>
        <w:tc>
          <w:tcPr>
            <w:tcW w:w="1320" w:type="dxa"/>
            <w:vAlign w:val="top"/>
          </w:tcPr>
          <w:p w14:paraId="35A28613">
            <w:pPr>
              <w:pStyle w:val="13"/>
              <w:jc w:val="center"/>
              <w:rPr>
                <w:rFonts w:hint="eastAsia"/>
                <w:vertAlign w:val="baseline"/>
                <w:lang w:val="en-US" w:eastAsia="zh-CN"/>
              </w:rPr>
            </w:pPr>
            <w:r>
              <w:rPr>
                <w:rFonts w:hint="eastAsia"/>
                <w:vertAlign w:val="baseline"/>
                <w:lang w:val="en-US" w:eastAsia="zh-CN"/>
              </w:rPr>
              <w:t>200</w:t>
            </w:r>
          </w:p>
        </w:tc>
        <w:tc>
          <w:tcPr>
            <w:tcW w:w="1169" w:type="dxa"/>
          </w:tcPr>
          <w:p w14:paraId="37E630DB">
            <w:pPr>
              <w:pStyle w:val="13"/>
              <w:jc w:val="center"/>
              <w:rPr>
                <w:rFonts w:hint="default"/>
                <w:vertAlign w:val="baseline"/>
                <w:lang w:val="en-US" w:eastAsia="zh-CN"/>
              </w:rPr>
            </w:pPr>
          </w:p>
        </w:tc>
      </w:tr>
    </w:tbl>
    <w:p w14:paraId="2587DFD4">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jc w:val="left"/>
        <w:textAlignment w:val="auto"/>
        <w:rPr>
          <w:rFonts w:hint="default"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服务单位需建设市区厂丙级能源在线监测系统，将市区厂12个低压变压器智能电表的用电量数据上传至能源在线监测系统，同时将市区厂的能耗数据上传至</w:t>
      </w:r>
      <w:r>
        <w:rPr>
          <w:rFonts w:hint="eastAsia" w:hAnsi="宋体" w:cs="宋体"/>
          <w:color w:val="auto"/>
          <w:sz w:val="24"/>
          <w:szCs w:val="24"/>
          <w:highlight w:val="none"/>
          <w:lang w:val="en-US" w:eastAsia="zh-CN"/>
        </w:rPr>
        <w:t>东莞市智慧能源平台，最终成果需满足东莞市能源和信用中心相关要求。</w:t>
      </w:r>
    </w:p>
    <w:p w14:paraId="4C3CF1F3">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hAnsi="宋体" w:cs="宋体"/>
          <w:b w:val="0"/>
          <w:bCs/>
          <w:color w:val="auto"/>
          <w:sz w:val="24"/>
          <w:szCs w:val="24"/>
          <w:highlight w:val="none"/>
          <w:lang w:val="en-US" w:eastAsia="zh-CN"/>
        </w:rPr>
        <w:t>2服务地点及时间</w:t>
      </w:r>
    </w:p>
    <w:p w14:paraId="437490D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时间：</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单位收到采购人</w:t>
      </w:r>
      <w:r>
        <w:rPr>
          <w:rFonts w:hint="eastAsia" w:hAnsi="宋体" w:cs="宋体"/>
          <w:color w:val="auto"/>
          <w:sz w:val="24"/>
          <w:szCs w:val="24"/>
          <w:highlight w:val="none"/>
          <w:lang w:val="en-US" w:eastAsia="zh-CN"/>
        </w:rPr>
        <w:t>需在2025年12月31日前</w:t>
      </w:r>
      <w:r>
        <w:rPr>
          <w:rFonts w:hint="eastAsia" w:ascii="宋体" w:hAnsi="宋体" w:eastAsia="宋体" w:cs="宋体"/>
          <w:color w:val="auto"/>
          <w:sz w:val="24"/>
          <w:szCs w:val="24"/>
          <w:highlight w:val="none"/>
          <w:lang w:val="en-US" w:eastAsia="zh-CN"/>
        </w:rPr>
        <w:t>完成</w:t>
      </w:r>
      <w:r>
        <w:rPr>
          <w:rFonts w:hint="eastAsia" w:hAnsi="宋体" w:cs="宋体"/>
          <w:color w:val="auto"/>
          <w:sz w:val="24"/>
          <w:szCs w:val="24"/>
          <w:highlight w:val="none"/>
          <w:lang w:val="en-US" w:eastAsia="zh-CN"/>
        </w:rPr>
        <w:t>清单货物的货到现场，且搭建市区厂能源在线监测系统并将能耗数据上传至东莞市智慧能源平台</w:t>
      </w:r>
      <w:r>
        <w:rPr>
          <w:rFonts w:hint="eastAsia" w:ascii="宋体" w:hAnsi="宋体" w:eastAsia="宋体" w:cs="宋体"/>
          <w:color w:val="auto"/>
          <w:sz w:val="24"/>
          <w:szCs w:val="24"/>
          <w:highlight w:val="none"/>
          <w:lang w:val="en-US" w:eastAsia="zh-CN"/>
        </w:rPr>
        <w:t>。</w:t>
      </w:r>
    </w:p>
    <w:p w14:paraId="27D1751D">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服务地点</w:t>
      </w:r>
      <w:r>
        <w:rPr>
          <w:rFonts w:hint="eastAsia" w:ascii="宋体" w:hAnsi="宋体" w:eastAsia="宋体" w:cs="宋体"/>
          <w:color w:val="auto"/>
          <w:sz w:val="24"/>
          <w:szCs w:val="24"/>
          <w:highlight w:val="none"/>
          <w:lang w:val="en-US" w:eastAsia="zh-CN"/>
        </w:rPr>
        <w:t>：</w:t>
      </w:r>
      <w:r>
        <w:rPr>
          <w:rFonts w:hint="eastAsia" w:hAnsi="宋体"/>
          <w:sz w:val="24"/>
          <w:szCs w:val="24"/>
          <w:highlight w:val="none"/>
          <w:lang w:val="en-US" w:eastAsia="zh-CN"/>
        </w:rPr>
        <w:t>市区污水处理厂</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单位负责将货物运输至采购人指定位置。</w:t>
      </w:r>
    </w:p>
    <w:p w14:paraId="7D4D8092">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(3)交货方式与风险承担：在货物移交给采购人并经采购人</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rPr>
        <w:t>验收合格前，货物的毁损、灭失的风险和责任均由</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承担。</w:t>
      </w:r>
    </w:p>
    <w:p w14:paraId="5B5DCA6B">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的货物应当按照</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要求送到指定的地点，由于使用第三方送货服务导致货物未能经过双方共同验收、未送到指定地点仓库的，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有权拒绝收货。</w:t>
      </w:r>
    </w:p>
    <w:p w14:paraId="34978243">
      <w:pPr>
        <w:keepNext w:val="0"/>
        <w:keepLines w:val="0"/>
        <w:pageBreakBefore w:val="0"/>
        <w:numPr>
          <w:ilvl w:val="0"/>
          <w:numId w:val="0"/>
        </w:numPr>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bidi="ar-SA"/>
        </w:rPr>
        <w:t>(5)</w:t>
      </w: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同意，</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或</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委托的第三方送货服务仅将货物放置在门口/门卫室，而没有送货至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指定的地点的，视为</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rPr>
        <w:t>未履行送货义务，</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有权拒绝接受货物且不予支付货款。上述情况下</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不负保管责任，货物未按照</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要求放置而造成的损毁、灭失风险概由</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承担。</w:t>
      </w:r>
    </w:p>
    <w:p w14:paraId="1ECCB032">
      <w:pPr>
        <w:pStyle w:val="2"/>
        <w:numPr>
          <w:ilvl w:val="-1"/>
          <w:numId w:val="0"/>
        </w:numPr>
        <w:rPr>
          <w:rFonts w:hint="default" w:eastAsia="楷体_GB2312"/>
          <w:lang w:val="en-US" w:eastAsia="zh-CN"/>
        </w:rPr>
      </w:pPr>
      <w:r>
        <w:rPr>
          <w:rFonts w:hint="eastAsia"/>
          <w:lang w:val="en-US" w:eastAsia="zh-CN"/>
        </w:rPr>
        <w:t xml:space="preserve"> </w:t>
      </w:r>
      <w:r>
        <w:rPr>
          <w:rFonts w:hint="eastAsia" w:ascii="宋体" w:hAnsi="宋体" w:eastAsia="宋体" w:cs="宋体"/>
          <w:color w:val="auto"/>
          <w:sz w:val="24"/>
          <w:highlight w:val="none"/>
          <w:lang w:val="en-US" w:eastAsia="zh-CN"/>
        </w:rPr>
        <w:t xml:space="preserve">   （6）</w:t>
      </w:r>
      <w:r>
        <w:rPr>
          <w:rFonts w:hint="eastAsia" w:ascii="宋体" w:hAnsi="宋体" w:eastAsia="宋体" w:cs="宋体"/>
          <w:color w:val="auto"/>
          <w:sz w:val="24"/>
          <w:szCs w:val="24"/>
          <w:highlight w:val="none"/>
          <w:lang w:val="en-US" w:eastAsia="zh-CN"/>
        </w:rPr>
        <w:t>服务单位应对市区厂能源在线监测平台数据及上传至市平台数据的真实性、准确性、可靠性负责。</w:t>
      </w:r>
    </w:p>
    <w:p w14:paraId="4E065D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4</w:t>
      </w:r>
      <w:r>
        <w:rPr>
          <w:rFonts w:hint="eastAsia" w:hAnsi="宋体" w:cs="宋体"/>
          <w:b/>
          <w:bCs w:val="0"/>
          <w:color w:val="auto"/>
          <w:sz w:val="24"/>
          <w:szCs w:val="24"/>
          <w:highlight w:val="none"/>
          <w:lang w:val="en-US" w:eastAsia="zh-CN"/>
        </w:rPr>
        <w:t>、技术、</w:t>
      </w:r>
      <w:r>
        <w:rPr>
          <w:rFonts w:hint="eastAsia" w:asciiTheme="minorEastAsia" w:hAnsiTheme="minorEastAsia"/>
          <w:b/>
          <w:sz w:val="24"/>
          <w:szCs w:val="24"/>
          <w:lang w:val="en-US" w:eastAsia="zh-CN"/>
        </w:rPr>
        <w:t>安装界限及安全要求</w:t>
      </w:r>
    </w:p>
    <w:p w14:paraId="0E758C36">
      <w:pPr>
        <w:keepNext w:val="0"/>
        <w:keepLines w:val="0"/>
        <w:pageBreakBefore w:val="0"/>
        <w:widowControl/>
        <w:kinsoku/>
        <w:wordWrap/>
        <w:overflowPunct/>
        <w:topLinePunct w:val="0"/>
        <w:autoSpaceDE w:val="0"/>
        <w:autoSpaceDN w:val="0"/>
        <w:bidi w:val="0"/>
        <w:adjustRightInd/>
        <w:snapToGrid/>
        <w:spacing w:line="360" w:lineRule="auto"/>
        <w:ind w:right="0" w:rightChars="0"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4.1</w:t>
      </w:r>
      <w:r>
        <w:rPr>
          <w:rFonts w:hint="eastAsia" w:ascii="宋体" w:hAnsi="宋体" w:eastAsia="宋体" w:cs="宋体"/>
          <w:b w:val="0"/>
          <w:bCs/>
          <w:color w:val="auto"/>
          <w:sz w:val="24"/>
          <w:szCs w:val="24"/>
          <w:highlight w:val="none"/>
          <w:lang w:val="en-US" w:eastAsia="zh-CN"/>
        </w:rPr>
        <w:t>货物质量要求及安装界限</w:t>
      </w:r>
      <w:r>
        <w:rPr>
          <w:rFonts w:hint="eastAsia" w:hAnsi="宋体" w:cs="宋体"/>
          <w:b w:val="0"/>
          <w:bCs/>
          <w:color w:val="auto"/>
          <w:sz w:val="24"/>
          <w:szCs w:val="24"/>
          <w:highlight w:val="none"/>
          <w:lang w:val="en-US" w:eastAsia="zh-CN"/>
        </w:rPr>
        <w:t>：</w:t>
      </w:r>
    </w:p>
    <w:p w14:paraId="35404CC9">
      <w:pPr>
        <w:keepNext w:val="0"/>
        <w:keepLines w:val="0"/>
        <w:pageBreakBefore w:val="0"/>
        <w:kinsoku/>
        <w:wordWrap/>
        <w:overflowPunct/>
        <w:topLinePunct w:val="0"/>
        <w:bidi w:val="0"/>
        <w:adjustRightInd/>
        <w:snapToGrid/>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服务单位为搭建能源在线监测平台及对接市平台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w:t>
      </w:r>
      <w:r>
        <w:rPr>
          <w:rFonts w:hint="eastAsia" w:ascii="宋体" w:hAnsi="宋体" w:eastAsia="宋体" w:cs="宋体"/>
          <w:color w:val="auto"/>
          <w:sz w:val="24"/>
          <w:szCs w:val="24"/>
          <w:highlight w:val="none"/>
          <w:lang w:val="en-US" w:eastAsia="zh-CN"/>
        </w:rPr>
        <w:t>货</w:t>
      </w:r>
      <w:r>
        <w:rPr>
          <w:rFonts w:hint="eastAsia" w:hAnsi="宋体" w:cs="宋体"/>
          <w:color w:val="auto"/>
          <w:sz w:val="24"/>
          <w:szCs w:val="24"/>
          <w:highlight w:val="none"/>
          <w:lang w:val="en-US" w:eastAsia="zh-CN"/>
        </w:rPr>
        <w:t>的货物</w:t>
      </w:r>
      <w:r>
        <w:rPr>
          <w:rFonts w:hint="eastAsia" w:ascii="宋体" w:hAnsi="宋体" w:eastAsia="宋体" w:cs="宋体"/>
          <w:color w:val="auto"/>
          <w:sz w:val="24"/>
          <w:szCs w:val="24"/>
          <w:highlight w:val="none"/>
          <w:lang w:val="en-US" w:eastAsia="zh-CN"/>
        </w:rPr>
        <w:t>必须与现场</w:t>
      </w:r>
      <w:r>
        <w:rPr>
          <w:rFonts w:hint="eastAsia" w:hAnsi="宋体"/>
          <w:sz w:val="24"/>
          <w:lang w:val="en-US" w:eastAsia="zh-CN"/>
        </w:rPr>
        <w:t>设备</w:t>
      </w:r>
      <w:r>
        <w:rPr>
          <w:rFonts w:hint="eastAsia" w:hAnsi="宋体" w:cs="宋体"/>
          <w:color w:val="auto"/>
          <w:sz w:val="24"/>
          <w:szCs w:val="24"/>
          <w:highlight w:val="none"/>
          <w:lang w:val="en-US" w:eastAsia="zh-CN"/>
        </w:rPr>
        <w:t>适</w:t>
      </w:r>
      <w:r>
        <w:rPr>
          <w:rFonts w:hint="eastAsia" w:ascii="宋体" w:hAnsi="宋体" w:eastAsia="宋体" w:cs="宋体"/>
          <w:color w:val="auto"/>
          <w:sz w:val="24"/>
          <w:szCs w:val="24"/>
          <w:highlight w:val="none"/>
          <w:lang w:val="en-US" w:eastAsia="zh-CN"/>
        </w:rPr>
        <w:t>用，</w:t>
      </w:r>
      <w:r>
        <w:rPr>
          <w:rFonts w:hint="eastAsia" w:hAnsi="宋体" w:cs="宋体"/>
          <w:color w:val="auto"/>
          <w:sz w:val="24"/>
          <w:szCs w:val="24"/>
          <w:highlight w:val="none"/>
          <w:lang w:val="en-US" w:eastAsia="zh-CN"/>
        </w:rPr>
        <w:t>具备或高于原设备配件的功能要求，无瑕疵和缺陷，</w:t>
      </w:r>
      <w:r>
        <w:rPr>
          <w:rFonts w:hint="eastAsia" w:ascii="宋体" w:hAnsi="宋体" w:eastAsia="宋体" w:cs="宋体"/>
          <w:color w:val="auto"/>
          <w:sz w:val="24"/>
          <w:szCs w:val="24"/>
          <w:highlight w:val="none"/>
          <w:lang w:val="en-US" w:eastAsia="zh-CN"/>
        </w:rPr>
        <w:t>安装在现有设备即可正常投入使用，不</w:t>
      </w:r>
      <w:r>
        <w:rPr>
          <w:rFonts w:hint="eastAsia" w:hAnsi="宋体" w:cs="宋体"/>
          <w:color w:val="auto"/>
          <w:sz w:val="24"/>
          <w:szCs w:val="24"/>
          <w:highlight w:val="none"/>
          <w:lang w:val="en-US" w:eastAsia="zh-CN"/>
        </w:rPr>
        <w:t>能</w:t>
      </w:r>
      <w:r>
        <w:rPr>
          <w:rFonts w:hint="eastAsia" w:ascii="宋体" w:hAnsi="宋体" w:eastAsia="宋体" w:cs="宋体"/>
          <w:color w:val="auto"/>
          <w:sz w:val="24"/>
          <w:szCs w:val="24"/>
          <w:highlight w:val="none"/>
          <w:lang w:val="en-US" w:eastAsia="zh-CN"/>
        </w:rPr>
        <w:t>对现有设备进行任何改动。</w:t>
      </w:r>
    </w:p>
    <w:p w14:paraId="6F0C1A9D">
      <w:pPr>
        <w:keepNext w:val="0"/>
        <w:keepLines w:val="0"/>
        <w:pageBreakBefore w:val="0"/>
        <w:kinsoku/>
        <w:wordWrap/>
        <w:overflowPunct/>
        <w:topLinePunct w:val="0"/>
        <w:bidi w:val="0"/>
        <w:adjustRightInd/>
        <w:snapToGrid/>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服务单位为搭建能源在线监测平台及对接市平台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所供</w:t>
      </w:r>
      <w:r>
        <w:rPr>
          <w:rFonts w:hint="eastAsia" w:hAnsi="宋体" w:cs="宋体"/>
          <w:color w:val="auto"/>
          <w:sz w:val="24"/>
          <w:szCs w:val="24"/>
          <w:highlight w:val="none"/>
          <w:lang w:val="en-US" w:eastAsia="zh-CN"/>
        </w:rPr>
        <w:t>货的</w:t>
      </w:r>
      <w:r>
        <w:rPr>
          <w:rFonts w:hint="eastAsia" w:ascii="宋体" w:hAnsi="宋体" w:eastAsia="宋体" w:cs="宋体"/>
          <w:color w:val="auto"/>
          <w:sz w:val="24"/>
          <w:szCs w:val="24"/>
          <w:highlight w:val="none"/>
          <w:lang w:val="en-US" w:eastAsia="zh-CN"/>
        </w:rPr>
        <w:t>货物必须是全新的，货物运输到达</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场地时的包装必须是完整的，由</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签收后方可拆包安装。</w:t>
      </w:r>
    </w:p>
    <w:p w14:paraId="18E7E406">
      <w:pPr>
        <w:keepNext w:val="0"/>
        <w:keepLines w:val="0"/>
        <w:pageBreakBefore w:val="0"/>
        <w:kinsoku/>
        <w:wordWrap/>
        <w:overflowPunct/>
        <w:topLinePunct w:val="0"/>
        <w:bidi w:val="0"/>
        <w:adjustRightInd/>
        <w:snapToGrid/>
        <w:spacing w:line="360" w:lineRule="auto"/>
        <w:ind w:firstLine="530" w:firstLineChars="221"/>
        <w:rPr>
          <w:rFonts w:hint="eastAsia"/>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lang w:val="en-US" w:eastAsia="zh-CN"/>
        </w:rPr>
        <w:t>服务单位</w:t>
      </w:r>
      <w:r>
        <w:rPr>
          <w:rFonts w:hint="eastAsia" w:hAnsi="宋体" w:cs="宋体"/>
          <w:color w:val="auto"/>
          <w:sz w:val="24"/>
          <w:szCs w:val="24"/>
          <w:highlight w:val="none"/>
          <w:lang w:val="en-US" w:eastAsia="zh-CN"/>
        </w:rPr>
        <w:t>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需，所供货的</w:t>
      </w:r>
      <w:r>
        <w:rPr>
          <w:rFonts w:hint="eastAsia"/>
          <w:lang w:val="en-US" w:eastAsia="zh-CN"/>
        </w:rPr>
        <w:t>货物须满足国家及行业环保和质量标准；</w:t>
      </w:r>
      <w:r>
        <w:rPr>
          <w:rFonts w:hint="eastAsia" w:ascii="宋体" w:hAnsi="宋体" w:eastAsia="宋体" w:cs="宋体"/>
          <w:color w:val="auto"/>
          <w:sz w:val="24"/>
          <w:szCs w:val="24"/>
          <w:highlight w:val="none"/>
          <w:lang w:val="en-US" w:eastAsia="zh-CN"/>
        </w:rPr>
        <w:t>必须有质量检验合格证、装箱单、出厂检验报告（或测试性能、测试报告）及</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要求的其他合格证明文件等相关资料。</w:t>
      </w:r>
    </w:p>
    <w:p w14:paraId="68FA5CE9">
      <w:pPr>
        <w:keepNext w:val="0"/>
        <w:keepLines w:val="0"/>
        <w:pageBreakBefore w:val="0"/>
        <w:kinsoku/>
        <w:wordWrap/>
        <w:overflowPunct/>
        <w:topLinePunct w:val="0"/>
        <w:bidi w:val="0"/>
        <w:adjustRightInd/>
        <w:snapToGrid/>
        <w:spacing w:line="360" w:lineRule="auto"/>
        <w:ind w:firstLine="530" w:firstLineChars="221"/>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服务单位负责为搭建能源在线监测平台及对接市平台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需，所供货的货物的供货及安装、调试工作</w:t>
      </w:r>
      <w:r>
        <w:rPr>
          <w:rFonts w:hint="eastAsia" w:ascii="宋体" w:hAnsi="宋体" w:eastAsia="宋体" w:cs="宋体"/>
          <w:color w:val="auto"/>
          <w:sz w:val="24"/>
          <w:szCs w:val="24"/>
          <w:highlight w:val="none"/>
          <w:lang w:val="en-US" w:eastAsia="zh-CN"/>
        </w:rPr>
        <w:t>。</w:t>
      </w:r>
    </w:p>
    <w:p w14:paraId="2F4748C0">
      <w:pPr>
        <w:keepNext w:val="0"/>
        <w:keepLines w:val="0"/>
        <w:pageBreakBefore w:val="0"/>
        <w:kinsoku/>
        <w:wordWrap/>
        <w:overflowPunct/>
        <w:topLinePunct w:val="0"/>
        <w:bidi w:val="0"/>
        <w:adjustRightInd/>
        <w:snapToGrid/>
        <w:spacing w:line="360" w:lineRule="auto"/>
        <w:ind w:firstLine="530" w:firstLineChars="221"/>
        <w:rPr>
          <w:rFonts w:hint="eastAsia"/>
          <w:lang w:val="en-US" w:eastAsia="zh-CN"/>
        </w:rPr>
      </w:pPr>
      <w:r>
        <w:rPr>
          <w:rFonts w:hint="eastAsia"/>
          <w:lang w:val="en-US" w:eastAsia="zh-CN"/>
        </w:rPr>
        <w:t>4.2安全要求：</w:t>
      </w:r>
    </w:p>
    <w:p w14:paraId="609B8FCF">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w:t>
      </w:r>
      <w:r>
        <w:rPr>
          <w:rFonts w:hint="default" w:ascii="Times New Roman" w:hAnsi="Times New Roman" w:cs="Times New Roman"/>
          <w:sz w:val="24"/>
        </w:rPr>
        <w:t>1</w:t>
      </w:r>
      <w:r>
        <w:rPr>
          <w:rFonts w:hint="default" w:ascii="Times New Roman" w:hAnsi="Times New Roman" w:cs="Times New Roman"/>
          <w:sz w:val="24"/>
          <w:lang w:eastAsia="zh-CN"/>
        </w:rPr>
        <w:t>）</w:t>
      </w:r>
      <w:r>
        <w:rPr>
          <w:rFonts w:hint="eastAsia" w:ascii="Times New Roman" w:cs="Times New Roman"/>
          <w:sz w:val="24"/>
          <w:lang w:eastAsia="zh-CN"/>
        </w:rPr>
        <w:t>服务单位</w:t>
      </w:r>
      <w:r>
        <w:rPr>
          <w:rFonts w:hint="default" w:ascii="Times New Roman" w:hAnsi="Times New Roman" w:cs="Times New Roman"/>
          <w:sz w:val="24"/>
        </w:rPr>
        <w:t>在施工前需对施工人员做好施工安全培训、教育，施工期间严格执行有限空间作业、特种设备操作、用电安全等相关规范，并无条件接受</w:t>
      </w:r>
      <w:r>
        <w:rPr>
          <w:rFonts w:hint="eastAsia" w:ascii="Times New Roman" w:cs="Times New Roman"/>
          <w:sz w:val="24"/>
          <w:lang w:eastAsia="zh-CN"/>
        </w:rPr>
        <w:t>采购人</w:t>
      </w:r>
      <w:r>
        <w:rPr>
          <w:rFonts w:hint="default" w:ascii="Times New Roman" w:hAnsi="Times New Roman" w:cs="Times New Roman"/>
          <w:sz w:val="24"/>
        </w:rPr>
        <w:t>监督。</w:t>
      </w:r>
    </w:p>
    <w:p w14:paraId="4D482AC1">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2</w:t>
      </w:r>
      <w:r>
        <w:rPr>
          <w:rFonts w:hint="default" w:ascii="Times New Roman" w:hAnsi="Times New Roman" w:cs="Times New Roman"/>
          <w:sz w:val="24"/>
          <w:lang w:eastAsia="zh-CN"/>
        </w:rPr>
        <w:t>）</w:t>
      </w:r>
      <w:r>
        <w:rPr>
          <w:rFonts w:hint="eastAsia" w:ascii="Times New Roman" w:cs="Times New Roman"/>
          <w:sz w:val="24"/>
          <w:lang w:eastAsia="zh-CN"/>
        </w:rPr>
        <w:t>服务单位</w:t>
      </w:r>
      <w:r>
        <w:rPr>
          <w:rFonts w:hint="default" w:ascii="Times New Roman" w:hAnsi="Times New Roman" w:cs="Times New Roman"/>
          <w:sz w:val="24"/>
        </w:rPr>
        <w:t>应当采取有效的职业卫生防护措施，为施工人员配备必要的防护用品（安全帽、防水手套、安全带、口罩等）。</w:t>
      </w:r>
    </w:p>
    <w:p w14:paraId="3F26C20A">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CN"/>
        </w:rPr>
        <w:t>（</w:t>
      </w:r>
      <w:r>
        <w:rPr>
          <w:rFonts w:hint="default" w:ascii="Times New Roman" w:hAnsi="Times New Roman" w:cs="Times New Roman"/>
          <w:sz w:val="24"/>
        </w:rPr>
        <w:t>3</w:t>
      </w:r>
      <w:r>
        <w:rPr>
          <w:rFonts w:hint="default" w:ascii="Times New Roman" w:hAnsi="Times New Roman" w:cs="Times New Roman"/>
          <w:sz w:val="24"/>
          <w:lang w:eastAsia="zh-CN"/>
        </w:rPr>
        <w:t>）</w:t>
      </w:r>
      <w:r>
        <w:rPr>
          <w:rFonts w:hint="default" w:ascii="Times New Roman" w:hAnsi="Times New Roman" w:cs="Times New Roman"/>
          <w:sz w:val="24"/>
        </w:rPr>
        <w:t>施工人员需服从</w:t>
      </w:r>
      <w:r>
        <w:rPr>
          <w:rFonts w:hint="eastAsia" w:ascii="Times New Roman" w:cs="Times New Roman"/>
          <w:sz w:val="24"/>
          <w:lang w:eastAsia="zh-CN"/>
        </w:rPr>
        <w:t>采购人</w:t>
      </w:r>
      <w:r>
        <w:rPr>
          <w:rFonts w:hint="default" w:ascii="Times New Roman" w:hAnsi="Times New Roman" w:cs="Times New Roman"/>
          <w:sz w:val="24"/>
        </w:rPr>
        <w:t>管理，未经允许不能进入不相关的生产作业区。</w:t>
      </w:r>
    </w:p>
    <w:p w14:paraId="5D89100A">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4</w:t>
      </w:r>
      <w:r>
        <w:rPr>
          <w:rFonts w:hint="default" w:ascii="Times New Roman" w:hAnsi="Times New Roman" w:cs="Times New Roman"/>
          <w:sz w:val="24"/>
          <w:lang w:eastAsia="zh-CN"/>
        </w:rPr>
        <w:t>）</w:t>
      </w:r>
      <w:r>
        <w:rPr>
          <w:rFonts w:hint="default" w:ascii="Times New Roman" w:hAnsi="Times New Roman" w:cs="Times New Roman"/>
          <w:kern w:val="0"/>
          <w:sz w:val="24"/>
        </w:rPr>
        <w:t>施工作业期间，施工人员严禁打闹嬉戏、抽烟，严禁酒后工作。</w:t>
      </w:r>
    </w:p>
    <w:p w14:paraId="6EED3BD5">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5</w:t>
      </w:r>
      <w:r>
        <w:rPr>
          <w:rFonts w:hint="default" w:ascii="Times New Roman" w:hAnsi="Times New Roman" w:cs="Times New Roman"/>
          <w:sz w:val="24"/>
          <w:lang w:eastAsia="zh-CN"/>
        </w:rPr>
        <w:t>）</w:t>
      </w:r>
      <w:r>
        <w:rPr>
          <w:rFonts w:hint="default" w:ascii="Times New Roman" w:hAnsi="Times New Roman" w:cs="Times New Roman"/>
          <w:kern w:val="0"/>
          <w:sz w:val="24"/>
        </w:rPr>
        <w:t>施工作业期间，施工人员需穿戴好安全防护用品，如安全帽装等。</w:t>
      </w:r>
    </w:p>
    <w:p w14:paraId="05D1EADC">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6</w:t>
      </w:r>
      <w:r>
        <w:rPr>
          <w:rFonts w:hint="default" w:ascii="Times New Roman" w:hAnsi="Times New Roman" w:cs="Times New Roman"/>
          <w:sz w:val="24"/>
          <w:lang w:eastAsia="zh-CN"/>
        </w:rPr>
        <w:t>）</w:t>
      </w:r>
      <w:r>
        <w:rPr>
          <w:rFonts w:hint="eastAsia" w:ascii="Times New Roman" w:cs="Times New Roman"/>
          <w:kern w:val="0"/>
          <w:sz w:val="24"/>
          <w:lang w:eastAsia="zh-CN"/>
        </w:rPr>
        <w:t>采购人</w:t>
      </w:r>
      <w:r>
        <w:rPr>
          <w:rFonts w:hint="default" w:ascii="Times New Roman" w:hAnsi="Times New Roman" w:cs="Times New Roman"/>
          <w:kern w:val="0"/>
          <w:sz w:val="24"/>
        </w:rPr>
        <w:t>有权要求</w:t>
      </w:r>
      <w:r>
        <w:rPr>
          <w:rFonts w:hint="eastAsia" w:ascii="Times New Roman" w:cs="Times New Roman"/>
          <w:kern w:val="0"/>
          <w:sz w:val="24"/>
          <w:lang w:eastAsia="zh-CN"/>
        </w:rPr>
        <w:t>服务单位</w:t>
      </w:r>
      <w:r>
        <w:rPr>
          <w:rFonts w:hint="default" w:ascii="Times New Roman" w:hAnsi="Times New Roman" w:cs="Times New Roman"/>
          <w:kern w:val="0"/>
          <w:sz w:val="24"/>
        </w:rPr>
        <w:t>对不称职人员进行更换，更换时间不超过2个工作日。</w:t>
      </w:r>
    </w:p>
    <w:p w14:paraId="663BB2C8">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sz w:val="24"/>
          <w:lang w:eastAsia="zh-CN"/>
        </w:rPr>
        <w:t>（</w:t>
      </w:r>
      <w:r>
        <w:rPr>
          <w:rFonts w:hint="default" w:ascii="Times New Roman" w:hAnsi="Times New Roman" w:cs="Times New Roman"/>
          <w:sz w:val="24"/>
        </w:rPr>
        <w:t>7</w:t>
      </w:r>
      <w:r>
        <w:rPr>
          <w:rFonts w:hint="default" w:ascii="Times New Roman" w:hAnsi="Times New Roman" w:cs="Times New Roman"/>
          <w:sz w:val="24"/>
          <w:lang w:eastAsia="zh-CN"/>
        </w:rPr>
        <w:t>）</w:t>
      </w:r>
      <w:r>
        <w:rPr>
          <w:rFonts w:hint="eastAsia" w:ascii="Times New Roman" w:cs="Times New Roman"/>
          <w:kern w:val="0"/>
          <w:sz w:val="24"/>
          <w:lang w:eastAsia="zh-CN"/>
        </w:rPr>
        <w:t>服务单位</w:t>
      </w:r>
      <w:r>
        <w:rPr>
          <w:rFonts w:hint="default" w:ascii="Times New Roman" w:hAnsi="Times New Roman" w:cs="Times New Roman"/>
          <w:kern w:val="0"/>
          <w:sz w:val="24"/>
        </w:rPr>
        <w:t>须为每位施工人员购买保险。</w:t>
      </w:r>
    </w:p>
    <w:p w14:paraId="59CE6627">
      <w:pPr>
        <w:keepNext w:val="0"/>
        <w:keepLines w:val="0"/>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default" w:ascii="Times New Roman" w:hAnsi="Times New Roman" w:cs="Times New Roman"/>
          <w:sz w:val="24"/>
          <w:lang w:eastAsia="zh-CN"/>
        </w:rPr>
        <w:t>（</w:t>
      </w:r>
      <w:r>
        <w:rPr>
          <w:rFonts w:hint="default" w:ascii="Times New Roman" w:hAnsi="Times New Roman" w:cs="Times New Roman"/>
          <w:sz w:val="24"/>
        </w:rPr>
        <w:t>8</w:t>
      </w:r>
      <w:r>
        <w:rPr>
          <w:rFonts w:hint="default" w:ascii="Times New Roman" w:hAnsi="Times New Roman" w:cs="Times New Roman"/>
          <w:sz w:val="24"/>
          <w:lang w:eastAsia="zh-CN"/>
        </w:rPr>
        <w:t>）</w:t>
      </w:r>
      <w:r>
        <w:rPr>
          <w:rFonts w:hint="default" w:ascii="Times New Roman" w:hAnsi="Times New Roman" w:cs="Times New Roman"/>
          <w:sz w:val="24"/>
        </w:rPr>
        <w:t>施工过程中出现的安全事故由</w:t>
      </w:r>
      <w:r>
        <w:rPr>
          <w:rFonts w:hint="eastAsia" w:ascii="Times New Roman" w:cs="Times New Roman"/>
          <w:sz w:val="24"/>
          <w:lang w:eastAsia="zh-CN"/>
        </w:rPr>
        <w:t>服务单位</w:t>
      </w:r>
      <w:r>
        <w:rPr>
          <w:rFonts w:hint="default" w:ascii="Times New Roman" w:hAnsi="Times New Roman" w:cs="Times New Roman"/>
          <w:sz w:val="24"/>
        </w:rPr>
        <w:t>自行承担</w:t>
      </w:r>
      <w:r>
        <w:rPr>
          <w:rFonts w:hint="eastAsia" w:ascii="Times New Roman" w:cs="Times New Roman"/>
          <w:sz w:val="24"/>
          <w:lang w:eastAsia="zh-CN"/>
        </w:rPr>
        <w:t>。</w:t>
      </w:r>
    </w:p>
    <w:p w14:paraId="0BA9C7C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highlight w:val="none"/>
          <w:lang w:val="en-US" w:eastAsia="zh-CN"/>
        </w:rPr>
      </w:pPr>
      <w:r>
        <w:rPr>
          <w:rFonts w:hint="eastAsia" w:hAnsi="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lang w:val="en-US" w:eastAsia="zh-CN"/>
        </w:rPr>
        <w:t>验收要求</w:t>
      </w:r>
    </w:p>
    <w:p w14:paraId="11F2F54D">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(1)验收：验收分</w:t>
      </w:r>
      <w:r>
        <w:rPr>
          <w:rFonts w:hint="eastAsia" w:hAnsi="宋体" w:cs="宋体"/>
          <w:color w:val="auto"/>
          <w:sz w:val="24"/>
          <w:szCs w:val="24"/>
          <w:highlight w:val="none"/>
          <w:lang w:val="en-US" w:eastAsia="zh-CN"/>
        </w:rPr>
        <w:t>为搭建能源在线监测平台及对接市平台</w:t>
      </w:r>
      <w:r>
        <w:rPr>
          <w:rFonts w:hint="eastAsia" w:ascii="宋体" w:hAnsi="宋体" w:eastAsia="宋体" w:cs="宋体"/>
          <w:color w:val="auto"/>
          <w:sz w:val="24"/>
          <w:szCs w:val="24"/>
          <w:highlight w:val="none"/>
          <w:lang w:val="en-US" w:eastAsia="zh-CN"/>
        </w:rPr>
        <w:t>所</w:t>
      </w:r>
      <w:r>
        <w:rPr>
          <w:rFonts w:hint="eastAsia" w:hAnsi="宋体" w:cs="宋体"/>
          <w:color w:val="auto"/>
          <w:sz w:val="24"/>
          <w:szCs w:val="24"/>
          <w:highlight w:val="none"/>
          <w:lang w:val="en-US" w:eastAsia="zh-CN"/>
        </w:rPr>
        <w:t>需，所供</w:t>
      </w:r>
      <w:r>
        <w:rPr>
          <w:rFonts w:hint="eastAsia" w:ascii="宋体" w:hAnsi="宋体" w:eastAsia="宋体" w:cs="宋体"/>
          <w:color w:val="auto"/>
          <w:sz w:val="24"/>
          <w:szCs w:val="24"/>
          <w:highlight w:val="none"/>
          <w:lang w:val="en-US" w:eastAsia="zh-CN"/>
        </w:rPr>
        <w:t>货</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货物</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到现场初步验收和</w:t>
      </w:r>
      <w:r>
        <w:rPr>
          <w:rFonts w:hint="eastAsia" w:hAnsi="宋体" w:cs="宋体"/>
          <w:color w:val="auto"/>
          <w:sz w:val="24"/>
          <w:szCs w:val="24"/>
          <w:highlight w:val="none"/>
          <w:lang w:val="en-US" w:eastAsia="zh-CN"/>
        </w:rPr>
        <w:t>完成搭建市区厂丙级能源在线监测平台及对接市平台</w:t>
      </w:r>
      <w:r>
        <w:rPr>
          <w:rFonts w:hint="eastAsia" w:ascii="宋体" w:hAnsi="宋体" w:eastAsia="宋体" w:cs="宋体"/>
          <w:color w:val="auto"/>
          <w:sz w:val="24"/>
          <w:szCs w:val="24"/>
          <w:highlight w:val="none"/>
        </w:rPr>
        <w:t>后的最终验收。</w:t>
      </w:r>
    </w:p>
    <w:p w14:paraId="3F323345">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①初步验收：货物运抵交货地点后 3 日内，采购人（含采购人委托的第三方）、</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rPr>
        <w:t>代表共同验货。采购人按照合同及采购文件、国家相关法律法规以及规范的要求等相关的规定，对货物的品种、品牌、产地、型号规格、数量、外观质量、资料等进行清点和全面的检验，并作详细的记录。</w:t>
      </w:r>
    </w:p>
    <w:p w14:paraId="09B5B2BB">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初步验收如发现货物与合同不符，或货物短缺、质次、损坏等问题，应作详细记录，采购人可拒绝收货，或由</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在采购人规定的时间内立即、无条件为采购人调换或补齐，调换或补齐后的货物，采购人有权按照本条有关验收的规定进行验收，由此产生的制造、修理和运费及保险费等费用均应由</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负担，与采购人无关。</w:t>
      </w:r>
    </w:p>
    <w:p w14:paraId="5C429276">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初步验收合格后，采购人出具相关签收手续</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并由甲乙双方共同书面确认初步验收结果</w:t>
      </w:r>
      <w:r>
        <w:rPr>
          <w:rFonts w:hint="eastAsia" w:ascii="宋体" w:hAnsi="宋体" w:eastAsia="宋体" w:cs="宋体"/>
          <w:color w:val="auto"/>
          <w:sz w:val="24"/>
          <w:szCs w:val="24"/>
          <w:highlight w:val="none"/>
        </w:rPr>
        <w:t>。</w:t>
      </w:r>
    </w:p>
    <w:p w14:paraId="5162835F">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②最终验收：所供货物完成安装调试、</w:t>
      </w:r>
      <w:r>
        <w:rPr>
          <w:rFonts w:hint="eastAsia" w:hAnsi="宋体" w:cs="宋体"/>
          <w:color w:val="auto"/>
          <w:sz w:val="24"/>
          <w:szCs w:val="24"/>
          <w:highlight w:val="none"/>
          <w:lang w:val="en-US" w:eastAsia="zh-CN"/>
        </w:rPr>
        <w:t>建设好市区厂的丙级能源在线监测系统且市区厂能源数据</w:t>
      </w:r>
      <w:r>
        <w:rPr>
          <w:rFonts w:hint="eastAsia" w:ascii="宋体" w:hAnsi="宋体" w:eastAsia="宋体" w:cs="宋体"/>
          <w:color w:val="auto"/>
          <w:sz w:val="24"/>
          <w:szCs w:val="24"/>
          <w:highlight w:val="none"/>
        </w:rPr>
        <w:t>稳定</w:t>
      </w:r>
      <w:r>
        <w:rPr>
          <w:rFonts w:hint="eastAsia" w:hAnsi="宋体" w:cs="宋体"/>
          <w:color w:val="auto"/>
          <w:sz w:val="24"/>
          <w:szCs w:val="24"/>
          <w:highlight w:val="none"/>
          <w:lang w:val="en-US" w:eastAsia="zh-CN"/>
        </w:rPr>
        <w:t>上传市平台</w:t>
      </w:r>
      <w:r>
        <w:rPr>
          <w:rFonts w:hint="eastAsia" w:ascii="宋体" w:hAnsi="宋体" w:eastAsia="宋体" w:cs="宋体"/>
          <w:color w:val="auto"/>
          <w:sz w:val="24"/>
          <w:szCs w:val="24"/>
          <w:highlight w:val="none"/>
        </w:rPr>
        <w:t>后，采购人、</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货物安装调试的测试结果</w:t>
      </w:r>
      <w:r>
        <w:rPr>
          <w:rFonts w:hint="eastAsia" w:ascii="宋体" w:hAnsi="宋体" w:eastAsia="宋体" w:cs="宋体"/>
          <w:color w:val="auto"/>
          <w:sz w:val="24"/>
          <w:szCs w:val="24"/>
          <w:highlight w:val="none"/>
        </w:rPr>
        <w:t>进行检测，并做好详细的检测记录。检测结果应符合采购文件、国家相关法律法规以及规范的要求等相关的规定，如</w:t>
      </w:r>
      <w:r>
        <w:rPr>
          <w:rFonts w:hint="eastAsia" w:ascii="宋体" w:hAnsi="宋体" w:eastAsia="宋体" w:cs="宋体"/>
          <w:color w:val="auto"/>
          <w:sz w:val="24"/>
          <w:szCs w:val="24"/>
          <w:highlight w:val="none"/>
          <w:lang w:val="en-US" w:eastAsia="zh-CN"/>
        </w:rPr>
        <w:t>项目质量达不到厂区</w:t>
      </w:r>
      <w:r>
        <w:rPr>
          <w:rFonts w:hint="eastAsia" w:ascii="宋体" w:hAnsi="宋体" w:eastAsia="宋体" w:cs="宋体"/>
          <w:color w:val="auto"/>
          <w:sz w:val="24"/>
          <w:szCs w:val="24"/>
          <w:highlight w:val="none"/>
        </w:rPr>
        <w:t>运营要求，</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需在采购人规定的时间内立即、无条件为采购人</w:t>
      </w:r>
      <w:r>
        <w:rPr>
          <w:rFonts w:hint="eastAsia" w:ascii="宋体" w:hAnsi="宋体" w:eastAsia="宋体" w:cs="宋体"/>
          <w:color w:val="auto"/>
          <w:sz w:val="24"/>
          <w:szCs w:val="24"/>
          <w:highlight w:val="none"/>
          <w:lang w:val="en-US" w:eastAsia="zh-CN"/>
        </w:rPr>
        <w:t>整改</w:t>
      </w:r>
      <w:r>
        <w:rPr>
          <w:rFonts w:hint="eastAsia" w:ascii="宋体" w:hAnsi="宋体" w:eastAsia="宋体" w:cs="宋体"/>
          <w:color w:val="auto"/>
          <w:sz w:val="24"/>
          <w:szCs w:val="24"/>
          <w:highlight w:val="none"/>
        </w:rPr>
        <w:t>，直至满足</w:t>
      </w:r>
      <w:r>
        <w:rPr>
          <w:rFonts w:hint="eastAsia" w:ascii="宋体" w:hAnsi="宋体" w:eastAsia="宋体" w:cs="宋体"/>
          <w:color w:val="auto"/>
          <w:sz w:val="24"/>
          <w:szCs w:val="24"/>
          <w:highlight w:val="none"/>
          <w:lang w:val="en-US" w:eastAsia="zh-CN"/>
        </w:rPr>
        <w:t>厂区</w:t>
      </w:r>
      <w:r>
        <w:rPr>
          <w:rFonts w:hint="eastAsia" w:ascii="宋体" w:hAnsi="宋体" w:eastAsia="宋体" w:cs="宋体"/>
          <w:color w:val="auto"/>
          <w:sz w:val="24"/>
          <w:szCs w:val="24"/>
          <w:highlight w:val="none"/>
        </w:rPr>
        <w:t>的运营要求，由此产生的制造、运费、安装及保险费等费用均应由</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负担，与采购人无关。</w:t>
      </w:r>
    </w:p>
    <w:p w14:paraId="5ADDC46F">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经最终验收合格，采购人向</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出具书面的验收合格报告，采购人、</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共同签字确认。</w:t>
      </w:r>
    </w:p>
    <w:p w14:paraId="78F231E9">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由于非采购人原因而引起</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货物的修理或更换的时间，以不影响生产为原则，否则将视为逾期交货。</w:t>
      </w:r>
    </w:p>
    <w:p w14:paraId="5000C76C">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(3)采购人根据本条约定对货物所做出的验收，仅作为起算付款及质保期之用，不视为双方对于货物质量的最终认定。项目经验收合格后，</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仍应在质保期内对产品质量承担保证责任。</w:t>
      </w:r>
    </w:p>
    <w:p w14:paraId="711EF63C">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hAnsi="宋体" w:cs="宋体"/>
          <w:color w:val="auto"/>
          <w:sz w:val="24"/>
          <w:szCs w:val="24"/>
          <w:highlight w:val="none"/>
          <w:lang w:val="en-US" w:eastAsia="zh-CN"/>
        </w:rPr>
        <w:t>供货</w:t>
      </w:r>
      <w:r>
        <w:rPr>
          <w:rFonts w:hint="eastAsia" w:ascii="宋体" w:hAnsi="宋体" w:eastAsia="宋体" w:cs="宋体"/>
          <w:color w:val="auto"/>
          <w:sz w:val="24"/>
          <w:szCs w:val="24"/>
          <w:highlight w:val="none"/>
          <w:lang w:val="en-US" w:eastAsia="zh-CN"/>
        </w:rPr>
        <w:t>货物在全部经</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验收合格前，其损耗、毁损、灭失等风险及责任由</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承担，如因发生前述情形，导致</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所供应的货物不能通过采购人验收的，</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应按采购人要求予以更换或退货。</w:t>
      </w:r>
    </w:p>
    <w:p w14:paraId="03E7F008">
      <w:pPr>
        <w:keepNext w:val="0"/>
        <w:keepLines w:val="0"/>
        <w:pageBreakBefore w:val="0"/>
        <w:kinsoku/>
        <w:wordWrap/>
        <w:overflowPunct/>
        <w:topLinePunct w:val="0"/>
        <w:bidi w:val="0"/>
        <w:adjustRightInd/>
        <w:snapToGrid/>
        <w:spacing w:line="360" w:lineRule="auto"/>
        <w:ind w:firstLine="566" w:firstLineChars="236"/>
        <w:jc w:val="left"/>
        <w:textAlignment w:val="auto"/>
        <w:rPr>
          <w:rFonts w:hint="eastAsia"/>
        </w:rPr>
      </w:pPr>
      <w:r>
        <w:rPr>
          <w:rFonts w:hint="eastAsia" w:ascii="宋体" w:hAnsi="宋体" w:eastAsia="宋体" w:cs="宋体"/>
          <w:color w:val="auto"/>
          <w:sz w:val="24"/>
          <w:szCs w:val="24"/>
          <w:highlight w:val="none"/>
          <w:lang w:val="en-US" w:eastAsia="zh-CN"/>
        </w:rPr>
        <w:t>(5)验收过程中，如对货物验收不能取得一致意见时，一方可委托交付地有资质权威的第三方检验机构合进行检验。检验结果具有约束力，检验费用由责任方负担。</w:t>
      </w:r>
    </w:p>
    <w:p w14:paraId="62CDFE3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价款要求</w:t>
      </w:r>
    </w:p>
    <w:p w14:paraId="18E94860">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21" w:name="_Hlk1790984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本项目总费用含完成本次供货的全部费用，包含但不限于</w:t>
      </w:r>
      <w:r>
        <w:rPr>
          <w:rFonts w:hint="eastAsia" w:ascii="宋体" w:hAnsi="宋体" w:eastAsia="宋体" w:cs="宋体"/>
          <w:sz w:val="24"/>
          <w:szCs w:val="24"/>
          <w:highlight w:val="none"/>
          <w:lang w:val="en-US" w:eastAsia="zh-CN"/>
        </w:rPr>
        <w:t>除</w:t>
      </w:r>
      <w:r>
        <w:rPr>
          <w:rFonts w:hint="eastAsia" w:hAnsi="宋体" w:cs="宋体"/>
          <w:color w:val="auto"/>
          <w:sz w:val="24"/>
          <w:szCs w:val="24"/>
          <w:highlight w:val="none"/>
          <w:lang w:eastAsia="zh-CN"/>
        </w:rPr>
        <w:t>服务单位</w:t>
      </w:r>
      <w:r>
        <w:rPr>
          <w:rFonts w:hint="eastAsia" w:ascii="宋体" w:hAnsi="宋体" w:eastAsia="宋体" w:cs="宋体"/>
          <w:sz w:val="24"/>
          <w:szCs w:val="24"/>
          <w:highlight w:val="none"/>
          <w:lang w:val="en-US" w:eastAsia="zh-CN"/>
        </w:rPr>
        <w:t>销项税额以外的税</w:t>
      </w:r>
      <w:r>
        <w:rPr>
          <w:rFonts w:hint="eastAsia" w:hAnsi="宋体" w:cs="宋体"/>
          <w:sz w:val="24"/>
          <w:szCs w:val="24"/>
          <w:highlight w:val="none"/>
          <w:lang w:val="en-US" w:eastAsia="zh-CN"/>
        </w:rPr>
        <w:t>费</w:t>
      </w:r>
      <w:r>
        <w:rPr>
          <w:rFonts w:hint="eastAsia" w:ascii="宋体" w:hAnsi="宋体" w:eastAsia="宋体" w:cs="宋体"/>
          <w:sz w:val="24"/>
          <w:szCs w:val="24"/>
          <w:highlight w:val="none"/>
          <w:lang w:val="en-US" w:eastAsia="zh-CN"/>
        </w:rPr>
        <w:t>及完成该项目所需要的</w:t>
      </w:r>
      <w:r>
        <w:rPr>
          <w:rFonts w:hint="eastAsia" w:hAnsi="宋体" w:cs="宋体"/>
          <w:sz w:val="24"/>
          <w:szCs w:val="24"/>
          <w:highlight w:val="none"/>
          <w:lang w:val="en-US" w:eastAsia="zh-CN"/>
        </w:rPr>
        <w:t>人</w:t>
      </w:r>
      <w:r>
        <w:rPr>
          <w:rFonts w:hint="eastAsia" w:ascii="宋体" w:hAnsi="宋体" w:eastAsia="宋体" w:cs="宋体"/>
          <w:sz w:val="24"/>
          <w:szCs w:val="24"/>
          <w:highlight w:val="none"/>
          <w:lang w:val="en-US" w:eastAsia="zh-CN"/>
        </w:rPr>
        <w:t>工</w:t>
      </w:r>
      <w:r>
        <w:rPr>
          <w:rFonts w:hint="eastAsia" w:hAnsi="宋体" w:cs="宋体"/>
          <w:sz w:val="24"/>
          <w:szCs w:val="24"/>
          <w:highlight w:val="none"/>
          <w:lang w:val="en-US" w:eastAsia="zh-CN"/>
        </w:rPr>
        <w:t>费</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材</w:t>
      </w:r>
      <w:r>
        <w:rPr>
          <w:rFonts w:hint="eastAsia" w:ascii="宋体" w:hAnsi="宋体" w:eastAsia="宋体" w:cs="宋体"/>
          <w:sz w:val="24"/>
          <w:szCs w:val="24"/>
          <w:highlight w:val="none"/>
          <w:lang w:val="en-US" w:eastAsia="zh-CN"/>
        </w:rPr>
        <w:t>料</w:t>
      </w:r>
      <w:r>
        <w:rPr>
          <w:rFonts w:hint="eastAsia" w:hAnsi="宋体" w:cs="宋体"/>
          <w:sz w:val="24"/>
          <w:szCs w:val="24"/>
          <w:highlight w:val="none"/>
          <w:lang w:val="en-US" w:eastAsia="zh-CN"/>
        </w:rPr>
        <w:t>费</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运费、</w:t>
      </w:r>
      <w:r>
        <w:rPr>
          <w:rFonts w:hint="eastAsia" w:hAnsi="宋体" w:cs="宋体"/>
          <w:sz w:val="24"/>
          <w:szCs w:val="24"/>
          <w:highlight w:val="none"/>
          <w:lang w:val="en-US" w:eastAsia="zh-CN"/>
        </w:rPr>
        <w:t>安全措施费、</w:t>
      </w:r>
      <w:r>
        <w:rPr>
          <w:rFonts w:hint="eastAsia" w:ascii="宋体" w:hAnsi="宋体" w:eastAsia="宋体" w:cs="宋体"/>
          <w:sz w:val="24"/>
          <w:szCs w:val="24"/>
          <w:highlight w:val="none"/>
          <w:lang w:val="en-US" w:eastAsia="zh-CN"/>
        </w:rPr>
        <w:t>文明</w:t>
      </w:r>
      <w:r>
        <w:rPr>
          <w:rFonts w:hint="eastAsia" w:hAnsi="宋体" w:cs="宋体"/>
          <w:sz w:val="24"/>
          <w:szCs w:val="24"/>
          <w:highlight w:val="none"/>
          <w:lang w:val="en-US" w:eastAsia="zh-CN"/>
        </w:rPr>
        <w:t>供货费、调试费等</w:t>
      </w:r>
      <w:r>
        <w:rPr>
          <w:rFonts w:hint="eastAsia" w:ascii="宋体" w:hAnsi="宋体" w:eastAsia="宋体" w:cs="宋体"/>
          <w:sz w:val="24"/>
          <w:szCs w:val="24"/>
          <w:highlight w:val="none"/>
          <w:lang w:val="en-US" w:eastAsia="zh-CN"/>
        </w:rPr>
        <w:t>与本项目相关的费用。</w:t>
      </w:r>
      <w:r>
        <w:rPr>
          <w:rFonts w:hint="eastAsia" w:ascii="宋体" w:hAnsi="宋体" w:eastAsia="宋体" w:cs="宋体"/>
          <w:color w:val="auto"/>
          <w:sz w:val="24"/>
          <w:szCs w:val="24"/>
          <w:highlight w:val="none"/>
          <w:lang w:val="en-US" w:eastAsia="zh-CN"/>
        </w:rPr>
        <w:t>本项目</w:t>
      </w:r>
      <w:r>
        <w:rPr>
          <w:rFonts w:hint="eastAsia" w:hAnsi="宋体" w:cs="宋体"/>
          <w:color w:val="auto"/>
          <w:sz w:val="24"/>
          <w:szCs w:val="24"/>
          <w:highlight w:val="none"/>
          <w:lang w:val="en-US" w:eastAsia="zh-CN"/>
        </w:rPr>
        <w:t>在</w:t>
      </w:r>
      <w:r>
        <w:rPr>
          <w:rFonts w:hint="eastAsia" w:ascii="宋体" w:hAnsi="宋体" w:eastAsia="宋体" w:cs="宋体"/>
          <w:sz w:val="24"/>
          <w:szCs w:val="24"/>
          <w:highlight w:val="none"/>
        </w:rPr>
        <w:t>履行过程中，</w:t>
      </w:r>
      <w:r>
        <w:rPr>
          <w:rFonts w:hint="eastAsia" w:ascii="宋体" w:hAnsi="宋体" w:eastAsia="宋体" w:cs="宋体"/>
          <w:color w:val="auto"/>
          <w:sz w:val="24"/>
          <w:szCs w:val="24"/>
          <w:highlight w:val="none"/>
          <w:lang w:val="en-US" w:eastAsia="zh-CN"/>
        </w:rPr>
        <w:t>总费用</w:t>
      </w:r>
      <w:r>
        <w:rPr>
          <w:rFonts w:hint="eastAsia" w:ascii="宋体" w:hAnsi="宋体" w:eastAsia="宋体" w:cs="宋体"/>
          <w:sz w:val="24"/>
          <w:szCs w:val="24"/>
          <w:highlight w:val="none"/>
        </w:rPr>
        <w:t>（即销售额，不含</w:t>
      </w:r>
      <w:r>
        <w:rPr>
          <w:rFonts w:hint="eastAsia" w:hAnsi="宋体" w:cs="宋体"/>
          <w:color w:val="auto"/>
          <w:sz w:val="24"/>
          <w:szCs w:val="24"/>
          <w:highlight w:val="none"/>
          <w:lang w:eastAsia="zh-CN"/>
        </w:rPr>
        <w:t>服务单位</w:t>
      </w:r>
      <w:r>
        <w:rPr>
          <w:rFonts w:hint="eastAsia" w:ascii="宋体" w:hAnsi="宋体" w:eastAsia="宋体" w:cs="宋体"/>
          <w:sz w:val="24"/>
          <w:szCs w:val="24"/>
          <w:highlight w:val="none"/>
        </w:rPr>
        <w:t>销项税额）不随法律法规政策、物价人工、工期调整而进行调整，未经</w:t>
      </w:r>
      <w:r>
        <w:rPr>
          <w:rFonts w:hint="eastAsia" w:ascii="宋体" w:hAnsi="宋体" w:eastAsia="宋体" w:cs="宋体"/>
          <w:color w:val="auto"/>
          <w:sz w:val="24"/>
          <w:szCs w:val="24"/>
          <w:highlight w:val="none"/>
        </w:rPr>
        <w:t>采购人</w:t>
      </w:r>
      <w:r>
        <w:rPr>
          <w:rFonts w:hint="eastAsia" w:ascii="宋体" w:hAnsi="宋体" w:eastAsia="宋体" w:cs="宋体"/>
          <w:sz w:val="24"/>
          <w:szCs w:val="24"/>
          <w:highlight w:val="none"/>
        </w:rPr>
        <w:t>书面确认，</w:t>
      </w:r>
      <w:r>
        <w:rPr>
          <w:rFonts w:hint="eastAsia" w:hAnsi="宋体" w:cs="宋体"/>
          <w:color w:val="auto"/>
          <w:sz w:val="24"/>
          <w:szCs w:val="24"/>
          <w:highlight w:val="none"/>
          <w:lang w:eastAsia="zh-CN"/>
        </w:rPr>
        <w:t>服务单位</w:t>
      </w:r>
      <w:r>
        <w:rPr>
          <w:rFonts w:hint="eastAsia" w:ascii="宋体" w:hAnsi="宋体" w:eastAsia="宋体" w:cs="宋体"/>
          <w:sz w:val="24"/>
          <w:szCs w:val="24"/>
          <w:highlight w:val="none"/>
        </w:rPr>
        <w:t>无权增加任何费用。</w:t>
      </w:r>
    </w:p>
    <w:p w14:paraId="1124D76B">
      <w:pPr>
        <w:keepNext w:val="0"/>
        <w:keepLines w:val="0"/>
        <w:pageBreakBefore w:val="0"/>
        <w:kinsoku/>
        <w:wordWrap/>
        <w:overflowPunct/>
        <w:topLinePunct w:val="0"/>
        <w:bidi w:val="0"/>
        <w:adjustRightInd/>
        <w:snapToGrid/>
        <w:spacing w:line="360" w:lineRule="auto"/>
        <w:ind w:firstLine="480" w:firstLineChars="200"/>
        <w:textAlignment w:val="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val="en-US" w:eastAsia="zh-CN"/>
        </w:rPr>
        <w:t>采购清单中</w:t>
      </w:r>
      <w:r>
        <w:rPr>
          <w:rFonts w:hint="eastAsia"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货到现场、</w:t>
      </w:r>
      <w:r>
        <w:rPr>
          <w:rFonts w:hint="eastAsia" w:hAnsi="宋体" w:cs="宋体"/>
          <w:color w:val="auto"/>
          <w:sz w:val="24"/>
          <w:szCs w:val="24"/>
          <w:highlight w:val="none"/>
          <w:lang w:val="en-US" w:eastAsia="zh-CN"/>
        </w:rPr>
        <w:t>安装调试，完成建设市区厂丙级能源在线监测系统且将市区厂能源数据稳定上传市平台，并经</w:t>
      </w:r>
      <w:r>
        <w:rPr>
          <w:rFonts w:hint="eastAsia" w:ascii="宋体" w:hAnsi="宋体" w:eastAsia="宋体" w:cs="宋体"/>
          <w:color w:val="auto"/>
          <w:sz w:val="24"/>
          <w:szCs w:val="24"/>
          <w:highlight w:val="none"/>
          <w:lang w:val="en-US" w:eastAsia="zh-CN"/>
        </w:rPr>
        <w:t>采购人最终验收合格后，</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向</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提交请款报告及</w:t>
      </w:r>
      <w:r>
        <w:rPr>
          <w:rFonts w:hint="eastAsia" w:hAnsi="宋体" w:cs="宋体"/>
          <w:color w:val="auto"/>
          <w:sz w:val="24"/>
          <w:szCs w:val="24"/>
          <w:highlight w:val="none"/>
          <w:lang w:val="en-US" w:eastAsia="zh-CN"/>
        </w:rPr>
        <w:t>请款</w:t>
      </w:r>
      <w:r>
        <w:rPr>
          <w:rFonts w:hint="eastAsia" w:ascii="宋体" w:hAnsi="宋体" w:eastAsia="宋体" w:cs="宋体"/>
          <w:color w:val="auto"/>
          <w:sz w:val="24"/>
          <w:szCs w:val="24"/>
          <w:highlight w:val="none"/>
          <w:lang w:val="en-US" w:eastAsia="zh-CN"/>
        </w:rPr>
        <w:t>金额</w:t>
      </w:r>
      <w:r>
        <w:rPr>
          <w:rFonts w:hint="eastAsia" w:hAnsi="宋体" w:cs="宋体"/>
          <w:color w:val="auto"/>
          <w:sz w:val="24"/>
          <w:szCs w:val="24"/>
          <w:highlight w:val="none"/>
          <w:lang w:val="en-US" w:eastAsia="zh-CN"/>
        </w:rPr>
        <w:t>等额</w:t>
      </w:r>
      <w:r>
        <w:rPr>
          <w:rFonts w:hint="eastAsia" w:ascii="宋体" w:hAnsi="宋体" w:eastAsia="宋体" w:cs="宋体"/>
          <w:color w:val="auto"/>
          <w:sz w:val="24"/>
          <w:szCs w:val="24"/>
          <w:highlight w:val="none"/>
          <w:lang w:val="en-US" w:eastAsia="zh-CN"/>
        </w:rPr>
        <w:t>、合法、有效的增值税专用发票</w:t>
      </w:r>
      <w:r>
        <w:rPr>
          <w:rFonts w:hint="eastAsia" w:hAnsi="宋体" w:cs="宋体"/>
          <w:color w:val="auto"/>
          <w:sz w:val="24"/>
          <w:szCs w:val="24"/>
          <w:highlight w:val="none"/>
          <w:lang w:val="en-US" w:eastAsia="zh-CN"/>
        </w:rPr>
        <w:t>等请款资料</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在收到前述材料并确认无误后30日内，</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支付合同</w:t>
      </w:r>
      <w:r>
        <w:rPr>
          <w:rFonts w:hint="eastAsia" w:hAnsi="宋体" w:cs="宋体"/>
          <w:color w:val="auto"/>
          <w:sz w:val="24"/>
          <w:szCs w:val="24"/>
          <w:highlight w:val="none"/>
          <w:lang w:val="en-US" w:eastAsia="zh-CN"/>
        </w:rPr>
        <w:t>价100</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及对应的税额</w:t>
      </w:r>
      <w:r>
        <w:rPr>
          <w:rFonts w:hint="eastAsia" w:ascii="宋体" w:hAnsi="宋体" w:eastAsia="宋体" w:cs="宋体"/>
          <w:color w:val="auto"/>
          <w:sz w:val="24"/>
          <w:szCs w:val="24"/>
          <w:highlight w:val="none"/>
          <w:lang w:val="en-US" w:eastAsia="zh-CN"/>
        </w:rPr>
        <w:t>款项给</w:t>
      </w:r>
      <w:r>
        <w:rPr>
          <w:rFonts w:hint="eastAsia" w:hAnsi="宋体" w:cs="宋体"/>
          <w:color w:val="auto"/>
          <w:sz w:val="24"/>
          <w:szCs w:val="24"/>
          <w:highlight w:val="none"/>
          <w:lang w:val="en-US" w:eastAsia="zh-CN"/>
        </w:rPr>
        <w:t>服务单位。</w:t>
      </w:r>
    </w:p>
    <w:p w14:paraId="44C7AF0C">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逾期提供请款资料及发票或提交资料不符合采购人要求的，采购人付款时间顺延，并不承担逾期付款违约责任。由于</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提供的发票不符合税法规定，给采购人造成的损失由</w:t>
      </w:r>
      <w:r>
        <w:rPr>
          <w:rFonts w:hint="eastAsia" w:hAnsi="宋体" w:cs="宋体"/>
          <w:color w:val="auto"/>
          <w:sz w:val="24"/>
          <w:szCs w:val="24"/>
          <w:highlight w:val="none"/>
          <w:lang w:val="en-US" w:eastAsia="zh-CN"/>
        </w:rPr>
        <w:t>服务单位</w:t>
      </w:r>
      <w:r>
        <w:rPr>
          <w:rFonts w:hint="eastAsia" w:ascii="宋体" w:hAnsi="宋体" w:eastAsia="宋体" w:cs="宋体"/>
          <w:color w:val="auto"/>
          <w:sz w:val="24"/>
          <w:szCs w:val="24"/>
          <w:highlight w:val="none"/>
          <w:lang w:val="en-US" w:eastAsia="zh-CN"/>
        </w:rPr>
        <w:t>承担赔偿责任。</w:t>
      </w:r>
      <w:bookmarkEnd w:id="21"/>
    </w:p>
    <w:p w14:paraId="4CF1376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质保期</w:t>
      </w:r>
      <w:r>
        <w:rPr>
          <w:rFonts w:hint="eastAsia" w:ascii="宋体" w:hAnsi="宋体" w:eastAsia="宋体" w:cs="宋体"/>
          <w:b/>
          <w:color w:val="auto"/>
          <w:sz w:val="24"/>
          <w:szCs w:val="24"/>
          <w:highlight w:val="none"/>
        </w:rPr>
        <w:t>及售后要求</w:t>
      </w:r>
    </w:p>
    <w:p w14:paraId="1A835AF9">
      <w:pPr>
        <w:keepNext w:val="0"/>
        <w:keepLines w:val="0"/>
        <w:pageBreakBefore w:val="0"/>
        <w:kinsoku/>
        <w:wordWrap/>
        <w:overflowPunct/>
        <w:topLinePunct w:val="0"/>
        <w:autoSpaceDE/>
        <w:autoSpaceDN/>
        <w:bidi w:val="0"/>
        <w:adjustRightInd/>
        <w:snapToGrid/>
        <w:spacing w:line="360" w:lineRule="auto"/>
        <w:ind w:left="0" w:leftChars="0" w:firstLine="530" w:firstLineChars="22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货物</w:t>
      </w:r>
      <w:r>
        <w:rPr>
          <w:rFonts w:hint="eastAsia" w:ascii="宋体" w:hAnsi="宋体" w:eastAsia="宋体" w:cs="宋体"/>
          <w:color w:val="auto"/>
          <w:sz w:val="24"/>
          <w:szCs w:val="24"/>
          <w:highlight w:val="none"/>
        </w:rPr>
        <w:t>质保期为</w:t>
      </w:r>
      <w:r>
        <w:rPr>
          <w:rFonts w:hint="eastAsia" w:hAnsi="宋体" w:cs="宋体"/>
          <w:color w:val="auto"/>
          <w:sz w:val="24"/>
          <w:szCs w:val="24"/>
          <w:highlight w:val="none"/>
          <w:lang w:val="en-US" w:eastAsia="zh-CN"/>
        </w:rPr>
        <w:t>12个月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最终验收合格之日起算。质保期内，</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对本项目进行免费保修，免费保修包括但不限于由</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承担完成质保期的工作而产生的运费、购置费、测试费、人工费等各项费用（包括进口关税和增值税等）。</w:t>
      </w:r>
    </w:p>
    <w:p w14:paraId="2DEA7D35">
      <w:pPr>
        <w:keepNext w:val="0"/>
        <w:keepLines w:val="0"/>
        <w:pageBreakBefore w:val="0"/>
        <w:kinsoku/>
        <w:wordWrap/>
        <w:overflowPunct/>
        <w:topLinePunct w:val="0"/>
        <w:autoSpaceDE/>
        <w:autoSpaceDN/>
        <w:bidi w:val="0"/>
        <w:adjustRightInd/>
        <w:snapToGrid/>
        <w:spacing w:line="360" w:lineRule="auto"/>
        <w:ind w:left="0" w:leftChars="0" w:firstLine="530" w:firstLineChars="22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(2)质保期内，若</w:t>
      </w:r>
      <w:r>
        <w:rPr>
          <w:rFonts w:hint="eastAsia" w:hAnsi="宋体" w:cs="宋体"/>
          <w:color w:val="auto"/>
          <w:sz w:val="24"/>
          <w:szCs w:val="24"/>
          <w:highlight w:val="none"/>
          <w:lang w:val="en-US" w:eastAsia="zh-CN"/>
        </w:rPr>
        <w:t>平台数据</w:t>
      </w:r>
      <w:r>
        <w:rPr>
          <w:rFonts w:hint="eastAsia" w:ascii="宋体" w:hAnsi="宋体" w:eastAsia="宋体" w:cs="宋体"/>
          <w:color w:val="auto"/>
          <w:sz w:val="24"/>
          <w:szCs w:val="24"/>
          <w:highlight w:val="none"/>
        </w:rPr>
        <w:t>经1次维修或维修时间超过半个月，仍不能正常</w:t>
      </w:r>
      <w:r>
        <w:rPr>
          <w:rFonts w:hint="eastAsia" w:hAnsi="宋体" w:cs="宋体"/>
          <w:color w:val="auto"/>
          <w:sz w:val="24"/>
          <w:szCs w:val="24"/>
          <w:highlight w:val="none"/>
          <w:lang w:val="en-US" w:eastAsia="zh-CN"/>
        </w:rPr>
        <w:t>传输</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应免费给予</w:t>
      </w:r>
      <w:r>
        <w:rPr>
          <w:rFonts w:hint="default" w:ascii="宋体" w:hAnsi="宋体" w:eastAsia="宋体" w:cs="宋体"/>
          <w:color w:val="auto"/>
          <w:sz w:val="24"/>
          <w:szCs w:val="24"/>
          <w:highlight w:val="none"/>
          <w:lang w:val="en-US"/>
        </w:rPr>
        <w:t>更换</w:t>
      </w:r>
      <w:r>
        <w:rPr>
          <w:rFonts w:hint="eastAsia" w:hAnsi="宋体" w:cs="宋体"/>
          <w:color w:val="auto"/>
          <w:sz w:val="24"/>
          <w:szCs w:val="24"/>
          <w:highlight w:val="none"/>
          <w:lang w:val="en-US" w:eastAsia="zh-CN"/>
        </w:rPr>
        <w:t>或调试</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数据恢复上传后</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质保期为从</w:t>
      </w:r>
      <w:r>
        <w:rPr>
          <w:rFonts w:hint="eastAsia" w:hAnsi="宋体" w:cs="宋体"/>
          <w:color w:val="auto"/>
          <w:sz w:val="24"/>
          <w:szCs w:val="24"/>
          <w:highlight w:val="none"/>
          <w:lang w:val="en-US" w:eastAsia="zh-CN"/>
        </w:rPr>
        <w:t>数据恢复上传之</w:t>
      </w:r>
      <w:r>
        <w:rPr>
          <w:rFonts w:hint="eastAsia" w:ascii="宋体" w:hAnsi="宋体" w:eastAsia="宋体" w:cs="宋体"/>
          <w:color w:val="auto"/>
          <w:sz w:val="24"/>
          <w:szCs w:val="24"/>
          <w:highlight w:val="none"/>
        </w:rPr>
        <w:t>日起重新计算。</w:t>
      </w:r>
    </w:p>
    <w:p w14:paraId="2356AC8C">
      <w:pPr>
        <w:keepNext w:val="0"/>
        <w:keepLines w:val="0"/>
        <w:pageBreakBefore w:val="0"/>
        <w:kinsoku/>
        <w:wordWrap/>
        <w:overflowPunct/>
        <w:topLinePunct w:val="0"/>
        <w:autoSpaceDE/>
        <w:autoSpaceDN/>
        <w:bidi w:val="0"/>
        <w:adjustRightInd/>
        <w:snapToGrid/>
        <w:spacing w:line="360" w:lineRule="auto"/>
        <w:ind w:left="0" w:leftChars="0" w:firstLine="530" w:firstLineChars="22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)采购人在</w:t>
      </w:r>
      <w:r>
        <w:rPr>
          <w:rFonts w:hint="eastAsia" w:ascii="宋体" w:hAnsi="宋体" w:eastAsia="宋体" w:cs="宋体"/>
          <w:color w:val="auto"/>
          <w:sz w:val="24"/>
          <w:szCs w:val="24"/>
          <w:highlight w:val="none"/>
          <w:lang w:val="en-US" w:eastAsia="zh-CN"/>
        </w:rPr>
        <w:t>使用时</w:t>
      </w:r>
      <w:r>
        <w:rPr>
          <w:rFonts w:hint="eastAsia" w:ascii="宋体" w:hAnsi="宋体" w:eastAsia="宋体" w:cs="宋体"/>
          <w:color w:val="auto"/>
          <w:sz w:val="24"/>
          <w:szCs w:val="24"/>
          <w:highlight w:val="none"/>
        </w:rPr>
        <w:t>所遇技术问题，</w:t>
      </w:r>
      <w:r>
        <w:rPr>
          <w:rFonts w:hint="eastAsia" w:hAnsi="宋体" w:cs="宋体"/>
          <w:color w:val="auto"/>
          <w:sz w:val="24"/>
          <w:szCs w:val="24"/>
          <w:highlight w:val="none"/>
          <w:lang w:eastAsia="zh-CN"/>
        </w:rPr>
        <w:t>服务单位</w:t>
      </w:r>
      <w:r>
        <w:rPr>
          <w:rFonts w:hint="eastAsia" w:ascii="宋体" w:hAnsi="宋体" w:eastAsia="宋体" w:cs="宋体"/>
          <w:color w:val="auto"/>
          <w:sz w:val="24"/>
          <w:szCs w:val="24"/>
          <w:highlight w:val="none"/>
        </w:rPr>
        <w:t>应按采购人要求及时向采购人无偿提供技术指导服务。</w:t>
      </w:r>
    </w:p>
    <w:p w14:paraId="0B001115">
      <w:pPr>
        <w:pStyle w:val="2"/>
        <w:ind w:firstLine="480" w:firstLineChars="200"/>
        <w:rPr>
          <w:rFonts w:hint="default" w:ascii="宋体" w:hAnsi="宋体" w:eastAsia="宋体" w:cs="宋体"/>
          <w:color w:val="auto"/>
          <w:sz w:val="24"/>
          <w:szCs w:val="24"/>
          <w:highlight w:val="none"/>
          <w:lang w:val="en-US" w:eastAsia="zh-CN" w:bidi="ar-SA"/>
        </w:rPr>
        <w:sectPr>
          <w:pgSz w:w="11906" w:h="16838"/>
          <w:pgMar w:top="1134" w:right="1588" w:bottom="1440" w:left="1644" w:header="851" w:footer="992" w:gutter="0"/>
          <w:cols w:space="425" w:num="1"/>
          <w:docGrid w:linePitch="326" w:charSpace="0"/>
        </w:sectPr>
      </w:pPr>
      <w:r>
        <w:rPr>
          <w:rFonts w:hint="eastAsia" w:ascii="宋体" w:hAnsi="宋体" w:eastAsia="宋体" w:cs="宋体"/>
          <w:color w:val="auto"/>
          <w:sz w:val="24"/>
          <w:szCs w:val="24"/>
          <w:highlight w:val="none"/>
          <w:lang w:val="en-US" w:eastAsia="zh-CN" w:bidi="ar-SA"/>
        </w:rPr>
        <w:t>(4)服务单位未按上述要求提供售后服务的，采购人有权要求其他第三方提供相关服务，因此产生的费用全部由服务单位承担。</w:t>
      </w:r>
    </w:p>
    <w:p w14:paraId="046F178E">
      <w:pPr>
        <w:pStyle w:val="2"/>
        <w:rPr>
          <w:rFonts w:hint="default"/>
          <w:lang w:val="en-US" w:eastAsia="zh-CN"/>
        </w:rPr>
      </w:pPr>
    </w:p>
    <w:p w14:paraId="1E823D09">
      <w:pPr>
        <w:rPr>
          <w:rFonts w:hint="default" w:ascii="Times New Roman" w:hAnsi="Times New Roman" w:cs="Times New Roman"/>
          <w:lang w:val="en-US" w:eastAsia="zh-CN"/>
        </w:rPr>
      </w:pPr>
    </w:p>
    <w:p w14:paraId="42BDAFEF">
      <w:pPr>
        <w:rPr>
          <w:rFonts w:hint="default" w:ascii="Times New Roman" w:hAnsi="Times New Roman" w:cs="Times New Roman"/>
          <w:lang w:val="en-US" w:eastAsia="zh-CN"/>
        </w:rPr>
      </w:pPr>
    </w:p>
    <w:p w14:paraId="70B7AABA">
      <w:pPr>
        <w:spacing w:line="420" w:lineRule="exact"/>
        <w:jc w:val="left"/>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28"/>
          <w:szCs w:val="28"/>
          <w:lang w:val="en-US" w:eastAsia="zh-CN"/>
        </w:rPr>
        <w:t>附件四：</w:t>
      </w:r>
    </w:p>
    <w:p w14:paraId="4D749E4B">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73664853">
      <w:pPr>
        <w:spacing w:line="560" w:lineRule="exact"/>
        <w:rPr>
          <w:rFonts w:ascii="Times New Roman" w:eastAsia="仿宋_GB2312"/>
          <w:b/>
          <w:bCs/>
          <w:sz w:val="32"/>
          <w:szCs w:val="32"/>
        </w:rPr>
      </w:pPr>
    </w:p>
    <w:p w14:paraId="5B54A879">
      <w:pPr>
        <w:spacing w:line="560" w:lineRule="exact"/>
        <w:rPr>
          <w:rFonts w:hint="eastAsia" w:ascii="仿宋_GB2312" w:hAnsi="仿宋_GB2312" w:eastAsia="仿宋_GB2312" w:cs="仿宋_GB2312"/>
          <w:b/>
          <w:bCs/>
          <w:sz w:val="28"/>
          <w:szCs w:val="28"/>
          <w:u w:val="single"/>
        </w:rPr>
      </w:pPr>
      <w:r>
        <w:rPr>
          <w:rFonts w:ascii="Times New Roman" w:eastAsia="仿宋_GB2312"/>
          <w:b/>
          <w:bCs/>
          <w:sz w:val="32"/>
          <w:szCs w:val="32"/>
        </w:rPr>
        <w:t>项目名称：</w:t>
      </w:r>
      <w:r>
        <w:rPr>
          <w:rFonts w:hint="eastAsia" w:ascii="仿宋_GB2312" w:hAnsi="仿宋_GB2312" w:eastAsia="仿宋_GB2312" w:cs="仿宋_GB2312"/>
          <w:b/>
          <w:bCs/>
          <w:sz w:val="28"/>
          <w:szCs w:val="28"/>
          <w:u w:val="single"/>
        </w:rPr>
        <w:t>市区厂能源在线监测系统对接市平台项目</w:t>
      </w:r>
    </w:p>
    <w:p w14:paraId="66547354">
      <w:pPr>
        <w:pStyle w:val="15"/>
        <w:widowControl/>
        <w:pBdr>
          <w:top w:val="none" w:color="auto" w:sz="0" w:space="0"/>
          <w:left w:val="none" w:color="auto" w:sz="0" w:space="0"/>
          <w:bottom w:val="none" w:color="auto" w:sz="0" w:space="0"/>
          <w:right w:val="none" w:color="auto" w:sz="0" w:space="0"/>
        </w:pBdr>
        <w:shd w:val="clear" w:fill="FFFFFF"/>
        <w:spacing w:line="560" w:lineRule="exact"/>
        <w:rPr>
          <w:rFonts w:ascii="Times New Roman" w:eastAsia="仿宋_GB2312"/>
          <w:sz w:val="32"/>
          <w:szCs w:val="32"/>
        </w:rPr>
      </w:pPr>
      <w:r>
        <w:rPr>
          <w:rFonts w:ascii="Times New Roman" w:eastAsia="仿宋_GB2312"/>
          <w:sz w:val="32"/>
          <w:szCs w:val="32"/>
        </w:rPr>
        <w:t>（</w:t>
      </w:r>
      <w:r>
        <w:rPr>
          <w:rFonts w:hint="eastAsia" w:ascii="Times New Roman" w:hAnsi="Times New Roman" w:eastAsia="仿宋_GB2312" w:cs="Times New Roman"/>
          <w:sz w:val="32"/>
          <w:szCs w:val="32"/>
          <w:lang w:val="en-US" w:eastAsia="zh-CN"/>
        </w:rPr>
        <w:t>采购</w:t>
      </w:r>
      <w:r>
        <w:rPr>
          <w:rFonts w:ascii="Times New Roman" w:hAnsi="Times New Roman" w:eastAsia="仿宋_GB2312" w:cs="Times New Roman"/>
          <w:sz w:val="32"/>
          <w:szCs w:val="32"/>
        </w:rPr>
        <w:t>编</w:t>
      </w:r>
      <w:r>
        <w:rPr>
          <w:rFonts w:ascii="Times New Roman" w:eastAsia="仿宋_GB2312"/>
          <w:sz w:val="32"/>
          <w:szCs w:val="32"/>
        </w:rPr>
        <w:t>号：</w:t>
      </w:r>
      <w:r>
        <w:rPr>
          <w:rFonts w:hint="eastAsia" w:ascii="Times New Roman" w:eastAsia="仿宋_GB2312"/>
          <w:sz w:val="32"/>
          <w:szCs w:val="32"/>
          <w:lang w:val="en-US" w:eastAsia="zh-CN"/>
        </w:rPr>
        <w:t xml:space="preserve">           </w:t>
      </w:r>
      <w:r>
        <w:rPr>
          <w:rFonts w:ascii="Times New Roman" w:eastAsia="仿宋_GB2312"/>
          <w:sz w:val="32"/>
          <w:szCs w:val="32"/>
        </w:rPr>
        <w:t>）</w:t>
      </w:r>
    </w:p>
    <w:p w14:paraId="2341AC88">
      <w:pPr>
        <w:pStyle w:val="55"/>
        <w:snapToGrid w:val="0"/>
        <w:spacing w:line="580" w:lineRule="exact"/>
        <w:ind w:firstLine="0"/>
        <w:rPr>
          <w:rFonts w:ascii="仿宋_GB2312" w:hAnsi="Times New Roman" w:eastAsia="仿宋_GB2312"/>
          <w:color w:val="000000"/>
          <w:sz w:val="32"/>
          <w:szCs w:val="32"/>
          <w:u w:val="single"/>
        </w:rPr>
      </w:pPr>
      <w:r>
        <w:rPr>
          <w:rFonts w:hint="eastAsia" w:ascii="Times New Roman" w:hAnsi="Times New Roman" w:eastAsia="仿宋_GB2312" w:cs="Times New Roman"/>
          <w:kern w:val="0"/>
          <w:sz w:val="32"/>
          <w:szCs w:val="32"/>
          <w:highlight w:val="none"/>
          <w:u w:val="single"/>
          <w:lang w:val="en-US" w:eastAsia="zh-CN" w:bidi="ar-SA"/>
          <w14:ligatures w14:val="none"/>
        </w:rPr>
        <w:t xml:space="preserve">                        </w:t>
      </w:r>
      <w:r>
        <w:rPr>
          <w:rFonts w:hint="eastAsia" w:ascii="仿宋_GB2312" w:hAnsi="Times New Roman" w:eastAsia="仿宋_GB2312"/>
          <w:color w:val="000000"/>
          <w:sz w:val="32"/>
          <w:szCs w:val="32"/>
          <w:highlight w:val="none"/>
        </w:rPr>
        <w:t xml:space="preserve">：  </w:t>
      </w:r>
      <w:r>
        <w:rPr>
          <w:rFonts w:hint="eastAsia" w:ascii="仿宋_GB2312" w:hAnsi="Times New Roman" w:eastAsia="仿宋_GB2312"/>
          <w:color w:val="000000"/>
          <w:sz w:val="32"/>
          <w:szCs w:val="32"/>
        </w:rPr>
        <w:t xml:space="preserve">                        </w:t>
      </w:r>
    </w:p>
    <w:p w14:paraId="2AB2D62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07709CC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2027D02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2250BA8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7017FC0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7EADCB1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3A20E5C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094FD4A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4D41555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034683A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759F405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0356042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C67C2A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107703D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609A245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588907E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42DE3AB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120F78B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066CF2D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0D6B8C5E">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2B24BF14">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1.投诉举报受理部门：</w:t>
      </w:r>
      <w:r>
        <w:rPr>
          <w:rFonts w:hint="default" w:ascii="Times New Roman" w:hAnsi="Times New Roman" w:eastAsia="仿宋_GB2312"/>
          <w:sz w:val="32"/>
          <w:szCs w:val="32"/>
          <w:lang w:val="en-US" w:eastAsia="zh-CN"/>
        </w:rPr>
        <w:t>东莞市水务环境投资控股集团</w:t>
      </w:r>
      <w:r>
        <w:rPr>
          <w:rFonts w:hint="eastAsia" w:ascii="Times New Roman" w:hAnsi="Times New Roman" w:eastAsia="仿宋_GB2312"/>
          <w:sz w:val="32"/>
          <w:szCs w:val="32"/>
          <w:lang w:val="en-US" w:eastAsia="zh-CN"/>
        </w:rPr>
        <w:t>有限公司</w:t>
      </w:r>
      <w:r>
        <w:rPr>
          <w:rFonts w:hint="default" w:ascii="Times New Roman" w:hAnsi="Times New Roman" w:eastAsia="仿宋_GB2312"/>
          <w:sz w:val="32"/>
          <w:szCs w:val="32"/>
        </w:rPr>
        <w:t>纪检监察部</w:t>
      </w:r>
      <w:r>
        <w:rPr>
          <w:rFonts w:ascii="Times New Roman" w:hAnsi="Times New Roman" w:eastAsia="仿宋_GB2312"/>
          <w:sz w:val="32"/>
          <w:szCs w:val="32"/>
        </w:rPr>
        <w:t>；</w:t>
      </w:r>
    </w:p>
    <w:p w14:paraId="1AF72472">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3CA40B04">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ascii="Times New Roman" w:hAnsi="Times New Roman" w:eastAsia="仿宋_GB2312"/>
          <w:sz w:val="32"/>
          <w:szCs w:val="32"/>
        </w:rPr>
        <w:t>东莞市东城街道育华路1号</w:t>
      </w:r>
      <w:r>
        <w:rPr>
          <w:rFonts w:hint="eastAsia" w:ascii="Times New Roman" w:hAnsi="Times New Roman" w:eastAsia="仿宋_GB2312"/>
          <w:sz w:val="32"/>
          <w:szCs w:val="32"/>
        </w:rPr>
        <w:t>；</w:t>
      </w:r>
    </w:p>
    <w:p w14:paraId="1E42476C">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0F999395">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3B434BA1">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24775243">
      <w:pPr>
        <w:pStyle w:val="55"/>
        <w:snapToGrid w:val="0"/>
        <w:spacing w:line="580" w:lineRule="exact"/>
        <w:ind w:firstLine="640" w:firstLineChars="200"/>
        <w:rPr>
          <w:rFonts w:ascii="仿宋_GB2312" w:hAnsi="Times New Roman" w:eastAsia="仿宋_GB2312"/>
          <w:sz w:val="32"/>
          <w:szCs w:val="32"/>
        </w:rPr>
      </w:pPr>
    </w:p>
    <w:p w14:paraId="2F345B35">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lang w:val="en-US" w:eastAsia="zh-CN"/>
        </w:rPr>
        <w:t xml:space="preserve">                                东莞市石鼓净水有限公司            </w:t>
      </w:r>
    </w:p>
    <w:p w14:paraId="63ABCA31">
      <w:pPr>
        <w:pStyle w:val="55"/>
        <w:snapToGrid w:val="0"/>
        <w:spacing w:line="580" w:lineRule="exact"/>
        <w:jc w:val="right"/>
        <w:rPr>
          <w:rFonts w:hint="eastAsia" w:ascii="仿宋_GB2312" w:hAnsi="Times New Roman" w:eastAsia="仿宋_GB2312"/>
          <w:sz w:val="32"/>
          <w:szCs w:val="32"/>
        </w:rPr>
        <w:sectPr>
          <w:pgSz w:w="11906" w:h="16838"/>
          <w:pgMar w:top="1134" w:right="1588" w:bottom="1440" w:left="1644" w:header="851" w:footer="992" w:gutter="0"/>
          <w:cols w:space="425" w:num="1"/>
          <w:docGrid w:linePitch="326" w:charSpace="0"/>
        </w:sect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年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月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日</w:t>
      </w:r>
    </w:p>
    <w:p w14:paraId="13B231C3">
      <w:pPr>
        <w:pStyle w:val="55"/>
        <w:snapToGrid w:val="0"/>
        <w:spacing w:line="580" w:lineRule="exact"/>
        <w:ind w:firstLine="2400" w:firstLineChars="500"/>
        <w:jc w:val="both"/>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3CEC0866">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3AB91553">
      <w:pPr>
        <w:pStyle w:val="55"/>
        <w:snapToGrid w:val="0"/>
        <w:spacing w:line="580" w:lineRule="exact"/>
        <w:ind w:firstLine="0"/>
        <w:jc w:val="center"/>
        <w:rPr>
          <w:rFonts w:ascii="楷体_GB2312" w:hAnsi="Times New Roman" w:eastAsia="楷体_GB2312"/>
          <w:sz w:val="28"/>
          <w:szCs w:val="28"/>
          <w:lang w:val="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仿宋_GB2312" w:cs="Times New Roman"/>
          <w:i w:val="0"/>
          <w:iCs w:val="0"/>
          <w:caps w:val="0"/>
          <w:color w:val="333333"/>
          <w:spacing w:val="0"/>
          <w:sz w:val="32"/>
          <w:szCs w:val="32"/>
          <w:shd w:val="clear" w:fill="FFFFFF"/>
          <w:lang w:val="en-US" w:eastAsia="zh-CN"/>
        </w:rPr>
        <w:t xml:space="preserve">      </w:t>
      </w:r>
      <w:r>
        <w:rPr>
          <w:rFonts w:hint="eastAsia" w:ascii="楷体_GB2312" w:hAnsi="Times New Roman" w:eastAsia="楷体_GB2312"/>
          <w:sz w:val="28"/>
          <w:szCs w:val="28"/>
          <w:lang w:val="zh-CN"/>
        </w:rPr>
        <w:t xml:space="preserve">  </w:t>
      </w:r>
    </w:p>
    <w:p w14:paraId="4C90C08A">
      <w:pPr>
        <w:pStyle w:val="55"/>
        <w:snapToGrid w:val="0"/>
        <w:spacing w:line="580" w:lineRule="exact"/>
        <w:ind w:firstLine="0"/>
        <w:jc w:val="center"/>
        <w:rPr>
          <w:rFonts w:ascii="楷体_GB2312" w:hAnsi="Times New Roman" w:eastAsia="楷体_GB2312"/>
          <w:sz w:val="28"/>
          <w:szCs w:val="28"/>
          <w:lang w:val="zh-CN"/>
        </w:rPr>
      </w:pPr>
    </w:p>
    <w:p w14:paraId="1952CB15">
      <w:pPr>
        <w:spacing w:line="580" w:lineRule="exact"/>
        <w:ind w:firstLine="600" w:firstLineChars="250"/>
        <w:rPr>
          <w:lang w:val="zh-CN"/>
        </w:rPr>
      </w:pPr>
      <w:r>
        <w:rPr>
          <w:lang w:val="zh-CN"/>
        </w:rPr>
        <w:t>我单位于</w:t>
      </w:r>
      <w:r>
        <w:rPr>
          <w:u w:val="single"/>
          <w:lang w:val="zh-CN"/>
        </w:rPr>
        <w:t xml:space="preserve">       </w:t>
      </w:r>
      <w:r>
        <w:rPr>
          <w:lang w:val="zh-CN"/>
        </w:rPr>
        <w:t>年</w:t>
      </w:r>
      <w:r>
        <w:rPr>
          <w:u w:val="single"/>
          <w:lang w:val="zh-CN"/>
        </w:rPr>
        <w:t xml:space="preserve">  </w:t>
      </w:r>
      <w:r>
        <w:rPr>
          <w:rFonts w:hint="eastAsia" w:eastAsia="宋体"/>
          <w:u w:val="single"/>
          <w:lang w:val="en-US" w:eastAsia="zh-CN"/>
        </w:rPr>
        <w:t xml:space="preserve">  </w:t>
      </w:r>
      <w:r>
        <w:rPr>
          <w:u w:val="single"/>
          <w:lang w:val="zh-CN"/>
        </w:rPr>
        <w:t xml:space="preserve">  </w:t>
      </w:r>
      <w:r>
        <w:rPr>
          <w:lang w:val="zh-CN"/>
        </w:rPr>
        <w:t>月</w:t>
      </w:r>
      <w:r>
        <w:rPr>
          <w:u w:val="single"/>
          <w:lang w:val="zh-CN"/>
        </w:rPr>
        <w:t xml:space="preserve">  </w:t>
      </w:r>
      <w:r>
        <w:rPr>
          <w:rFonts w:hint="eastAsia" w:eastAsia="宋体"/>
          <w:u w:val="single"/>
          <w:lang w:val="en-US" w:eastAsia="zh-CN"/>
        </w:rPr>
        <w:t xml:space="preserve"> </w:t>
      </w:r>
      <w:r>
        <w:rPr>
          <w:u w:val="single"/>
          <w:lang w:val="zh-CN"/>
        </w:rPr>
        <w:t xml:space="preserve">  </w:t>
      </w:r>
      <w:r>
        <w:rPr>
          <w:lang w:val="zh-CN"/>
        </w:rPr>
        <w:t>日收到</w:t>
      </w:r>
      <w:r>
        <w:rPr>
          <w:u w:val="single"/>
        </w:rPr>
        <w:t xml:space="preserve"> </w:t>
      </w:r>
      <w:r>
        <w:rPr>
          <w:rFonts w:hint="eastAsia" w:ascii="宋体" w:hAnsi="宋体" w:eastAsia="宋体" w:cs="宋体"/>
          <w:color w:val="000000" w:themeColor="text1"/>
          <w:sz w:val="24"/>
          <w:szCs w:val="24"/>
          <w:u w:val="single"/>
          <w14:textFill>
            <w14:solidFill>
              <w14:schemeClr w14:val="tx1"/>
            </w14:solidFill>
          </w14:textFill>
        </w:rPr>
        <w:t>东莞市石鼓净水有限公司</w:t>
      </w:r>
      <w:r>
        <w:rPr>
          <w:rFonts w:hint="eastAsia"/>
          <w:u w:val="single"/>
        </w:rPr>
        <w:t xml:space="preserve"> </w:t>
      </w:r>
      <w:r>
        <w:rPr>
          <w:lang w:val="zh-CN"/>
        </w:rPr>
        <w:t>的《阳光合作告知函》，承诺理解函告内容并告知相关人员严格执行其中规定。</w:t>
      </w:r>
    </w:p>
    <w:p w14:paraId="3F057F10">
      <w:pPr>
        <w:snapToGrid w:val="0"/>
        <w:spacing w:line="580" w:lineRule="exact"/>
        <w:rPr>
          <w:lang w:val="zh-CN"/>
        </w:rPr>
      </w:pPr>
    </w:p>
    <w:p w14:paraId="4BEFCB28">
      <w:pPr>
        <w:snapToGrid w:val="0"/>
        <w:spacing w:line="580" w:lineRule="exact"/>
        <w:jc w:val="right"/>
        <w:rPr>
          <w:lang w:val="zh-CN"/>
        </w:rPr>
      </w:pPr>
      <w:r>
        <w:rPr>
          <w:rFonts w:hint="eastAsia" w:ascii="仿宋_GB2312" w:hAnsi="仿宋" w:eastAsia="宋体" w:cs="仿宋"/>
          <w:bCs/>
          <w:szCs w:val="21"/>
          <w:u w:val="single"/>
          <w:lang w:val="en-US" w:eastAsia="zh-CN"/>
        </w:rPr>
        <w:t xml:space="preserve">                       </w:t>
      </w:r>
      <w:r>
        <w:rPr>
          <w:rFonts w:hint="eastAsia" w:ascii="仿宋_GB2312" w:hAnsi="仿宋" w:cs="仿宋"/>
          <w:bCs/>
          <w:szCs w:val="21"/>
          <w:u w:val="single"/>
        </w:rPr>
        <w:t>公司</w:t>
      </w:r>
      <w:r>
        <w:rPr>
          <w:lang w:val="zh-CN"/>
        </w:rPr>
        <w:t>（盖章）</w:t>
      </w:r>
    </w:p>
    <w:p w14:paraId="1F454641">
      <w:pPr>
        <w:snapToGrid w:val="0"/>
        <w:spacing w:line="580" w:lineRule="exact"/>
        <w:rPr>
          <w:lang w:val="zh-CN"/>
        </w:rPr>
      </w:pPr>
    </w:p>
    <w:p w14:paraId="6D752545">
      <w:pPr>
        <w:snapToGrid w:val="0"/>
        <w:spacing w:line="580" w:lineRule="exact"/>
        <w:ind w:right="1280" w:firstLine="3840" w:firstLineChars="1600"/>
        <w:jc w:val="right"/>
        <w:rPr>
          <w:rFonts w:hint="eastAsia" w:ascii="仿宋_GB2312" w:hAnsi="Times New Roman" w:eastAsia="仿宋_GB2312"/>
          <w:sz w:val="32"/>
          <w:szCs w:val="32"/>
        </w:rPr>
        <w:sectPr>
          <w:pgSz w:w="11906" w:h="16838"/>
          <w:pgMar w:top="1134" w:right="1588" w:bottom="1440" w:left="1644" w:header="851" w:footer="992" w:gutter="0"/>
          <w:cols w:space="425" w:num="1"/>
          <w:docGrid w:linePitch="326" w:charSpace="0"/>
        </w:sectPr>
      </w:pPr>
      <w:r>
        <w:t>法</w:t>
      </w:r>
      <w:r>
        <w:rPr>
          <w:rFonts w:hint="eastAsia"/>
          <w:lang w:val="en-US" w:eastAsia="zh-CN"/>
        </w:rPr>
        <w:t xml:space="preserve">  </w:t>
      </w:r>
      <w:r>
        <w:t>定</w:t>
      </w:r>
      <w:r>
        <w:rPr>
          <w:rFonts w:hint="eastAsia"/>
          <w:lang w:val="en-US" w:eastAsia="zh-CN"/>
        </w:rPr>
        <w:t xml:space="preserve">  </w:t>
      </w:r>
      <w:r>
        <w:t>代</w:t>
      </w:r>
      <w:r>
        <w:rPr>
          <w:rFonts w:hint="eastAsia"/>
          <w:lang w:val="en-US" w:eastAsia="zh-CN"/>
        </w:rPr>
        <w:t xml:space="preserve">  </w:t>
      </w:r>
      <w:r>
        <w:t>表</w:t>
      </w:r>
      <w:r>
        <w:rPr>
          <w:rFonts w:hint="eastAsia"/>
          <w:lang w:val="en-US" w:eastAsia="zh-CN"/>
        </w:rPr>
        <w:t xml:space="preserve">  </w:t>
      </w:r>
      <w:r>
        <w:t>人：</w:t>
      </w:r>
      <w:r>
        <w:rPr>
          <w:rFonts w:hint="eastAsia" w:eastAsia="宋体"/>
          <w:lang w:val="en-US" w:eastAsia="zh-CN"/>
        </w:rPr>
        <w:t xml:space="preserve">                                                                                                                         </w:t>
      </w:r>
      <w:r>
        <w:t xml:space="preserve">年    </w:t>
      </w:r>
      <w:r>
        <w:rPr>
          <w:rFonts w:hint="eastAsia" w:eastAsia="宋体"/>
          <w:lang w:val="en-US" w:eastAsia="zh-CN"/>
        </w:rPr>
        <w:t xml:space="preserve">     </w:t>
      </w:r>
      <w:r>
        <w:t xml:space="preserve">月  </w:t>
      </w:r>
      <w:r>
        <w:rPr>
          <w:rFonts w:hint="eastAsia" w:eastAsia="宋体"/>
          <w:lang w:val="en-US" w:eastAsia="zh-CN"/>
        </w:rPr>
        <w:t xml:space="preserve">    </w:t>
      </w:r>
      <w:r>
        <w:t xml:space="preserve"> </w:t>
      </w:r>
    </w:p>
    <w:p w14:paraId="39B45ECF">
      <w:pPr>
        <w:pStyle w:val="3"/>
        <w:spacing w:before="0" w:after="0"/>
        <w:jc w:val="center"/>
        <w:rPr>
          <w:rFonts w:hAnsi="宋体" w:cs="宋体"/>
          <w:szCs w:val="32"/>
        </w:rPr>
      </w:pPr>
      <w:bookmarkStart w:id="22" w:name="_Toc29476707"/>
      <w:r>
        <w:rPr>
          <w:rFonts w:hint="eastAsia" w:hAnsi="宋体" w:cs="宋体"/>
          <w:szCs w:val="32"/>
        </w:rPr>
        <w:t>第四章 报价须知</w:t>
      </w:r>
      <w:bookmarkEnd w:id="22"/>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w:t>
      </w:r>
      <w:r>
        <w:rPr>
          <w:rFonts w:hint="eastAsia" w:hAnsi="宋体" w:cs="宋体"/>
          <w:lang w:val="en-US" w:eastAsia="zh-CN"/>
        </w:rPr>
        <w:t>供应商</w:t>
      </w:r>
      <w:r>
        <w:rPr>
          <w:rFonts w:hint="eastAsia" w:hAnsi="宋体" w:cs="宋体"/>
        </w:rPr>
        <w:t>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1D375EF7">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14:textFill>
            <w14:solidFill>
              <w14:schemeClr w14:val="tx1"/>
            </w14:solidFill>
          </w14:textFill>
        </w:rPr>
        <w:t>；</w:t>
      </w:r>
    </w:p>
    <w:p w14:paraId="0B9A0995">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ascii="Times New Roman"/>
          <w:lang w:val="en-US" w:eastAsia="zh-CN"/>
        </w:rPr>
        <w:t>提供</w:t>
      </w:r>
      <w:r>
        <w:rPr>
          <w:rFonts w:ascii="Times New Roman"/>
        </w:rPr>
        <w:t>一</w:t>
      </w:r>
      <w:r>
        <w:rPr>
          <w:rFonts w:hint="eastAsia" w:ascii="Times New Roman"/>
          <w:lang w:val="en-US" w:eastAsia="zh-CN"/>
        </w:rPr>
        <w:t>份能源（耗）在线监测系统或相关</w:t>
      </w:r>
      <w:r>
        <w:rPr>
          <w:rFonts w:ascii="Times New Roman"/>
        </w:rPr>
        <w:t>业绩（合同签订日期为2022年1月1日或以后）</w:t>
      </w:r>
      <w:r>
        <w:rPr>
          <w:rFonts w:hint="eastAsia" w:hAnsi="宋体" w:cs="宋体"/>
        </w:rPr>
        <w:t>；</w:t>
      </w:r>
    </w:p>
    <w:p w14:paraId="6512F6A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承诺函。</w:t>
      </w:r>
    </w:p>
    <w:p w14:paraId="740B6A7D">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w:t>
      </w:r>
      <w:r>
        <w:rPr>
          <w:rFonts w:hint="eastAsia" w:ascii="Times New Roman" w:cs="宋体"/>
          <w:lang w:val="en-US" w:eastAsia="zh-CN"/>
        </w:rPr>
        <w:t>公</w:t>
      </w:r>
      <w:r>
        <w:rPr>
          <w:rFonts w:hint="eastAsia" w:ascii="Times New Roman" w:cs="宋体"/>
        </w:rPr>
        <w:t>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w:t>
      </w:r>
      <w:r>
        <w:rPr>
          <w:rFonts w:hint="eastAsia" w:ascii="Times New Roman" w:cs="宋体"/>
          <w:lang w:val="en-US" w:eastAsia="zh-CN"/>
        </w:rPr>
        <w:t>公</w:t>
      </w:r>
      <w:r>
        <w:rPr>
          <w:rFonts w:hint="eastAsia" w:ascii="Times New Roman" w:cs="宋体"/>
        </w:rPr>
        <w:t>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16FF30C">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588C011B">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00C94938">
      <w:pPr>
        <w:spacing w:line="360" w:lineRule="auto"/>
        <w:ind w:firstLine="481"/>
        <w:rPr>
          <w:rFonts w:hint="eastAsia"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w:t>
      </w:r>
      <w:r>
        <w:rPr>
          <w:rFonts w:hint="eastAsia" w:hAnsi="宋体" w:cs="宋体"/>
          <w:b/>
          <w:bCs/>
          <w:color w:val="000000" w:themeColor="text1"/>
          <w:lang w:val="en-US" w:eastAsia="zh-CN"/>
          <w14:textFill>
            <w14:solidFill>
              <w14:schemeClr w14:val="tx1"/>
            </w14:solidFill>
          </w14:textFill>
        </w:rPr>
        <w:t>集团净水有限公</w:t>
      </w:r>
      <w:r>
        <w:rPr>
          <w:rFonts w:hint="eastAsia" w:hAnsi="宋体" w:cs="宋体"/>
          <w:b/>
          <w:bCs/>
          <w:color w:val="000000" w:themeColor="text1"/>
          <w14:textFill>
            <w14:solidFill>
              <w14:schemeClr w14:val="tx1"/>
            </w14:solidFill>
          </w14:textFill>
        </w:rPr>
        <w:t>司</w:t>
      </w:r>
      <w:r>
        <w:rPr>
          <w:rFonts w:hint="eastAsia" w:hAnsi="宋体" w:cs="宋体"/>
          <w:b/>
        </w:rPr>
        <w:t>或东莞市石鼓净水有限公司或东莞市樟村水质净化有限公司或东莞市清源净水科技有限公司或东莞市莞水装备科技有限公司</w:t>
      </w:r>
      <w:r>
        <w:rPr>
          <w:rFonts w:hint="eastAsia" w:hAnsi="宋体" w:cs="宋体"/>
          <w:b/>
          <w:lang w:val="en-US" w:eastAsia="zh-CN"/>
        </w:rPr>
        <w:t>或东莞市众源环境投资有限公司或东莞市尚源环能科技有限公司</w:t>
      </w:r>
      <w:r>
        <w:rPr>
          <w:rFonts w:hint="eastAsia" w:hAnsi="宋体" w:cs="宋体"/>
          <w:b/>
        </w:rPr>
        <w:t>签署合同。</w:t>
      </w:r>
    </w:p>
    <w:p w14:paraId="78069EE3">
      <w:pPr>
        <w:spacing w:line="360" w:lineRule="auto"/>
        <w:ind w:firstLine="481"/>
        <w:rPr>
          <w:rFonts w:hint="eastAsia" w:hAnsi="宋体" w:cs="宋体"/>
          <w:b/>
        </w:rPr>
      </w:pPr>
    </w:p>
    <w:p w14:paraId="65B5212E">
      <w:pPr>
        <w:spacing w:line="360" w:lineRule="auto"/>
        <w:ind w:firstLine="481"/>
        <w:rPr>
          <w:rFonts w:hint="eastAsia" w:hAnsi="宋体" w:cs="宋体"/>
          <w:b/>
        </w:rPr>
      </w:pPr>
    </w:p>
    <w:p w14:paraId="7E96256A">
      <w:pPr>
        <w:spacing w:line="360" w:lineRule="auto"/>
        <w:ind w:firstLine="481"/>
        <w:rPr>
          <w:rFonts w:hAnsi="宋体" w:cs="宋体"/>
          <w:b/>
        </w:rPr>
      </w:pPr>
      <w:r>
        <w:rPr>
          <w:rFonts w:hint="eastAsia" w:hAnsi="宋体" w:cs="宋体"/>
          <w:b/>
        </w:rPr>
        <w:t>六、特别说明</w:t>
      </w:r>
    </w:p>
    <w:p w14:paraId="4618AA25">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14:paraId="4577B1C1">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14:paraId="281FD32A">
      <w:pPr>
        <w:spacing w:line="360" w:lineRule="auto"/>
        <w:ind w:firstLine="482" w:firstLineChars="200"/>
        <w:rPr>
          <w:rFonts w:hAnsi="宋体" w:cs="宋体"/>
          <w:b/>
        </w:rPr>
      </w:pPr>
      <w:r>
        <w:rPr>
          <w:rFonts w:hint="eastAsia" w:hAnsi="宋体" w:cs="宋体"/>
          <w:b/>
        </w:rPr>
        <w:t>上述情况一经发现，相关报价均无效。</w:t>
      </w:r>
    </w:p>
    <w:p w14:paraId="00B6DBF0">
      <w:pPr>
        <w:spacing w:line="360" w:lineRule="auto"/>
        <w:rPr>
          <w:rFonts w:hAnsi="宋体" w:cs="宋体"/>
        </w:rPr>
      </w:pPr>
      <w:r>
        <w:rPr>
          <w:rFonts w:hint="eastAsia" w:hAnsi="宋体" w:cs="宋体"/>
        </w:rPr>
        <w:br w:type="page"/>
      </w:r>
    </w:p>
    <w:p w14:paraId="107ACE53">
      <w:pPr>
        <w:spacing w:line="360" w:lineRule="auto"/>
        <w:rPr>
          <w:rFonts w:hAnsi="宋体" w:cs="宋体"/>
        </w:rPr>
      </w:pPr>
    </w:p>
    <w:p w14:paraId="2C585EA0">
      <w:pPr>
        <w:pStyle w:val="3"/>
        <w:spacing w:before="0" w:after="0"/>
        <w:jc w:val="center"/>
        <w:rPr>
          <w:rFonts w:hAnsi="宋体" w:cs="宋体"/>
          <w:szCs w:val="32"/>
        </w:rPr>
      </w:pPr>
      <w:bookmarkStart w:id="23" w:name="_Toc29476708"/>
      <w:r>
        <w:rPr>
          <w:rFonts w:hint="eastAsia" w:hAnsi="宋体" w:cs="宋体"/>
          <w:szCs w:val="32"/>
        </w:rPr>
        <w:t>第五章 报价文件（格式）</w:t>
      </w:r>
      <w:bookmarkEnd w:id="23"/>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市区厂能源在线监测系统对接市平台采购项目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9"/>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lang w:val="en-US" w:eastAsia="zh-CN"/>
              </w:rPr>
              <w:t>完成</w:t>
            </w:r>
            <w:r>
              <w:rPr>
                <w:rFonts w:hint="eastAsia" w:hAnsi="宋体" w:cs="宋体"/>
                <w:color w:val="000000"/>
                <w:sz w:val="24"/>
                <w:szCs w:val="28"/>
              </w:rPr>
              <w:t>时间</w:t>
            </w:r>
          </w:p>
        </w:tc>
        <w:tc>
          <w:tcPr>
            <w:tcW w:w="7082" w:type="dxa"/>
            <w:shd w:val="clear" w:color="auto" w:fill="auto"/>
            <w:vAlign w:val="center"/>
          </w:tcPr>
          <w:p w14:paraId="56546C9B">
            <w:pPr>
              <w:autoSpaceDE/>
              <w:autoSpaceDN/>
              <w:adjustRightInd/>
              <w:jc w:val="center"/>
              <w:rPr>
                <w:rFonts w:hint="eastAsia" w:hAnsi="宋体" w:eastAsia="宋体"/>
                <w:bCs/>
                <w:color w:val="000000"/>
                <w:lang w:val="en-US" w:eastAsia="zh-CN"/>
              </w:rPr>
            </w:pPr>
            <w:r>
              <w:rPr>
                <w:rFonts w:hint="eastAsia" w:hAnsi="宋体"/>
                <w:bCs/>
                <w:color w:val="000000"/>
                <w:szCs w:val="21"/>
              </w:rPr>
              <w:t>详见用户需求书</w:t>
            </w:r>
            <w:r>
              <w:rPr>
                <w:rFonts w:hint="eastAsia" w:hAnsi="宋体"/>
                <w:bCs/>
                <w:color w:val="000000"/>
                <w:szCs w:val="21"/>
                <w:lang w:eastAsia="zh-CN"/>
              </w:rPr>
              <w:t>。</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9"/>
              </w:numPr>
              <w:autoSpaceDE/>
              <w:autoSpaceDN/>
              <w:adjustRightInd/>
              <w:jc w:val="both"/>
              <w:rPr>
                <w:rFonts w:ascii="Times New Roman"/>
                <w:b w:val="0"/>
                <w:bCs w:val="0"/>
              </w:rPr>
            </w:pP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9"/>
              </w:numPr>
              <w:autoSpaceDE/>
              <w:autoSpaceDN/>
              <w:adjustRightInd/>
              <w:jc w:val="both"/>
              <w:rPr>
                <w:rFonts w:ascii="Times New Roman"/>
                <w:b w:val="0"/>
                <w:bCs w:val="0"/>
              </w:rPr>
            </w:pPr>
            <w:r>
              <w:rPr>
                <w:rFonts w:ascii="Times New Roman"/>
                <w:b w:val="0"/>
                <w:bCs w:val="0"/>
              </w:rPr>
              <w:t>不含税总报价不得高于本项目不含税最高限价</w:t>
            </w:r>
            <w:r>
              <w:rPr>
                <w:rFonts w:hint="eastAsia" w:ascii="Times New Roman"/>
                <w:b w:val="0"/>
                <w:bCs w:val="0"/>
              </w:rPr>
              <w:t>（</w:t>
            </w:r>
            <w:r>
              <w:rPr>
                <w:rFonts w:hint="eastAsia" w:hAnsi="宋体" w:cs="宋体"/>
                <w:b/>
                <w:bCs/>
                <w:color w:val="auto"/>
                <w:sz w:val="24"/>
                <w:szCs w:val="24"/>
                <w:highlight w:val="none"/>
                <w:lang w:val="en-US" w:eastAsia="zh-CN"/>
              </w:rPr>
              <w:t>47,166.60</w:t>
            </w:r>
            <w:r>
              <w:rPr>
                <w:rFonts w:hint="eastAsia" w:ascii="Times New Roman"/>
                <w:b/>
                <w:bCs/>
              </w:rPr>
              <w:t>元</w:t>
            </w:r>
            <w:r>
              <w:rPr>
                <w:rFonts w:ascii="Times New Roman"/>
                <w:b w:val="0"/>
                <w:bCs w:val="0"/>
              </w:rPr>
              <w:t>），否则视为无效报价。</w:t>
            </w:r>
          </w:p>
          <w:p w14:paraId="3326E9C3">
            <w:pPr>
              <w:numPr>
                <w:ilvl w:val="0"/>
                <w:numId w:val="9"/>
              </w:numPr>
              <w:autoSpaceDE/>
              <w:autoSpaceDN/>
              <w:adjustRightInd/>
              <w:jc w:val="both"/>
            </w:pPr>
            <w:r>
              <w:rPr>
                <w:rFonts w:ascii="Times New Roman"/>
                <w:b w:val="0"/>
                <w:bCs w:val="0"/>
              </w:rPr>
              <w:t>当分项报价明细表内累计与报价表不符时，以报价表为准，修正分项报价明细表内的各项报价。</w:t>
            </w:r>
          </w:p>
          <w:p w14:paraId="493D6F2E">
            <w:pPr>
              <w:numPr>
                <w:ilvl w:val="0"/>
                <w:numId w:val="9"/>
              </w:numPr>
              <w:autoSpaceDE/>
              <w:autoSpaceDN/>
              <w:adjustRightInd/>
              <w:jc w:val="both"/>
              <w:rPr>
                <w:rFonts w:ascii="Times New Roman"/>
                <w:b/>
                <w:bCs/>
              </w:rPr>
            </w:pPr>
            <w:r>
              <w:rPr>
                <w:rFonts w:hint="eastAsia" w:ascii="Times New Roman"/>
                <w:b w:val="0"/>
                <w:bCs w:val="0"/>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49A74F83">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70B1A50F">
      <w:pPr>
        <w:spacing w:line="360" w:lineRule="auto"/>
        <w:rPr>
          <w:rFonts w:hAnsi="宋体" w:cs="宋体"/>
          <w:b/>
          <w:color w:val="000000"/>
          <w:sz w:val="28"/>
          <w:szCs w:val="28"/>
        </w:rPr>
        <w:sectPr>
          <w:footerReference r:id="rId5"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5"/>
        <w:jc w:val="center"/>
        <w:rPr>
          <w:rFonts w:hint="default" w:eastAsia="宋体"/>
          <w:b/>
          <w:bCs/>
          <w:color w:val="FF0000"/>
          <w:lang w:val="en-US" w:eastAsia="zh-CN"/>
        </w:rPr>
        <w:sectPr>
          <w:pgSz w:w="11906" w:h="16838"/>
          <w:pgMar w:top="1440" w:right="1803" w:bottom="1440" w:left="1803" w:header="851" w:footer="992" w:gutter="0"/>
          <w:cols w:space="0" w:num="1"/>
          <w:rtlGutter w:val="0"/>
          <w:docGrid w:type="lines" w:linePitch="332" w:charSpace="0"/>
        </w:sectPr>
      </w:pPr>
      <w:r>
        <w:rPr>
          <w:rFonts w:hint="eastAsia"/>
          <w:b/>
          <w:bCs/>
          <w:color w:val="FF0000"/>
          <w:lang w:val="en-US" w:eastAsia="zh-CN"/>
        </w:rPr>
        <w:t>（详见附件：</w:t>
      </w:r>
      <w:r>
        <w:rPr>
          <w:rFonts w:hint="eastAsia" w:ascii="Times New Roman" w:hAnsi="Times New Roman" w:eastAsia="宋体" w:cs="等线"/>
          <w:b/>
          <w:bCs/>
          <w:color w:val="FF0000"/>
          <w:sz w:val="24"/>
          <w:szCs w:val="24"/>
          <w:u w:val="none"/>
        </w:rPr>
        <w:t>市区厂能源在线监测系统对接市平台采购项目</w:t>
      </w:r>
      <w:r>
        <w:rPr>
          <w:rFonts w:hint="eastAsia" w:hAnsi="宋体" w:cs="宋体"/>
          <w:b/>
          <w:bCs/>
          <w:i w:val="0"/>
          <w:iCs w:val="0"/>
          <w:caps w:val="0"/>
          <w:color w:val="FF0000"/>
          <w:spacing w:val="0"/>
          <w:sz w:val="24"/>
          <w:szCs w:val="24"/>
          <w:shd w:val="clear" w:fill="FFFFFF"/>
          <w:lang w:val="en-US" w:eastAsia="zh-CN"/>
        </w:rPr>
        <w:t>分项报表）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24" w:name="_Hlk26973180"/>
      <w:r>
        <w:rPr>
          <w:rFonts w:hint="eastAsia" w:hAnsi="宋体" w:cs="宋体"/>
          <w:b/>
          <w:color w:val="000000"/>
          <w:sz w:val="28"/>
          <w:szCs w:val="28"/>
        </w:rPr>
        <w:t>响应声明</w:t>
      </w:r>
    </w:p>
    <w:bookmarkEnd w:id="24"/>
    <w:p w14:paraId="5464570B">
      <w:pPr>
        <w:spacing w:line="360" w:lineRule="auto"/>
        <w:ind w:firstLine="480" w:firstLineChars="200"/>
        <w:rPr>
          <w:rFonts w:hAnsi="宋体" w:cs="宋体"/>
        </w:rPr>
      </w:pPr>
      <w:bookmarkStart w:id="25" w:name="_Toc513226437"/>
      <w:bookmarkStart w:id="26" w:name="_Toc534278252"/>
      <w:bookmarkStart w:id="27"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1FB75ECD">
      <w:pPr>
        <w:spacing w:line="360" w:lineRule="auto"/>
        <w:rPr>
          <w:rFonts w:hint="eastAsia" w:ascii="Times New Roman"/>
          <w:b/>
          <w:color w:val="000000" w:themeColor="text1"/>
          <w:sz w:val="28"/>
          <w:szCs w:val="28"/>
          <w14:textFill>
            <w14:solidFill>
              <w14:schemeClr w14:val="tx1"/>
            </w14:solidFill>
          </w14:textFill>
        </w:rPr>
      </w:pPr>
    </w:p>
    <w:p w14:paraId="205F5A77">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029FED8F">
      <w:pPr>
        <w:spacing w:line="360" w:lineRule="auto"/>
        <w:rPr>
          <w:rFonts w:ascii="Times New Roman"/>
          <w:b/>
          <w:bCs/>
          <w:color w:val="000000"/>
          <w:sz w:val="21"/>
          <w:szCs w:val="21"/>
        </w:rPr>
      </w:pPr>
    </w:p>
    <w:p w14:paraId="17C4C265">
      <w:pPr>
        <w:spacing w:line="360" w:lineRule="auto"/>
        <w:rPr>
          <w:rFonts w:ascii="Times New Roman"/>
          <w:b/>
          <w:bCs/>
          <w:color w:val="000000"/>
          <w:sz w:val="21"/>
          <w:szCs w:val="21"/>
        </w:rPr>
      </w:pPr>
    </w:p>
    <w:p w14:paraId="60D6FDA0">
      <w:pPr>
        <w:pStyle w:val="2"/>
        <w:rPr>
          <w:rFonts w:ascii="Times New Roman"/>
          <w:b/>
          <w:bCs/>
          <w:color w:val="000000"/>
          <w:sz w:val="21"/>
          <w:szCs w:val="21"/>
        </w:rPr>
      </w:pPr>
    </w:p>
    <w:p w14:paraId="78082535">
      <w:pPr>
        <w:pStyle w:val="16"/>
        <w:rPr>
          <w:rFonts w:ascii="Times New Roman"/>
          <w:b/>
          <w:bCs/>
          <w:color w:val="000000"/>
          <w:sz w:val="21"/>
          <w:szCs w:val="21"/>
        </w:rPr>
      </w:pPr>
    </w:p>
    <w:p w14:paraId="50015BD8">
      <w:pPr>
        <w:rPr>
          <w:rFonts w:ascii="Times New Roman"/>
          <w:b/>
          <w:bCs/>
          <w:color w:val="000000"/>
          <w:sz w:val="21"/>
          <w:szCs w:val="21"/>
        </w:rPr>
      </w:pPr>
    </w:p>
    <w:p w14:paraId="49363A27">
      <w:pPr>
        <w:pStyle w:val="2"/>
        <w:rPr>
          <w:rFonts w:ascii="Times New Roman"/>
          <w:b/>
          <w:bCs/>
          <w:color w:val="000000"/>
          <w:sz w:val="21"/>
          <w:szCs w:val="21"/>
        </w:rPr>
      </w:pPr>
    </w:p>
    <w:p w14:paraId="21E27018">
      <w:pPr>
        <w:pStyle w:val="16"/>
        <w:rPr>
          <w:rFonts w:ascii="Times New Roman"/>
          <w:b/>
          <w:bCs/>
          <w:color w:val="000000"/>
          <w:sz w:val="21"/>
          <w:szCs w:val="21"/>
        </w:rPr>
      </w:pPr>
    </w:p>
    <w:p w14:paraId="423E8DBC">
      <w:pPr>
        <w:rPr>
          <w:rFonts w:ascii="Times New Roman"/>
          <w:b/>
          <w:bCs/>
          <w:color w:val="000000"/>
          <w:sz w:val="21"/>
          <w:szCs w:val="21"/>
        </w:rPr>
      </w:pPr>
    </w:p>
    <w:p w14:paraId="758CDF07">
      <w:pPr>
        <w:pStyle w:val="2"/>
        <w:rPr>
          <w:rFonts w:ascii="Times New Roman"/>
          <w:b/>
          <w:bCs/>
          <w:color w:val="000000"/>
          <w:sz w:val="21"/>
          <w:szCs w:val="21"/>
        </w:rPr>
      </w:pPr>
    </w:p>
    <w:p w14:paraId="0A9763F4">
      <w:pPr>
        <w:pStyle w:val="16"/>
        <w:rPr>
          <w:rFonts w:ascii="Times New Roman"/>
          <w:b/>
          <w:bCs/>
          <w:color w:val="000000"/>
          <w:sz w:val="21"/>
          <w:szCs w:val="21"/>
        </w:rPr>
      </w:pPr>
    </w:p>
    <w:p w14:paraId="080A5FE8">
      <w:pPr>
        <w:rPr>
          <w:rFonts w:ascii="Times New Roman"/>
          <w:b/>
          <w:bCs/>
          <w:color w:val="000000"/>
          <w:sz w:val="21"/>
          <w:szCs w:val="21"/>
        </w:rPr>
      </w:pPr>
    </w:p>
    <w:p w14:paraId="17742FEB">
      <w:pPr>
        <w:pStyle w:val="2"/>
        <w:rPr>
          <w:rFonts w:ascii="Times New Roman"/>
          <w:b/>
          <w:bCs/>
          <w:color w:val="000000"/>
          <w:sz w:val="21"/>
          <w:szCs w:val="21"/>
        </w:rPr>
      </w:pPr>
    </w:p>
    <w:p w14:paraId="23A2A6F4">
      <w:pPr>
        <w:pStyle w:val="16"/>
        <w:rPr>
          <w:rFonts w:ascii="Times New Roman"/>
          <w:b/>
          <w:bCs/>
          <w:color w:val="000000"/>
          <w:sz w:val="21"/>
          <w:szCs w:val="21"/>
        </w:rPr>
      </w:pPr>
    </w:p>
    <w:p w14:paraId="0C7A01B1">
      <w:pPr>
        <w:rPr>
          <w:rFonts w:ascii="Times New Roman"/>
          <w:b/>
          <w:bCs/>
          <w:color w:val="000000"/>
          <w:sz w:val="21"/>
          <w:szCs w:val="21"/>
        </w:rPr>
      </w:pPr>
    </w:p>
    <w:p w14:paraId="1B417F84">
      <w:pPr>
        <w:pStyle w:val="2"/>
        <w:rPr>
          <w:rFonts w:ascii="Times New Roman"/>
          <w:b/>
          <w:bCs/>
          <w:color w:val="000000"/>
          <w:sz w:val="21"/>
          <w:szCs w:val="21"/>
        </w:rPr>
      </w:pPr>
    </w:p>
    <w:p w14:paraId="6A21C9E1">
      <w:pPr>
        <w:pStyle w:val="16"/>
        <w:rPr>
          <w:rFonts w:ascii="Times New Roman"/>
          <w:b/>
          <w:bCs/>
          <w:color w:val="000000"/>
          <w:sz w:val="21"/>
          <w:szCs w:val="21"/>
        </w:rPr>
      </w:pPr>
    </w:p>
    <w:p w14:paraId="3F6E2F33">
      <w:pPr>
        <w:rPr>
          <w:rFonts w:ascii="Times New Roman"/>
          <w:b/>
          <w:bCs/>
          <w:color w:val="000000"/>
          <w:sz w:val="21"/>
          <w:szCs w:val="21"/>
        </w:rPr>
      </w:pPr>
    </w:p>
    <w:p w14:paraId="6AAA54DE">
      <w:pPr>
        <w:pStyle w:val="2"/>
        <w:rPr>
          <w:rFonts w:ascii="Times New Roman"/>
          <w:b/>
          <w:bCs/>
          <w:color w:val="000000"/>
          <w:sz w:val="21"/>
          <w:szCs w:val="21"/>
        </w:rPr>
      </w:pPr>
    </w:p>
    <w:p w14:paraId="60EED31F">
      <w:pPr>
        <w:pStyle w:val="16"/>
        <w:rPr>
          <w:rFonts w:ascii="Times New Roman"/>
          <w:b/>
          <w:bCs/>
          <w:color w:val="000000"/>
          <w:sz w:val="21"/>
          <w:szCs w:val="21"/>
        </w:rPr>
      </w:pPr>
    </w:p>
    <w:p w14:paraId="3CF67262">
      <w:pPr>
        <w:rPr>
          <w:rFonts w:ascii="Times New Roman"/>
          <w:b/>
          <w:bCs/>
          <w:color w:val="000000"/>
          <w:sz w:val="21"/>
          <w:szCs w:val="21"/>
        </w:rPr>
      </w:pPr>
    </w:p>
    <w:p w14:paraId="343EFFBF">
      <w:pPr>
        <w:pStyle w:val="2"/>
        <w:rPr>
          <w:rFonts w:ascii="Times New Roman"/>
          <w:b/>
          <w:bCs/>
          <w:color w:val="000000"/>
          <w:sz w:val="21"/>
          <w:szCs w:val="21"/>
        </w:rPr>
      </w:pPr>
    </w:p>
    <w:p w14:paraId="434E0FD9">
      <w:pPr>
        <w:pStyle w:val="16"/>
        <w:rPr>
          <w:rFonts w:ascii="Times New Roman"/>
          <w:b/>
          <w:bCs/>
          <w:color w:val="000000"/>
          <w:sz w:val="21"/>
          <w:szCs w:val="21"/>
        </w:rPr>
      </w:pPr>
    </w:p>
    <w:p w14:paraId="73411DA7">
      <w:pPr>
        <w:rPr>
          <w:rFonts w:ascii="Times New Roman"/>
          <w:b/>
          <w:bCs/>
          <w:color w:val="000000"/>
          <w:sz w:val="21"/>
          <w:szCs w:val="21"/>
        </w:rPr>
      </w:pPr>
    </w:p>
    <w:p w14:paraId="444BE5DA">
      <w:pPr>
        <w:pStyle w:val="2"/>
        <w:rPr>
          <w:rFonts w:ascii="Times New Roman"/>
          <w:b/>
          <w:bCs/>
          <w:color w:val="000000"/>
          <w:sz w:val="21"/>
          <w:szCs w:val="21"/>
        </w:rPr>
      </w:pPr>
    </w:p>
    <w:p w14:paraId="3493CF63">
      <w:pPr>
        <w:pStyle w:val="16"/>
        <w:rPr>
          <w:rFonts w:ascii="Times New Roman"/>
          <w:b/>
          <w:bCs/>
          <w:color w:val="000000"/>
          <w:sz w:val="21"/>
          <w:szCs w:val="21"/>
        </w:rPr>
      </w:pPr>
    </w:p>
    <w:p w14:paraId="3477AA51">
      <w:pPr>
        <w:rPr>
          <w:rFonts w:ascii="Times New Roman"/>
          <w:b/>
          <w:bCs/>
          <w:color w:val="000000"/>
          <w:sz w:val="21"/>
          <w:szCs w:val="21"/>
        </w:rPr>
      </w:pPr>
    </w:p>
    <w:p w14:paraId="364EF705">
      <w:pPr>
        <w:spacing w:line="360" w:lineRule="auto"/>
        <w:rPr>
          <w:rFonts w:hAnsi="宋体" w:cs="宋体"/>
          <w:b/>
          <w:sz w:val="28"/>
          <w:szCs w:val="28"/>
        </w:rPr>
      </w:pPr>
      <w:r>
        <w:rPr>
          <w:rFonts w:hAnsi="宋体" w:cs="宋体"/>
          <w:b/>
          <w:sz w:val="28"/>
          <w:szCs w:val="28"/>
        </w:rPr>
        <w:t>4.</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w:t>
      </w:r>
      <w:r>
        <w:rPr>
          <w:rFonts w:hint="eastAsia" w:ascii="宋体" w:hAnsi="宋体" w:eastAsia="宋体" w:cs="宋体"/>
          <w:b/>
          <w:sz w:val="28"/>
          <w:szCs w:val="28"/>
          <w:lang w:val="en-US" w:eastAsia="zh-CN"/>
        </w:rPr>
        <w:t>能源（耗）在线监测系统或相关</w:t>
      </w:r>
      <w:r>
        <w:rPr>
          <w:rFonts w:hint="eastAsia" w:hAnsi="宋体" w:cs="宋体"/>
          <w:b/>
          <w:sz w:val="28"/>
          <w:szCs w:val="28"/>
        </w:rPr>
        <w:t>业绩（合同签订日期为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63BFFEEF">
      <w:pPr>
        <w:pStyle w:val="2"/>
      </w:pPr>
    </w:p>
    <w:p w14:paraId="6B07C831">
      <w:pPr>
        <w:spacing w:line="360" w:lineRule="auto"/>
        <w:rPr>
          <w:rFonts w:ascii="Times New Roman"/>
          <w:b/>
          <w:bCs/>
          <w:color w:val="000000"/>
          <w:sz w:val="21"/>
          <w:szCs w:val="21"/>
        </w:rPr>
      </w:pPr>
    </w:p>
    <w:p w14:paraId="465539F2">
      <w:pPr>
        <w:pStyle w:val="2"/>
        <w:rPr>
          <w:rFonts w:ascii="Times New Roman"/>
          <w:b/>
          <w:bCs/>
          <w:color w:val="000000"/>
          <w:sz w:val="21"/>
          <w:szCs w:val="21"/>
        </w:rPr>
      </w:pPr>
    </w:p>
    <w:p w14:paraId="6A1C40FE">
      <w:pPr>
        <w:pStyle w:val="16"/>
        <w:rPr>
          <w:rFonts w:ascii="Times New Roman"/>
          <w:b/>
          <w:bCs/>
          <w:color w:val="000000"/>
          <w:sz w:val="21"/>
          <w:szCs w:val="21"/>
        </w:rPr>
      </w:pPr>
    </w:p>
    <w:p w14:paraId="67F9434C">
      <w:pPr>
        <w:rPr>
          <w:rFonts w:ascii="Times New Roman"/>
          <w:b/>
          <w:bCs/>
          <w:color w:val="000000"/>
          <w:sz w:val="21"/>
          <w:szCs w:val="21"/>
        </w:rPr>
      </w:pPr>
    </w:p>
    <w:p w14:paraId="2442A1BD">
      <w:pPr>
        <w:pStyle w:val="2"/>
        <w:rPr>
          <w:rFonts w:ascii="Times New Roman"/>
          <w:b/>
          <w:bCs/>
          <w:color w:val="000000"/>
          <w:sz w:val="21"/>
          <w:szCs w:val="21"/>
        </w:rPr>
      </w:pPr>
    </w:p>
    <w:p w14:paraId="71781FEA">
      <w:pPr>
        <w:pStyle w:val="16"/>
        <w:rPr>
          <w:rFonts w:ascii="Times New Roman"/>
          <w:b/>
          <w:bCs/>
          <w:color w:val="000000"/>
          <w:sz w:val="21"/>
          <w:szCs w:val="21"/>
        </w:rPr>
      </w:pPr>
    </w:p>
    <w:p w14:paraId="071C1936">
      <w:pPr>
        <w:rPr>
          <w:rFonts w:ascii="Times New Roman"/>
          <w:b/>
          <w:bCs/>
          <w:color w:val="000000"/>
          <w:sz w:val="21"/>
          <w:szCs w:val="21"/>
        </w:rPr>
      </w:pPr>
    </w:p>
    <w:p w14:paraId="66C40841">
      <w:pPr>
        <w:pStyle w:val="2"/>
        <w:rPr>
          <w:rFonts w:ascii="Times New Roman"/>
          <w:b/>
          <w:bCs/>
          <w:color w:val="000000"/>
          <w:sz w:val="21"/>
          <w:szCs w:val="21"/>
        </w:rPr>
      </w:pPr>
    </w:p>
    <w:p w14:paraId="23A8E5E2">
      <w:pPr>
        <w:pStyle w:val="16"/>
        <w:rPr>
          <w:rFonts w:ascii="Times New Roman"/>
          <w:b/>
          <w:bCs/>
          <w:color w:val="000000"/>
          <w:sz w:val="21"/>
          <w:szCs w:val="21"/>
        </w:rPr>
      </w:pPr>
    </w:p>
    <w:p w14:paraId="2D4FCA49">
      <w:pPr>
        <w:rPr>
          <w:rFonts w:ascii="Times New Roman"/>
          <w:b/>
          <w:bCs/>
          <w:color w:val="000000"/>
          <w:sz w:val="21"/>
          <w:szCs w:val="21"/>
        </w:rPr>
      </w:pPr>
    </w:p>
    <w:p w14:paraId="1590B75B">
      <w:pPr>
        <w:pStyle w:val="2"/>
        <w:rPr>
          <w:rFonts w:ascii="Times New Roman"/>
          <w:b/>
          <w:bCs/>
          <w:color w:val="000000"/>
          <w:sz w:val="21"/>
          <w:szCs w:val="21"/>
        </w:rPr>
      </w:pPr>
    </w:p>
    <w:p w14:paraId="374B2ADB">
      <w:pPr>
        <w:pStyle w:val="16"/>
        <w:rPr>
          <w:rFonts w:ascii="Times New Roman"/>
          <w:b/>
          <w:bCs/>
          <w:color w:val="000000"/>
          <w:sz w:val="21"/>
          <w:szCs w:val="21"/>
        </w:rPr>
      </w:pPr>
    </w:p>
    <w:p w14:paraId="7913907B">
      <w:pPr>
        <w:rPr>
          <w:rFonts w:ascii="Times New Roman"/>
          <w:b/>
          <w:bCs/>
          <w:color w:val="000000"/>
          <w:sz w:val="21"/>
          <w:szCs w:val="21"/>
        </w:rPr>
      </w:pPr>
    </w:p>
    <w:p w14:paraId="57884CF8">
      <w:pPr>
        <w:pStyle w:val="2"/>
        <w:rPr>
          <w:rFonts w:ascii="Times New Roman"/>
          <w:b/>
          <w:bCs/>
          <w:color w:val="000000"/>
          <w:sz w:val="21"/>
          <w:szCs w:val="21"/>
        </w:rPr>
      </w:pPr>
    </w:p>
    <w:p w14:paraId="328A25E2">
      <w:pPr>
        <w:pStyle w:val="16"/>
        <w:rPr>
          <w:rFonts w:ascii="Times New Roman"/>
          <w:b/>
          <w:bCs/>
          <w:color w:val="000000"/>
          <w:sz w:val="21"/>
          <w:szCs w:val="21"/>
        </w:rPr>
      </w:pPr>
    </w:p>
    <w:p w14:paraId="56F02EAA">
      <w:pPr>
        <w:rPr>
          <w:rFonts w:ascii="Times New Roman"/>
          <w:b/>
          <w:bCs/>
          <w:color w:val="000000"/>
          <w:sz w:val="21"/>
          <w:szCs w:val="21"/>
        </w:rPr>
      </w:pPr>
    </w:p>
    <w:p w14:paraId="77EC4B8C">
      <w:pPr>
        <w:pStyle w:val="2"/>
        <w:rPr>
          <w:rFonts w:ascii="Times New Roman"/>
          <w:b/>
          <w:bCs/>
          <w:color w:val="000000"/>
          <w:sz w:val="21"/>
          <w:szCs w:val="21"/>
        </w:rPr>
      </w:pPr>
    </w:p>
    <w:p w14:paraId="611A4FF6">
      <w:pPr>
        <w:pStyle w:val="16"/>
        <w:rPr>
          <w:rFonts w:ascii="Times New Roman"/>
          <w:b/>
          <w:bCs/>
          <w:color w:val="000000"/>
          <w:sz w:val="21"/>
          <w:szCs w:val="21"/>
        </w:rPr>
      </w:pPr>
    </w:p>
    <w:p w14:paraId="446E5FEF">
      <w:pPr>
        <w:rPr>
          <w:rFonts w:ascii="Times New Roman"/>
          <w:b/>
          <w:bCs/>
          <w:color w:val="000000"/>
          <w:sz w:val="21"/>
          <w:szCs w:val="21"/>
        </w:rPr>
      </w:pPr>
    </w:p>
    <w:p w14:paraId="4612E28F">
      <w:pPr>
        <w:pStyle w:val="2"/>
        <w:rPr>
          <w:rFonts w:ascii="Times New Roman"/>
          <w:b/>
          <w:bCs/>
          <w:color w:val="000000"/>
          <w:sz w:val="21"/>
          <w:szCs w:val="21"/>
        </w:rPr>
      </w:pPr>
    </w:p>
    <w:p w14:paraId="37EAF989">
      <w:pPr>
        <w:pStyle w:val="16"/>
      </w:pPr>
    </w:p>
    <w:p w14:paraId="59A42C71">
      <w:pPr>
        <w:spacing w:line="360" w:lineRule="auto"/>
        <w:rPr>
          <w:rFonts w:ascii="Times New Roman"/>
          <w:b/>
          <w:bCs/>
          <w:color w:val="000000"/>
          <w:sz w:val="21"/>
          <w:szCs w:val="21"/>
        </w:rPr>
      </w:pPr>
    </w:p>
    <w:p w14:paraId="626A6143">
      <w:pPr>
        <w:pStyle w:val="16"/>
        <w:jc w:val="both"/>
        <w:rPr>
          <w:lang w:val="zh-CN"/>
        </w:rPr>
      </w:pPr>
    </w:p>
    <w:p w14:paraId="089D3866">
      <w:pPr>
        <w:numPr>
          <w:ilvl w:val="0"/>
          <w:numId w:val="0"/>
        </w:numPr>
        <w:spacing w:line="360" w:lineRule="auto"/>
        <w:rPr>
          <w:rFonts w:hint="eastAsia" w:ascii="Times New Roman"/>
          <w:b/>
          <w:sz w:val="28"/>
          <w:szCs w:val="28"/>
          <w:lang w:val="en-US" w:eastAsia="zh-CN"/>
        </w:rPr>
      </w:pPr>
    </w:p>
    <w:p w14:paraId="4A213954">
      <w:pPr>
        <w:numPr>
          <w:ilvl w:val="0"/>
          <w:numId w:val="0"/>
        </w:numPr>
        <w:spacing w:line="360" w:lineRule="auto"/>
        <w:rPr>
          <w:rFonts w:ascii="Times New Roman"/>
          <w:b/>
          <w:sz w:val="28"/>
          <w:szCs w:val="28"/>
        </w:rPr>
      </w:pPr>
      <w:r>
        <w:rPr>
          <w:rFonts w:hint="eastAsia" w:ascii="Times New Roman"/>
          <w:b/>
          <w:sz w:val="28"/>
          <w:szCs w:val="28"/>
          <w:lang w:val="en-US" w:eastAsia="zh-CN"/>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市区厂能源在线监测系统对接市平台采购项目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25"/>
    <w:bookmarkEnd w:id="26"/>
    <w:bookmarkEnd w:id="27"/>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5E36">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37237">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737237">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CEA58"/>
    <w:multiLevelType w:val="singleLevel"/>
    <w:tmpl w:val="877CEA58"/>
    <w:lvl w:ilvl="0" w:tentative="0">
      <w:start w:val="2"/>
      <w:numFmt w:val="decimal"/>
      <w:suff w:val="nothing"/>
      <w:lvlText w:val="%1、"/>
      <w:lvlJc w:val="left"/>
    </w:lvl>
  </w:abstractNum>
  <w:abstractNum w:abstractNumId="1">
    <w:nsid w:val="988D44FA"/>
    <w:multiLevelType w:val="singleLevel"/>
    <w:tmpl w:val="988D44FA"/>
    <w:lvl w:ilvl="0" w:tentative="0">
      <w:start w:val="1"/>
      <w:numFmt w:val="decimal"/>
      <w:suff w:val="nothing"/>
      <w:lvlText w:val="%1、"/>
      <w:lvlJc w:val="left"/>
      <w:pPr>
        <w:ind w:left="480"/>
      </w:pPr>
    </w:lvl>
  </w:abstractNum>
  <w:abstractNum w:abstractNumId="2">
    <w:nsid w:val="B185AF26"/>
    <w:multiLevelType w:val="multilevel"/>
    <w:tmpl w:val="B185AF26"/>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B4A781F8"/>
    <w:multiLevelType w:val="singleLevel"/>
    <w:tmpl w:val="B4A781F8"/>
    <w:lvl w:ilvl="0" w:tentative="0">
      <w:start w:val="1"/>
      <w:numFmt w:val="decimal"/>
      <w:suff w:val="nothing"/>
      <w:lvlText w:val="%1、"/>
      <w:lvlJc w:val="left"/>
      <w:pPr>
        <w:ind w:left="480"/>
      </w:pPr>
      <w:rPr>
        <w:rFonts w:hint="default" w:ascii="Times New Roman" w:hAnsi="Times New Roman" w:cs="Times New Roman"/>
      </w:rPr>
    </w:lvl>
  </w:abstractNum>
  <w:abstractNum w:abstractNumId="4">
    <w:nsid w:val="EEFEB810"/>
    <w:multiLevelType w:val="singleLevel"/>
    <w:tmpl w:val="EEFEB810"/>
    <w:lvl w:ilvl="0" w:tentative="0">
      <w:start w:val="1"/>
      <w:numFmt w:val="decimal"/>
      <w:suff w:val="nothing"/>
      <w:lvlText w:val="（%1）"/>
      <w:lvlJc w:val="left"/>
    </w:lvl>
  </w:abstractNum>
  <w:abstractNum w:abstractNumId="5">
    <w:nsid w:val="FE1D2219"/>
    <w:multiLevelType w:val="singleLevel"/>
    <w:tmpl w:val="FE1D2219"/>
    <w:lvl w:ilvl="0" w:tentative="0">
      <w:start w:val="1"/>
      <w:numFmt w:val="decimal"/>
      <w:suff w:val="space"/>
      <w:lvlText w:val="%1."/>
      <w:lvlJc w:val="left"/>
      <w:rPr>
        <w:rFonts w:hint="default"/>
        <w:b w:val="0"/>
        <w:bCs w:val="0"/>
      </w:rPr>
    </w:lvl>
  </w:abstractNum>
  <w:abstractNum w:abstractNumId="6">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7">
    <w:nsid w:val="4761AE72"/>
    <w:multiLevelType w:val="singleLevel"/>
    <w:tmpl w:val="4761AE72"/>
    <w:lvl w:ilvl="0" w:tentative="0">
      <w:start w:val="1"/>
      <w:numFmt w:val="decimal"/>
      <w:suff w:val="nothing"/>
      <w:lvlText w:val="%1、"/>
      <w:lvlJc w:val="left"/>
      <w:pPr>
        <w:ind w:left="480"/>
      </w:pPr>
      <w:rPr>
        <w:rFonts w:hint="default" w:ascii="Times New Roman" w:hAnsi="Times New Roman" w:cs="Times New Roman"/>
      </w:rPr>
    </w:lvl>
  </w:abstractNum>
  <w:abstractNum w:abstractNumId="8">
    <w:nsid w:val="669288AD"/>
    <w:multiLevelType w:val="singleLevel"/>
    <w:tmpl w:val="669288AD"/>
    <w:lvl w:ilvl="0" w:tentative="0">
      <w:start w:val="2"/>
      <w:numFmt w:val="decimal"/>
      <w:suff w:val="nothing"/>
      <w:lvlText w:val="（%1）"/>
      <w:lvlJc w:val="left"/>
    </w:lvl>
  </w:abstractNum>
  <w:num w:numId="1">
    <w:abstractNumId w:val="0"/>
  </w:num>
  <w:num w:numId="2">
    <w:abstractNumId w:val="2"/>
  </w:num>
  <w:num w:numId="3">
    <w:abstractNumId w:val="7"/>
  </w:num>
  <w:num w:numId="4">
    <w:abstractNumId w:val="3"/>
  </w:num>
  <w:num w:numId="5">
    <w:abstractNumId w:val="1"/>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C29FB"/>
    <w:rsid w:val="002D11BA"/>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21B4775"/>
    <w:rsid w:val="02587777"/>
    <w:rsid w:val="02972D9A"/>
    <w:rsid w:val="04823CC8"/>
    <w:rsid w:val="04D23811"/>
    <w:rsid w:val="0616335D"/>
    <w:rsid w:val="06D373CC"/>
    <w:rsid w:val="06E27ADA"/>
    <w:rsid w:val="07796682"/>
    <w:rsid w:val="07BE7D13"/>
    <w:rsid w:val="07D17DB0"/>
    <w:rsid w:val="08C72F61"/>
    <w:rsid w:val="0A3E7253"/>
    <w:rsid w:val="0AE32F83"/>
    <w:rsid w:val="0BFE6C9A"/>
    <w:rsid w:val="0C752CF5"/>
    <w:rsid w:val="0D43133F"/>
    <w:rsid w:val="0D5C45C0"/>
    <w:rsid w:val="0D763760"/>
    <w:rsid w:val="0FA7589A"/>
    <w:rsid w:val="100E1475"/>
    <w:rsid w:val="104B17E4"/>
    <w:rsid w:val="111725AC"/>
    <w:rsid w:val="11C12C43"/>
    <w:rsid w:val="14AD5701"/>
    <w:rsid w:val="153100E0"/>
    <w:rsid w:val="15430492"/>
    <w:rsid w:val="15A84FF5"/>
    <w:rsid w:val="15FA65DA"/>
    <w:rsid w:val="166C3E5C"/>
    <w:rsid w:val="177D585E"/>
    <w:rsid w:val="17FB2C27"/>
    <w:rsid w:val="18581E27"/>
    <w:rsid w:val="19092FDD"/>
    <w:rsid w:val="193E726F"/>
    <w:rsid w:val="1B091FFE"/>
    <w:rsid w:val="1BCD0437"/>
    <w:rsid w:val="1D2030BF"/>
    <w:rsid w:val="1D5E1C8E"/>
    <w:rsid w:val="1E6A6411"/>
    <w:rsid w:val="1E7D37A6"/>
    <w:rsid w:val="1EB12D29"/>
    <w:rsid w:val="1EDB03EF"/>
    <w:rsid w:val="1F2D5E39"/>
    <w:rsid w:val="2043516B"/>
    <w:rsid w:val="20A777C8"/>
    <w:rsid w:val="21217D8A"/>
    <w:rsid w:val="22237002"/>
    <w:rsid w:val="22720D9E"/>
    <w:rsid w:val="2386555D"/>
    <w:rsid w:val="255045B2"/>
    <w:rsid w:val="25C1100C"/>
    <w:rsid w:val="260F40AD"/>
    <w:rsid w:val="26A36964"/>
    <w:rsid w:val="26F31699"/>
    <w:rsid w:val="27E162AD"/>
    <w:rsid w:val="295B1778"/>
    <w:rsid w:val="29E140BF"/>
    <w:rsid w:val="2A631000"/>
    <w:rsid w:val="2B202426"/>
    <w:rsid w:val="2B373B1E"/>
    <w:rsid w:val="2D616C31"/>
    <w:rsid w:val="2DA60AE7"/>
    <w:rsid w:val="2DF53F49"/>
    <w:rsid w:val="2DF9330D"/>
    <w:rsid w:val="2E434920"/>
    <w:rsid w:val="2E496043"/>
    <w:rsid w:val="2E5C3FC8"/>
    <w:rsid w:val="2E8B665B"/>
    <w:rsid w:val="2EF90849"/>
    <w:rsid w:val="303B19BB"/>
    <w:rsid w:val="3069477A"/>
    <w:rsid w:val="308679FC"/>
    <w:rsid w:val="30D140CD"/>
    <w:rsid w:val="31E64C63"/>
    <w:rsid w:val="32167536"/>
    <w:rsid w:val="326A72D8"/>
    <w:rsid w:val="327411B4"/>
    <w:rsid w:val="32DA195F"/>
    <w:rsid w:val="3330157F"/>
    <w:rsid w:val="37DF17C6"/>
    <w:rsid w:val="37DF63B2"/>
    <w:rsid w:val="37EF40B3"/>
    <w:rsid w:val="3B44206B"/>
    <w:rsid w:val="3C1F4887"/>
    <w:rsid w:val="3EF3570B"/>
    <w:rsid w:val="3FF41CB3"/>
    <w:rsid w:val="40B414F2"/>
    <w:rsid w:val="412A3AB2"/>
    <w:rsid w:val="42ED4D97"/>
    <w:rsid w:val="437173A4"/>
    <w:rsid w:val="45827912"/>
    <w:rsid w:val="45BB5620"/>
    <w:rsid w:val="46546BB9"/>
    <w:rsid w:val="46853538"/>
    <w:rsid w:val="475573AE"/>
    <w:rsid w:val="47CC6C62"/>
    <w:rsid w:val="48657AC5"/>
    <w:rsid w:val="486E1D08"/>
    <w:rsid w:val="4AB958D0"/>
    <w:rsid w:val="4BD27220"/>
    <w:rsid w:val="4C5F726F"/>
    <w:rsid w:val="4D41465D"/>
    <w:rsid w:val="4D5A571F"/>
    <w:rsid w:val="4DC24624"/>
    <w:rsid w:val="4DC81F78"/>
    <w:rsid w:val="4F22401A"/>
    <w:rsid w:val="4F4756E4"/>
    <w:rsid w:val="4F7244C4"/>
    <w:rsid w:val="5019366F"/>
    <w:rsid w:val="51492FE2"/>
    <w:rsid w:val="51B1103D"/>
    <w:rsid w:val="55FF6E63"/>
    <w:rsid w:val="56102E1E"/>
    <w:rsid w:val="5794265E"/>
    <w:rsid w:val="57BA2943"/>
    <w:rsid w:val="5A307F33"/>
    <w:rsid w:val="5AA1673B"/>
    <w:rsid w:val="5EF3322C"/>
    <w:rsid w:val="5EF52233"/>
    <w:rsid w:val="5EF57055"/>
    <w:rsid w:val="5F3538F6"/>
    <w:rsid w:val="5F41673E"/>
    <w:rsid w:val="5F9D2B92"/>
    <w:rsid w:val="60A60CCB"/>
    <w:rsid w:val="61EA4E6B"/>
    <w:rsid w:val="63143EF4"/>
    <w:rsid w:val="64D37E39"/>
    <w:rsid w:val="65316E3C"/>
    <w:rsid w:val="65366619"/>
    <w:rsid w:val="67285F44"/>
    <w:rsid w:val="67827BE1"/>
    <w:rsid w:val="67D068B1"/>
    <w:rsid w:val="6AA16C37"/>
    <w:rsid w:val="6AED5C1F"/>
    <w:rsid w:val="6AF641CC"/>
    <w:rsid w:val="6B7F6714"/>
    <w:rsid w:val="6C2B67AC"/>
    <w:rsid w:val="6CEB7CE9"/>
    <w:rsid w:val="6D5E2269"/>
    <w:rsid w:val="6DB13DCE"/>
    <w:rsid w:val="6E2A5389"/>
    <w:rsid w:val="6EC43B43"/>
    <w:rsid w:val="6F420807"/>
    <w:rsid w:val="6F5E47A3"/>
    <w:rsid w:val="6FB72105"/>
    <w:rsid w:val="6FC8323B"/>
    <w:rsid w:val="70714B0F"/>
    <w:rsid w:val="71551BD5"/>
    <w:rsid w:val="72D66A87"/>
    <w:rsid w:val="73A0182E"/>
    <w:rsid w:val="74A54C22"/>
    <w:rsid w:val="74EF65B0"/>
    <w:rsid w:val="7530530C"/>
    <w:rsid w:val="75840CDB"/>
    <w:rsid w:val="75862CA5"/>
    <w:rsid w:val="75C00121"/>
    <w:rsid w:val="777234E1"/>
    <w:rsid w:val="782C7B34"/>
    <w:rsid w:val="791F1447"/>
    <w:rsid w:val="7A081EDB"/>
    <w:rsid w:val="7B04075A"/>
    <w:rsid w:val="7BBC3750"/>
    <w:rsid w:val="7BC504B0"/>
    <w:rsid w:val="7C00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qFormat/>
    <w:uiPriority w:val="0"/>
    <w:pPr>
      <w:spacing w:after="120"/>
    </w:pPr>
    <w:rPr>
      <w:rFonts w:ascii="Times New Roman"/>
    </w:rPr>
  </w:style>
  <w:style w:type="paragraph" w:styleId="7">
    <w:name w:val="annotation text"/>
    <w:basedOn w:val="1"/>
    <w:link w:val="32"/>
    <w:qFormat/>
    <w:uiPriority w:val="0"/>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6">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17">
    <w:name w:val="annotation subject"/>
    <w:basedOn w:val="7"/>
    <w:next w:val="7"/>
    <w:link w:val="33"/>
    <w:qFormat/>
    <w:uiPriority w:val="0"/>
    <w:rPr>
      <w:b/>
      <w:bCs/>
    </w:rPr>
  </w:style>
  <w:style w:type="paragraph" w:styleId="18">
    <w:name w:val="Body Text First Indent"/>
    <w:basedOn w:val="2"/>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7"/>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2"/>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6"/>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5"/>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4"/>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1F96-AA85-41D6-B208-381506928373}">
  <ds:schemaRefs/>
</ds:datastoreItem>
</file>

<file path=docProps/app.xml><?xml version="1.0" encoding="utf-8"?>
<Properties xmlns="http://schemas.openxmlformats.org/officeDocument/2006/extended-properties" xmlns:vt="http://schemas.openxmlformats.org/officeDocument/2006/docPropsVTypes">
  <Template>Normal</Template>
  <Pages>44</Pages>
  <Words>15717</Words>
  <Characters>15993</Characters>
  <Lines>30</Lines>
  <Paragraphs>8</Paragraphs>
  <TotalTime>5</TotalTime>
  <ScaleCrop>false</ScaleCrop>
  <LinksUpToDate>false</LinksUpToDate>
  <CharactersWithSpaces>16446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kang</cp:lastModifiedBy>
  <cp:lastPrinted>2020-10-15T06:52:00Z</cp:lastPrinted>
  <dcterms:modified xsi:type="dcterms:W3CDTF">2025-12-16T03:45:05Z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