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CE2AB">
      <w:pPr>
        <w:spacing w:after="156" w:afterLines="50" w:line="360" w:lineRule="auto"/>
        <w:jc w:val="center"/>
        <w:rPr>
          <w:rFonts w:ascii="宋体" w:hAnsi="宋体" w:cs="宋体"/>
          <w:b/>
          <w:bCs/>
          <w:sz w:val="36"/>
          <w:szCs w:val="36"/>
        </w:rPr>
      </w:pPr>
      <w:r>
        <w:rPr>
          <w:rFonts w:hint="eastAsia" w:ascii="宋体" w:hAnsi="宋体" w:cs="宋体"/>
          <w:b/>
          <w:bCs/>
          <w:sz w:val="36"/>
          <w:szCs w:val="36"/>
        </w:rPr>
        <w:t>采购需求调查反馈意见书</w:t>
      </w:r>
    </w:p>
    <w:p w14:paraId="50A6BDB0">
      <w:pPr>
        <w:spacing w:line="360" w:lineRule="auto"/>
        <w:rPr>
          <w:rFonts w:ascii="宋体" w:hAnsi="宋体" w:cs="宋体"/>
          <w:sz w:val="24"/>
        </w:rPr>
      </w:pPr>
      <w:r>
        <w:rPr>
          <w:rFonts w:hint="eastAsia" w:ascii="宋体" w:hAnsi="宋体" w:cs="宋体"/>
          <w:sz w:val="24"/>
          <w:u w:val="single"/>
        </w:rPr>
        <w:t>东莞市水务环境投资控股集团有限公司</w:t>
      </w:r>
      <w:r>
        <w:rPr>
          <w:rFonts w:hint="eastAsia" w:ascii="宋体" w:hAnsi="宋体" w:cs="宋体"/>
          <w:sz w:val="24"/>
          <w:u w:val="single"/>
          <w:lang w:val="en-US" w:eastAsia="zh-CN"/>
        </w:rPr>
        <w:t>\广州宏达工程顾问集团有限公司</w:t>
      </w:r>
      <w:r>
        <w:rPr>
          <w:rFonts w:hint="eastAsia" w:ascii="宋体" w:hAnsi="宋体" w:cs="宋体"/>
          <w:sz w:val="24"/>
        </w:rPr>
        <w:t>：</w:t>
      </w:r>
    </w:p>
    <w:p w14:paraId="47633EB8">
      <w:pPr>
        <w:pStyle w:val="4"/>
        <w:spacing w:line="360" w:lineRule="auto"/>
        <w:ind w:firstLine="480" w:firstLineChars="200"/>
        <w:jc w:val="left"/>
        <w:rPr>
          <w:rFonts w:ascii="宋体" w:hAnsi="宋体" w:cs="宋体"/>
          <w:sz w:val="24"/>
          <w:u w:val="none"/>
        </w:rPr>
      </w:pPr>
      <w:r>
        <w:rPr>
          <w:rFonts w:hint="eastAsia" w:ascii="宋体" w:hAnsi="宋体" w:cs="宋体"/>
          <w:sz w:val="24"/>
          <w:u w:val="none"/>
        </w:rPr>
        <w:t>针对</w:t>
      </w:r>
      <w:bookmarkStart w:id="0" w:name="OLE_LINK1"/>
      <w:r>
        <w:rPr>
          <w:rFonts w:hint="eastAsia" w:ascii="宋体" w:hAnsi="宋体" w:cs="宋体"/>
          <w:sz w:val="24"/>
          <w:u w:val="single"/>
        </w:rPr>
        <w:t>东莞市水务环境投资控股集团有限公司咨询设计服务单位库服务单位采购项目</w:t>
      </w:r>
      <w:bookmarkEnd w:id="0"/>
      <w:r>
        <w:rPr>
          <w:rFonts w:hint="eastAsia" w:ascii="宋体" w:hAnsi="宋体" w:cs="宋体"/>
          <w:sz w:val="24"/>
          <w:u w:val="none"/>
        </w:rPr>
        <w:t>采购需求调查，（提出反馈意见的市场主体、社会公众名称）反馈意见如下：</w:t>
      </w:r>
    </w:p>
    <w:p w14:paraId="32D3B0F6">
      <w:pPr>
        <w:spacing w:before="156" w:beforeLines="50" w:after="156" w:afterLines="50" w:line="360" w:lineRule="auto"/>
        <w:ind w:right="-512" w:rightChars="-244"/>
        <w:jc w:val="left"/>
        <w:rPr>
          <w:rFonts w:ascii="宋体" w:hAnsi="宋体" w:cs="宋体"/>
          <w:b/>
          <w:bCs/>
          <w:sz w:val="24"/>
        </w:rPr>
      </w:pPr>
      <w:bookmarkStart w:id="1" w:name="_GoBack"/>
      <w:bookmarkEnd w:id="1"/>
      <w:r>
        <w:rPr>
          <w:rFonts w:hint="eastAsia" w:ascii="宋体" w:hAnsi="宋体" w:cs="宋体"/>
          <w:b/>
          <w:bCs/>
          <w:sz w:val="24"/>
        </w:rPr>
        <w:t>一、供应商基本情况（附公司介绍、营业执照……）</w:t>
      </w:r>
    </w:p>
    <w:p w14:paraId="3938D6EE">
      <w:pPr>
        <w:pStyle w:val="11"/>
        <w:spacing w:after="0" w:line="360" w:lineRule="auto"/>
        <w:ind w:firstLine="0" w:firstLineChars="0"/>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4B63CB93">
      <w:pPr>
        <w:pStyle w:val="11"/>
        <w:spacing w:after="0" w:line="360" w:lineRule="auto"/>
        <w:ind w:firstLine="0" w:firstLineChars="0"/>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14:paraId="30C870C2">
      <w:pPr>
        <w:pStyle w:val="11"/>
        <w:spacing w:after="0" w:line="360" w:lineRule="auto"/>
        <w:ind w:firstLine="0" w:firstLineChars="0"/>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14:paraId="3DA5C742">
      <w:pPr>
        <w:pStyle w:val="11"/>
        <w:spacing w:after="0" w:line="360" w:lineRule="auto"/>
        <w:ind w:firstLine="0" w:firstLineChars="0"/>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14:paraId="5F1511E4">
      <w:pPr>
        <w:pStyle w:val="11"/>
        <w:spacing w:after="0" w:line="360" w:lineRule="auto"/>
        <w:ind w:firstLine="0" w:firstLineChars="0"/>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14:paraId="2375CAF1">
      <w:pPr>
        <w:pStyle w:val="11"/>
        <w:spacing w:after="0" w:line="360" w:lineRule="auto"/>
        <w:ind w:firstLine="0" w:firstLineChars="0"/>
        <w:rPr>
          <w:rFonts w:ascii="宋体" w:hAnsi="宋体" w:cs="宋体"/>
          <w:sz w:val="24"/>
          <w:szCs w:val="24"/>
        </w:rPr>
      </w:pPr>
      <w:r>
        <w:rPr>
          <w:rFonts w:hint="eastAsia" w:ascii="宋体" w:hAnsi="宋体" w:cs="宋体"/>
          <w:sz w:val="24"/>
          <w:szCs w:val="24"/>
        </w:rPr>
        <w:t>反馈意见主体介绍:</w:t>
      </w:r>
      <w:r>
        <w:rPr>
          <w:rFonts w:hint="eastAsia" w:ascii="宋体" w:hAnsi="宋体" w:cs="宋体"/>
          <w:sz w:val="24"/>
          <w:szCs w:val="24"/>
          <w:u w:val="single"/>
        </w:rPr>
        <w:t xml:space="preserve">                     </w:t>
      </w:r>
      <w:r>
        <w:rPr>
          <w:rFonts w:ascii="宋体" w:hAnsi="宋体" w:cs="宋体"/>
          <w:sz w:val="24"/>
          <w:szCs w:val="24"/>
          <w:u w:val="single"/>
        </w:rPr>
        <w:t xml:space="preserve">       </w:t>
      </w:r>
    </w:p>
    <w:p w14:paraId="2674DCEB">
      <w:pPr>
        <w:spacing w:before="156" w:beforeLines="50" w:after="156" w:afterLines="50" w:line="360" w:lineRule="auto"/>
        <w:jc w:val="left"/>
        <w:rPr>
          <w:rFonts w:ascii="宋体" w:hAnsi="宋体" w:cs="宋体"/>
          <w:b/>
          <w:bCs/>
          <w:sz w:val="24"/>
        </w:rPr>
      </w:pPr>
      <w:r>
        <w:rPr>
          <w:rFonts w:hint="eastAsia" w:ascii="宋体" w:hAnsi="宋体" w:cs="宋体"/>
          <w:b/>
          <w:bCs/>
          <w:sz w:val="24"/>
        </w:rPr>
        <w:t>二、相关产业发展情况</w:t>
      </w:r>
    </w:p>
    <w:p w14:paraId="6968104F">
      <w:pPr>
        <w:spacing w:line="360" w:lineRule="auto"/>
        <w:rPr>
          <w:rFonts w:ascii="宋体" w:hAnsi="宋体" w:cs="宋体"/>
          <w:sz w:val="24"/>
        </w:rPr>
      </w:pPr>
      <w:r>
        <w:rPr>
          <w:rFonts w:hint="eastAsia" w:ascii="宋体" w:hAnsi="宋体" w:cs="宋体"/>
          <w:bCs/>
          <w:sz w:val="24"/>
        </w:rPr>
        <w:t>1.包括但不限于</w:t>
      </w:r>
      <w:r>
        <w:rPr>
          <w:rFonts w:hint="eastAsia" w:ascii="宋体" w:hAnsi="宋体" w:cs="宋体"/>
          <w:bCs/>
          <w:sz w:val="24"/>
          <w:lang w:val="en-US" w:eastAsia="zh-CN"/>
        </w:rPr>
        <w:t>咨询设计服务</w:t>
      </w:r>
      <w:r>
        <w:rPr>
          <w:rFonts w:hint="eastAsia" w:ascii="宋体" w:hAnsi="宋体" w:cs="宋体"/>
          <w:bCs/>
          <w:sz w:val="24"/>
        </w:rPr>
        <w:t>技术水平或行业的发展历程、行业现状等：</w:t>
      </w:r>
    </w:p>
    <w:p w14:paraId="2628D6A3">
      <w:pPr>
        <w:spacing w:line="360" w:lineRule="auto"/>
        <w:rPr>
          <w:rFonts w:ascii="宋体" w:hAnsi="宋体" w:cs="宋体"/>
          <w:sz w:val="24"/>
          <w:u w:val="single"/>
        </w:rPr>
      </w:pPr>
      <w:r>
        <w:rPr>
          <w:rFonts w:hint="eastAsia" w:ascii="宋体" w:hAnsi="宋体" w:cs="宋体"/>
          <w:sz w:val="24"/>
          <w:u w:val="single"/>
        </w:rPr>
        <w:t xml:space="preserve">                                                                       </w:t>
      </w:r>
    </w:p>
    <w:p w14:paraId="6CB29717">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可能涉及的企业资质、人员资质：</w:t>
      </w:r>
    </w:p>
    <w:p w14:paraId="2D68723C">
      <w:pPr>
        <w:spacing w:line="360" w:lineRule="auto"/>
        <w:rPr>
          <w:rFonts w:ascii="宋体" w:hAnsi="宋体" w:cs="宋体"/>
          <w:sz w:val="24"/>
          <w:u w:val="single"/>
        </w:rPr>
      </w:pPr>
      <w:r>
        <w:rPr>
          <w:rFonts w:hint="eastAsia" w:ascii="宋体" w:hAnsi="宋体" w:cs="宋体"/>
          <w:sz w:val="24"/>
          <w:u w:val="single"/>
        </w:rPr>
        <w:t xml:space="preserve">                                                                       </w:t>
      </w:r>
    </w:p>
    <w:p w14:paraId="726022F0">
      <w:pPr>
        <w:widowControl/>
        <w:spacing w:line="360" w:lineRule="auto"/>
        <w:jc w:val="left"/>
        <w:rPr>
          <w:rFonts w:ascii="宋体" w:hAnsi="宋体" w:cs="宋体"/>
          <w:sz w:val="24"/>
        </w:rPr>
      </w:pPr>
      <w:r>
        <w:rPr>
          <w:rFonts w:hint="eastAsia" w:ascii="宋体" w:hAnsi="宋体" w:cs="宋体"/>
          <w:sz w:val="24"/>
        </w:rPr>
        <w:t>3.涉及的相关标准和规范：</w:t>
      </w:r>
    </w:p>
    <w:p w14:paraId="00C1BAB5">
      <w:pPr>
        <w:spacing w:line="360" w:lineRule="auto"/>
        <w:rPr>
          <w:rFonts w:ascii="宋体" w:hAnsi="宋体" w:cs="宋体"/>
          <w:sz w:val="24"/>
          <w:u w:val="single"/>
        </w:rPr>
      </w:pPr>
      <w:r>
        <w:rPr>
          <w:rFonts w:hint="eastAsia" w:ascii="宋体" w:hAnsi="宋体" w:cs="宋体"/>
          <w:sz w:val="24"/>
          <w:u w:val="single"/>
        </w:rPr>
        <w:t xml:space="preserve">                                                                       </w:t>
      </w:r>
    </w:p>
    <w:p w14:paraId="6AAE03B4">
      <w:pPr>
        <w:widowControl/>
        <w:spacing w:line="360" w:lineRule="auto"/>
        <w:jc w:val="left"/>
        <w:rPr>
          <w:rFonts w:ascii="宋体" w:hAnsi="宋体" w:cs="宋体"/>
          <w:b/>
          <w:bCs/>
          <w:sz w:val="24"/>
        </w:rPr>
      </w:pPr>
    </w:p>
    <w:p w14:paraId="36BBC257">
      <w:pPr>
        <w:widowControl/>
        <w:spacing w:line="360" w:lineRule="auto"/>
        <w:jc w:val="left"/>
        <w:rPr>
          <w:rFonts w:ascii="宋体" w:hAnsi="宋体" w:cs="宋体"/>
          <w:b/>
          <w:bCs/>
          <w:sz w:val="24"/>
        </w:rPr>
      </w:pPr>
      <w:r>
        <w:rPr>
          <w:rFonts w:hint="eastAsia" w:ascii="宋体" w:hAnsi="宋体" w:cs="宋体"/>
          <w:b/>
          <w:bCs/>
          <w:sz w:val="24"/>
        </w:rPr>
        <w:t>三、市场供给情况</w:t>
      </w:r>
    </w:p>
    <w:p w14:paraId="13516B22">
      <w:pPr>
        <w:spacing w:line="360" w:lineRule="auto"/>
        <w:rPr>
          <w:rFonts w:ascii="宋体" w:hAnsi="宋体" w:cs="宋体"/>
          <w:sz w:val="24"/>
        </w:rPr>
      </w:pPr>
      <w:r>
        <w:rPr>
          <w:rFonts w:hint="eastAsia" w:ascii="宋体" w:hAnsi="宋体" w:cs="宋体"/>
          <w:bCs/>
          <w:sz w:val="24"/>
        </w:rPr>
        <w:t>1.市场竞争程度：</w:t>
      </w:r>
    </w:p>
    <w:p w14:paraId="0FFEEE4D">
      <w:pPr>
        <w:spacing w:line="360" w:lineRule="auto"/>
        <w:rPr>
          <w:rFonts w:ascii="宋体" w:hAnsi="宋体" w:cs="宋体"/>
          <w:sz w:val="24"/>
          <w:u w:val="single"/>
        </w:rPr>
      </w:pPr>
      <w:r>
        <w:rPr>
          <w:rFonts w:hint="eastAsia" w:ascii="宋体" w:hAnsi="宋体" w:cs="宋体"/>
          <w:sz w:val="24"/>
          <w:u w:val="single"/>
        </w:rPr>
        <w:t xml:space="preserve">                                                                       </w:t>
      </w:r>
    </w:p>
    <w:p w14:paraId="7F35A4AE">
      <w:pPr>
        <w:numPr>
          <w:ilvl w:val="0"/>
          <w:numId w:val="1"/>
        </w:numPr>
        <w:spacing w:line="360" w:lineRule="auto"/>
        <w:rPr>
          <w:rFonts w:ascii="宋体" w:hAnsi="宋体" w:cs="宋体"/>
          <w:bCs/>
          <w:sz w:val="24"/>
        </w:rPr>
      </w:pPr>
      <w:r>
        <w:rPr>
          <w:rFonts w:hint="eastAsia" w:ascii="宋体" w:hAnsi="宋体" w:cs="宋体"/>
          <w:bCs/>
          <w:sz w:val="24"/>
        </w:rPr>
        <w:t>价格水平或价格构成：</w:t>
      </w:r>
    </w:p>
    <w:p w14:paraId="63F7BC03">
      <w:pPr>
        <w:spacing w:line="360" w:lineRule="auto"/>
      </w:pPr>
      <w:r>
        <w:rPr>
          <w:rFonts w:hint="eastAsia" w:ascii="宋体" w:hAnsi="宋体" w:cs="宋体"/>
          <w:sz w:val="24"/>
          <w:u w:val="single"/>
        </w:rPr>
        <w:t xml:space="preserve">                                                                       </w:t>
      </w:r>
    </w:p>
    <w:p w14:paraId="1CDA94A8">
      <w:pPr>
        <w:widowControl/>
        <w:spacing w:line="360" w:lineRule="auto"/>
        <w:jc w:val="left"/>
        <w:rPr>
          <w:rFonts w:ascii="宋体" w:hAnsi="宋体" w:cs="宋体"/>
          <w:sz w:val="24"/>
        </w:rPr>
      </w:pPr>
      <w:r>
        <w:rPr>
          <w:rFonts w:hint="eastAsia" w:ascii="宋体" w:hAnsi="宋体" w:cs="宋体"/>
          <w:sz w:val="24"/>
        </w:rPr>
        <w:t>3.潜在供应商的数量及名称、履约能力、售后服务能力：</w:t>
      </w:r>
    </w:p>
    <w:p w14:paraId="37FE942D">
      <w:pPr>
        <w:spacing w:line="360" w:lineRule="auto"/>
        <w:rPr>
          <w:rFonts w:ascii="宋体" w:hAnsi="宋体" w:cs="宋体"/>
          <w:sz w:val="24"/>
          <w:u w:val="single"/>
        </w:rPr>
      </w:pPr>
      <w:r>
        <w:rPr>
          <w:rFonts w:hint="eastAsia" w:ascii="宋体" w:hAnsi="宋体" w:cs="宋体"/>
          <w:sz w:val="24"/>
          <w:u w:val="single"/>
        </w:rPr>
        <w:t xml:space="preserve">                                                                       </w:t>
      </w:r>
    </w:p>
    <w:p w14:paraId="77A9531D">
      <w:pPr>
        <w:widowControl/>
        <w:spacing w:line="360" w:lineRule="auto"/>
        <w:jc w:val="left"/>
        <w:rPr>
          <w:rFonts w:ascii="宋体" w:hAnsi="宋体" w:cs="宋体"/>
          <w:b/>
          <w:bCs/>
          <w:sz w:val="24"/>
        </w:rPr>
      </w:pPr>
    </w:p>
    <w:p w14:paraId="5209C79D">
      <w:pPr>
        <w:widowControl/>
        <w:jc w:val="left"/>
        <w:rPr>
          <w:rFonts w:ascii="宋体" w:hAnsi="宋体" w:cs="宋体"/>
          <w:b/>
          <w:bCs/>
          <w:sz w:val="24"/>
        </w:rPr>
      </w:pPr>
      <w:r>
        <w:rPr>
          <w:rFonts w:hint="eastAsia" w:ascii="宋体" w:hAnsi="宋体" w:cs="宋体"/>
          <w:b/>
          <w:bCs/>
          <w:sz w:val="24"/>
        </w:rPr>
        <w:t>四、服务过同类业绩</w:t>
      </w:r>
      <w:r>
        <w:rPr>
          <w:rFonts w:hint="eastAsia" w:ascii="宋体" w:hAnsi="宋体" w:cs="宋体"/>
          <w:b/>
          <w:bCs/>
          <w:sz w:val="24"/>
          <w:lang w:val="en-US" w:eastAsia="zh-CN"/>
        </w:rPr>
        <w:t>记录</w:t>
      </w:r>
      <w:r>
        <w:rPr>
          <w:rFonts w:hint="eastAsia" w:ascii="宋体" w:hAnsi="宋体" w:cs="宋体"/>
          <w:b/>
          <w:bCs/>
          <w:sz w:val="24"/>
        </w:rPr>
        <w:t>：</w:t>
      </w:r>
    </w:p>
    <w:p w14:paraId="6A3E76C7">
      <w:pPr>
        <w:spacing w:line="360" w:lineRule="auto"/>
        <w:jc w:val="left"/>
        <w:rPr>
          <w:rFonts w:ascii="宋体" w:hAnsi="宋体" w:cs="宋体"/>
          <w:sz w:val="24"/>
        </w:rPr>
      </w:pPr>
      <w:r>
        <w:rPr>
          <w:rFonts w:hint="eastAsia" w:ascii="宋体" w:hAnsi="宋体" w:cs="宋体"/>
          <w:sz w:val="24"/>
        </w:rPr>
        <w:t>提供同类项目成交记录（请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sz w:val="24"/>
        </w:rPr>
        <w:t>或合同</w:t>
      </w:r>
      <w:r>
        <w:rPr>
          <w:rFonts w:hint="eastAsia" w:ascii="宋体" w:hAnsi="宋体" w:cs="宋体"/>
          <w:sz w:val="24"/>
        </w:rPr>
        <w:t>）</w:t>
      </w:r>
    </w:p>
    <w:p w14:paraId="2CCCA0A5">
      <w:pPr>
        <w:spacing w:line="360" w:lineRule="auto"/>
        <w:jc w:val="left"/>
        <w:rPr>
          <w:rFonts w:ascii="宋体" w:hAnsi="宋体" w:cs="宋体"/>
          <w:sz w:val="24"/>
        </w:rPr>
      </w:pPr>
      <w:r>
        <w:rPr>
          <w:rFonts w:hint="eastAsia" w:ascii="宋体" w:hAnsi="宋体" w:cs="宋体"/>
          <w:sz w:val="24"/>
        </w:rPr>
        <w:t>（服务类适用）</w:t>
      </w:r>
    </w:p>
    <w:tbl>
      <w:tblPr>
        <w:tblStyle w:val="12"/>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1"/>
        <w:gridCol w:w="2480"/>
        <w:gridCol w:w="1098"/>
        <w:gridCol w:w="1098"/>
        <w:gridCol w:w="1098"/>
        <w:gridCol w:w="1381"/>
        <w:gridCol w:w="1381"/>
      </w:tblGrid>
      <w:tr w14:paraId="5BED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288" w:type="pct"/>
            <w:tcMar>
              <w:top w:w="15" w:type="dxa"/>
              <w:left w:w="15" w:type="dxa"/>
              <w:right w:w="15" w:type="dxa"/>
            </w:tcMar>
            <w:vAlign w:val="center"/>
          </w:tcPr>
          <w:p w14:paraId="0E23B5CD">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序号</w:t>
            </w:r>
          </w:p>
        </w:tc>
        <w:tc>
          <w:tcPr>
            <w:tcW w:w="1369" w:type="pct"/>
            <w:tcMar>
              <w:top w:w="15" w:type="dxa"/>
              <w:left w:w="15" w:type="dxa"/>
              <w:right w:w="15" w:type="dxa"/>
            </w:tcMar>
            <w:vAlign w:val="center"/>
          </w:tcPr>
          <w:p w14:paraId="017B0743">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项目名称</w:t>
            </w:r>
          </w:p>
        </w:tc>
        <w:tc>
          <w:tcPr>
            <w:tcW w:w="606" w:type="pct"/>
            <w:vAlign w:val="center"/>
          </w:tcPr>
          <w:p w14:paraId="544C4134">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项目业主</w:t>
            </w:r>
          </w:p>
        </w:tc>
        <w:tc>
          <w:tcPr>
            <w:tcW w:w="606" w:type="pct"/>
            <w:vAlign w:val="center"/>
          </w:tcPr>
          <w:p w14:paraId="5A0C76FE">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项目预算</w:t>
            </w:r>
          </w:p>
          <w:p w14:paraId="2D6EDC6D">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（如有）</w:t>
            </w:r>
          </w:p>
        </w:tc>
        <w:tc>
          <w:tcPr>
            <w:tcW w:w="606" w:type="pct"/>
            <w:tcMar>
              <w:top w:w="15" w:type="dxa"/>
              <w:left w:w="15" w:type="dxa"/>
              <w:right w:w="15" w:type="dxa"/>
            </w:tcMar>
            <w:vAlign w:val="center"/>
          </w:tcPr>
          <w:p w14:paraId="6D2FC238">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合同时间</w:t>
            </w:r>
          </w:p>
        </w:tc>
        <w:tc>
          <w:tcPr>
            <w:tcW w:w="762" w:type="pct"/>
            <w:tcMar>
              <w:top w:w="15" w:type="dxa"/>
              <w:left w:w="15" w:type="dxa"/>
              <w:right w:w="15" w:type="dxa"/>
            </w:tcMar>
            <w:vAlign w:val="center"/>
          </w:tcPr>
          <w:p w14:paraId="3CC64D9C">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sz w:val="22"/>
                <w:szCs w:val="22"/>
              </w:rPr>
              <w:t>合同金额</w:t>
            </w:r>
          </w:p>
          <w:p w14:paraId="400BF69B">
            <w:pPr>
              <w:widowControl/>
              <w:spacing w:line="360" w:lineRule="auto"/>
              <w:jc w:val="center"/>
              <w:textAlignment w:val="center"/>
              <w:rPr>
                <w:rFonts w:ascii="宋体" w:hAnsi="宋体" w:cs="宋体"/>
                <w:bCs/>
                <w:color w:val="000000"/>
                <w:sz w:val="22"/>
                <w:szCs w:val="22"/>
              </w:rPr>
            </w:pPr>
            <w:r>
              <w:rPr>
                <w:rStyle w:val="19"/>
                <w:rFonts w:hint="default"/>
                <w:b w:val="0"/>
                <w:bCs/>
              </w:rPr>
              <w:t>（万元）</w:t>
            </w:r>
          </w:p>
        </w:tc>
        <w:tc>
          <w:tcPr>
            <w:tcW w:w="762" w:type="pct"/>
            <w:vAlign w:val="center"/>
          </w:tcPr>
          <w:p w14:paraId="77BF13E5">
            <w:pPr>
              <w:widowControl/>
              <w:spacing w:line="360" w:lineRule="auto"/>
              <w:jc w:val="center"/>
              <w:textAlignment w:val="center"/>
              <w:rPr>
                <w:rFonts w:ascii="宋体" w:hAnsi="宋体" w:cs="宋体"/>
                <w:bCs/>
                <w:color w:val="000000"/>
                <w:sz w:val="22"/>
                <w:szCs w:val="22"/>
              </w:rPr>
            </w:pPr>
            <w:r>
              <w:rPr>
                <w:rStyle w:val="19"/>
                <w:rFonts w:hint="default"/>
                <w:b w:val="0"/>
                <w:bCs/>
              </w:rPr>
              <w:t>合同单价（如有）</w:t>
            </w:r>
          </w:p>
        </w:tc>
      </w:tr>
      <w:tr w14:paraId="52EB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88" w:type="pct"/>
            <w:tcMar>
              <w:top w:w="15" w:type="dxa"/>
              <w:left w:w="15" w:type="dxa"/>
              <w:right w:w="15" w:type="dxa"/>
            </w:tcMar>
            <w:vAlign w:val="center"/>
          </w:tcPr>
          <w:p w14:paraId="6900C854">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1</w:t>
            </w:r>
          </w:p>
        </w:tc>
        <w:tc>
          <w:tcPr>
            <w:tcW w:w="1369" w:type="pct"/>
            <w:tcMar>
              <w:top w:w="15" w:type="dxa"/>
              <w:left w:w="15" w:type="dxa"/>
              <w:right w:w="15" w:type="dxa"/>
            </w:tcMar>
            <w:vAlign w:val="center"/>
          </w:tcPr>
          <w:p w14:paraId="6935D959">
            <w:pPr>
              <w:widowControl/>
              <w:spacing w:line="360" w:lineRule="auto"/>
              <w:jc w:val="left"/>
              <w:textAlignment w:val="center"/>
              <w:rPr>
                <w:rFonts w:ascii="宋体" w:hAnsi="宋体" w:cs="宋体"/>
                <w:bCs/>
                <w:color w:val="000000"/>
                <w:sz w:val="22"/>
                <w:szCs w:val="22"/>
              </w:rPr>
            </w:pPr>
          </w:p>
        </w:tc>
        <w:tc>
          <w:tcPr>
            <w:tcW w:w="606" w:type="pct"/>
            <w:vAlign w:val="center"/>
          </w:tcPr>
          <w:p w14:paraId="1AEEA6BB">
            <w:pPr>
              <w:spacing w:line="360" w:lineRule="auto"/>
              <w:jc w:val="center"/>
              <w:rPr>
                <w:rFonts w:ascii="宋体" w:hAnsi="宋体" w:cs="宋体"/>
                <w:bCs/>
                <w:color w:val="000000"/>
                <w:sz w:val="22"/>
                <w:szCs w:val="22"/>
              </w:rPr>
            </w:pPr>
          </w:p>
        </w:tc>
        <w:tc>
          <w:tcPr>
            <w:tcW w:w="606" w:type="pct"/>
            <w:vAlign w:val="center"/>
          </w:tcPr>
          <w:p w14:paraId="4A391DE8">
            <w:pPr>
              <w:spacing w:line="360" w:lineRule="auto"/>
              <w:jc w:val="center"/>
              <w:rPr>
                <w:rFonts w:ascii="宋体" w:hAnsi="宋体" w:cs="宋体"/>
                <w:bCs/>
                <w:color w:val="000000"/>
                <w:sz w:val="22"/>
                <w:szCs w:val="22"/>
              </w:rPr>
            </w:pPr>
          </w:p>
        </w:tc>
        <w:tc>
          <w:tcPr>
            <w:tcW w:w="606" w:type="pct"/>
            <w:tcMar>
              <w:top w:w="15" w:type="dxa"/>
              <w:left w:w="15" w:type="dxa"/>
              <w:right w:w="15" w:type="dxa"/>
            </w:tcMar>
            <w:vAlign w:val="center"/>
          </w:tcPr>
          <w:p w14:paraId="7D360C93">
            <w:pPr>
              <w:spacing w:line="360" w:lineRule="auto"/>
              <w:jc w:val="center"/>
              <w:rPr>
                <w:rFonts w:ascii="宋体" w:hAnsi="宋体" w:cs="宋体"/>
                <w:bCs/>
                <w:color w:val="000000"/>
                <w:sz w:val="22"/>
                <w:szCs w:val="22"/>
              </w:rPr>
            </w:pPr>
          </w:p>
        </w:tc>
        <w:tc>
          <w:tcPr>
            <w:tcW w:w="762" w:type="pct"/>
            <w:tcMar>
              <w:top w:w="15" w:type="dxa"/>
              <w:left w:w="15" w:type="dxa"/>
              <w:right w:w="15" w:type="dxa"/>
            </w:tcMar>
            <w:vAlign w:val="center"/>
          </w:tcPr>
          <w:p w14:paraId="370D90D9">
            <w:pPr>
              <w:spacing w:line="360" w:lineRule="auto"/>
              <w:jc w:val="center"/>
              <w:rPr>
                <w:rFonts w:ascii="宋体" w:hAnsi="宋体" w:cs="宋体"/>
                <w:bCs/>
                <w:color w:val="000000"/>
                <w:sz w:val="22"/>
                <w:szCs w:val="22"/>
              </w:rPr>
            </w:pPr>
          </w:p>
        </w:tc>
        <w:tc>
          <w:tcPr>
            <w:tcW w:w="762" w:type="pct"/>
            <w:vAlign w:val="center"/>
          </w:tcPr>
          <w:p w14:paraId="06988DDF">
            <w:pPr>
              <w:spacing w:line="360" w:lineRule="auto"/>
              <w:jc w:val="center"/>
              <w:rPr>
                <w:rFonts w:ascii="宋体" w:hAnsi="宋体" w:cs="宋体"/>
                <w:bCs/>
                <w:color w:val="000000"/>
                <w:sz w:val="22"/>
                <w:szCs w:val="22"/>
              </w:rPr>
            </w:pPr>
          </w:p>
        </w:tc>
      </w:tr>
      <w:tr w14:paraId="07E7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88" w:type="pct"/>
            <w:tcMar>
              <w:top w:w="15" w:type="dxa"/>
              <w:left w:w="15" w:type="dxa"/>
              <w:right w:w="15" w:type="dxa"/>
            </w:tcMar>
            <w:vAlign w:val="center"/>
          </w:tcPr>
          <w:p w14:paraId="0AC92DAA">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w:t>
            </w:r>
          </w:p>
        </w:tc>
        <w:tc>
          <w:tcPr>
            <w:tcW w:w="1369" w:type="pct"/>
            <w:tcMar>
              <w:top w:w="15" w:type="dxa"/>
              <w:left w:w="15" w:type="dxa"/>
              <w:right w:w="15" w:type="dxa"/>
            </w:tcMar>
            <w:vAlign w:val="center"/>
          </w:tcPr>
          <w:p w14:paraId="111D994A">
            <w:pPr>
              <w:widowControl/>
              <w:spacing w:line="360" w:lineRule="auto"/>
              <w:jc w:val="left"/>
              <w:textAlignment w:val="center"/>
              <w:rPr>
                <w:rFonts w:ascii="宋体" w:hAnsi="宋体" w:cs="宋体"/>
                <w:bCs/>
                <w:color w:val="000000"/>
                <w:sz w:val="22"/>
                <w:szCs w:val="22"/>
              </w:rPr>
            </w:pPr>
          </w:p>
        </w:tc>
        <w:tc>
          <w:tcPr>
            <w:tcW w:w="606" w:type="pct"/>
            <w:vAlign w:val="center"/>
          </w:tcPr>
          <w:p w14:paraId="1A46F4F7">
            <w:pPr>
              <w:spacing w:line="360" w:lineRule="auto"/>
              <w:jc w:val="center"/>
              <w:rPr>
                <w:rFonts w:ascii="宋体" w:hAnsi="宋体" w:cs="宋体"/>
                <w:bCs/>
                <w:color w:val="000000"/>
                <w:sz w:val="22"/>
                <w:szCs w:val="22"/>
              </w:rPr>
            </w:pPr>
          </w:p>
        </w:tc>
        <w:tc>
          <w:tcPr>
            <w:tcW w:w="606" w:type="pct"/>
            <w:vAlign w:val="center"/>
          </w:tcPr>
          <w:p w14:paraId="1B96FC92">
            <w:pPr>
              <w:spacing w:line="360" w:lineRule="auto"/>
              <w:jc w:val="center"/>
              <w:rPr>
                <w:rFonts w:ascii="宋体" w:hAnsi="宋体" w:cs="宋体"/>
                <w:bCs/>
                <w:color w:val="000000"/>
                <w:sz w:val="22"/>
                <w:szCs w:val="22"/>
              </w:rPr>
            </w:pPr>
          </w:p>
        </w:tc>
        <w:tc>
          <w:tcPr>
            <w:tcW w:w="606" w:type="pct"/>
            <w:tcMar>
              <w:top w:w="15" w:type="dxa"/>
              <w:left w:w="15" w:type="dxa"/>
              <w:right w:w="15" w:type="dxa"/>
            </w:tcMar>
            <w:vAlign w:val="center"/>
          </w:tcPr>
          <w:p w14:paraId="509585C1">
            <w:pPr>
              <w:spacing w:line="360" w:lineRule="auto"/>
              <w:jc w:val="center"/>
              <w:rPr>
                <w:rFonts w:ascii="宋体" w:hAnsi="宋体" w:cs="宋体"/>
                <w:bCs/>
                <w:color w:val="000000"/>
                <w:sz w:val="22"/>
                <w:szCs w:val="22"/>
              </w:rPr>
            </w:pPr>
          </w:p>
        </w:tc>
        <w:tc>
          <w:tcPr>
            <w:tcW w:w="762" w:type="pct"/>
            <w:tcMar>
              <w:top w:w="15" w:type="dxa"/>
              <w:left w:w="15" w:type="dxa"/>
              <w:right w:w="15" w:type="dxa"/>
            </w:tcMar>
            <w:vAlign w:val="center"/>
          </w:tcPr>
          <w:p w14:paraId="19AC5E4B">
            <w:pPr>
              <w:spacing w:line="360" w:lineRule="auto"/>
              <w:jc w:val="center"/>
              <w:rPr>
                <w:rFonts w:ascii="宋体" w:hAnsi="宋体" w:cs="宋体"/>
                <w:bCs/>
                <w:color w:val="000000"/>
                <w:sz w:val="22"/>
                <w:szCs w:val="22"/>
              </w:rPr>
            </w:pPr>
          </w:p>
        </w:tc>
        <w:tc>
          <w:tcPr>
            <w:tcW w:w="762" w:type="pct"/>
            <w:vAlign w:val="center"/>
          </w:tcPr>
          <w:p w14:paraId="0155B098">
            <w:pPr>
              <w:spacing w:line="360" w:lineRule="auto"/>
              <w:jc w:val="center"/>
              <w:rPr>
                <w:rFonts w:ascii="宋体" w:hAnsi="宋体" w:cs="宋体"/>
                <w:bCs/>
                <w:color w:val="000000"/>
                <w:sz w:val="22"/>
                <w:szCs w:val="22"/>
              </w:rPr>
            </w:pPr>
          </w:p>
        </w:tc>
      </w:tr>
      <w:tr w14:paraId="6023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288" w:type="pct"/>
            <w:tcMar>
              <w:top w:w="15" w:type="dxa"/>
              <w:left w:w="15" w:type="dxa"/>
              <w:right w:w="15" w:type="dxa"/>
            </w:tcMar>
            <w:vAlign w:val="center"/>
          </w:tcPr>
          <w:p w14:paraId="3727985F">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3</w:t>
            </w:r>
          </w:p>
        </w:tc>
        <w:tc>
          <w:tcPr>
            <w:tcW w:w="1369" w:type="pct"/>
            <w:tcMar>
              <w:top w:w="15" w:type="dxa"/>
              <w:left w:w="15" w:type="dxa"/>
              <w:right w:w="15" w:type="dxa"/>
            </w:tcMar>
            <w:vAlign w:val="center"/>
          </w:tcPr>
          <w:p w14:paraId="2E0DD051">
            <w:pPr>
              <w:widowControl/>
              <w:spacing w:line="360" w:lineRule="auto"/>
              <w:jc w:val="left"/>
              <w:textAlignment w:val="center"/>
              <w:rPr>
                <w:rFonts w:ascii="宋体" w:hAnsi="宋体" w:cs="宋体"/>
                <w:bCs/>
                <w:color w:val="000000"/>
                <w:sz w:val="22"/>
                <w:szCs w:val="22"/>
              </w:rPr>
            </w:pPr>
          </w:p>
        </w:tc>
        <w:tc>
          <w:tcPr>
            <w:tcW w:w="606" w:type="pct"/>
            <w:vAlign w:val="center"/>
          </w:tcPr>
          <w:p w14:paraId="04DC3326">
            <w:pPr>
              <w:spacing w:line="360" w:lineRule="auto"/>
              <w:jc w:val="center"/>
              <w:rPr>
                <w:rFonts w:ascii="宋体" w:hAnsi="宋体" w:cs="宋体"/>
                <w:bCs/>
                <w:color w:val="000000"/>
                <w:sz w:val="22"/>
                <w:szCs w:val="22"/>
              </w:rPr>
            </w:pPr>
          </w:p>
        </w:tc>
        <w:tc>
          <w:tcPr>
            <w:tcW w:w="606" w:type="pct"/>
            <w:vAlign w:val="center"/>
          </w:tcPr>
          <w:p w14:paraId="7190EC29">
            <w:pPr>
              <w:spacing w:line="360" w:lineRule="auto"/>
              <w:jc w:val="center"/>
              <w:rPr>
                <w:rFonts w:ascii="宋体" w:hAnsi="宋体" w:cs="宋体"/>
                <w:bCs/>
                <w:color w:val="000000"/>
                <w:sz w:val="22"/>
                <w:szCs w:val="22"/>
              </w:rPr>
            </w:pPr>
          </w:p>
        </w:tc>
        <w:tc>
          <w:tcPr>
            <w:tcW w:w="606" w:type="pct"/>
            <w:tcMar>
              <w:top w:w="15" w:type="dxa"/>
              <w:left w:w="15" w:type="dxa"/>
              <w:right w:w="15" w:type="dxa"/>
            </w:tcMar>
            <w:vAlign w:val="center"/>
          </w:tcPr>
          <w:p w14:paraId="35F76243">
            <w:pPr>
              <w:spacing w:line="360" w:lineRule="auto"/>
              <w:jc w:val="center"/>
              <w:rPr>
                <w:rFonts w:ascii="宋体" w:hAnsi="宋体" w:cs="宋体"/>
                <w:bCs/>
                <w:color w:val="000000"/>
                <w:sz w:val="22"/>
                <w:szCs w:val="22"/>
              </w:rPr>
            </w:pPr>
          </w:p>
        </w:tc>
        <w:tc>
          <w:tcPr>
            <w:tcW w:w="762" w:type="pct"/>
            <w:tcMar>
              <w:top w:w="15" w:type="dxa"/>
              <w:left w:w="15" w:type="dxa"/>
              <w:right w:w="15" w:type="dxa"/>
            </w:tcMar>
            <w:vAlign w:val="center"/>
          </w:tcPr>
          <w:p w14:paraId="5F3EEC8E">
            <w:pPr>
              <w:spacing w:line="360" w:lineRule="auto"/>
              <w:jc w:val="center"/>
              <w:rPr>
                <w:rFonts w:ascii="宋体" w:hAnsi="宋体" w:cs="宋体"/>
                <w:bCs/>
                <w:color w:val="000000"/>
                <w:sz w:val="22"/>
                <w:szCs w:val="22"/>
              </w:rPr>
            </w:pPr>
          </w:p>
        </w:tc>
        <w:tc>
          <w:tcPr>
            <w:tcW w:w="762" w:type="pct"/>
            <w:vAlign w:val="center"/>
          </w:tcPr>
          <w:p w14:paraId="4EF8F4AE">
            <w:pPr>
              <w:spacing w:line="360" w:lineRule="auto"/>
              <w:jc w:val="center"/>
              <w:rPr>
                <w:rFonts w:ascii="宋体" w:hAnsi="宋体" w:cs="宋体"/>
                <w:bCs/>
                <w:color w:val="000000"/>
                <w:sz w:val="22"/>
                <w:szCs w:val="22"/>
              </w:rPr>
            </w:pPr>
          </w:p>
        </w:tc>
      </w:tr>
    </w:tbl>
    <w:p w14:paraId="777EFE19">
      <w:pPr>
        <w:widowControl/>
        <w:spacing w:line="360" w:lineRule="auto"/>
        <w:jc w:val="left"/>
        <w:rPr>
          <w:rFonts w:hint="eastAsia" w:ascii="宋体" w:hAnsi="宋体" w:cs="宋体"/>
          <w:b/>
          <w:bCs/>
          <w:sz w:val="24"/>
        </w:rPr>
      </w:pPr>
    </w:p>
    <w:p w14:paraId="76403D2C">
      <w:pPr>
        <w:widowControl/>
        <w:spacing w:line="360" w:lineRule="auto"/>
        <w:jc w:val="left"/>
        <w:rPr>
          <w:rFonts w:ascii="宋体" w:hAnsi="宋体" w:cs="宋体"/>
          <w:b/>
          <w:bCs/>
          <w:sz w:val="24"/>
        </w:rPr>
      </w:pPr>
      <w:r>
        <w:rPr>
          <w:rFonts w:hint="eastAsia" w:ascii="宋体" w:hAnsi="宋体" w:cs="宋体"/>
          <w:b/>
          <w:bCs/>
          <w:sz w:val="24"/>
        </w:rPr>
        <w:t>五、后续采购情况</w:t>
      </w:r>
    </w:p>
    <w:p w14:paraId="3296C4C5">
      <w:pPr>
        <w:spacing w:line="360" w:lineRule="auto"/>
        <w:rPr>
          <w:rFonts w:ascii="宋体" w:hAnsi="宋体" w:cs="宋体"/>
          <w:sz w:val="24"/>
        </w:rPr>
      </w:pPr>
      <w:r>
        <w:rPr>
          <w:rFonts w:hint="eastAsia" w:ascii="宋体" w:hAnsi="宋体" w:cs="宋体"/>
          <w:bCs/>
          <w:sz w:val="24"/>
        </w:rPr>
        <w:t>可能涉及的</w:t>
      </w:r>
      <w:r>
        <w:rPr>
          <w:rFonts w:hint="eastAsia" w:ascii="宋体" w:hAnsi="宋体" w:cs="宋体"/>
          <w:bCs/>
          <w:sz w:val="24"/>
          <w:lang w:val="en-US" w:eastAsia="zh-CN"/>
        </w:rPr>
        <w:t>变更、竣工验收、其他配套服务等</w:t>
      </w:r>
      <w:r>
        <w:rPr>
          <w:rFonts w:hint="eastAsia" w:ascii="宋体" w:hAnsi="宋体" w:cs="宋体"/>
          <w:bCs/>
          <w:sz w:val="24"/>
        </w:rPr>
        <w:t>有关的费用等情况：</w:t>
      </w:r>
    </w:p>
    <w:p w14:paraId="47CAB984">
      <w:pPr>
        <w:spacing w:line="360" w:lineRule="auto"/>
        <w:rPr>
          <w:rFonts w:ascii="宋体" w:hAnsi="宋体" w:cs="宋体"/>
          <w:sz w:val="24"/>
          <w:u w:val="single"/>
        </w:rPr>
      </w:pPr>
      <w:r>
        <w:rPr>
          <w:rFonts w:hint="eastAsia" w:ascii="宋体" w:hAnsi="宋体" w:cs="宋体"/>
          <w:sz w:val="24"/>
          <w:u w:val="single"/>
        </w:rPr>
        <w:t xml:space="preserve">                                                                       </w:t>
      </w:r>
    </w:p>
    <w:p w14:paraId="7BAA420A">
      <w:pPr>
        <w:pStyle w:val="11"/>
        <w:ind w:firstLine="0" w:firstLineChars="0"/>
      </w:pPr>
    </w:p>
    <w:p w14:paraId="66085C1F">
      <w:pPr>
        <w:widowControl/>
        <w:spacing w:line="360" w:lineRule="auto"/>
        <w:jc w:val="left"/>
        <w:rPr>
          <w:rFonts w:ascii="宋体" w:hAnsi="宋体" w:cs="宋体"/>
          <w:b/>
          <w:bCs/>
          <w:sz w:val="24"/>
        </w:rPr>
      </w:pPr>
      <w:r>
        <w:rPr>
          <w:rFonts w:hint="eastAsia" w:ascii="宋体" w:hAnsi="宋体" w:cs="宋体"/>
          <w:b/>
          <w:bCs/>
          <w:sz w:val="24"/>
        </w:rPr>
        <w:t>六、关于采购需求中的建议，以及是否有不明确（或不完整）内容，如有请说明</w:t>
      </w:r>
    </w:p>
    <w:p w14:paraId="7E0BB4D9">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14:paraId="13A63848">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14:paraId="3D2722DF">
      <w:pPr>
        <w:spacing w:line="360" w:lineRule="auto"/>
        <w:rPr>
          <w:rFonts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14:paraId="3C7ED8EF">
      <w:pPr>
        <w:pStyle w:val="11"/>
        <w:spacing w:line="360" w:lineRule="auto"/>
        <w:ind w:firstLine="0" w:firstLineChars="0"/>
        <w:rPr>
          <w:rFonts w:ascii="宋体" w:hAnsi="宋体" w:cs="宋体"/>
          <w:b/>
          <w:bCs/>
          <w:sz w:val="24"/>
          <w:szCs w:val="24"/>
        </w:rPr>
      </w:pPr>
    </w:p>
    <w:p w14:paraId="3184FCCA">
      <w:pPr>
        <w:spacing w:before="156" w:beforeLines="50" w:after="156" w:afterLines="50" w:line="360" w:lineRule="auto"/>
        <w:ind w:right="-853" w:rightChars="-406"/>
        <w:jc w:val="left"/>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用户</w:t>
      </w:r>
      <w:r>
        <w:rPr>
          <w:rFonts w:hint="eastAsia" w:ascii="宋体" w:hAnsi="宋体" w:cs="宋体"/>
          <w:b/>
          <w:bCs/>
          <w:sz w:val="24"/>
        </w:rPr>
        <w:t>需求是否存在不明确（或不完整）内容，无法报价，如有请填写以下2、3、4点</w:t>
      </w:r>
    </w:p>
    <w:p w14:paraId="3F64798F">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用户</w:t>
      </w:r>
      <w:r>
        <w:rPr>
          <w:rFonts w:hint="eastAsia" w:ascii="宋体" w:hAnsi="宋体" w:cs="宋体"/>
          <w:sz w:val="24"/>
        </w:rPr>
        <w:t>需求是否存在不明确（或不完整）内容：是（   ） 否（   ）</w:t>
      </w:r>
    </w:p>
    <w:p w14:paraId="486FD816">
      <w:pPr>
        <w:spacing w:line="360" w:lineRule="auto"/>
        <w:rPr>
          <w:rFonts w:ascii="宋体" w:hAnsi="宋体" w:cs="宋体"/>
          <w:sz w:val="24"/>
        </w:rPr>
      </w:pPr>
      <w:r>
        <w:rPr>
          <w:rFonts w:hint="eastAsia" w:ascii="宋体" w:hAnsi="宋体" w:cs="宋体"/>
          <w:sz w:val="24"/>
        </w:rPr>
        <w:t>2.建议内容:</w:t>
      </w:r>
      <w:r>
        <w:rPr>
          <w:rFonts w:hint="eastAsia" w:ascii="宋体" w:hAnsi="宋体" w:cs="宋体"/>
          <w:sz w:val="24"/>
          <w:u w:val="single"/>
        </w:rPr>
        <w:t xml:space="preserve">                            </w:t>
      </w:r>
    </w:p>
    <w:p w14:paraId="5BC1C363">
      <w:pPr>
        <w:spacing w:line="360" w:lineRule="auto"/>
        <w:rPr>
          <w:rFonts w:ascii="宋体" w:hAnsi="宋体" w:cs="宋体"/>
          <w:sz w:val="24"/>
        </w:rPr>
      </w:pPr>
      <w:r>
        <w:rPr>
          <w:rFonts w:hint="eastAsia" w:ascii="宋体" w:hAnsi="宋体" w:cs="宋体"/>
          <w:sz w:val="24"/>
        </w:rPr>
        <w:t>3.说明提出建议的原因:</w:t>
      </w:r>
      <w:r>
        <w:rPr>
          <w:rFonts w:hint="eastAsia" w:ascii="宋体" w:hAnsi="宋体" w:cs="宋体"/>
          <w:sz w:val="24"/>
          <w:u w:val="single"/>
        </w:rPr>
        <w:t xml:space="preserve">                  </w:t>
      </w:r>
    </w:p>
    <w:p w14:paraId="5880C9C8">
      <w:pPr>
        <w:spacing w:line="360" w:lineRule="auto"/>
        <w:rPr>
          <w:rFonts w:ascii="宋体" w:hAnsi="宋体" w:cs="宋体"/>
          <w:sz w:val="24"/>
        </w:rPr>
      </w:pPr>
      <w:r>
        <w:rPr>
          <w:rFonts w:hint="eastAsia" w:ascii="宋体" w:hAnsi="宋体" w:cs="宋体"/>
          <w:sz w:val="24"/>
        </w:rPr>
        <w:t>4.提出的建议:</w:t>
      </w:r>
      <w:r>
        <w:rPr>
          <w:rFonts w:hint="eastAsia" w:ascii="宋体" w:hAnsi="宋体" w:cs="宋体"/>
          <w:sz w:val="24"/>
          <w:u w:val="single"/>
        </w:rPr>
        <w:t xml:space="preserve">                                </w:t>
      </w:r>
    </w:p>
    <w:p w14:paraId="7AE5DFE7">
      <w:pPr>
        <w:spacing w:before="156" w:beforeLines="50" w:after="156" w:afterLines="50" w:line="360" w:lineRule="auto"/>
        <w:jc w:val="left"/>
        <w:rPr>
          <w:rFonts w:ascii="宋体" w:hAnsi="宋体" w:cs="宋体"/>
          <w:b/>
          <w:sz w:val="24"/>
        </w:rPr>
      </w:pPr>
      <w:r>
        <w:rPr>
          <w:rFonts w:hint="eastAsia" w:ascii="宋体" w:hAnsi="宋体" w:cs="宋体"/>
          <w:b/>
          <w:sz w:val="24"/>
        </w:rPr>
        <w:t>八、</w:t>
      </w:r>
      <w:r>
        <w:rPr>
          <w:rFonts w:hint="eastAsia" w:ascii="宋体" w:hAnsi="宋体" w:cs="宋体"/>
          <w:b/>
          <w:bCs/>
          <w:sz w:val="24"/>
        </w:rPr>
        <w:t>其他</w:t>
      </w:r>
      <w:r>
        <w:rPr>
          <w:rFonts w:hint="eastAsia" w:ascii="宋体" w:hAnsi="宋体" w:cs="宋体"/>
          <w:b/>
          <w:sz w:val="24"/>
        </w:rPr>
        <w:t>建议</w:t>
      </w:r>
    </w:p>
    <w:p w14:paraId="670F4E7C">
      <w:pPr>
        <w:spacing w:line="360" w:lineRule="auto"/>
        <w:rPr>
          <w:rFonts w:ascii="宋体" w:hAnsi="宋体" w:cs="宋体"/>
          <w:sz w:val="24"/>
        </w:rPr>
      </w:pPr>
      <w:r>
        <w:rPr>
          <w:rFonts w:hint="eastAsia" w:ascii="宋体" w:hAnsi="宋体" w:cs="宋体"/>
          <w:sz w:val="24"/>
        </w:rPr>
        <w:t>如有，请详细说明。</w:t>
      </w:r>
    </w:p>
    <w:p w14:paraId="182E57EE">
      <w:pPr>
        <w:spacing w:line="360" w:lineRule="auto"/>
        <w:jc w:val="right"/>
        <w:rPr>
          <w:rFonts w:ascii="宋体" w:hAnsi="宋体" w:cs="宋体"/>
          <w:sz w:val="24"/>
        </w:rPr>
      </w:pPr>
    </w:p>
    <w:p w14:paraId="2C8C9EE0">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14:paraId="53C9BBC5">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14:paraId="6D75BDD4">
      <w:pPr>
        <w:pStyle w:val="11"/>
        <w:ind w:firstLine="0" w:firstLineChars="0"/>
      </w:pPr>
    </w:p>
    <w:p w14:paraId="2B9FB98E">
      <w:pPr>
        <w:spacing w:line="360" w:lineRule="auto"/>
        <w:jc w:val="left"/>
        <w:rPr>
          <w:rFonts w:ascii="宋体" w:hAnsi="宋体" w:cs="宋体"/>
          <w:bCs/>
          <w:sz w:val="24"/>
        </w:rPr>
      </w:pPr>
      <w:r>
        <w:rPr>
          <w:rFonts w:hint="eastAsia" w:ascii="宋体" w:hAnsi="宋体" w:cs="宋体"/>
          <w:bCs/>
          <w:sz w:val="24"/>
        </w:rPr>
        <w:t>注：采购需求调查反馈意见书填写要求</w:t>
      </w:r>
    </w:p>
    <w:p w14:paraId="317922A4">
      <w:pPr>
        <w:spacing w:line="360" w:lineRule="auto"/>
        <w:ind w:firstLine="480" w:firstLineChars="200"/>
        <w:rPr>
          <w:rFonts w:ascii="宋体" w:hAnsi="宋体"/>
          <w:sz w:val="24"/>
        </w:rPr>
      </w:pPr>
      <w:r>
        <w:rPr>
          <w:rFonts w:hint="eastAsia" w:ascii="宋体" w:hAnsi="宋体" w:cs="宋体"/>
          <w:color w:val="333333"/>
          <w:kern w:val="0"/>
          <w:sz w:val="24"/>
        </w:rPr>
        <w:t>1.请各供应商参照《采购需求调查反馈意见书》的要求填写，</w:t>
      </w:r>
      <w:r>
        <w:rPr>
          <w:rFonts w:hint="eastAsia" w:ascii="宋体" w:hAnsi="宋体" w:cs="宋体"/>
          <w:b/>
          <w:color w:val="333333"/>
          <w:kern w:val="0"/>
          <w:sz w:val="24"/>
          <w:u w:val="single"/>
        </w:rPr>
        <w:t>并于</w:t>
      </w:r>
      <w:r>
        <w:rPr>
          <w:rFonts w:hint="eastAsia" w:ascii="宋体" w:hAnsi="宋体" w:cs="宋体"/>
          <w:b/>
          <w:color w:val="333333"/>
          <w:kern w:val="0"/>
          <w:sz w:val="24"/>
          <w:u w:val="single"/>
          <w:lang w:val="en-US" w:eastAsia="zh-CN"/>
        </w:rPr>
        <w:t>2025</w:t>
      </w:r>
      <w:r>
        <w:rPr>
          <w:rFonts w:hint="eastAsia" w:ascii="宋体" w:hAnsi="宋体" w:cs="宋体"/>
          <w:b/>
          <w:color w:val="333333"/>
          <w:kern w:val="0"/>
          <w:sz w:val="24"/>
          <w:u w:val="single"/>
        </w:rPr>
        <w:t>年</w:t>
      </w:r>
      <w:r>
        <w:rPr>
          <w:rFonts w:hint="eastAsia" w:ascii="宋体" w:hAnsi="宋体" w:cs="宋体"/>
          <w:b/>
          <w:color w:val="333333"/>
          <w:kern w:val="0"/>
          <w:sz w:val="24"/>
          <w:u w:val="single"/>
          <w:lang w:val="en-US" w:eastAsia="zh-CN"/>
        </w:rPr>
        <w:t>12</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25</w:t>
      </w:r>
      <w:r>
        <w:rPr>
          <w:rFonts w:hint="eastAsia" w:ascii="宋体" w:hAnsi="宋体" w:cs="宋体"/>
          <w:b/>
          <w:color w:val="333333"/>
          <w:kern w:val="0"/>
          <w:sz w:val="24"/>
          <w:u w:val="single"/>
        </w:rPr>
        <w:t>日</w:t>
      </w:r>
      <w:r>
        <w:rPr>
          <w:rFonts w:hint="eastAsia" w:ascii="宋体" w:hAnsi="宋体" w:cs="宋体"/>
          <w:b/>
          <w:color w:val="333333"/>
          <w:kern w:val="0"/>
          <w:sz w:val="24"/>
          <w:u w:val="single"/>
          <w:lang w:val="en-US" w:eastAsia="zh-CN"/>
        </w:rPr>
        <w:t>17</w:t>
      </w:r>
      <w:r>
        <w:rPr>
          <w:rFonts w:hint="eastAsia" w:ascii="宋体" w:hAnsi="宋体" w:cs="宋体"/>
          <w:b/>
          <w:color w:val="333333"/>
          <w:kern w:val="0"/>
          <w:sz w:val="24"/>
          <w:u w:val="single"/>
        </w:rPr>
        <w:t>：</w:t>
      </w:r>
      <w:r>
        <w:rPr>
          <w:rFonts w:hint="eastAsia" w:ascii="宋体" w:hAnsi="宋体" w:cs="宋体"/>
          <w:b/>
          <w:color w:val="333333"/>
          <w:kern w:val="0"/>
          <w:sz w:val="24"/>
          <w:u w:val="single"/>
          <w:lang w:val="en-US" w:eastAsia="zh-CN"/>
        </w:rPr>
        <w:t>30</w:t>
      </w:r>
      <w:r>
        <w:rPr>
          <w:rFonts w:hint="eastAsia" w:ascii="宋体" w:hAnsi="宋体" w:cs="宋体"/>
          <w:b/>
          <w:color w:val="333333"/>
          <w:kern w:val="0"/>
          <w:sz w:val="24"/>
          <w:u w:val="single"/>
        </w:rPr>
        <w:t>前</w:t>
      </w:r>
      <w:r>
        <w:rPr>
          <w:rFonts w:hint="eastAsia" w:ascii="宋体" w:hAnsi="宋体" w:cs="宋体"/>
          <w:color w:val="333333"/>
          <w:kern w:val="0"/>
          <w:sz w:val="24"/>
        </w:rPr>
        <w:t>将加盖公章的《采购需求调查反馈意见书》</w:t>
      </w:r>
      <w:r>
        <w:rPr>
          <w:rFonts w:hint="eastAsia" w:ascii="宋体" w:hAnsi="宋体"/>
          <w:sz w:val="24"/>
        </w:rPr>
        <w:t>PDF电子档发送至邮箱</w:t>
      </w:r>
      <w:r>
        <w:rPr>
          <w:rFonts w:hint="eastAsia" w:ascii="宋体" w:hAnsi="宋体"/>
          <w:b/>
          <w:sz w:val="24"/>
        </w:rPr>
        <w:t>：dgwangtat@163.com</w:t>
      </w:r>
      <w:r>
        <w:rPr>
          <w:rFonts w:hint="eastAsia" w:ascii="宋体" w:hAnsi="宋体"/>
          <w:sz w:val="24"/>
        </w:rPr>
        <w:t>，</w:t>
      </w:r>
      <w:r>
        <w:rPr>
          <w:rFonts w:hint="eastAsia" w:ascii="宋体" w:hAnsi="宋体" w:cs="宋体"/>
          <w:color w:val="333333"/>
          <w:kern w:val="0"/>
          <w:sz w:val="24"/>
        </w:rPr>
        <w:t>如有其他对本次项目的意见或建议，也可一并提供。</w:t>
      </w:r>
    </w:p>
    <w:p w14:paraId="5B8BD2C2">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2.本次采购需求调查的结果将作为</w:t>
      </w:r>
      <w:r>
        <w:rPr>
          <w:rFonts w:hint="eastAsia" w:ascii="宋体" w:hAnsi="宋体" w:cs="宋体"/>
          <w:color w:val="333333"/>
          <w:kern w:val="0"/>
          <w:sz w:val="24"/>
          <w:u w:val="single"/>
        </w:rPr>
        <w:t>东莞市水务环境投资控股集团有限公司咨询设计服务单位库服务单位采购项目</w:t>
      </w:r>
      <w:r>
        <w:rPr>
          <w:rFonts w:hint="eastAsia" w:ascii="宋体" w:hAnsi="宋体" w:cs="宋体"/>
          <w:color w:val="333333"/>
          <w:kern w:val="0"/>
          <w:sz w:val="24"/>
        </w:rPr>
        <w:t>采购需求的参考，不影响供应商参与本项目后续采购活动。</w:t>
      </w:r>
    </w:p>
    <w:p w14:paraId="3B0132E2">
      <w:pPr>
        <w:pStyle w:val="11"/>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3.各潜在供应商所提供的调查应当选择真实、有效的信息，信息来源应当有依据且符合当前市场实际情况，不得随意编造。</w:t>
      </w:r>
    </w:p>
    <w:sectPr>
      <w:footerReference r:id="rId3" w:type="default"/>
      <w:pgSz w:w="11906" w:h="16838"/>
      <w:pgMar w:top="1276"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9E03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5D21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15D21E">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NzFmYzBmZTk3YTViNmQ1NzNlMWM0ZGQ5ZGU2N2UifQ=="/>
  </w:docVars>
  <w:rsids>
    <w:rsidRoot w:val="005167E0"/>
    <w:rsid w:val="00045B97"/>
    <w:rsid w:val="00096989"/>
    <w:rsid w:val="000C09F6"/>
    <w:rsid w:val="000E6513"/>
    <w:rsid w:val="001018D8"/>
    <w:rsid w:val="00106A81"/>
    <w:rsid w:val="00125673"/>
    <w:rsid w:val="001A664B"/>
    <w:rsid w:val="001C1623"/>
    <w:rsid w:val="001E3B87"/>
    <w:rsid w:val="00222664"/>
    <w:rsid w:val="00232F4F"/>
    <w:rsid w:val="00234520"/>
    <w:rsid w:val="002702B2"/>
    <w:rsid w:val="002F6AC7"/>
    <w:rsid w:val="00331449"/>
    <w:rsid w:val="003421ED"/>
    <w:rsid w:val="00344C50"/>
    <w:rsid w:val="003E616A"/>
    <w:rsid w:val="00475975"/>
    <w:rsid w:val="004A51CC"/>
    <w:rsid w:val="004C284A"/>
    <w:rsid w:val="00510CCC"/>
    <w:rsid w:val="005167E0"/>
    <w:rsid w:val="005755C5"/>
    <w:rsid w:val="005F1D0A"/>
    <w:rsid w:val="00605486"/>
    <w:rsid w:val="00615ECC"/>
    <w:rsid w:val="006332C0"/>
    <w:rsid w:val="00651E91"/>
    <w:rsid w:val="00674D9A"/>
    <w:rsid w:val="00692E59"/>
    <w:rsid w:val="00697A6C"/>
    <w:rsid w:val="006C0831"/>
    <w:rsid w:val="006C5F1F"/>
    <w:rsid w:val="00715C20"/>
    <w:rsid w:val="007225A9"/>
    <w:rsid w:val="00731ECA"/>
    <w:rsid w:val="00733A36"/>
    <w:rsid w:val="00734F0A"/>
    <w:rsid w:val="00753250"/>
    <w:rsid w:val="007757E4"/>
    <w:rsid w:val="007868AE"/>
    <w:rsid w:val="00787B42"/>
    <w:rsid w:val="007D3C9D"/>
    <w:rsid w:val="00813224"/>
    <w:rsid w:val="00876327"/>
    <w:rsid w:val="008A1E2F"/>
    <w:rsid w:val="008A7B7E"/>
    <w:rsid w:val="008E6A36"/>
    <w:rsid w:val="009155F8"/>
    <w:rsid w:val="009174D0"/>
    <w:rsid w:val="00956A53"/>
    <w:rsid w:val="0096407B"/>
    <w:rsid w:val="00967E4B"/>
    <w:rsid w:val="00974304"/>
    <w:rsid w:val="009D4F81"/>
    <w:rsid w:val="00A93856"/>
    <w:rsid w:val="00AF0F71"/>
    <w:rsid w:val="00AF46B5"/>
    <w:rsid w:val="00B00339"/>
    <w:rsid w:val="00B03CB0"/>
    <w:rsid w:val="00BA0666"/>
    <w:rsid w:val="00BA56B1"/>
    <w:rsid w:val="00BF51AA"/>
    <w:rsid w:val="00C40DDC"/>
    <w:rsid w:val="00C72EAB"/>
    <w:rsid w:val="00C76E14"/>
    <w:rsid w:val="00CA0AC7"/>
    <w:rsid w:val="00CB770B"/>
    <w:rsid w:val="00D678B0"/>
    <w:rsid w:val="00D73419"/>
    <w:rsid w:val="00DA3EE2"/>
    <w:rsid w:val="00DA6177"/>
    <w:rsid w:val="00DE7F84"/>
    <w:rsid w:val="00DF24E3"/>
    <w:rsid w:val="00E35957"/>
    <w:rsid w:val="00E5536F"/>
    <w:rsid w:val="00F464E2"/>
    <w:rsid w:val="00F50E85"/>
    <w:rsid w:val="00F64CF0"/>
    <w:rsid w:val="00F87EDF"/>
    <w:rsid w:val="00FF2315"/>
    <w:rsid w:val="014C09C9"/>
    <w:rsid w:val="06F945AC"/>
    <w:rsid w:val="09491E5E"/>
    <w:rsid w:val="09FD2F9C"/>
    <w:rsid w:val="0B0E4E77"/>
    <w:rsid w:val="0F5C6D97"/>
    <w:rsid w:val="102008C3"/>
    <w:rsid w:val="11E97531"/>
    <w:rsid w:val="20FB3E16"/>
    <w:rsid w:val="217D682E"/>
    <w:rsid w:val="24710020"/>
    <w:rsid w:val="274C7221"/>
    <w:rsid w:val="28967AA9"/>
    <w:rsid w:val="29CF44BF"/>
    <w:rsid w:val="2ED8336B"/>
    <w:rsid w:val="32C8674D"/>
    <w:rsid w:val="33173A3E"/>
    <w:rsid w:val="34527225"/>
    <w:rsid w:val="35E30A24"/>
    <w:rsid w:val="36565A57"/>
    <w:rsid w:val="37165B69"/>
    <w:rsid w:val="3C31210D"/>
    <w:rsid w:val="3DAC5DDE"/>
    <w:rsid w:val="3EFA602A"/>
    <w:rsid w:val="3F91560F"/>
    <w:rsid w:val="42C817D4"/>
    <w:rsid w:val="44CF3E28"/>
    <w:rsid w:val="464770E2"/>
    <w:rsid w:val="466036BA"/>
    <w:rsid w:val="47065D1E"/>
    <w:rsid w:val="496D463C"/>
    <w:rsid w:val="4F867008"/>
    <w:rsid w:val="54FB703C"/>
    <w:rsid w:val="55012A26"/>
    <w:rsid w:val="572B03B0"/>
    <w:rsid w:val="5A2455CE"/>
    <w:rsid w:val="5F4327CF"/>
    <w:rsid w:val="64FE2617"/>
    <w:rsid w:val="6561411C"/>
    <w:rsid w:val="66C92C1D"/>
    <w:rsid w:val="685E3302"/>
    <w:rsid w:val="68F8431F"/>
    <w:rsid w:val="6A930DA9"/>
    <w:rsid w:val="744D77A8"/>
    <w:rsid w:val="7ABC05FA"/>
    <w:rsid w:val="7C255794"/>
    <w:rsid w:val="7E6E3EA1"/>
    <w:rsid w:val="7FF3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3" w:lineRule="auto"/>
      <w:outlineLvl w:val="2"/>
    </w:pPr>
    <w:rPr>
      <w:rFonts w:ascii="Times New Roman" w:hAnsi="Times New Roman"/>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5"/>
    <w:autoRedefine/>
    <w:semiHidden/>
    <w:unhideWhenUsed/>
    <w:qFormat/>
    <w:uiPriority w:val="99"/>
    <w:pPr>
      <w:jc w:val="left"/>
    </w:pPr>
  </w:style>
  <w:style w:type="paragraph" w:styleId="4">
    <w:name w:val="Body Text"/>
    <w:basedOn w:val="1"/>
    <w:link w:val="20"/>
    <w:autoRedefine/>
    <w:semiHidden/>
    <w:unhideWhenUsed/>
    <w:qFormat/>
    <w:uiPriority w:val="99"/>
    <w:pPr>
      <w:spacing w:after="120"/>
    </w:pPr>
  </w:style>
  <w:style w:type="paragraph" w:styleId="5">
    <w:name w:val="Body Text Indent"/>
    <w:basedOn w:val="1"/>
    <w:link w:val="17"/>
    <w:autoRedefine/>
    <w:semiHidden/>
    <w:unhideWhenUsed/>
    <w:qFormat/>
    <w:uiPriority w:val="99"/>
    <w:pPr>
      <w:spacing w:after="120"/>
      <w:ind w:left="420" w:leftChars="200"/>
    </w:pPr>
  </w:style>
  <w:style w:type="paragraph" w:styleId="6">
    <w:name w:val="Balloon Text"/>
    <w:basedOn w:val="1"/>
    <w:link w:val="24"/>
    <w:autoRedefine/>
    <w:semiHidden/>
    <w:unhideWhenUsed/>
    <w:qFormat/>
    <w:uiPriority w:val="99"/>
    <w:rPr>
      <w:sz w:val="18"/>
      <w:szCs w:val="18"/>
    </w:rPr>
  </w:style>
  <w:style w:type="paragraph" w:styleId="7">
    <w:name w:val="footer"/>
    <w:basedOn w:val="1"/>
    <w:link w:val="22"/>
    <w:autoRedefine/>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annotation subject"/>
    <w:basedOn w:val="3"/>
    <w:next w:val="3"/>
    <w:link w:val="26"/>
    <w:autoRedefine/>
    <w:semiHidden/>
    <w:unhideWhenUsed/>
    <w:qFormat/>
    <w:uiPriority w:val="99"/>
    <w:rPr>
      <w:b/>
      <w:bCs/>
    </w:rPr>
  </w:style>
  <w:style w:type="paragraph" w:styleId="11">
    <w:name w:val="Body Text First Indent 2"/>
    <w:basedOn w:val="5"/>
    <w:link w:val="18"/>
    <w:autoRedefine/>
    <w:qFormat/>
    <w:uiPriority w:val="0"/>
    <w:pPr>
      <w:ind w:left="0" w:leftChars="0" w:firstLine="420" w:firstLineChars="200"/>
    </w:pPr>
    <w:rPr>
      <w:szCs w:val="20"/>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autoRedefine/>
    <w:unhideWhenUsed/>
    <w:qFormat/>
    <w:uiPriority w:val="99"/>
    <w:rPr>
      <w:color w:val="0000FF" w:themeColor="hyperlink"/>
      <w:u w:val="single"/>
      <w14:textFill>
        <w14:solidFill>
          <w14:schemeClr w14:val="hlink"/>
        </w14:solidFill>
      </w14:textFill>
    </w:rPr>
  </w:style>
  <w:style w:type="character" w:styleId="16">
    <w:name w:val="annotation reference"/>
    <w:basedOn w:val="14"/>
    <w:autoRedefine/>
    <w:semiHidden/>
    <w:unhideWhenUsed/>
    <w:qFormat/>
    <w:uiPriority w:val="99"/>
    <w:rPr>
      <w:sz w:val="21"/>
      <w:szCs w:val="21"/>
    </w:rPr>
  </w:style>
  <w:style w:type="character" w:customStyle="1" w:styleId="17">
    <w:name w:val="正文文本缩进 Char"/>
    <w:basedOn w:val="14"/>
    <w:link w:val="5"/>
    <w:autoRedefine/>
    <w:semiHidden/>
    <w:qFormat/>
    <w:uiPriority w:val="99"/>
    <w:rPr>
      <w:rFonts w:ascii="Calibri" w:hAnsi="Calibri" w:eastAsia="宋体" w:cs="Times New Roman"/>
      <w:szCs w:val="24"/>
    </w:rPr>
  </w:style>
  <w:style w:type="character" w:customStyle="1" w:styleId="18">
    <w:name w:val="正文首行缩进 2 Char"/>
    <w:basedOn w:val="17"/>
    <w:link w:val="11"/>
    <w:autoRedefine/>
    <w:qFormat/>
    <w:uiPriority w:val="0"/>
    <w:rPr>
      <w:rFonts w:ascii="Calibri" w:hAnsi="Calibri" w:eastAsia="宋体" w:cs="Times New Roman"/>
      <w:szCs w:val="20"/>
    </w:rPr>
  </w:style>
  <w:style w:type="character" w:customStyle="1" w:styleId="19">
    <w:name w:val="font61"/>
    <w:basedOn w:val="14"/>
    <w:autoRedefine/>
    <w:qFormat/>
    <w:uiPriority w:val="0"/>
    <w:rPr>
      <w:rFonts w:hint="eastAsia" w:ascii="宋体" w:hAnsi="宋体" w:eastAsia="宋体" w:cs="宋体"/>
      <w:b/>
      <w:color w:val="000000"/>
      <w:sz w:val="22"/>
      <w:szCs w:val="22"/>
      <w:u w:val="none"/>
    </w:rPr>
  </w:style>
  <w:style w:type="character" w:customStyle="1" w:styleId="20">
    <w:name w:val="正文文本 Char"/>
    <w:basedOn w:val="14"/>
    <w:link w:val="4"/>
    <w:autoRedefine/>
    <w:semiHidden/>
    <w:qFormat/>
    <w:uiPriority w:val="99"/>
    <w:rPr>
      <w:rFonts w:ascii="Calibri" w:hAnsi="Calibri" w:eastAsia="宋体" w:cs="Times New Roman"/>
      <w:szCs w:val="24"/>
    </w:rPr>
  </w:style>
  <w:style w:type="character" w:customStyle="1" w:styleId="21">
    <w:name w:val="页眉 Char"/>
    <w:basedOn w:val="14"/>
    <w:link w:val="8"/>
    <w:autoRedefine/>
    <w:qFormat/>
    <w:uiPriority w:val="99"/>
    <w:rPr>
      <w:rFonts w:ascii="Calibri" w:hAnsi="Calibri" w:eastAsia="宋体" w:cs="Times New Roman"/>
      <w:kern w:val="2"/>
      <w:sz w:val="18"/>
      <w:szCs w:val="18"/>
    </w:rPr>
  </w:style>
  <w:style w:type="character" w:customStyle="1" w:styleId="22">
    <w:name w:val="页脚 Char"/>
    <w:basedOn w:val="14"/>
    <w:link w:val="7"/>
    <w:autoRedefine/>
    <w:qFormat/>
    <w:uiPriority w:val="99"/>
    <w:rPr>
      <w:rFonts w:ascii="Calibri" w:hAnsi="Calibri" w:eastAsia="宋体" w:cs="Times New Roman"/>
      <w:kern w:val="2"/>
      <w:sz w:val="18"/>
      <w:szCs w:val="18"/>
    </w:rPr>
  </w:style>
  <w:style w:type="character" w:customStyle="1" w:styleId="23">
    <w:name w:val="未处理的提及1"/>
    <w:basedOn w:val="14"/>
    <w:autoRedefine/>
    <w:semiHidden/>
    <w:unhideWhenUsed/>
    <w:qFormat/>
    <w:uiPriority w:val="99"/>
    <w:rPr>
      <w:color w:val="605E5C"/>
      <w:shd w:val="clear" w:color="auto" w:fill="E1DFDD"/>
    </w:rPr>
  </w:style>
  <w:style w:type="character" w:customStyle="1" w:styleId="24">
    <w:name w:val="批注框文本 Char"/>
    <w:basedOn w:val="14"/>
    <w:link w:val="6"/>
    <w:autoRedefine/>
    <w:semiHidden/>
    <w:qFormat/>
    <w:uiPriority w:val="99"/>
    <w:rPr>
      <w:rFonts w:ascii="Calibri" w:hAnsi="Calibri" w:eastAsia="宋体" w:cs="Times New Roman"/>
      <w:kern w:val="2"/>
      <w:sz w:val="18"/>
      <w:szCs w:val="18"/>
    </w:rPr>
  </w:style>
  <w:style w:type="character" w:customStyle="1" w:styleId="25">
    <w:name w:val="批注文字 Char"/>
    <w:basedOn w:val="14"/>
    <w:link w:val="3"/>
    <w:autoRedefine/>
    <w:semiHidden/>
    <w:qFormat/>
    <w:uiPriority w:val="99"/>
    <w:rPr>
      <w:rFonts w:ascii="Calibri" w:hAnsi="Calibri"/>
      <w:kern w:val="2"/>
      <w:sz w:val="21"/>
      <w:szCs w:val="24"/>
    </w:rPr>
  </w:style>
  <w:style w:type="character" w:customStyle="1" w:styleId="26">
    <w:name w:val="批注主题 Char"/>
    <w:basedOn w:val="25"/>
    <w:link w:val="10"/>
    <w:autoRedefine/>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1091</Words>
  <Characters>1144</Characters>
  <Lines>14</Lines>
  <Paragraphs>4</Paragraphs>
  <TotalTime>1</TotalTime>
  <ScaleCrop>false</ScaleCrop>
  <LinksUpToDate>false</LinksUpToDate>
  <CharactersWithSpaces>1935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2025-07-08T01:44:00Z</dcterms:created>
  <dc:creator>Administrator</dc:creator>
  <cp:lastModifiedBy>代理</cp:lastModifiedBy>
  <cp:lastPrinted>2025-07-24T09:00:00Z</cp:lastPrinted>
  <dcterms:modified xsi:type="dcterms:W3CDTF">2025-12-18T07:30:58Z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45569B035D1C498687C3D523C655B53F_13</vt:lpwstr>
  </property>
  <property fmtid="{D5CDD505-2E9C-101B-9397-08002B2CF9AE}" pid="4" name="KSOTemplateDocerSaveRecord">
    <vt:lpwstr>eyJoZGlkIjoiZTNkZTE2YjQ0NDg3N2MyYzY4ZDhlZTFhZGNkZjZkMzAiLCJ1c2VySWQiOiIyMTc0Mzk3MDEifQ==</vt:lpwstr>
  </property>
</Properties>
</file>