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42C94">
      <w:pPr>
        <w:kinsoku/>
        <w:overflowPunct/>
        <w:autoSpaceDE w:val="0"/>
        <w:autoSpaceDN w:val="0"/>
        <w:bidi w:val="0"/>
        <w:adjustRightInd w:val="0"/>
        <w:spacing w:line="276" w:lineRule="auto"/>
        <w:ind w:left="357" w:leftChars="170" w:right="-23" w:rightChars="-11"/>
        <w:jc w:val="center"/>
        <w:outlineLvl w:val="9"/>
        <w:rPr>
          <w:rFonts w:hint="eastAsia" w:ascii="宋体" w:hAnsi="宋体" w:eastAsia="宋体" w:cs="宋体"/>
          <w:b/>
          <w:bCs/>
          <w:color w:val="auto"/>
          <w:kern w:val="0"/>
          <w:sz w:val="52"/>
          <w:szCs w:val="52"/>
          <w:highlight w:val="none"/>
          <w:lang w:val="zh-CN"/>
        </w:rPr>
      </w:pPr>
    </w:p>
    <w:p w14:paraId="681024EA">
      <w:pPr>
        <w:keepNext w:val="0"/>
        <w:keepLines w:val="0"/>
        <w:pageBreakBefore w:val="0"/>
        <w:widowControl w:val="0"/>
        <w:kinsoku/>
        <w:wordWrap/>
        <w:overflowPunct/>
        <w:topLinePunct w:val="0"/>
        <w:autoSpaceDE w:val="0"/>
        <w:autoSpaceDN w:val="0"/>
        <w:bidi w:val="0"/>
        <w:adjustRightInd w:val="0"/>
        <w:snapToGrid/>
        <w:spacing w:line="276" w:lineRule="auto"/>
        <w:ind w:left="357" w:leftChars="170" w:right="-23" w:rightChars="-11"/>
        <w:jc w:val="center"/>
        <w:textAlignment w:val="auto"/>
        <w:outlineLvl w:val="9"/>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东莞市水务环境投资控股集团有限公司</w:t>
      </w:r>
      <w:r>
        <w:rPr>
          <w:rFonts w:hint="eastAsia" w:ascii="宋体" w:hAnsi="宋体" w:eastAsia="宋体" w:cs="宋体"/>
          <w:b/>
          <w:bCs/>
          <w:color w:val="auto"/>
          <w:kern w:val="0"/>
          <w:sz w:val="60"/>
          <w:szCs w:val="60"/>
          <w:highlight w:val="none"/>
          <w:lang w:val="en-US" w:eastAsia="zh-CN"/>
        </w:rPr>
        <w:t>招标</w:t>
      </w:r>
      <w:r>
        <w:rPr>
          <w:rFonts w:hint="eastAsia" w:ascii="宋体" w:hAnsi="宋体" w:eastAsia="宋体" w:cs="宋体"/>
          <w:b/>
          <w:bCs/>
          <w:color w:val="auto"/>
          <w:kern w:val="0"/>
          <w:sz w:val="60"/>
          <w:szCs w:val="60"/>
          <w:highlight w:val="none"/>
          <w:lang w:val="zh-CN"/>
        </w:rPr>
        <w:t>采购代理协议服务项目</w:t>
      </w:r>
    </w:p>
    <w:p w14:paraId="6E683D2F">
      <w:pPr>
        <w:kinsoku/>
        <w:overflowPunct/>
        <w:autoSpaceDE w:val="0"/>
        <w:autoSpaceDN w:val="0"/>
        <w:bidi w:val="0"/>
        <w:adjustRightInd w:val="0"/>
        <w:spacing w:line="276" w:lineRule="auto"/>
        <w:ind w:left="357" w:leftChars="170" w:right="-23" w:rightChars="-11"/>
        <w:jc w:val="center"/>
        <w:outlineLvl w:val="9"/>
        <w:rPr>
          <w:rFonts w:ascii="宋体" w:hAnsi="宋体" w:eastAsia="宋体" w:cs="宋体"/>
          <w:b/>
          <w:bCs/>
          <w:color w:val="auto"/>
          <w:kern w:val="0"/>
          <w:sz w:val="44"/>
          <w:szCs w:val="44"/>
          <w:highlight w:val="none"/>
          <w:lang w:val="zh-CN"/>
        </w:rPr>
      </w:pPr>
    </w:p>
    <w:p w14:paraId="4971EB5B">
      <w:pPr>
        <w:kinsoku/>
        <w:overflowPunct/>
        <w:autoSpaceDE w:val="0"/>
        <w:autoSpaceDN w:val="0"/>
        <w:bidi w:val="0"/>
        <w:adjustRightInd w:val="0"/>
        <w:ind w:right="-23" w:rightChars="-11"/>
        <w:jc w:val="left"/>
        <w:outlineLvl w:val="9"/>
        <w:rPr>
          <w:rFonts w:ascii="宋体" w:hAnsi="宋体" w:eastAsia="宋体" w:cs="宋体"/>
          <w:b/>
          <w:bCs/>
          <w:color w:val="auto"/>
          <w:sz w:val="44"/>
          <w:szCs w:val="44"/>
          <w:highlight w:val="none"/>
          <w:lang w:val="zh-CN"/>
        </w:rPr>
      </w:pPr>
    </w:p>
    <w:p w14:paraId="2F4630F3">
      <w:pPr>
        <w:kinsoku/>
        <w:overflowPunct/>
        <w:autoSpaceDE w:val="0"/>
        <w:autoSpaceDN w:val="0"/>
        <w:bidi w:val="0"/>
        <w:adjustRightInd w:val="0"/>
        <w:ind w:right="-23" w:rightChars="-11"/>
        <w:jc w:val="center"/>
        <w:outlineLvl w:val="9"/>
        <w:rPr>
          <w:rFonts w:ascii="宋体" w:hAnsi="宋体" w:eastAsia="宋体" w:cs="Times New Roman"/>
          <w:b/>
          <w:bCs/>
          <w:color w:val="auto"/>
          <w:sz w:val="72"/>
          <w:szCs w:val="72"/>
          <w:highlight w:val="none"/>
          <w:lang w:val="zh-CN"/>
        </w:rPr>
      </w:pPr>
    </w:p>
    <w:p w14:paraId="188F81A1">
      <w:pPr>
        <w:kinsoku/>
        <w:overflowPunct/>
        <w:autoSpaceDE w:val="0"/>
        <w:autoSpaceDN w:val="0"/>
        <w:bidi w:val="0"/>
        <w:adjustRightInd w:val="0"/>
        <w:ind w:right="-23" w:rightChars="-11"/>
        <w:jc w:val="center"/>
        <w:outlineLvl w:val="9"/>
        <w:rPr>
          <w:rFonts w:hint="eastAsia" w:ascii="宋体" w:hAnsi="宋体" w:eastAsia="宋体" w:cs="Times New Roman"/>
          <w:b/>
          <w:bCs/>
          <w:color w:val="auto"/>
          <w:sz w:val="72"/>
          <w:szCs w:val="72"/>
          <w:highlight w:val="none"/>
          <w:lang w:val="en-US" w:eastAsia="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10920EB2">
      <w:pPr>
        <w:kinsoku/>
        <w:overflowPunct/>
        <w:autoSpaceDE w:val="0"/>
        <w:autoSpaceDN w:val="0"/>
        <w:bidi w:val="0"/>
        <w:adjustRightInd w:val="0"/>
        <w:ind w:right="-23" w:rightChars="-11"/>
        <w:jc w:val="center"/>
        <w:outlineLvl w:val="9"/>
        <w:rPr>
          <w:rFonts w:ascii="宋体" w:hAnsi="宋体" w:eastAsia="宋体" w:cs="宋体"/>
          <w:b/>
          <w:bCs/>
          <w:color w:val="auto"/>
          <w:sz w:val="32"/>
          <w:szCs w:val="32"/>
          <w:highlight w:val="none"/>
          <w:lang w:val="zh-CN"/>
        </w:rPr>
      </w:pPr>
    </w:p>
    <w:p w14:paraId="462088EB">
      <w:pPr>
        <w:kinsoku/>
        <w:overflowPunct/>
        <w:autoSpaceDE w:val="0"/>
        <w:autoSpaceDN w:val="0"/>
        <w:bidi w:val="0"/>
        <w:adjustRightInd w:val="0"/>
        <w:ind w:right="-23" w:rightChars="-11"/>
        <w:jc w:val="center"/>
        <w:outlineLvl w:val="9"/>
        <w:rPr>
          <w:rFonts w:ascii="宋体" w:hAnsi="宋体" w:eastAsia="宋体" w:cs="宋体"/>
          <w:b/>
          <w:bCs/>
          <w:color w:val="auto"/>
          <w:sz w:val="44"/>
          <w:szCs w:val="44"/>
          <w:highlight w:val="none"/>
          <w:lang w:val="zh-CN"/>
        </w:rPr>
      </w:pPr>
    </w:p>
    <w:p w14:paraId="7C654398">
      <w:pPr>
        <w:kinsoku/>
        <w:overflowPunct/>
        <w:autoSpaceDE w:val="0"/>
        <w:autoSpaceDN w:val="0"/>
        <w:bidi w:val="0"/>
        <w:adjustRightInd w:val="0"/>
        <w:ind w:right="-23" w:rightChars="-11"/>
        <w:jc w:val="left"/>
        <w:outlineLvl w:val="9"/>
        <w:rPr>
          <w:rFonts w:ascii="宋体" w:hAnsi="宋体" w:eastAsia="宋体" w:cs="宋体"/>
          <w:b/>
          <w:bCs/>
          <w:color w:val="auto"/>
          <w:sz w:val="32"/>
          <w:szCs w:val="32"/>
          <w:highlight w:val="none"/>
          <w:u w:val="single"/>
          <w:lang w:val="zh-CN"/>
        </w:rPr>
      </w:pPr>
    </w:p>
    <w:p w14:paraId="2F310074">
      <w:pPr>
        <w:tabs>
          <w:tab w:val="left" w:pos="9240"/>
        </w:tabs>
        <w:kinsoku/>
        <w:overflowPunct/>
        <w:autoSpaceDE w:val="0"/>
        <w:autoSpaceDN w:val="0"/>
        <w:bidi w:val="0"/>
        <w:adjustRightInd w:val="0"/>
        <w:spacing w:line="700" w:lineRule="exact"/>
        <w:ind w:right="-23" w:rightChars="-11"/>
        <w:jc w:val="left"/>
        <w:outlineLvl w:val="9"/>
        <w:rPr>
          <w:rFonts w:ascii="宋体" w:hAnsi="宋体" w:eastAsia="宋体" w:cs="宋体"/>
          <w:b/>
          <w:bCs/>
          <w:color w:val="auto"/>
          <w:sz w:val="32"/>
          <w:szCs w:val="32"/>
          <w:highlight w:val="none"/>
          <w:lang w:val="zh-CN"/>
        </w:rPr>
      </w:pPr>
    </w:p>
    <w:p w14:paraId="36175D63">
      <w:pPr>
        <w:keepNext w:val="0"/>
        <w:keepLines w:val="0"/>
        <w:pageBreakBefore w:val="0"/>
        <w:widowControl w:val="0"/>
        <w:kinsoku/>
        <w:wordWrap/>
        <w:overflowPunct/>
        <w:topLinePunct w:val="0"/>
        <w:autoSpaceDE w:val="0"/>
        <w:autoSpaceDN w:val="0"/>
        <w:bidi w:val="0"/>
        <w:adjustRightInd w:val="0"/>
        <w:snapToGrid/>
        <w:spacing w:line="480" w:lineRule="auto"/>
        <w:ind w:left="1842" w:leftChars="877" w:firstLine="19" w:firstLineChars="6"/>
        <w:jc w:val="left"/>
        <w:textAlignment w:val="auto"/>
        <w:outlineLvl w:val="9"/>
        <w:rPr>
          <w:rFonts w:hint="eastAsia"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号：WQSWQZ12502592</w:t>
      </w:r>
      <w:r>
        <w:rPr>
          <w:rFonts w:hint="eastAsia" w:ascii="宋体" w:hAnsi="宋体" w:eastAsia="宋体" w:cs="Times New Roman"/>
          <w:b/>
          <w:bCs/>
          <w:color w:val="auto"/>
          <w:sz w:val="32"/>
          <w:szCs w:val="32"/>
          <w:highlight w:val="none"/>
          <w:lang w:val="en-US" w:eastAsia="zh-CN"/>
        </w:rPr>
        <w:t>（标段一）</w:t>
      </w:r>
    </w:p>
    <w:p w14:paraId="37EF97C8">
      <w:pPr>
        <w:keepNext w:val="0"/>
        <w:keepLines w:val="0"/>
        <w:pageBreakBefore w:val="0"/>
        <w:widowControl w:val="0"/>
        <w:kinsoku/>
        <w:wordWrap/>
        <w:overflowPunct/>
        <w:topLinePunct w:val="0"/>
        <w:autoSpaceDE w:val="0"/>
        <w:autoSpaceDN w:val="0"/>
        <w:bidi w:val="0"/>
        <w:adjustRightInd w:val="0"/>
        <w:snapToGrid/>
        <w:spacing w:line="480" w:lineRule="auto"/>
        <w:ind w:left="1842" w:leftChars="877" w:firstLine="19" w:firstLineChars="6"/>
        <w:jc w:val="left"/>
        <w:textAlignment w:val="auto"/>
        <w:outlineLvl w:val="9"/>
        <w:rPr>
          <w:rFonts w:hint="default"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en-US" w:eastAsia="zh-CN"/>
        </w:rPr>
        <w:t xml:space="preserve">             WQSWQZ12502593（标段二）</w:t>
      </w:r>
    </w:p>
    <w:p w14:paraId="51FC0EF8">
      <w:pPr>
        <w:keepNext w:val="0"/>
        <w:keepLines w:val="0"/>
        <w:pageBreakBefore w:val="0"/>
        <w:widowControl w:val="0"/>
        <w:kinsoku/>
        <w:wordWrap/>
        <w:overflowPunct/>
        <w:topLinePunct w:val="0"/>
        <w:autoSpaceDE w:val="0"/>
        <w:autoSpaceDN w:val="0"/>
        <w:bidi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人：东莞市水务环境投资控股集团有限公司</w:t>
      </w:r>
    </w:p>
    <w:p w14:paraId="4419DF49">
      <w:pPr>
        <w:keepNext w:val="0"/>
        <w:keepLines w:val="0"/>
        <w:pageBreakBefore w:val="0"/>
        <w:widowControl w:val="0"/>
        <w:kinsoku/>
        <w:wordWrap/>
        <w:overflowPunct/>
        <w:topLinePunct w:val="0"/>
        <w:autoSpaceDE w:val="0"/>
        <w:autoSpaceDN w:val="0"/>
        <w:bidi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招标代理机构：广东晟拓工程咨询有限公司</w:t>
      </w:r>
    </w:p>
    <w:p w14:paraId="1DD6BEB3">
      <w:pPr>
        <w:keepNext w:val="0"/>
        <w:keepLines w:val="0"/>
        <w:pageBreakBefore w:val="0"/>
        <w:widowControl w:val="0"/>
        <w:kinsoku/>
        <w:wordWrap/>
        <w:overflowPunct/>
        <w:topLinePunct w:val="0"/>
        <w:autoSpaceDE w:val="0"/>
        <w:autoSpaceDN w:val="0"/>
        <w:bidi w:val="0"/>
        <w:adjustRightInd w:val="0"/>
        <w:snapToGrid/>
        <w:ind w:right="-23" w:rightChars="-11"/>
        <w:jc w:val="left"/>
        <w:textAlignment w:val="auto"/>
        <w:outlineLvl w:val="9"/>
        <w:rPr>
          <w:rFonts w:ascii="宋体" w:hAnsi="宋体" w:eastAsia="宋体" w:cs="Times New Roman"/>
          <w:b/>
          <w:bCs/>
          <w:color w:val="auto"/>
          <w:kern w:val="0"/>
          <w:sz w:val="32"/>
          <w:szCs w:val="32"/>
          <w:highlight w:val="none"/>
          <w:lang w:val="zh-CN"/>
        </w:rPr>
      </w:pPr>
    </w:p>
    <w:p w14:paraId="1327423C">
      <w:pPr>
        <w:keepNext w:val="0"/>
        <w:keepLines w:val="0"/>
        <w:pageBreakBefore w:val="0"/>
        <w:widowControl w:val="0"/>
        <w:kinsoku/>
        <w:wordWrap/>
        <w:overflowPunct/>
        <w:topLinePunct w:val="0"/>
        <w:autoSpaceDE w:val="0"/>
        <w:autoSpaceDN w:val="0"/>
        <w:bidi w:val="0"/>
        <w:adjustRightInd w:val="0"/>
        <w:snapToGrid/>
        <w:ind w:right="-23" w:rightChars="-11"/>
        <w:jc w:val="center"/>
        <w:textAlignment w:val="auto"/>
        <w:outlineLvl w:val="9"/>
        <w:rPr>
          <w:rFonts w:ascii="宋体" w:hAnsi="宋体" w:eastAsia="宋体" w:cs="Times New Roman"/>
          <w:b/>
          <w:bCs/>
          <w:color w:val="auto"/>
          <w:kern w:val="0"/>
          <w:sz w:val="84"/>
          <w:szCs w:val="84"/>
          <w:highlight w:val="none"/>
          <w:lang w:val="zh-CN"/>
        </w:rPr>
      </w:pPr>
    </w:p>
    <w:p w14:paraId="614BA22A">
      <w:pPr>
        <w:keepNext w:val="0"/>
        <w:keepLines w:val="0"/>
        <w:pageBreakBefore w:val="0"/>
        <w:widowControl w:val="0"/>
        <w:kinsoku/>
        <w:wordWrap/>
        <w:overflowPunct/>
        <w:topLinePunct w:val="0"/>
        <w:autoSpaceDE w:val="0"/>
        <w:autoSpaceDN w:val="0"/>
        <w:bidi w:val="0"/>
        <w:adjustRightInd w:val="0"/>
        <w:snapToGrid/>
        <w:spacing w:line="360" w:lineRule="auto"/>
        <w:ind w:left="357" w:leftChars="170" w:right="-23" w:rightChars="-11" w:firstLine="321" w:firstLineChars="100"/>
        <w:jc w:val="center"/>
        <w:textAlignment w:val="auto"/>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  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24</w:t>
      </w:r>
      <w:r>
        <w:rPr>
          <w:rFonts w:hint="eastAsia" w:ascii="宋体" w:hAnsi="宋体" w:eastAsia="宋体" w:cs="宋体"/>
          <w:b/>
          <w:bCs/>
          <w:color w:val="auto"/>
          <w:sz w:val="32"/>
          <w:szCs w:val="32"/>
          <w:highlight w:val="none"/>
          <w:lang w:val="zh-CN"/>
        </w:rPr>
        <w:t>日</w:t>
      </w:r>
    </w:p>
    <w:p w14:paraId="332B4A85">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宋体" w:hAnsi="宋体" w:eastAsia="宋体" w:cs="宋体"/>
          <w:b/>
          <w:color w:val="auto"/>
          <w:sz w:val="36"/>
          <w:szCs w:val="36"/>
          <w:highlight w:val="none"/>
        </w:rPr>
      </w:pPr>
      <w:bookmarkStart w:id="0" w:name="_Toc28640"/>
      <w:bookmarkStart w:id="1" w:name="_Toc15553"/>
      <w:r>
        <w:rPr>
          <w:rFonts w:hint="eastAsia" w:ascii="宋体" w:hAnsi="宋体" w:eastAsia="宋体" w:cs="宋体"/>
          <w:b/>
          <w:color w:val="auto"/>
          <w:sz w:val="36"/>
          <w:szCs w:val="36"/>
          <w:highlight w:val="none"/>
          <w:lang w:bidi="ar"/>
        </w:rPr>
        <w:t>重要提示</w:t>
      </w:r>
      <w:bookmarkEnd w:id="0"/>
    </w:p>
    <w:p w14:paraId="5938345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eastAsia="宋体" w:cs="宋体"/>
          <w:color w:val="auto"/>
          <w:sz w:val="24"/>
          <w:szCs w:val="24"/>
          <w:highlight w:val="none"/>
          <w:lang w:bidi="ar"/>
        </w:rPr>
      </w:pPr>
      <w:r>
        <w:rPr>
          <w:rFonts w:hint="eastAsia" w:eastAsia="宋体" w:cs="宋体"/>
          <w:color w:val="auto"/>
          <w:sz w:val="24"/>
          <w:szCs w:val="24"/>
          <w:highlight w:val="none"/>
          <w:lang w:bidi="ar"/>
        </w:rPr>
        <w:t>1. 本次招标项目采用电子标书。</w:t>
      </w:r>
    </w:p>
    <w:p w14:paraId="22DCDC22">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68EFB6BC">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3. 除特别说明外，招标文件相关条款中提及的以及第六篇“投标文件格式”中包括但不限于“企业数字证书电子签名”及“电子签名”等要求签名的均指由数字证书电子签章或电子签名。</w:t>
      </w:r>
    </w:p>
    <w:p w14:paraId="3897141E">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4F36D6E0">
      <w:pPr>
        <w:pStyle w:val="39"/>
        <w:widowControl w:val="0"/>
        <w:kinsoku/>
        <w:overflowPunct/>
        <w:bidi w:val="0"/>
        <w:spacing w:before="0" w:beforeAutospacing="0" w:after="0" w:afterAutospacing="0" w:line="360" w:lineRule="auto"/>
        <w:ind w:firstLine="482" w:firstLineChars="200"/>
        <w:jc w:val="both"/>
        <w:outlineLvl w:val="9"/>
        <w:rPr>
          <w:rFonts w:eastAsia="宋体" w:cs="宋体"/>
          <w:b/>
          <w:bCs/>
          <w:color w:val="auto"/>
          <w:sz w:val="24"/>
          <w:szCs w:val="24"/>
          <w:highlight w:val="none"/>
          <w:lang w:bidi="ar"/>
        </w:rPr>
      </w:pPr>
      <w:r>
        <w:rPr>
          <w:rFonts w:hint="eastAsia" w:eastAsia="宋体" w:cs="宋体"/>
          <w:b/>
          <w:bCs/>
          <w:color w:val="auto"/>
          <w:sz w:val="24"/>
          <w:szCs w:val="24"/>
          <w:highlight w:val="none"/>
          <w:lang w:bidi="ar"/>
        </w:rPr>
        <w:t xml:space="preserve">5. </w:t>
      </w:r>
      <w:bookmarkStart w:id="2" w:name="OLE_LINK1"/>
      <w:r>
        <w:rPr>
          <w:rFonts w:hint="eastAsia" w:eastAsia="宋体" w:cs="宋体"/>
          <w:b/>
          <w:bCs/>
          <w:color w:val="auto"/>
          <w:sz w:val="24"/>
          <w:szCs w:val="24"/>
          <w:highlight w:val="none"/>
          <w:lang w:eastAsia="zh-CN" w:bidi="ar"/>
        </w:rPr>
        <w:t>【</w:t>
      </w:r>
      <w:r>
        <w:rPr>
          <w:rFonts w:hint="eastAsia" w:eastAsia="宋体" w:cs="宋体"/>
          <w:b/>
          <w:bCs/>
          <w:color w:val="auto"/>
          <w:sz w:val="24"/>
          <w:szCs w:val="24"/>
          <w:highlight w:val="none"/>
          <w:lang w:val="en-US" w:eastAsia="zh-CN" w:bidi="ar"/>
        </w:rPr>
        <w:t>特别提醒</w:t>
      </w:r>
      <w:r>
        <w:rPr>
          <w:rFonts w:hint="eastAsia" w:eastAsia="宋体" w:cs="宋体"/>
          <w:b/>
          <w:bCs/>
          <w:color w:val="auto"/>
          <w:sz w:val="24"/>
          <w:szCs w:val="24"/>
          <w:highlight w:val="none"/>
          <w:lang w:eastAsia="zh-CN" w:bidi="ar"/>
        </w:rPr>
        <w:t>】</w:t>
      </w:r>
      <w:bookmarkEnd w:id="2"/>
      <w:r>
        <w:rPr>
          <w:rFonts w:hint="eastAsia" w:eastAsia="宋体" w:cs="宋体"/>
          <w:b/>
          <w:bCs/>
          <w:color w:val="auto"/>
          <w:sz w:val="24"/>
          <w:szCs w:val="24"/>
          <w:highlight w:val="none"/>
          <w:lang w:bidi="ar"/>
        </w:rPr>
        <w:t>投标人在交易系统中对投标文件进行解密的电子</w:t>
      </w:r>
      <w:r>
        <w:rPr>
          <w:rFonts w:eastAsia="宋体" w:cs="宋体"/>
          <w:b/>
          <w:bCs/>
          <w:color w:val="auto"/>
          <w:sz w:val="24"/>
          <w:szCs w:val="24"/>
          <w:highlight w:val="none"/>
          <w:lang w:bidi="ar"/>
        </w:rPr>
        <w:t>签名</w:t>
      </w:r>
      <w:r>
        <w:rPr>
          <w:rFonts w:hint="eastAsia" w:eastAsia="宋体" w:cs="宋体"/>
          <w:b/>
          <w:bCs/>
          <w:color w:val="auto"/>
          <w:sz w:val="24"/>
          <w:szCs w:val="24"/>
          <w:highlight w:val="none"/>
          <w:lang w:bidi="ar"/>
        </w:rPr>
        <w:t>认证证书必须为机构证书或制作本项目投标文件的业务证书。</w:t>
      </w:r>
    </w:p>
    <w:p w14:paraId="64F1CB30">
      <w:pPr>
        <w:pStyle w:val="39"/>
        <w:widowControl w:val="0"/>
        <w:kinsoku/>
        <w:overflowPunct/>
        <w:bidi w:val="0"/>
        <w:spacing w:before="0" w:beforeAutospacing="0" w:after="0" w:afterAutospacing="0" w:line="360" w:lineRule="auto"/>
        <w:ind w:firstLine="482" w:firstLineChars="200"/>
        <w:jc w:val="both"/>
        <w:outlineLvl w:val="9"/>
        <w:rPr>
          <w:rFonts w:eastAsia="宋体" w:cs="宋体"/>
          <w:b/>
          <w:bCs/>
          <w:color w:val="auto"/>
          <w:sz w:val="24"/>
          <w:szCs w:val="24"/>
          <w:highlight w:val="none"/>
          <w:lang w:bidi="ar"/>
        </w:rPr>
      </w:pPr>
      <w:r>
        <w:rPr>
          <w:rFonts w:hint="eastAsia" w:eastAsia="宋体" w:cs="宋体"/>
          <w:b/>
          <w:bCs/>
          <w:color w:val="auto"/>
          <w:sz w:val="24"/>
          <w:szCs w:val="24"/>
          <w:highlight w:val="none"/>
          <w:lang w:bidi="ar"/>
        </w:rPr>
        <w:t xml:space="preserve">6. </w:t>
      </w:r>
      <w:r>
        <w:rPr>
          <w:rFonts w:hint="eastAsia" w:eastAsia="宋体" w:cs="宋体"/>
          <w:b/>
          <w:bCs/>
          <w:color w:val="auto"/>
          <w:sz w:val="24"/>
          <w:szCs w:val="24"/>
          <w:highlight w:val="none"/>
          <w:lang w:eastAsia="zh-CN" w:bidi="ar"/>
        </w:rPr>
        <w:t>【</w:t>
      </w:r>
      <w:r>
        <w:rPr>
          <w:rFonts w:hint="eastAsia" w:eastAsia="宋体" w:cs="宋体"/>
          <w:b/>
          <w:bCs/>
          <w:color w:val="auto"/>
          <w:sz w:val="24"/>
          <w:szCs w:val="24"/>
          <w:highlight w:val="none"/>
          <w:lang w:val="en-US" w:eastAsia="zh-CN" w:bidi="ar"/>
        </w:rPr>
        <w:t>特别提醒</w:t>
      </w:r>
      <w:r>
        <w:rPr>
          <w:rFonts w:hint="eastAsia" w:eastAsia="宋体" w:cs="宋体"/>
          <w:b/>
          <w:bCs/>
          <w:color w:val="auto"/>
          <w:sz w:val="24"/>
          <w:szCs w:val="24"/>
          <w:highlight w:val="none"/>
          <w:lang w:eastAsia="zh-CN" w:bidi="ar"/>
        </w:rPr>
        <w:t>】</w:t>
      </w:r>
      <w:r>
        <w:rPr>
          <w:rFonts w:hint="eastAsia" w:eastAsia="宋体" w:cs="宋体"/>
          <w:b/>
          <w:bCs/>
          <w:color w:val="auto"/>
          <w:sz w:val="24"/>
          <w:szCs w:val="24"/>
          <w:highlight w:val="none"/>
          <w:lang w:bidi="ar"/>
        </w:rPr>
        <w:t>投标人应及时提交投标文件，如在投标文件截止时间前因网络等任何原因未能成功上传投标文件，相关后果由投标人自行承担。</w:t>
      </w:r>
    </w:p>
    <w:p w14:paraId="402AC1E1">
      <w:pPr>
        <w:pStyle w:val="39"/>
        <w:widowControl w:val="0"/>
        <w:kinsoku/>
        <w:overflowPunct/>
        <w:bidi w:val="0"/>
        <w:spacing w:before="0" w:beforeAutospacing="0" w:after="0" w:afterAutospacing="0" w:line="360" w:lineRule="auto"/>
        <w:ind w:firstLine="482" w:firstLineChars="200"/>
        <w:jc w:val="both"/>
        <w:outlineLvl w:val="9"/>
        <w:rPr>
          <w:rFonts w:eastAsia="宋体" w:cs="宋体"/>
          <w:b/>
          <w:bCs/>
          <w:color w:val="auto"/>
          <w:sz w:val="24"/>
          <w:szCs w:val="24"/>
          <w:highlight w:val="none"/>
          <w:lang w:bidi="ar"/>
        </w:rPr>
      </w:pPr>
      <w:r>
        <w:rPr>
          <w:rFonts w:hint="eastAsia" w:eastAsia="宋体" w:cs="宋体"/>
          <w:b/>
          <w:bCs/>
          <w:color w:val="auto"/>
          <w:sz w:val="24"/>
          <w:szCs w:val="24"/>
          <w:highlight w:val="none"/>
          <w:lang w:bidi="ar"/>
        </w:rPr>
        <w:t>7.</w:t>
      </w:r>
      <w:r>
        <w:rPr>
          <w:rFonts w:hint="eastAsia" w:eastAsia="宋体" w:cs="宋体"/>
          <w:b/>
          <w:bCs/>
          <w:color w:val="auto"/>
          <w:sz w:val="24"/>
          <w:szCs w:val="24"/>
          <w:highlight w:val="none"/>
          <w:lang w:eastAsia="zh-CN" w:bidi="ar"/>
        </w:rPr>
        <w:t>【</w:t>
      </w:r>
      <w:r>
        <w:rPr>
          <w:rFonts w:hint="eastAsia" w:eastAsia="宋体" w:cs="宋体"/>
          <w:b/>
          <w:bCs/>
          <w:color w:val="auto"/>
          <w:sz w:val="24"/>
          <w:szCs w:val="24"/>
          <w:highlight w:val="none"/>
          <w:lang w:val="en-US" w:eastAsia="zh-CN" w:bidi="ar"/>
        </w:rPr>
        <w:t>特别提醒</w:t>
      </w:r>
      <w:r>
        <w:rPr>
          <w:rFonts w:hint="eastAsia" w:eastAsia="宋体" w:cs="宋体"/>
          <w:b/>
          <w:bCs/>
          <w:color w:val="auto"/>
          <w:sz w:val="24"/>
          <w:szCs w:val="24"/>
          <w:highlight w:val="none"/>
          <w:lang w:eastAsia="zh-CN" w:bidi="ar"/>
        </w:rPr>
        <w:t>】</w:t>
      </w:r>
      <w:r>
        <w:rPr>
          <w:rFonts w:hint="eastAsia" w:eastAsia="宋体" w:cs="宋体"/>
          <w:b/>
          <w:bCs/>
          <w:color w:val="auto"/>
          <w:sz w:val="24"/>
          <w:szCs w:val="24"/>
          <w:highlight w:val="none"/>
          <w:lang w:bidi="ar"/>
        </w:rPr>
        <w:t>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1D80DFF1">
      <w:pPr>
        <w:pStyle w:val="39"/>
        <w:widowControl w:val="0"/>
        <w:kinsoku/>
        <w:overflowPunct/>
        <w:bidi w:val="0"/>
        <w:spacing w:before="0" w:beforeAutospacing="0" w:after="0" w:afterAutospacing="0" w:line="360" w:lineRule="auto"/>
        <w:ind w:firstLine="482" w:firstLineChars="200"/>
        <w:jc w:val="both"/>
        <w:outlineLvl w:val="9"/>
        <w:rPr>
          <w:rFonts w:eastAsia="宋体" w:cs="宋体"/>
          <w:b/>
          <w:bCs/>
          <w:color w:val="auto"/>
          <w:sz w:val="24"/>
          <w:szCs w:val="24"/>
          <w:highlight w:val="none"/>
          <w:lang w:bidi="ar"/>
        </w:rPr>
      </w:pPr>
      <w:r>
        <w:rPr>
          <w:rFonts w:hint="eastAsia" w:eastAsia="宋体" w:cs="宋体"/>
          <w:b/>
          <w:bCs/>
          <w:color w:val="auto"/>
          <w:sz w:val="24"/>
          <w:szCs w:val="24"/>
          <w:highlight w:val="none"/>
          <w:lang w:bidi="ar"/>
        </w:rPr>
        <w:t>8.</w:t>
      </w:r>
      <w:r>
        <w:rPr>
          <w:rFonts w:hint="eastAsia" w:eastAsia="宋体" w:cs="宋体"/>
          <w:b/>
          <w:bCs/>
          <w:color w:val="auto"/>
          <w:sz w:val="24"/>
          <w:szCs w:val="24"/>
          <w:highlight w:val="none"/>
          <w:lang w:eastAsia="zh-CN" w:bidi="ar"/>
        </w:rPr>
        <w:t>【</w:t>
      </w:r>
      <w:r>
        <w:rPr>
          <w:rFonts w:hint="eastAsia" w:eastAsia="宋体" w:cs="宋体"/>
          <w:b/>
          <w:bCs/>
          <w:color w:val="auto"/>
          <w:sz w:val="24"/>
          <w:szCs w:val="24"/>
          <w:highlight w:val="none"/>
          <w:lang w:val="en-US" w:eastAsia="zh-CN" w:bidi="ar"/>
        </w:rPr>
        <w:t>特别提醒</w:t>
      </w:r>
      <w:r>
        <w:rPr>
          <w:rFonts w:hint="eastAsia" w:eastAsia="宋体" w:cs="宋体"/>
          <w:b/>
          <w:bCs/>
          <w:color w:val="auto"/>
          <w:sz w:val="24"/>
          <w:szCs w:val="24"/>
          <w:highlight w:val="none"/>
          <w:lang w:eastAsia="zh-CN" w:bidi="ar"/>
        </w:rPr>
        <w:t>】</w:t>
      </w:r>
      <w:r>
        <w:rPr>
          <w:rFonts w:hint="eastAsia" w:eastAsia="宋体" w:cs="宋体"/>
          <w:b/>
          <w:bCs/>
          <w:color w:val="auto"/>
          <w:sz w:val="24"/>
          <w:szCs w:val="24"/>
          <w:highlight w:val="none"/>
          <w:lang w:bidi="ar"/>
        </w:rPr>
        <w:t>如未在投标文件递交截止时间前匹配对应的投标文件，视为投标人未提交。本招标文件中签到、投标文件匹配、投标保证金关联等时间均以东莞市公共资源交易E网通管理平台时间为准。</w:t>
      </w:r>
    </w:p>
    <w:p w14:paraId="435EE650">
      <w:pPr>
        <w:pStyle w:val="39"/>
        <w:widowControl w:val="0"/>
        <w:kinsoku/>
        <w:overflowPunct/>
        <w:bidi w:val="0"/>
        <w:spacing w:before="0" w:beforeAutospacing="0" w:after="0" w:afterAutospacing="0" w:line="360" w:lineRule="auto"/>
        <w:ind w:firstLine="480" w:firstLineChars="200"/>
        <w:jc w:val="both"/>
        <w:outlineLvl w:val="9"/>
        <w:rPr>
          <w:rFonts w:eastAsia="宋体" w:cs="宋体"/>
          <w:b w:val="0"/>
          <w:bCs w:val="0"/>
          <w:color w:val="auto"/>
          <w:sz w:val="24"/>
          <w:szCs w:val="24"/>
          <w:highlight w:val="none"/>
          <w:lang w:bidi="ar"/>
        </w:rPr>
      </w:pPr>
      <w:r>
        <w:rPr>
          <w:rFonts w:hint="eastAsia" w:eastAsia="宋体" w:cs="宋体"/>
          <w:b w:val="0"/>
          <w:bCs w:val="0"/>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58619806">
      <w:pPr>
        <w:pStyle w:val="16"/>
        <w:kinsoku/>
        <w:overflowPunct/>
        <w:bidi w:val="0"/>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806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58DBBEA8">
          <w:pPr>
            <w:keepNext w:val="0"/>
            <w:keepLines w:val="0"/>
            <w:pageBreakBefore/>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olor w:val="auto"/>
              <w:sz w:val="36"/>
              <w:szCs w:val="40"/>
              <w:highlight w:val="none"/>
            </w:rPr>
          </w:pPr>
          <w:r>
            <w:rPr>
              <w:rFonts w:hint="eastAsia" w:ascii="宋体" w:hAnsi="宋体" w:eastAsia="宋体" w:cs="宋体"/>
              <w:color w:val="auto"/>
              <w:sz w:val="36"/>
              <w:szCs w:val="40"/>
              <w:highlight w:val="none"/>
            </w:rPr>
            <w:t>目录</w:t>
          </w:r>
        </w:p>
        <w:p w14:paraId="0E9727C7">
          <w:pPr>
            <w:pStyle w:val="30"/>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lang w:bidi="ar"/>
            </w:rPr>
            <w:t>重要提示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553B63">
          <w:pPr>
            <w:pStyle w:val="30"/>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_Toc15553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w:t>
          </w:r>
          <w:r>
            <w:rPr>
              <w:rFonts w:hint="eastAsia" w:ascii="宋体" w:hAnsi="宋体" w:eastAsia="宋体" w:cs="宋体"/>
              <w:bCs/>
              <w:color w:val="auto"/>
              <w:kern w:val="44"/>
              <w:szCs w:val="32"/>
              <w:highlight w:val="none"/>
              <w:lang w:val="en-US" w:eastAsia="zh-CN"/>
            </w:rPr>
            <w:t>一</w:t>
          </w:r>
          <w:r>
            <w:rPr>
              <w:rFonts w:hint="eastAsia" w:ascii="宋体" w:hAnsi="宋体" w:eastAsia="宋体" w:cs="宋体"/>
              <w:bCs/>
              <w:color w:val="auto"/>
              <w:kern w:val="44"/>
              <w:szCs w:val="32"/>
              <w:highlight w:val="none"/>
              <w:lang w:val="zh-CN"/>
            </w:rPr>
            <w:t>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fldChar w:fldCharType="end"/>
          </w:r>
        </w:p>
        <w:p w14:paraId="282892BF">
          <w:pPr>
            <w:pStyle w:val="30"/>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_Toc31926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_Toc31926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4DB2F7">
          <w:pPr>
            <w:pStyle w:val="35"/>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B79F06">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_Toc20461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3D9D14">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_Toc6987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_Toc6987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DD882C">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_Toc28226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AAA764">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DE10E9">
          <w:pPr>
            <w:pStyle w:val="35"/>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_Toc13488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113256">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43DC3C">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EEC3BE">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_Toc30449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2276F4">
          <w:pPr>
            <w:pStyle w:val="35"/>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_Toc17169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D677F8">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ED53C0">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_Toc31867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AD44AE">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162328">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供货价格</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F81609">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_Toc32167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B5162A">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A3DFD">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0E7895">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_Toc15779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_Toc15779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870C99">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1D2718">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775A825">
          <w:pPr>
            <w:pStyle w:val="35"/>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_Toc9152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991064">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_Toc22973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190F0B">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F350BF">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BC8801">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_Toc25396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9284F6">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8DA41C">
          <w:pPr>
            <w:pStyle w:val="35"/>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_Toc16443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1B9DA4">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_Toc14933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F2D402">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_Toc24503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FF35DB">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_Toc7090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6C735F">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_Toc28112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6BFDF5">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486850">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08FA2C">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3781BE">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932B9F">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A384F2">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_Toc30565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0320AB">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_Toc8371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CC8EAB">
          <w:pPr>
            <w:pStyle w:val="35"/>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_Toc4904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E95C85">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A18845">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53FD23">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_Toc15992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8522D8">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7EBC24">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8662BB">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ED4346">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_Toc4807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_Toc4807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0D1423">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_Toc24876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5C21E1">
          <w:pPr>
            <w:pStyle w:val="22"/>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_Toc7950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42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4AE2E7">
          <w:pPr>
            <w:pStyle w:val="30"/>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_Toc21539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88D18C">
          <w:pPr>
            <w:pStyle w:val="30"/>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_Toc27364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Cs w:val="32"/>
              <w:highlight w:val="none"/>
            </w:rPr>
            <w:t>第</w:t>
          </w:r>
          <w:r>
            <w:rPr>
              <w:rFonts w:hint="eastAsia" w:ascii="宋体" w:hAnsi="宋体" w:eastAsia="宋体" w:cs="宋体"/>
              <w:color w:val="auto"/>
              <w:kern w:val="44"/>
              <w:szCs w:val="32"/>
              <w:highlight w:val="none"/>
              <w:lang w:val="zh-CN"/>
            </w:rPr>
            <w:t>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_Toc27364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6AFBB5">
          <w:pPr>
            <w:pStyle w:val="30"/>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_Toc15890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_Toc15890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1E5407">
          <w:pPr>
            <w:pStyle w:val="30"/>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_Toc4580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_Toc4580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6046E1">
          <w:pPr>
            <w:pStyle w:val="30"/>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_Toc22689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7FDF7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r>
            <w:rPr>
              <w:rFonts w:hint="eastAsia" w:ascii="宋体" w:hAnsi="宋体" w:eastAsia="宋体" w:cs="宋体"/>
              <w:color w:val="auto"/>
              <w:highlight w:val="none"/>
            </w:rPr>
            <w:fldChar w:fldCharType="end"/>
          </w:r>
        </w:p>
      </w:sdtContent>
    </w:sdt>
    <w:p w14:paraId="52B48BDF">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firstLineChars="0"/>
        <w:jc w:val="center"/>
        <w:textAlignment w:val="auto"/>
        <w:outlineLvl w:val="0"/>
        <w:rPr>
          <w:rFonts w:hint="default" w:ascii="宋体" w:hAnsi="宋体" w:eastAsia="宋体" w:cs="宋体"/>
          <w:b/>
          <w:bCs/>
          <w:color w:val="auto"/>
          <w:kern w:val="44"/>
          <w:sz w:val="32"/>
          <w:szCs w:val="32"/>
          <w:highlight w:val="none"/>
          <w:lang w:val="en-US" w:eastAsia="zh-CN"/>
        </w:rPr>
      </w:pPr>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1"/>
    </w:p>
    <w:p w14:paraId="1B3843E0">
      <w:pPr>
        <w:kinsoku/>
        <w:overflowPunct/>
        <w:bidi w:val="0"/>
        <w:outlineLvl w:val="9"/>
        <w:rPr>
          <w:color w:val="auto"/>
          <w:highlight w:val="none"/>
        </w:rPr>
      </w:pPr>
    </w:p>
    <w:p w14:paraId="10CBA5BC">
      <w:pPr>
        <w:kinsoku/>
        <w:overflowPunct/>
        <w:autoSpaceDE w:val="0"/>
        <w:autoSpaceDN w:val="0"/>
        <w:bidi w:val="0"/>
        <w:adjustRightInd w:val="0"/>
        <w:snapToGrid w:val="0"/>
        <w:spacing w:line="360" w:lineRule="auto"/>
        <w:ind w:right="-34" w:firstLine="420" w:firstLineChars="200"/>
        <w:outlineLvl w:val="9"/>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广东晟拓工程咨询有限公司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东莞市水务环境投资控股集团有限公司</w:t>
      </w:r>
      <w:r>
        <w:rPr>
          <w:rFonts w:ascii="宋体" w:hAnsi="宋体" w:eastAsia="宋体" w:cs="Times New Roman"/>
          <w:color w:val="auto"/>
          <w:szCs w:val="21"/>
          <w:highlight w:val="none"/>
          <w:lang w:val="zh-CN"/>
        </w:rPr>
        <w:t>（以下简称“招标人”）的委托，对</w:t>
      </w:r>
      <w:bookmarkStart w:id="3" w:name="_Hlk41903390"/>
      <w:r>
        <w:rPr>
          <w:rFonts w:hint="eastAsia" w:ascii="宋体" w:hAnsi="宋体" w:eastAsia="宋体" w:cs="Times New Roman"/>
          <w:color w:val="auto"/>
          <w:kern w:val="0"/>
          <w:szCs w:val="21"/>
          <w:highlight w:val="none"/>
          <w:lang w:eastAsia="zh-CN"/>
        </w:rPr>
        <w:t>东莞市水务环境投资控股集团有限公司招标采购代理协议服务项目【</w:t>
      </w:r>
      <w:r>
        <w:rPr>
          <w:rFonts w:ascii="宋体" w:hAnsi="宋体" w:eastAsia="宋体" w:cs="Times New Roman"/>
          <w:color w:val="auto"/>
          <w:szCs w:val="21"/>
          <w:highlight w:val="none"/>
          <w:lang w:val="zh-CN"/>
        </w:rPr>
        <w:t>招标编号：</w:t>
      </w:r>
      <w:bookmarkEnd w:id="3"/>
    </w:p>
    <w:p w14:paraId="7541FD38">
      <w:pPr>
        <w:kinsoku/>
        <w:overflowPunct/>
        <w:autoSpaceDE w:val="0"/>
        <w:autoSpaceDN w:val="0"/>
        <w:bidi w:val="0"/>
        <w:adjustRightInd w:val="0"/>
        <w:snapToGrid w:val="0"/>
        <w:spacing w:line="360" w:lineRule="auto"/>
        <w:ind w:right="-34"/>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WQSWQZ12502592（</w:t>
      </w:r>
      <w:r>
        <w:rPr>
          <w:rFonts w:hint="eastAsia" w:ascii="宋体" w:hAnsi="宋体" w:eastAsia="宋体" w:cs="Times New Roman"/>
          <w:color w:val="auto"/>
          <w:szCs w:val="21"/>
          <w:highlight w:val="none"/>
          <w:lang w:val="en-US" w:eastAsia="zh-CN"/>
        </w:rPr>
        <w:t>标段一</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WQSWQZ12502593（</w:t>
      </w:r>
      <w:r>
        <w:rPr>
          <w:rFonts w:hint="eastAsia" w:ascii="宋体" w:hAnsi="宋体" w:eastAsia="宋体" w:cs="Times New Roman"/>
          <w:color w:val="auto"/>
          <w:szCs w:val="21"/>
          <w:highlight w:val="none"/>
          <w:lang w:val="en-US" w:eastAsia="zh-CN"/>
        </w:rPr>
        <w:t>标段二</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332CC1BE">
      <w:pPr>
        <w:kinsoku/>
        <w:overflowPunct/>
        <w:autoSpaceDE w:val="0"/>
        <w:autoSpaceDN w:val="0"/>
        <w:bidi w:val="0"/>
        <w:adjustRightInd w:val="0"/>
        <w:spacing w:line="360" w:lineRule="auto"/>
        <w:ind w:right="-29" w:rightChars="-14" w:firstLine="420" w:firstLineChars="200"/>
        <w:outlineLvl w:val="9"/>
        <w:rPr>
          <w:rFonts w:ascii="宋体" w:hAnsi="宋体" w:eastAsia="宋体" w:cs="Times New Roman"/>
          <w:color w:val="auto"/>
          <w:szCs w:val="21"/>
          <w:highlight w:val="none"/>
          <w:lang w:val="zh-CN"/>
        </w:rPr>
      </w:pPr>
    </w:p>
    <w:p w14:paraId="217BC0BF">
      <w:pPr>
        <w:numPr>
          <w:ilvl w:val="0"/>
          <w:numId w:val="1"/>
        </w:numPr>
        <w:kinsoku/>
        <w:overflowPunct/>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3439"/>
        <w:gridCol w:w="2910"/>
        <w:gridCol w:w="2737"/>
      </w:tblGrid>
      <w:tr w14:paraId="3F06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18" w:type="pct"/>
            <w:shd w:val="clear" w:color="auto" w:fill="E0E0E0"/>
            <w:vAlign w:val="center"/>
          </w:tcPr>
          <w:p w14:paraId="742DE93E">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标段号</w:t>
            </w:r>
          </w:p>
        </w:tc>
        <w:tc>
          <w:tcPr>
            <w:tcW w:w="1658" w:type="pct"/>
            <w:shd w:val="clear" w:color="auto" w:fill="E0E0E0"/>
            <w:vAlign w:val="center"/>
          </w:tcPr>
          <w:p w14:paraId="279E1EA0">
            <w:pPr>
              <w:keepNext w:val="0"/>
              <w:keepLines w:val="0"/>
              <w:suppressLineNumbers w:val="0"/>
              <w:spacing w:before="0" w:beforeAutospacing="0" w:after="0" w:afterAutospacing="0"/>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采购内容</w:t>
            </w:r>
          </w:p>
        </w:tc>
        <w:tc>
          <w:tcPr>
            <w:tcW w:w="1403" w:type="pct"/>
            <w:shd w:val="clear" w:color="auto" w:fill="E0E0E0"/>
            <w:vAlign w:val="center"/>
          </w:tcPr>
          <w:p w14:paraId="2598AB1B">
            <w:pPr>
              <w:keepNext w:val="0"/>
              <w:keepLines w:val="0"/>
              <w:suppressLineNumbers w:val="0"/>
              <w:spacing w:before="0" w:beforeAutospacing="0" w:after="0" w:afterAutospacing="0"/>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协议服务期限</w:t>
            </w:r>
          </w:p>
        </w:tc>
        <w:tc>
          <w:tcPr>
            <w:tcW w:w="1319" w:type="pct"/>
            <w:shd w:val="clear" w:color="auto" w:fill="E0E0E0"/>
            <w:vAlign w:val="center"/>
          </w:tcPr>
          <w:p w14:paraId="4EB014A9">
            <w:pPr>
              <w:keepNext w:val="0"/>
              <w:keepLines w:val="0"/>
              <w:suppressLineNumbers w:val="0"/>
              <w:spacing w:before="0" w:beforeAutospacing="0" w:after="0" w:afterAutospacing="0"/>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采购数量</w:t>
            </w:r>
          </w:p>
        </w:tc>
      </w:tr>
      <w:tr w14:paraId="3B98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18" w:type="pct"/>
            <w:vAlign w:val="center"/>
          </w:tcPr>
          <w:p w14:paraId="224FC95A">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一</w:t>
            </w:r>
          </w:p>
        </w:tc>
        <w:tc>
          <w:tcPr>
            <w:tcW w:w="1658" w:type="pct"/>
            <w:vAlign w:val="center"/>
          </w:tcPr>
          <w:p w14:paraId="098ECF37">
            <w:pPr>
              <w:keepNext w:val="0"/>
              <w:keepLines w:val="0"/>
              <w:suppressLineNumbers w:val="0"/>
              <w:spacing w:before="0" w:beforeAutospacing="0" w:after="0" w:afterAutospacing="0"/>
              <w:ind w:left="0" w:right="0"/>
              <w:jc w:val="center"/>
              <w:rPr>
                <w:rFonts w:hint="default" w:ascii="宋体" w:hAnsi="宋体" w:eastAsia="宋体" w:cs="宋体"/>
                <w:szCs w:val="21"/>
                <w:highlight w:val="none"/>
              </w:rPr>
            </w:pPr>
            <w:r>
              <w:rPr>
                <w:rFonts w:hint="eastAsia" w:ascii="宋体" w:hAnsi="宋体" w:eastAsia="宋体" w:cs="宋体"/>
                <w:szCs w:val="21"/>
                <w:highlight w:val="none"/>
              </w:rPr>
              <w:t>采购代理协议服务</w:t>
            </w:r>
          </w:p>
        </w:tc>
        <w:tc>
          <w:tcPr>
            <w:tcW w:w="1403" w:type="pct"/>
            <w:vAlign w:val="center"/>
          </w:tcPr>
          <w:p w14:paraId="2EBBC909">
            <w:pPr>
              <w:keepNext w:val="0"/>
              <w:keepLines w:val="0"/>
              <w:suppressLineNumbers w:val="0"/>
              <w:tabs>
                <w:tab w:val="left" w:pos="360"/>
              </w:tabs>
              <w:spacing w:before="0" w:beforeAutospacing="0" w:after="0" w:afterAutospacing="0"/>
              <w:ind w:left="0" w:right="0"/>
              <w:jc w:val="center"/>
              <w:rPr>
                <w:rFonts w:hint="default" w:ascii="宋体" w:hAnsi="宋体" w:eastAsia="宋体" w:cs="宋体"/>
                <w:szCs w:val="21"/>
                <w:highlight w:val="none"/>
              </w:rPr>
            </w:pPr>
            <w:r>
              <w:rPr>
                <w:rFonts w:hint="eastAsia" w:ascii="宋体" w:hAnsi="宋体" w:eastAsia="宋体" w:cs="宋体"/>
                <w:szCs w:val="21"/>
                <w:highlight w:val="none"/>
              </w:rPr>
              <w:t>自合同签订之日起2年</w:t>
            </w:r>
          </w:p>
        </w:tc>
        <w:tc>
          <w:tcPr>
            <w:tcW w:w="1319" w:type="pct"/>
            <w:vAlign w:val="center"/>
          </w:tcPr>
          <w:p w14:paraId="1898AD9A">
            <w:pPr>
              <w:keepNext w:val="0"/>
              <w:keepLines w:val="0"/>
              <w:suppressLineNumbers w:val="0"/>
              <w:tabs>
                <w:tab w:val="left" w:pos="360"/>
              </w:tabs>
              <w:spacing w:before="0" w:beforeAutospacing="0" w:after="0" w:afterAutospacing="0"/>
              <w:ind w:left="0" w:right="0"/>
              <w:jc w:val="center"/>
              <w:rPr>
                <w:rFonts w:hint="default"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家</w:t>
            </w:r>
          </w:p>
        </w:tc>
      </w:tr>
      <w:tr w14:paraId="2C66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18" w:type="pct"/>
            <w:vAlign w:val="center"/>
          </w:tcPr>
          <w:p w14:paraId="61E685E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二</w:t>
            </w:r>
          </w:p>
        </w:tc>
        <w:tc>
          <w:tcPr>
            <w:tcW w:w="1658" w:type="pct"/>
            <w:vAlign w:val="center"/>
          </w:tcPr>
          <w:p w14:paraId="14E12E5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代理协议服务</w:t>
            </w:r>
          </w:p>
        </w:tc>
        <w:tc>
          <w:tcPr>
            <w:tcW w:w="1403" w:type="pct"/>
            <w:vAlign w:val="center"/>
          </w:tcPr>
          <w:p w14:paraId="3251EA1F">
            <w:pPr>
              <w:keepNext w:val="0"/>
              <w:keepLines w:val="0"/>
              <w:suppressLineNumbers w:val="0"/>
              <w:tabs>
                <w:tab w:val="left" w:pos="360"/>
              </w:tabs>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自合同签订之日起2年</w:t>
            </w:r>
          </w:p>
        </w:tc>
        <w:tc>
          <w:tcPr>
            <w:tcW w:w="1319" w:type="pct"/>
            <w:vAlign w:val="center"/>
          </w:tcPr>
          <w:p w14:paraId="7D5B8E93">
            <w:pPr>
              <w:keepNext w:val="0"/>
              <w:keepLines w:val="0"/>
              <w:suppressLineNumbers w:val="0"/>
              <w:tabs>
                <w:tab w:val="left" w:pos="360"/>
              </w:tabs>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家</w:t>
            </w:r>
          </w:p>
        </w:tc>
      </w:tr>
    </w:tbl>
    <w:p w14:paraId="38BDDA70">
      <w:pPr>
        <w:kinsoku/>
        <w:overflowPunct/>
        <w:autoSpaceDE w:val="0"/>
        <w:autoSpaceDN w:val="0"/>
        <w:bidi w:val="0"/>
        <w:adjustRightInd w:val="0"/>
        <w:snapToGrid w:val="0"/>
        <w:spacing w:line="360" w:lineRule="auto"/>
        <w:ind w:right="-34" w:firstLine="420" w:firstLineChars="200"/>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具体内容详见：第三篇用户需求书</w:t>
      </w:r>
      <w:r>
        <w:rPr>
          <w:rFonts w:hint="eastAsia" w:ascii="宋体" w:hAnsi="宋体" w:eastAsia="宋体" w:cs="Times New Roman"/>
          <w:color w:val="auto"/>
          <w:szCs w:val="21"/>
          <w:highlight w:val="none"/>
          <w:lang w:val="zh-CN"/>
        </w:rPr>
        <w:t>）</w:t>
      </w:r>
    </w:p>
    <w:p w14:paraId="5DDD69EC">
      <w:pPr>
        <w:kinsoku/>
        <w:overflowPunct/>
        <w:autoSpaceDE w:val="0"/>
        <w:autoSpaceDN w:val="0"/>
        <w:bidi w:val="0"/>
        <w:adjustRightInd w:val="0"/>
        <w:spacing w:line="360" w:lineRule="auto"/>
        <w:ind w:right="-29" w:rightChars="-14"/>
        <w:outlineLvl w:val="9"/>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注:(1)本项目兼投不兼中，项目分</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个标段采购，分别为标段一、标段二。投标人可参加东莞市水务环境投资控股集团有限公司招标采购代理协议服务项目一个标段或所有标段的投标，但仅可承担其中一个标段的</w:t>
      </w:r>
      <w:r>
        <w:rPr>
          <w:rFonts w:hint="eastAsia" w:ascii="宋体" w:hAnsi="宋体" w:eastAsia="宋体" w:cs="Times New Roman"/>
          <w:color w:val="auto"/>
          <w:szCs w:val="21"/>
          <w:highlight w:val="none"/>
          <w:lang w:val="en-US" w:eastAsia="zh-CN"/>
        </w:rPr>
        <w:t>代理</w:t>
      </w:r>
      <w:r>
        <w:rPr>
          <w:rFonts w:hint="eastAsia" w:ascii="宋体" w:hAnsi="宋体" w:eastAsia="宋体" w:cs="Times New Roman"/>
          <w:color w:val="auto"/>
          <w:szCs w:val="21"/>
          <w:highlight w:val="none"/>
          <w:lang w:val="zh-CN"/>
        </w:rPr>
        <w:t>服务。本项目依次从标段一到标段</w:t>
      </w:r>
      <w:r>
        <w:rPr>
          <w:rFonts w:hint="eastAsia" w:ascii="宋体" w:hAnsi="宋体" w:eastAsia="宋体" w:cs="Times New Roman"/>
          <w:color w:val="auto"/>
          <w:szCs w:val="21"/>
          <w:highlight w:val="none"/>
          <w:lang w:val="en-US" w:eastAsia="zh-CN"/>
        </w:rPr>
        <w:t>二</w:t>
      </w:r>
      <w:r>
        <w:rPr>
          <w:rFonts w:hint="eastAsia" w:ascii="宋体" w:hAnsi="宋体" w:eastAsia="宋体" w:cs="Times New Roman"/>
          <w:color w:val="auto"/>
          <w:szCs w:val="21"/>
          <w:highlight w:val="none"/>
          <w:lang w:val="zh-CN"/>
        </w:rPr>
        <w:t>的顺序进行评审，若投标人已在标段一的评审中被推荐为第一中标候选人，则在其他标段的评审时，该投标人不可被推荐为中标候选人，由其他得分次高的投标人替代，以此类推。</w:t>
      </w:r>
    </w:p>
    <w:p w14:paraId="5C1FCB59">
      <w:pPr>
        <w:kinsoku/>
        <w:overflowPunct/>
        <w:autoSpaceDE w:val="0"/>
        <w:autoSpaceDN w:val="0"/>
        <w:bidi w:val="0"/>
        <w:adjustRightInd w:val="0"/>
        <w:spacing w:line="360" w:lineRule="auto"/>
        <w:ind w:right="-29" w:rightChars="-14"/>
        <w:outlineLvl w:val="9"/>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(2)上述</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个标段范围不作为招标人最终服务项目承接数量的保证，招标人有权根据自身经营情况进行优化调整。在服务期内中标人不得因服务项目数量及服务费用的增减而要求招标人提供任何形式的补偿或赔偿。</w:t>
      </w:r>
    </w:p>
    <w:p w14:paraId="0FDCC2D3">
      <w:pPr>
        <w:kinsoku/>
        <w:overflowPunct/>
        <w:autoSpaceDE w:val="0"/>
        <w:autoSpaceDN w:val="0"/>
        <w:bidi w:val="0"/>
        <w:adjustRightInd w:val="0"/>
        <w:spacing w:line="360" w:lineRule="auto"/>
        <w:ind w:right="-29" w:rightChars="-14"/>
        <w:outlineLvl w:val="9"/>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(3)要求每个标段独立编制并标明标段号上传投标文件。</w:t>
      </w:r>
    </w:p>
    <w:p w14:paraId="1F58C2E5">
      <w:pPr>
        <w:kinsoku/>
        <w:overflowPunct/>
        <w:autoSpaceDE w:val="0"/>
        <w:autoSpaceDN w:val="0"/>
        <w:bidi w:val="0"/>
        <w:adjustRightInd w:val="0"/>
        <w:spacing w:line="360" w:lineRule="auto"/>
        <w:ind w:right="-29" w:rightChars="-14"/>
        <w:outlineLvl w:val="9"/>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(4)如无特殊说明，招标文件规定的条款同时适用所有标段。</w:t>
      </w:r>
    </w:p>
    <w:p w14:paraId="1C810428">
      <w:pPr>
        <w:kinsoku/>
        <w:overflowPunct/>
        <w:autoSpaceDE w:val="0"/>
        <w:autoSpaceDN w:val="0"/>
        <w:bidi w:val="0"/>
        <w:adjustRightInd w:val="0"/>
        <w:spacing w:line="360" w:lineRule="auto"/>
        <w:ind w:right="-29" w:rightChars="-14"/>
        <w:outlineLvl w:val="9"/>
        <w:rPr>
          <w:rFonts w:hint="eastAsia" w:ascii="宋体" w:hAnsi="宋体" w:eastAsia="宋体" w:cs="Times New Roman"/>
          <w:color w:val="auto"/>
          <w:szCs w:val="21"/>
          <w:highlight w:val="none"/>
          <w:lang w:val="zh-CN"/>
        </w:rPr>
      </w:pPr>
    </w:p>
    <w:p w14:paraId="79997824">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29C11A02">
      <w:pPr>
        <w:pStyle w:val="168"/>
        <w:keepNext w:val="0"/>
        <w:keepLines w:val="0"/>
        <w:pageBreakBefore w:val="0"/>
        <w:kinsoku/>
        <w:overflowPunct/>
        <w:topLinePunct w:val="0"/>
        <w:bidi w:val="0"/>
        <w:spacing w:line="360" w:lineRule="auto"/>
        <w:ind w:left="422" w:right="-29" w:rightChars="-14" w:hanging="422" w:hangingChars="200"/>
        <w:jc w:val="both"/>
        <w:outlineLvl w:val="9"/>
        <w:rPr>
          <w:rFonts w:hAnsi="宋体" w:eastAsia="宋体"/>
          <w:b/>
          <w:color w:val="auto"/>
          <w:sz w:val="21"/>
          <w:szCs w:val="21"/>
          <w:highlight w:val="none"/>
          <w:lang w:val="zh-CN"/>
        </w:rPr>
      </w:pPr>
      <w:bookmarkStart w:id="4" w:name="OLE_LINK2"/>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7C6CB69">
      <w:pPr>
        <w:pStyle w:val="168"/>
        <w:keepNext w:val="0"/>
        <w:keepLines w:val="0"/>
        <w:pageBreakBefore w:val="0"/>
        <w:kinsoku/>
        <w:overflowPunct/>
        <w:topLinePunct w:val="0"/>
        <w:bidi w:val="0"/>
        <w:spacing w:line="360" w:lineRule="auto"/>
        <w:ind w:left="422" w:right="-29" w:rightChars="-14" w:hanging="422" w:hangingChars="200"/>
        <w:jc w:val="both"/>
        <w:outlineLvl w:val="9"/>
        <w:rPr>
          <w:rFonts w:hint="eastAsia" w:hAnsi="宋体" w:eastAsia="宋体"/>
          <w:b/>
          <w:color w:val="auto"/>
          <w:sz w:val="21"/>
          <w:szCs w:val="21"/>
          <w:highlight w:val="none"/>
          <w:lang w:val="en-US" w:eastAsia="zh-CN"/>
        </w:rPr>
      </w:pPr>
      <w:bookmarkStart w:id="5" w:name="_Toc25819"/>
      <w:r>
        <w:rPr>
          <w:rFonts w:hint="eastAsia" w:hAnsi="宋体" w:eastAsia="宋体"/>
          <w:b/>
          <w:color w:val="auto"/>
          <w:sz w:val="21"/>
          <w:szCs w:val="21"/>
          <w:highlight w:val="none"/>
          <w:lang w:val="zh-CN"/>
        </w:rPr>
        <w:t xml:space="preserve">2.2 </w:t>
      </w:r>
      <w:r>
        <w:rPr>
          <w:rFonts w:hint="eastAsia" w:hAnsi="宋体" w:eastAsia="宋体"/>
          <w:b/>
          <w:color w:val="auto"/>
          <w:sz w:val="21"/>
          <w:szCs w:val="21"/>
          <w:highlight w:val="none"/>
          <w:lang w:val="en-US" w:eastAsia="zh-CN"/>
        </w:rPr>
        <w:t>标段一：投标人2021年1月1日以来具有一份</w:t>
      </w:r>
      <w:r>
        <w:rPr>
          <w:rFonts w:hint="eastAsia" w:hAnsi="宋体" w:eastAsia="宋体"/>
          <w:b/>
          <w:sz w:val="21"/>
          <w:szCs w:val="21"/>
          <w:highlight w:val="none"/>
        </w:rPr>
        <w:t>服务或货物类采购代理</w:t>
      </w:r>
      <w:r>
        <w:rPr>
          <w:rFonts w:hint="eastAsia" w:hAnsi="宋体" w:eastAsia="宋体"/>
          <w:b/>
          <w:sz w:val="21"/>
          <w:szCs w:val="21"/>
          <w:highlight w:val="none"/>
          <w:lang w:val="zh-CN"/>
        </w:rPr>
        <w:t>业绩</w:t>
      </w:r>
      <w:r>
        <w:rPr>
          <w:rFonts w:hint="eastAsia" w:hAnsi="宋体" w:eastAsia="宋体"/>
          <w:b/>
          <w:color w:val="auto"/>
          <w:sz w:val="21"/>
          <w:szCs w:val="21"/>
          <w:highlight w:val="none"/>
          <w:lang w:val="en-US" w:eastAsia="zh-CN"/>
        </w:rPr>
        <w:t>；标段二：</w:t>
      </w:r>
      <w:r>
        <w:rPr>
          <w:rFonts w:hint="eastAsia" w:hAnsi="宋体" w:eastAsia="宋体"/>
          <w:b/>
          <w:sz w:val="21"/>
          <w:szCs w:val="21"/>
          <w:highlight w:val="none"/>
          <w:lang w:val="zh-CN"/>
        </w:rPr>
        <w:t>投标人</w:t>
      </w:r>
      <w:r>
        <w:rPr>
          <w:rFonts w:hint="eastAsia" w:hAnsi="宋体" w:eastAsia="宋体"/>
          <w:b/>
          <w:sz w:val="21"/>
          <w:szCs w:val="21"/>
          <w:highlight w:val="none"/>
        </w:rPr>
        <w:t>2021</w:t>
      </w:r>
      <w:r>
        <w:rPr>
          <w:rFonts w:hint="eastAsia" w:hAnsi="宋体" w:eastAsia="宋体"/>
          <w:b/>
          <w:sz w:val="21"/>
          <w:szCs w:val="21"/>
          <w:highlight w:val="none"/>
          <w:lang w:val="zh-CN"/>
        </w:rPr>
        <w:t>年</w:t>
      </w:r>
      <w:r>
        <w:rPr>
          <w:rFonts w:hint="eastAsia" w:hAnsi="宋体" w:eastAsia="宋体"/>
          <w:b/>
          <w:sz w:val="21"/>
          <w:szCs w:val="21"/>
          <w:highlight w:val="none"/>
        </w:rPr>
        <w:t>1</w:t>
      </w:r>
      <w:r>
        <w:rPr>
          <w:rFonts w:hint="eastAsia" w:hAnsi="宋体" w:eastAsia="宋体"/>
          <w:b/>
          <w:sz w:val="21"/>
          <w:szCs w:val="21"/>
          <w:highlight w:val="none"/>
          <w:lang w:val="zh-CN"/>
        </w:rPr>
        <w:t>月</w:t>
      </w:r>
      <w:r>
        <w:rPr>
          <w:rFonts w:hint="eastAsia" w:hAnsi="宋体" w:eastAsia="宋体"/>
          <w:b/>
          <w:sz w:val="21"/>
          <w:szCs w:val="21"/>
          <w:highlight w:val="none"/>
        </w:rPr>
        <w:t>1</w:t>
      </w:r>
      <w:r>
        <w:rPr>
          <w:rFonts w:hint="eastAsia" w:hAnsi="宋体" w:eastAsia="宋体"/>
          <w:b/>
          <w:sz w:val="21"/>
          <w:szCs w:val="21"/>
          <w:highlight w:val="none"/>
          <w:lang w:val="zh-CN"/>
        </w:rPr>
        <w:t>日以来具有一份</w:t>
      </w:r>
      <w:r>
        <w:rPr>
          <w:rFonts w:hint="eastAsia" w:hAnsi="宋体" w:eastAsia="宋体"/>
          <w:b/>
          <w:color w:val="auto"/>
          <w:sz w:val="21"/>
          <w:szCs w:val="21"/>
          <w:highlight w:val="none"/>
          <w:lang w:val="en-US" w:eastAsia="zh-CN"/>
        </w:rPr>
        <w:t>建设工程招标代理业绩</w:t>
      </w:r>
      <w:r>
        <w:rPr>
          <w:rFonts w:hint="eastAsia" w:hAnsi="宋体" w:eastAsia="宋体" w:cs="宋体"/>
          <w:b/>
          <w:color w:val="auto"/>
          <w:sz w:val="21"/>
          <w:szCs w:val="21"/>
          <w:highlight w:val="none"/>
          <w:lang w:val="zh-CN"/>
        </w:rPr>
        <w:t>；</w:t>
      </w:r>
    </w:p>
    <w:p w14:paraId="55FE5CA7">
      <w:pPr>
        <w:pStyle w:val="168"/>
        <w:keepNext w:val="0"/>
        <w:keepLines w:val="0"/>
        <w:pageBreakBefore w:val="0"/>
        <w:kinsoku/>
        <w:overflowPunct/>
        <w:topLinePunct w:val="0"/>
        <w:bidi w:val="0"/>
        <w:spacing w:line="360" w:lineRule="auto"/>
        <w:ind w:right="-29" w:rightChars="-14"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5"/>
      <w:r>
        <w:rPr>
          <w:rFonts w:hint="eastAsia" w:hAnsi="宋体" w:eastAsia="宋体"/>
          <w:b/>
          <w:color w:val="auto"/>
          <w:sz w:val="21"/>
          <w:szCs w:val="21"/>
          <w:highlight w:val="none"/>
          <w:lang w:val="zh-CN"/>
        </w:rPr>
        <w:t>；</w:t>
      </w:r>
    </w:p>
    <w:p w14:paraId="65DB6C98">
      <w:pPr>
        <w:pStyle w:val="168"/>
        <w:keepNext w:val="0"/>
        <w:keepLines w:val="0"/>
        <w:pageBreakBefore w:val="0"/>
        <w:kinsoku/>
        <w:overflowPunct/>
        <w:topLinePunct w:val="0"/>
        <w:bidi w:val="0"/>
        <w:spacing w:line="360" w:lineRule="auto"/>
        <w:ind w:right="-29" w:rightChars="-14"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zh-CN"/>
        </w:rPr>
        <w:t>.</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其他要求：</w:t>
      </w:r>
    </w:p>
    <w:p w14:paraId="5B6A7E6C">
      <w:pPr>
        <w:pStyle w:val="168"/>
        <w:keepNext w:val="0"/>
        <w:keepLines w:val="0"/>
        <w:pageBreakBefore w:val="0"/>
        <w:kinsoku/>
        <w:overflowPunct/>
        <w:topLinePunct w:val="0"/>
        <w:autoSpaceDE/>
        <w:autoSpaceDN/>
        <w:bidi w:val="0"/>
        <w:spacing w:line="360" w:lineRule="auto"/>
        <w:ind w:left="420" w:leftChars="200"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zh-CN"/>
        </w:rPr>
        <w:t>（1）投标人应在东莞市公共资源交易企业库建档；</w:t>
      </w:r>
    </w:p>
    <w:p w14:paraId="4EDF3B01">
      <w:pPr>
        <w:pStyle w:val="168"/>
        <w:keepNext w:val="0"/>
        <w:keepLines w:val="0"/>
        <w:pageBreakBefore w:val="0"/>
        <w:kinsoku/>
        <w:overflowPunct/>
        <w:topLinePunct w:val="0"/>
        <w:autoSpaceDE/>
        <w:autoSpaceDN/>
        <w:bidi w:val="0"/>
        <w:spacing w:line="360" w:lineRule="auto"/>
        <w:ind w:left="420" w:leftChars="200"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bookmarkEnd w:id="4"/>
      <w:r>
        <w:rPr>
          <w:rFonts w:hint="eastAsia" w:hAnsi="宋体" w:eastAsia="宋体"/>
          <w:b/>
          <w:color w:val="auto"/>
          <w:sz w:val="21"/>
          <w:szCs w:val="21"/>
          <w:highlight w:val="none"/>
          <w:lang w:val="zh-CN"/>
        </w:rPr>
        <w:t>。</w:t>
      </w:r>
    </w:p>
    <w:p w14:paraId="16B3C5FF">
      <w:pPr>
        <w:keepNext w:val="0"/>
        <w:keepLines w:val="0"/>
        <w:pageBreakBefore w:val="0"/>
        <w:kinsoku/>
        <w:overflowPunct/>
        <w:topLinePunct w:val="0"/>
        <w:autoSpaceDE w:val="0"/>
        <w:autoSpaceDN w:val="0"/>
        <w:bidi w:val="0"/>
        <w:adjustRightInd w:val="0"/>
        <w:spacing w:line="360" w:lineRule="auto"/>
        <w:ind w:right="-29" w:rightChars="-14" w:firstLine="420" w:firstLineChars="200"/>
        <w:outlineLvl w:val="9"/>
        <w:rPr>
          <w:rFonts w:ascii="宋体" w:hAnsi="宋体" w:eastAsia="宋体" w:cs="Times New Roman"/>
          <w:color w:val="auto"/>
          <w:szCs w:val="21"/>
          <w:highlight w:val="none"/>
          <w:lang w:val="zh-CN"/>
        </w:rPr>
      </w:pPr>
    </w:p>
    <w:p w14:paraId="5239CFFE">
      <w:pPr>
        <w:pStyle w:val="186"/>
        <w:keepNext w:val="0"/>
        <w:keepLines w:val="0"/>
        <w:pageBreakBefore w:val="0"/>
        <w:numPr>
          <w:ilvl w:val="0"/>
          <w:numId w:val="1"/>
        </w:numPr>
        <w:kinsoku/>
        <w:overflowPunct/>
        <w:topLinePunct w:val="0"/>
        <w:bidi w:val="0"/>
        <w:spacing w:line="360" w:lineRule="auto"/>
        <w:ind w:left="426" w:right="-34" w:hanging="426" w:firstLineChars="0"/>
        <w:outlineLvl w:val="9"/>
        <w:rPr>
          <w:rFonts w:ascii="宋体" w:hAnsi="宋体" w:cs="宋体"/>
          <w:color w:val="auto"/>
          <w:szCs w:val="21"/>
          <w:highlight w:val="none"/>
        </w:rPr>
      </w:pP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lang w:val="zh-CN"/>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至投标截止时间前登录交易系统下载本次招标项目的招标文件等资料。</w:t>
      </w:r>
    </w:p>
    <w:p w14:paraId="3A0471F7">
      <w:pPr>
        <w:keepNext w:val="0"/>
        <w:keepLines w:val="0"/>
        <w:pageBreakBefore w:val="0"/>
        <w:kinsoku/>
        <w:overflowPunct/>
        <w:topLinePunct w:val="0"/>
        <w:autoSpaceDE w:val="0"/>
        <w:autoSpaceDN w:val="0"/>
        <w:bidi w:val="0"/>
        <w:adjustRightInd w:val="0"/>
        <w:spacing w:line="360" w:lineRule="auto"/>
        <w:ind w:left="630" w:leftChars="100" w:right="-29" w:rightChars="-14" w:hanging="420" w:hangingChars="200"/>
        <w:outlineLvl w:val="9"/>
        <w:rPr>
          <w:rFonts w:ascii="宋体" w:hAnsi="宋体" w:eastAsia="宋体" w:cs="Times New Roman"/>
          <w:color w:val="auto"/>
          <w:szCs w:val="21"/>
          <w:highlight w:val="none"/>
          <w:lang w:val="zh-CN"/>
        </w:rPr>
      </w:pPr>
    </w:p>
    <w:p w14:paraId="5CAA04CC">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bookmarkStart w:id="857" w:name="_GoBack"/>
      <w:bookmarkEnd w:id="857"/>
    </w:p>
    <w:p w14:paraId="35E8C1BA">
      <w:pPr>
        <w:keepNext w:val="0"/>
        <w:keepLines w:val="0"/>
        <w:pageBreakBefore w:val="0"/>
        <w:kinsoku/>
        <w:overflowPunct/>
        <w:topLinePunct w:val="0"/>
        <w:autoSpaceDE w:val="0"/>
        <w:autoSpaceDN w:val="0"/>
        <w:bidi w:val="0"/>
        <w:adjustRightInd w:val="0"/>
        <w:spacing w:line="360" w:lineRule="auto"/>
        <w:ind w:right="-29" w:rightChars="-14" w:firstLine="420"/>
        <w:outlineLvl w:val="9"/>
        <w:rPr>
          <w:rFonts w:ascii="宋体" w:hAnsi="宋体" w:eastAsia="宋体" w:cs="Times New Roman"/>
          <w:color w:val="auto"/>
          <w:szCs w:val="21"/>
          <w:highlight w:val="none"/>
          <w:lang w:val="zh-CN"/>
        </w:rPr>
      </w:pPr>
    </w:p>
    <w:p w14:paraId="33435ADF">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投标会时间、地点及投标文件提交截止时间</w:t>
      </w:r>
      <w:r>
        <w:rPr>
          <w:rFonts w:ascii="宋体" w:hAnsi="宋体" w:eastAsia="宋体" w:cs="Times New Roman"/>
          <w:color w:val="auto"/>
          <w:szCs w:val="21"/>
          <w:highlight w:val="none"/>
          <w:lang w:val="zh-CN"/>
        </w:rPr>
        <w:t>：</w:t>
      </w:r>
    </w:p>
    <w:p w14:paraId="3D188ACD">
      <w:pPr>
        <w:pStyle w:val="168"/>
        <w:keepNext w:val="0"/>
        <w:keepLines w:val="0"/>
        <w:pageBreakBefore w:val="0"/>
        <w:kinsoku/>
        <w:overflowPunct/>
        <w:topLinePunct w:val="0"/>
        <w:bidi w:val="0"/>
        <w:spacing w:line="360" w:lineRule="auto"/>
        <w:ind w:left="420" w:hanging="420" w:hangingChars="200"/>
        <w:jc w:val="both"/>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 xml:space="preserve">5.1 </w:t>
      </w:r>
      <w:r>
        <w:rPr>
          <w:rFonts w:hint="eastAsia" w:hAnsi="宋体" w:eastAsia="宋体"/>
          <w:bCs/>
          <w:color w:val="auto"/>
          <w:sz w:val="21"/>
          <w:szCs w:val="21"/>
          <w:highlight w:val="none"/>
          <w:lang w:val="zh-CN"/>
        </w:rPr>
        <w:t>投标会召开时间：</w:t>
      </w:r>
      <w:r>
        <w:rPr>
          <w:rFonts w:hint="eastAsia" w:hAnsi="宋体" w:eastAsia="宋体"/>
          <w:bCs/>
          <w:color w:val="auto"/>
          <w:sz w:val="21"/>
          <w:szCs w:val="21"/>
          <w:highlight w:val="none"/>
          <w:u w:val="single"/>
          <w:lang w:val="en-US" w:eastAsia="zh-CN"/>
        </w:rPr>
        <w:t>2026</w:t>
      </w:r>
      <w:r>
        <w:rPr>
          <w:rFonts w:hint="eastAsia" w:hAnsi="宋体" w:eastAsia="宋体"/>
          <w:bCs/>
          <w:color w:val="auto"/>
          <w:sz w:val="21"/>
          <w:szCs w:val="21"/>
          <w:highlight w:val="none"/>
          <w:u w:val="single"/>
          <w:lang w:val="zh-CN"/>
        </w:rPr>
        <w:t>年</w:t>
      </w:r>
      <w:r>
        <w:rPr>
          <w:rFonts w:hint="eastAsia" w:hAnsi="宋体" w:eastAsia="宋体"/>
          <w:bCs/>
          <w:color w:val="auto"/>
          <w:sz w:val="21"/>
          <w:szCs w:val="21"/>
          <w:highlight w:val="none"/>
          <w:u w:val="single"/>
          <w:lang w:val="en-US" w:eastAsia="zh-CN"/>
        </w:rPr>
        <w:t>01</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15</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09</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，投标会召开地点：东莞市南城</w:t>
      </w:r>
      <w:r>
        <w:rPr>
          <w:rFonts w:hint="eastAsia" w:hAnsi="宋体" w:eastAsia="宋体"/>
          <w:bCs/>
          <w:color w:val="auto"/>
          <w:sz w:val="21"/>
          <w:szCs w:val="21"/>
          <w:highlight w:val="none"/>
          <w:lang w:val="en-US" w:eastAsia="zh-CN"/>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12</w:t>
      </w:r>
      <w:r>
        <w:rPr>
          <w:rFonts w:hint="eastAsia" w:hAnsi="宋体" w:eastAsia="宋体"/>
          <w:bCs/>
          <w:color w:val="auto"/>
          <w:sz w:val="21"/>
          <w:szCs w:val="21"/>
          <w:highlight w:val="none"/>
          <w:lang w:val="zh-CN"/>
        </w:rPr>
        <w:t>）；</w:t>
      </w:r>
    </w:p>
    <w:p w14:paraId="1D7160DA">
      <w:pPr>
        <w:pStyle w:val="168"/>
        <w:keepNext w:val="0"/>
        <w:keepLines w:val="0"/>
        <w:pageBreakBefore w:val="0"/>
        <w:kinsoku/>
        <w:overflowPunct/>
        <w:topLinePunct w:val="0"/>
        <w:bidi w:val="0"/>
        <w:spacing w:line="360" w:lineRule="auto"/>
        <w:ind w:left="420" w:hanging="420" w:hangingChars="200"/>
        <w:jc w:val="both"/>
        <w:outlineLvl w:val="9"/>
        <w:rPr>
          <w:rFonts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2</w:t>
      </w:r>
      <w:r>
        <w:rPr>
          <w:rFonts w:hint="eastAsia" w:hAnsi="宋体" w:eastAsia="宋体"/>
          <w:bCs/>
          <w:color w:val="auto"/>
          <w:sz w:val="21"/>
          <w:szCs w:val="21"/>
          <w:highlight w:val="none"/>
          <w:lang w:val="zh-CN"/>
        </w:rPr>
        <w:t xml:space="preserve"> 投标文件递交的截止时间（投标截止时间，下同）：</w:t>
      </w:r>
      <w:r>
        <w:rPr>
          <w:rFonts w:hint="eastAsia" w:hAnsi="宋体" w:eastAsia="宋体"/>
          <w:bCs/>
          <w:color w:val="auto"/>
          <w:sz w:val="21"/>
          <w:szCs w:val="21"/>
          <w:highlight w:val="none"/>
          <w:u w:val="single"/>
          <w:lang w:val="en-US" w:eastAsia="zh-CN"/>
        </w:rPr>
        <w:t xml:space="preserve"> 2026</w:t>
      </w:r>
      <w:r>
        <w:rPr>
          <w:rFonts w:hint="eastAsia" w:hAnsi="宋体" w:eastAsia="宋体"/>
          <w:bCs/>
          <w:color w:val="auto"/>
          <w:sz w:val="21"/>
          <w:szCs w:val="21"/>
          <w:highlight w:val="none"/>
          <w:u w:val="single"/>
          <w:lang w:val="zh-CN"/>
        </w:rPr>
        <w:t>年</w:t>
      </w:r>
      <w:r>
        <w:rPr>
          <w:rFonts w:hint="eastAsia" w:hAnsi="宋体" w:eastAsia="宋体"/>
          <w:bCs/>
          <w:color w:val="auto"/>
          <w:sz w:val="21"/>
          <w:szCs w:val="21"/>
          <w:highlight w:val="none"/>
          <w:u w:val="single"/>
          <w:lang w:val="en-US" w:eastAsia="zh-CN"/>
        </w:rPr>
        <w:t>01</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15</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09</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地点：通过东莞市公共资源交易E网通管理平台建设工程交易系统网上提交；</w:t>
      </w:r>
    </w:p>
    <w:p w14:paraId="0B113667">
      <w:pPr>
        <w:pStyle w:val="168"/>
        <w:keepNext w:val="0"/>
        <w:keepLines w:val="0"/>
        <w:pageBreakBefore w:val="0"/>
        <w:kinsoku/>
        <w:overflowPunct/>
        <w:topLinePunct w:val="0"/>
        <w:bidi w:val="0"/>
        <w:spacing w:line="360" w:lineRule="auto"/>
        <w:ind w:left="420" w:hanging="420" w:hangingChars="200"/>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3</w:t>
      </w:r>
      <w:r>
        <w:rPr>
          <w:rFonts w:hint="eastAsia" w:hAnsi="宋体" w:eastAsia="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66E75B7A">
      <w:pPr>
        <w:pStyle w:val="168"/>
        <w:keepNext w:val="0"/>
        <w:keepLines w:val="0"/>
        <w:pageBreakBefore w:val="0"/>
        <w:kinsoku/>
        <w:overflowPunct/>
        <w:topLinePunct w:val="0"/>
        <w:bidi w:val="0"/>
        <w:spacing w:line="360" w:lineRule="auto"/>
        <w:ind w:left="420" w:hanging="420" w:hangingChars="200"/>
        <w:outlineLvl w:val="9"/>
        <w:rPr>
          <w:rFonts w:hint="eastAsia" w:hAnsi="宋体" w:eastAsia="宋体"/>
          <w:bCs/>
          <w:color w:val="auto"/>
          <w:sz w:val="21"/>
          <w:szCs w:val="21"/>
          <w:highlight w:val="none"/>
          <w:lang w:val="zh-CN"/>
        </w:rPr>
      </w:pPr>
    </w:p>
    <w:p w14:paraId="7A952574">
      <w:pPr>
        <w:keepNext w:val="0"/>
        <w:keepLines w:val="0"/>
        <w:pageBreakBefore w:val="0"/>
        <w:numPr>
          <w:ilvl w:val="0"/>
          <w:numId w:val="1"/>
        </w:numPr>
        <w:kinsoku/>
        <w:overflowPunct/>
        <w:topLinePunct w:val="0"/>
        <w:bidi w:val="0"/>
        <w:snapToGrid w:val="0"/>
        <w:spacing w:line="360" w:lineRule="auto"/>
        <w:ind w:left="360" w:leftChars="0" w:right="-34" w:rightChars="0" w:hanging="360" w:firstLineChars="0"/>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开标时间和地点：</w:t>
      </w:r>
    </w:p>
    <w:p w14:paraId="3916DDCB">
      <w:pPr>
        <w:pStyle w:val="168"/>
        <w:keepNext w:val="0"/>
        <w:keepLines w:val="0"/>
        <w:pageBreakBefore w:val="0"/>
        <w:kinsoku/>
        <w:overflowPunct/>
        <w:topLinePunct w:val="0"/>
        <w:bidi w:val="0"/>
        <w:spacing w:line="360" w:lineRule="auto"/>
        <w:ind w:left="420" w:hanging="420" w:hangingChars="200"/>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6.1 </w:t>
      </w:r>
      <w:r>
        <w:rPr>
          <w:rFonts w:hint="eastAsia" w:hAnsi="宋体" w:eastAsia="宋体"/>
          <w:bCs/>
          <w:color w:val="auto"/>
          <w:sz w:val="21"/>
          <w:szCs w:val="21"/>
          <w:highlight w:val="none"/>
          <w:lang w:val="zh-CN"/>
        </w:rPr>
        <w:t>开标时间：同投标截止时间；</w:t>
      </w:r>
    </w:p>
    <w:p w14:paraId="2177A82A">
      <w:pPr>
        <w:pStyle w:val="168"/>
        <w:keepNext w:val="0"/>
        <w:keepLines w:val="0"/>
        <w:pageBreakBefore w:val="0"/>
        <w:kinsoku/>
        <w:overflowPunct/>
        <w:topLinePunct w:val="0"/>
        <w:bidi w:val="0"/>
        <w:spacing w:line="360" w:lineRule="auto"/>
        <w:ind w:left="420" w:hanging="420" w:hangingChars="200"/>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6.2 </w:t>
      </w:r>
      <w:r>
        <w:rPr>
          <w:rFonts w:hint="eastAsia" w:hAnsi="宋体" w:eastAsia="宋体"/>
          <w:bCs/>
          <w:color w:val="auto"/>
          <w:sz w:val="21"/>
          <w:szCs w:val="21"/>
          <w:highlight w:val="none"/>
          <w:lang w:val="zh-CN"/>
        </w:rPr>
        <w:t>开标地点：东莞市南城</w:t>
      </w:r>
      <w:r>
        <w:rPr>
          <w:rFonts w:hint="eastAsia" w:hAnsi="宋体" w:eastAsia="宋体"/>
          <w:bCs/>
          <w:color w:val="auto"/>
          <w:sz w:val="21"/>
          <w:szCs w:val="21"/>
          <w:highlight w:val="none"/>
          <w:lang w:val="en-US" w:eastAsia="zh-CN"/>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12</w:t>
      </w:r>
      <w:r>
        <w:rPr>
          <w:rFonts w:hint="eastAsia" w:hAnsi="宋体" w:eastAsia="宋体"/>
          <w:bCs/>
          <w:color w:val="auto"/>
          <w:sz w:val="21"/>
          <w:szCs w:val="21"/>
          <w:highlight w:val="none"/>
          <w:lang w:val="zh-CN"/>
        </w:rPr>
        <w:t>）。</w:t>
      </w:r>
    </w:p>
    <w:p w14:paraId="53EDF9B1">
      <w:pPr>
        <w:keepNext w:val="0"/>
        <w:keepLines w:val="0"/>
        <w:pageBreakBefore w:val="0"/>
        <w:kinsoku/>
        <w:overflowPunct/>
        <w:topLinePunct w:val="0"/>
        <w:autoSpaceDE w:val="0"/>
        <w:autoSpaceDN w:val="0"/>
        <w:bidi w:val="0"/>
        <w:adjustRightInd w:val="0"/>
        <w:spacing w:line="360" w:lineRule="auto"/>
        <w:ind w:left="210" w:leftChars="100" w:right="-29" w:rightChars="-14"/>
        <w:outlineLvl w:val="9"/>
        <w:rPr>
          <w:rFonts w:ascii="宋体" w:hAnsi="宋体" w:eastAsia="宋体" w:cs="Times New Roman"/>
          <w:color w:val="auto"/>
          <w:szCs w:val="21"/>
          <w:highlight w:val="none"/>
          <w:lang w:val="zh-CN"/>
        </w:rPr>
      </w:pPr>
    </w:p>
    <w:p w14:paraId="1B7A2D8D">
      <w:pPr>
        <w:keepNext w:val="0"/>
        <w:keepLines w:val="0"/>
        <w:pageBreakBefore w:val="0"/>
        <w:numPr>
          <w:ilvl w:val="0"/>
          <w:numId w:val="1"/>
        </w:numPr>
        <w:kinsoku/>
        <w:wordWrap w:val="0"/>
        <w:overflowPunct/>
        <w:topLinePunct w:val="0"/>
        <w:autoSpaceDE w:val="0"/>
        <w:autoSpaceDN w:val="0"/>
        <w:bidi w:val="0"/>
        <w:adjustRightInd w:val="0"/>
        <w:snapToGrid w:val="0"/>
        <w:spacing w:line="360" w:lineRule="auto"/>
        <w:ind w:left="363" w:right="-34" w:hanging="363"/>
        <w:jc w:val="left"/>
        <w:outlineLvl w:val="9"/>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t>
      </w:r>
      <w:r>
        <w:rPr>
          <w:rFonts w:hint="eastAsia" w:ascii="宋体" w:hAnsi="宋体" w:eastAsia="宋体" w:cs="Times New Roman"/>
          <w:bCs/>
          <w:color w:val="auto"/>
          <w:szCs w:val="21"/>
          <w:highlight w:val="none"/>
          <w:lang w:val="en-US" w:eastAsia="zh-CN"/>
        </w:rPr>
        <w:t>站</w:t>
      </w:r>
      <w:r>
        <w:rPr>
          <w:rFonts w:hint="eastAsia" w:ascii="宋体" w:hAnsi="宋体" w:eastAsia="宋体" w:cs="Times New Roman"/>
          <w:bCs/>
          <w:color w:val="auto"/>
          <w:szCs w:val="21"/>
          <w:highlight w:val="none"/>
        </w:rPr>
        <w:t>（www.dgswjt.cn）、招标代理机构网站（http://gdstgc.com/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651515E9">
      <w:pPr>
        <w:keepNext w:val="0"/>
        <w:keepLines w:val="0"/>
        <w:pageBreakBefore w:val="0"/>
        <w:kinsoku/>
        <w:overflowPunct/>
        <w:topLinePunct w:val="0"/>
        <w:autoSpaceDE w:val="0"/>
        <w:autoSpaceDN w:val="0"/>
        <w:bidi w:val="0"/>
        <w:adjustRightInd w:val="0"/>
        <w:snapToGrid w:val="0"/>
        <w:spacing w:line="360" w:lineRule="auto"/>
        <w:ind w:right="-34"/>
        <w:jc w:val="left"/>
        <w:outlineLvl w:val="9"/>
        <w:rPr>
          <w:rFonts w:ascii="宋体" w:hAnsi="宋体" w:eastAsia="宋体" w:cs="Times New Roman"/>
          <w:bCs/>
          <w:color w:val="auto"/>
          <w:szCs w:val="21"/>
          <w:highlight w:val="none"/>
        </w:rPr>
      </w:pPr>
    </w:p>
    <w:p w14:paraId="49312987">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p w14:paraId="1FF151BD">
      <w:pPr>
        <w:pStyle w:val="168"/>
        <w:keepNext w:val="0"/>
        <w:keepLines w:val="0"/>
        <w:pageBreakBefore w:val="0"/>
        <w:kinsoku/>
        <w:overflowPunct/>
        <w:topLinePunct w:val="0"/>
        <w:bidi w:val="0"/>
        <w:spacing w:line="360" w:lineRule="auto"/>
        <w:ind w:left="420" w:leftChars="0" w:hanging="420" w:hangingChars="200"/>
        <w:outlineLvl w:val="9"/>
        <w:rPr>
          <w:rFonts w:hint="default" w:ascii="宋体" w:hAnsi="宋体" w:eastAsiaTheme="minorEastAsia"/>
          <w:bCs/>
          <w:color w:val="auto"/>
          <w:sz w:val="21"/>
          <w:szCs w:val="21"/>
          <w:highlight w:val="none"/>
          <w:lang w:val="en-US" w:eastAsia="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.1 本次招标投标人须提交投标保证金金额：</w:t>
      </w:r>
      <w:r>
        <w:rPr>
          <w:rFonts w:hint="eastAsia" w:hAnsi="宋体" w:eastAsia="宋体"/>
          <w:bCs/>
          <w:color w:val="auto"/>
          <w:sz w:val="21"/>
          <w:szCs w:val="21"/>
          <w:highlight w:val="none"/>
          <w:lang w:val="en-US" w:eastAsia="zh-CN"/>
        </w:rPr>
        <w:t>标段一：50,000.00</w:t>
      </w:r>
      <w:r>
        <w:rPr>
          <w:rFonts w:hint="eastAsia" w:ascii="宋体" w:hAnsi="宋体" w:eastAsia="宋体"/>
          <w:bCs/>
          <w:color w:val="auto"/>
          <w:sz w:val="21"/>
          <w:szCs w:val="21"/>
          <w:highlight w:val="none"/>
          <w:lang w:val="zh-CN"/>
        </w:rPr>
        <w:t>元</w:t>
      </w:r>
      <w:r>
        <w:rPr>
          <w:rFonts w:hint="eastAsia" w:hAnsi="宋体" w:eastAsia="宋体"/>
          <w:bCs/>
          <w:color w:val="auto"/>
          <w:sz w:val="21"/>
          <w:szCs w:val="21"/>
          <w:highlight w:val="none"/>
          <w:lang w:val="zh-CN"/>
        </w:rPr>
        <w:t>；</w:t>
      </w:r>
      <w:r>
        <w:rPr>
          <w:rFonts w:hint="eastAsia" w:hAnsi="宋体" w:eastAsia="宋体"/>
          <w:bCs/>
          <w:color w:val="auto"/>
          <w:sz w:val="21"/>
          <w:szCs w:val="21"/>
          <w:highlight w:val="none"/>
          <w:lang w:val="en-US" w:eastAsia="zh-CN"/>
        </w:rPr>
        <w:t>标段二：49,000</w:t>
      </w:r>
      <w:r>
        <w:rPr>
          <w:rFonts w:hint="eastAsia" w:ascii="宋体" w:hAnsi="宋体" w:eastAsia="宋体"/>
          <w:bCs/>
          <w:color w:val="auto"/>
          <w:sz w:val="21"/>
          <w:szCs w:val="21"/>
          <w:highlight w:val="none"/>
          <w:lang w:val="zh-CN" w:eastAsia="zh-CN"/>
        </w:rPr>
        <w:t>.00</w:t>
      </w:r>
      <w:r>
        <w:rPr>
          <w:rFonts w:hint="eastAsia" w:hAnsi="宋体" w:eastAsia="宋体"/>
          <w:bCs/>
          <w:color w:val="auto"/>
          <w:sz w:val="21"/>
          <w:szCs w:val="21"/>
          <w:highlight w:val="none"/>
          <w:lang w:val="en-US" w:eastAsia="zh-CN"/>
        </w:rPr>
        <w:t>元</w:t>
      </w:r>
      <w:r>
        <w:rPr>
          <w:rFonts w:hint="eastAsia" w:ascii="宋体" w:hAnsi="宋体" w:eastAsia="宋体"/>
          <w:bCs/>
          <w:color w:val="auto"/>
          <w:sz w:val="21"/>
          <w:szCs w:val="21"/>
          <w:highlight w:val="none"/>
          <w:lang w:val="zh-CN"/>
        </w:rPr>
        <w:t>。</w:t>
      </w:r>
      <w:r>
        <w:rPr>
          <w:rFonts w:hint="eastAsia" w:hAnsi="宋体" w:eastAsia="宋体"/>
          <w:bCs/>
          <w:color w:val="auto"/>
          <w:sz w:val="21"/>
          <w:szCs w:val="21"/>
          <w:highlight w:val="none"/>
          <w:lang w:val="en-US" w:eastAsia="zh-CN"/>
        </w:rPr>
        <w:t>投标人同时对两个标段进行投标的，应分别提交对应标段的投标保证金。</w:t>
      </w:r>
    </w:p>
    <w:p w14:paraId="74F34DF8">
      <w:pPr>
        <w:pStyle w:val="168"/>
        <w:keepNext w:val="0"/>
        <w:keepLines w:val="0"/>
        <w:pageBreakBefore w:val="0"/>
        <w:kinsoku/>
        <w:overflowPunct/>
        <w:topLinePunct w:val="0"/>
        <w:bidi w:val="0"/>
        <w:spacing w:line="360" w:lineRule="auto"/>
        <w:ind w:left="42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.2</w:t>
      </w:r>
      <w:r>
        <w:rPr>
          <w:rFonts w:hint="eastAsia"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lang w:val="zh-CN"/>
        </w:rPr>
        <w:t>投标保证金形式：单项投标保证金；银行电子保函；保险电子保单；</w:t>
      </w:r>
    </w:p>
    <w:p w14:paraId="7A47CADA">
      <w:pPr>
        <w:pStyle w:val="168"/>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其它：/。</w:t>
      </w:r>
    </w:p>
    <w:p w14:paraId="058CACAD">
      <w:pPr>
        <w:pStyle w:val="168"/>
        <w:keepNext w:val="0"/>
        <w:keepLines w:val="0"/>
        <w:pageBreakBefore w:val="0"/>
        <w:kinsoku/>
        <w:overflowPunct/>
        <w:topLinePunct w:val="0"/>
        <w:bidi w:val="0"/>
        <w:spacing w:line="360" w:lineRule="auto"/>
        <w:ind w:left="420" w:leftChars="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w:t>
      </w:r>
      <w:r>
        <w:rPr>
          <w:rFonts w:hint="eastAsia" w:hAnsi="宋体" w:eastAsia="宋体"/>
          <w:bCs/>
          <w:color w:val="auto"/>
          <w:sz w:val="21"/>
          <w:szCs w:val="21"/>
          <w:highlight w:val="none"/>
          <w:lang w:val="en-US" w:eastAsia="zh-CN"/>
        </w:rPr>
        <w:t xml:space="preserve">3 </w:t>
      </w:r>
      <w:r>
        <w:rPr>
          <w:rFonts w:hint="eastAsia" w:ascii="宋体" w:hAnsi="宋体" w:eastAsia="宋体"/>
          <w:bCs/>
          <w:color w:val="auto"/>
          <w:sz w:val="21"/>
          <w:szCs w:val="21"/>
          <w:highlight w:val="none"/>
          <w:lang w:val="zh-CN"/>
        </w:rPr>
        <w:t>投标保证金形式注意事项：</w:t>
      </w:r>
    </w:p>
    <w:p w14:paraId="387895DB">
      <w:pPr>
        <w:pStyle w:val="168"/>
        <w:keepNext w:val="0"/>
        <w:keepLines w:val="0"/>
        <w:pageBreakBefore w:val="0"/>
        <w:kinsoku/>
        <w:overflowPunct/>
        <w:topLinePunct w:val="0"/>
        <w:bidi w:val="0"/>
        <w:spacing w:line="360" w:lineRule="auto"/>
        <w:ind w:left="42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（1）投标保证金到账时间应为投标保证金的关联时间。</w:t>
      </w:r>
    </w:p>
    <w:p w14:paraId="2D4B530A">
      <w:pPr>
        <w:pStyle w:val="168"/>
        <w:keepNext w:val="0"/>
        <w:keepLines w:val="0"/>
        <w:pageBreakBefore w:val="0"/>
        <w:kinsoku/>
        <w:overflowPunct/>
        <w:topLinePunct w:val="0"/>
        <w:bidi w:val="0"/>
        <w:spacing w:line="360" w:lineRule="auto"/>
        <w:ind w:left="42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（2）投标保证金数据超过投标截止时间后到达交易系统的，无法关联。</w:t>
      </w:r>
    </w:p>
    <w:p w14:paraId="067A651A">
      <w:pPr>
        <w:pStyle w:val="168"/>
        <w:keepNext w:val="0"/>
        <w:keepLines w:val="0"/>
        <w:pageBreakBefore w:val="0"/>
        <w:kinsoku/>
        <w:overflowPunct/>
        <w:topLinePunct w:val="0"/>
        <w:bidi w:val="0"/>
        <w:spacing w:line="360" w:lineRule="auto"/>
        <w:ind w:left="42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（3）投标人应提前办理投标保证金手续，自行承担数据延误风险。</w:t>
      </w:r>
    </w:p>
    <w:p w14:paraId="20C73C76">
      <w:pPr>
        <w:keepNext w:val="0"/>
        <w:keepLines w:val="0"/>
        <w:pageBreakBefore w:val="0"/>
        <w:kinsoku/>
        <w:overflowPunct/>
        <w:topLinePunct w:val="0"/>
        <w:autoSpaceDE w:val="0"/>
        <w:autoSpaceDN w:val="0"/>
        <w:bidi w:val="0"/>
        <w:adjustRightInd w:val="0"/>
        <w:snapToGrid w:val="0"/>
        <w:spacing w:line="360" w:lineRule="auto"/>
        <w:ind w:right="-34"/>
        <w:jc w:val="left"/>
        <w:outlineLvl w:val="9"/>
        <w:rPr>
          <w:rFonts w:ascii="宋体" w:hAnsi="宋体" w:eastAsia="宋体" w:cs="Times New Roman"/>
          <w:bCs/>
          <w:color w:val="auto"/>
          <w:szCs w:val="21"/>
          <w:highlight w:val="none"/>
        </w:rPr>
      </w:pPr>
    </w:p>
    <w:p w14:paraId="4AC3F572">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BD3A403">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东莞市水务环境投资控股集团有限公司</w:t>
      </w:r>
    </w:p>
    <w:p w14:paraId="1EEFF5C5">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kern w:val="0"/>
          <w:szCs w:val="21"/>
          <w:highlight w:val="none"/>
        </w:rPr>
        <w:t>广东省东莞市东城街道育华路1号</w:t>
      </w:r>
    </w:p>
    <w:p w14:paraId="5623DCC4">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highlight w:val="none"/>
          <w:lang w:val="en-US" w:eastAsia="zh-CN"/>
        </w:rPr>
        <w:t>邓工</w:t>
      </w:r>
    </w:p>
    <w:p w14:paraId="2A4E11E9">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highlight w:val="none"/>
          <w:lang w:val="en-US" w:eastAsia="zh-CN"/>
        </w:rPr>
        <w:t>0769-28823251</w:t>
      </w:r>
    </w:p>
    <w:p w14:paraId="797A2E1E">
      <w:pPr>
        <w:keepNext w:val="0"/>
        <w:keepLines w:val="0"/>
        <w:pageBreakBefore w:val="0"/>
        <w:kinsoku/>
        <w:overflowPunct/>
        <w:topLinePunct w:val="0"/>
        <w:autoSpaceDE w:val="0"/>
        <w:autoSpaceDN w:val="0"/>
        <w:bidi w:val="0"/>
        <w:adjustRightInd w:val="0"/>
        <w:spacing w:line="360" w:lineRule="auto"/>
        <w:ind w:right="-29" w:rightChars="-14" w:firstLine="420"/>
        <w:outlineLvl w:val="9"/>
        <w:rPr>
          <w:rFonts w:ascii="宋体" w:hAnsi="宋体" w:eastAsia="宋体" w:cs="Times New Roman"/>
          <w:color w:val="auto"/>
          <w:kern w:val="0"/>
          <w:szCs w:val="21"/>
          <w:highlight w:val="none"/>
        </w:rPr>
      </w:pPr>
    </w:p>
    <w:p w14:paraId="267B79FB">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6579E09C">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bookmarkStart w:id="6" w:name="_Toc15111"/>
      <w:bookmarkStart w:id="7" w:name="_Toc450662847"/>
      <w:bookmarkStart w:id="8" w:name="_Toc142508311"/>
      <w:bookmarkStart w:id="9" w:name="_Toc18212"/>
      <w:bookmarkStart w:id="10" w:name="_Toc195714215"/>
      <w:bookmarkStart w:id="11" w:name="_Toc486167661"/>
      <w:bookmarkStart w:id="12" w:name="_Toc31764_WPSOffice_Level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广东晟拓工程咨询有限公司</w:t>
      </w:r>
    </w:p>
    <w:p w14:paraId="10C5D777">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址：广东省东莞市南城街道高盛科技园C3座201室</w:t>
      </w:r>
    </w:p>
    <w:p w14:paraId="23D2B05E">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张工</w:t>
      </w:r>
    </w:p>
    <w:p w14:paraId="502CC89E">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话：0769-22209088</w:t>
      </w:r>
    </w:p>
    <w:p w14:paraId="0F9A0C29">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firstLineChars="0"/>
        <w:jc w:val="center"/>
        <w:textAlignment w:val="auto"/>
        <w:outlineLvl w:val="0"/>
        <w:rPr>
          <w:rFonts w:ascii="宋体" w:hAnsi="宋体" w:eastAsia="宋体" w:cs="宋体"/>
          <w:b/>
          <w:bCs/>
          <w:color w:val="auto"/>
          <w:kern w:val="44"/>
          <w:sz w:val="32"/>
          <w:szCs w:val="32"/>
          <w:highlight w:val="none"/>
        </w:rPr>
      </w:pPr>
      <w:bookmarkStart w:id="13" w:name="_Toc31926"/>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6"/>
      <w:bookmarkEnd w:id="7"/>
      <w:bookmarkEnd w:id="8"/>
      <w:bookmarkEnd w:id="9"/>
      <w:bookmarkEnd w:id="10"/>
      <w:bookmarkEnd w:id="11"/>
      <w:bookmarkEnd w:id="12"/>
      <w:bookmarkEnd w:id="13"/>
    </w:p>
    <w:p w14:paraId="692BBF29">
      <w:pPr>
        <w:keepNext/>
        <w:keepLines/>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14" w:name="_Toc15366_WPSOffice_Level2"/>
      <w:bookmarkStart w:id="15" w:name="_Toc450662848"/>
      <w:bookmarkStart w:id="16" w:name="_Toc3835"/>
      <w:bookmarkStart w:id="17" w:name="_Toc140596871"/>
      <w:bookmarkStart w:id="18" w:name="_Toc24479"/>
      <w:bookmarkStart w:id="19" w:name="_Toc486167662"/>
      <w:bookmarkStart w:id="20" w:name="_Toc9555"/>
      <w:bookmarkStart w:id="21" w:name="_Toc195714216"/>
      <w:bookmarkStart w:id="22" w:name="_Toc142508312"/>
      <w:r>
        <w:rPr>
          <w:rFonts w:hint="eastAsia" w:ascii="宋体" w:hAnsi="宋体" w:eastAsia="宋体" w:cs="宋体"/>
          <w:b/>
          <w:bCs/>
          <w:color w:val="auto"/>
          <w:kern w:val="44"/>
          <w:szCs w:val="21"/>
          <w:highlight w:val="none"/>
          <w:lang w:val="zh-CN"/>
        </w:rPr>
        <w:t>一、总则</w:t>
      </w:r>
      <w:bookmarkEnd w:id="14"/>
      <w:bookmarkEnd w:id="15"/>
      <w:bookmarkEnd w:id="16"/>
      <w:bookmarkEnd w:id="17"/>
      <w:bookmarkEnd w:id="18"/>
      <w:bookmarkEnd w:id="19"/>
      <w:bookmarkEnd w:id="20"/>
      <w:bookmarkEnd w:id="21"/>
      <w:bookmarkEnd w:id="22"/>
    </w:p>
    <w:p w14:paraId="2875DD4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color w:val="auto"/>
          <w:szCs w:val="21"/>
          <w:highlight w:val="none"/>
          <w:lang w:val="zh-CN"/>
        </w:rPr>
      </w:pPr>
      <w:bookmarkStart w:id="23" w:name="_Toc9608"/>
      <w:bookmarkStart w:id="24" w:name="_Toc23333"/>
      <w:bookmarkStart w:id="25" w:name="_Toc20461"/>
      <w:bookmarkStart w:id="26" w:name="_Toc142508313"/>
      <w:bookmarkStart w:id="27" w:name="_Toc486167663"/>
      <w:bookmarkStart w:id="28" w:name="_Toc450662849"/>
      <w:bookmarkStart w:id="29" w:name="_Toc195714217"/>
      <w:bookmarkStart w:id="30"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3"/>
      <w:bookmarkEnd w:id="24"/>
      <w:bookmarkEnd w:id="25"/>
      <w:bookmarkEnd w:id="26"/>
      <w:bookmarkEnd w:id="27"/>
      <w:bookmarkEnd w:id="28"/>
      <w:bookmarkEnd w:id="29"/>
      <w:bookmarkEnd w:id="30"/>
    </w:p>
    <w:p w14:paraId="16B53D6A">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470792F2">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szCs w:val="21"/>
          <w:highlight w:val="none"/>
          <w:lang w:val="zh-CN"/>
        </w:rPr>
      </w:pPr>
      <w:bookmarkStart w:id="31" w:name="_Toc195714218"/>
      <w:bookmarkStart w:id="32" w:name="_Toc142508314"/>
      <w:bookmarkStart w:id="33" w:name="_Toc6987"/>
      <w:bookmarkStart w:id="34" w:name="_Toc18557"/>
      <w:bookmarkStart w:id="35" w:name="_Toc80_WPSOffice_Level3"/>
      <w:bookmarkStart w:id="36" w:name="_Toc450662850"/>
      <w:bookmarkStart w:id="37" w:name="_Toc486167664"/>
      <w:bookmarkStart w:id="38" w:name="_Toc3224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1"/>
      <w:bookmarkEnd w:id="32"/>
      <w:bookmarkEnd w:id="33"/>
      <w:bookmarkEnd w:id="34"/>
      <w:bookmarkEnd w:id="35"/>
      <w:bookmarkEnd w:id="36"/>
      <w:bookmarkEnd w:id="37"/>
      <w:bookmarkEnd w:id="38"/>
    </w:p>
    <w:p w14:paraId="40FC0F45">
      <w:pPr>
        <w:kinsoku/>
        <w:overflowPunct/>
        <w:autoSpaceDE w:val="0"/>
        <w:autoSpaceDN w:val="0"/>
        <w:bidi w:val="0"/>
        <w:adjustRightInd w:val="0"/>
        <w:spacing w:line="360" w:lineRule="auto"/>
        <w:ind w:left="317" w:leftChars="-100" w:hanging="527" w:hangingChars="250"/>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04B5162">
      <w:pPr>
        <w:kinsoku/>
        <w:overflowPunct/>
        <w:autoSpaceDE w:val="0"/>
        <w:autoSpaceDN w:val="0"/>
        <w:bidi w:val="0"/>
        <w:adjustRightInd w:val="0"/>
        <w:spacing w:line="360" w:lineRule="auto"/>
        <w:ind w:left="359" w:leftChars="-100" w:hanging="569" w:hangingChars="270"/>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6B0BD74">
      <w:pPr>
        <w:kinsoku/>
        <w:overflowPunct/>
        <w:autoSpaceDE w:val="0"/>
        <w:autoSpaceDN w:val="0"/>
        <w:bidi w:val="0"/>
        <w:adjustRightInd w:val="0"/>
        <w:spacing w:line="360" w:lineRule="auto"/>
        <w:ind w:left="317" w:leftChars="-100" w:hanging="527" w:hangingChars="250"/>
        <w:outlineLvl w:val="9"/>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F7076FC">
      <w:pPr>
        <w:kinsoku/>
        <w:overflowPunct/>
        <w:autoSpaceDE w:val="0"/>
        <w:autoSpaceDN w:val="0"/>
        <w:bidi w:val="0"/>
        <w:adjustRightInd w:val="0"/>
        <w:spacing w:line="360" w:lineRule="auto"/>
        <w:ind w:left="359" w:leftChars="-99" w:hanging="567" w:hangingChars="269"/>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1CB8F3FC">
      <w:pPr>
        <w:kinsoku/>
        <w:overflowPunct/>
        <w:autoSpaceDE w:val="0"/>
        <w:autoSpaceDN w:val="0"/>
        <w:bidi w:val="0"/>
        <w:adjustRightInd w:val="0"/>
        <w:spacing w:line="360" w:lineRule="auto"/>
        <w:ind w:left="317" w:leftChars="-100" w:hanging="527" w:hangingChars="250"/>
        <w:outlineLvl w:val="9"/>
        <w:rPr>
          <w:highlight w:val="none"/>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6F35BF3">
      <w:pPr>
        <w:kinsoku/>
        <w:overflowPunct/>
        <w:autoSpaceDE w:val="0"/>
        <w:autoSpaceDN w:val="0"/>
        <w:bidi w:val="0"/>
        <w:adjustRightInd w:val="0"/>
        <w:spacing w:line="360" w:lineRule="auto"/>
        <w:ind w:left="317" w:leftChars="-100" w:hanging="527" w:hangingChars="250"/>
        <w:outlineLvl w:val="9"/>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2.6</w:t>
      </w:r>
      <w:r>
        <w:rPr>
          <w:rFonts w:hint="eastAsia" w:ascii="宋体" w:hAnsi="宋体" w:eastAsia="宋体" w:cs="宋体"/>
          <w:highlight w:val="none"/>
          <w:lang w:val="en-US" w:eastAsia="zh-CN"/>
        </w:rPr>
        <w:t xml:space="preserve">  </w:t>
      </w:r>
      <w:r>
        <w:rPr>
          <w:rFonts w:hint="eastAsia" w:ascii="宋体" w:hAnsi="宋体" w:eastAsia="宋体" w:cs="宋体"/>
          <w:b/>
          <w:szCs w:val="21"/>
          <w:highlight w:val="none"/>
          <w:lang w:val="zh-CN"/>
        </w:rPr>
        <w:t>符合条件的合格投标人均可参加东莞市水务环境投资控股集团有限公司招标采购代理协议服务项目</w:t>
      </w:r>
      <w:r>
        <w:rPr>
          <w:rFonts w:hint="eastAsia" w:ascii="宋体" w:hAnsi="宋体" w:eastAsia="宋体" w:cs="宋体"/>
          <w:b/>
          <w:szCs w:val="21"/>
          <w:highlight w:val="none"/>
          <w:lang w:val="en-US" w:eastAsia="zh-CN"/>
        </w:rPr>
        <w:t>标段一和标段二</w:t>
      </w:r>
      <w:r>
        <w:rPr>
          <w:rFonts w:hint="eastAsia" w:ascii="宋体" w:hAnsi="宋体" w:eastAsia="宋体" w:cs="宋体"/>
          <w:b/>
          <w:szCs w:val="21"/>
          <w:highlight w:val="none"/>
          <w:lang w:val="zh-CN"/>
        </w:rPr>
        <w:t>的投标，但同一投标人仅可中标上述其中一个</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lang w:val="zh-CN"/>
        </w:rPr>
        <w:t>，即一旦获得上述其中一个</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lang w:val="zh-CN"/>
        </w:rPr>
        <w:t>第一中标候选人资格的投标人，不能再被推荐为另外一个</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lang w:val="zh-CN"/>
        </w:rPr>
        <w:t>的中标候选人。</w:t>
      </w:r>
    </w:p>
    <w:p w14:paraId="42650F73">
      <w:pPr>
        <w:tabs>
          <w:tab w:val="left" w:pos="426"/>
        </w:tabs>
        <w:kinsoku/>
        <w:overflowPunct/>
        <w:autoSpaceDE w:val="0"/>
        <w:autoSpaceDN w:val="0"/>
        <w:bidi w:val="0"/>
        <w:adjustRightInd w:val="0"/>
        <w:spacing w:line="360" w:lineRule="auto"/>
        <w:ind w:left="319" w:leftChars="-100" w:hanging="529" w:hangingChars="252"/>
        <w:outlineLvl w:val="9"/>
        <w:rPr>
          <w:rFonts w:ascii="宋体" w:hAnsi="宋体" w:eastAsia="宋体" w:cs="宋体"/>
          <w:color w:val="auto"/>
          <w:kern w:val="0"/>
          <w:szCs w:val="24"/>
          <w:highlight w:val="none"/>
        </w:rPr>
      </w:pPr>
    </w:p>
    <w:p w14:paraId="7D4B5D92">
      <w:pPr>
        <w:keepNext w:val="0"/>
        <w:keepLines w:val="0"/>
        <w:pageBreakBefore w:val="0"/>
        <w:widowControl w:val="0"/>
        <w:tabs>
          <w:tab w:val="left" w:pos="570"/>
        </w:tabs>
        <w:kinsoku/>
        <w:wordWrap/>
        <w:overflowPunct/>
        <w:topLinePunct w:val="0"/>
        <w:autoSpaceDE/>
        <w:autoSpaceDN/>
        <w:bidi w:val="0"/>
        <w:adjustRightInd w:val="0"/>
        <w:snapToGrid/>
        <w:spacing w:line="360" w:lineRule="auto"/>
        <w:ind w:left="357" w:leftChars="-100" w:hanging="567"/>
        <w:jc w:val="left"/>
        <w:textAlignment w:val="auto"/>
        <w:outlineLvl w:val="2"/>
        <w:rPr>
          <w:rFonts w:hint="eastAsia" w:ascii="宋体" w:hAnsi="宋体" w:eastAsia="宋体" w:cs="宋体"/>
          <w:b/>
          <w:color w:val="auto"/>
          <w:szCs w:val="21"/>
          <w:highlight w:val="none"/>
          <w:lang w:val="zh-CN" w:eastAsia="zh-CN"/>
        </w:rPr>
      </w:pPr>
      <w:bookmarkStart w:id="39" w:name="_Toc4066"/>
      <w:bookmarkStart w:id="40" w:name="_Toc8199"/>
      <w:bookmarkStart w:id="41" w:name="_Toc195714219"/>
      <w:bookmarkStart w:id="42" w:name="_Toc28226"/>
      <w:bookmarkStart w:id="43" w:name="_Toc23847_WPSOffice_Level3"/>
      <w:bookmarkStart w:id="44" w:name="_Toc11689"/>
      <w:bookmarkStart w:id="45" w:name="_Toc142508315"/>
      <w:bookmarkStart w:id="46" w:name="_Toc19774"/>
      <w:bookmarkStart w:id="47" w:name="_Toc450662851"/>
      <w:bookmarkStart w:id="48"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39"/>
      <w:bookmarkEnd w:id="40"/>
      <w:bookmarkEnd w:id="41"/>
      <w:r>
        <w:rPr>
          <w:rFonts w:hint="eastAsia" w:ascii="宋体" w:hAnsi="宋体" w:eastAsia="宋体" w:cs="宋体"/>
          <w:b/>
          <w:color w:val="auto"/>
          <w:szCs w:val="21"/>
          <w:highlight w:val="none"/>
          <w:lang w:val="en-US" w:eastAsia="zh-CN"/>
        </w:rPr>
        <w:t>服务</w:t>
      </w:r>
      <w:bookmarkEnd w:id="42"/>
    </w:p>
    <w:bookmarkEnd w:id="43"/>
    <w:bookmarkEnd w:id="44"/>
    <w:bookmarkEnd w:id="45"/>
    <w:bookmarkEnd w:id="46"/>
    <w:p w14:paraId="5DEEA164">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10F15092">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49" w:name="_Toc533708063"/>
      <w:bookmarkStart w:id="50" w:name="_Toc1977663"/>
      <w:r>
        <w:rPr>
          <w:rFonts w:hint="eastAsia" w:ascii="宋体" w:hAnsi="宋体" w:eastAsia="宋体" w:cs="宋体"/>
          <w:color w:val="auto"/>
          <w:szCs w:val="21"/>
          <w:highlight w:val="none"/>
          <w:lang w:val="zh-CN"/>
        </w:rPr>
        <w:t xml:space="preserve">3.2  </w:t>
      </w:r>
      <w:bookmarkEnd w:id="49"/>
      <w:bookmarkEnd w:id="50"/>
      <w:bookmarkStart w:id="51" w:name="_Toc533708065"/>
      <w:bookmarkStart w:id="52"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1"/>
      <w:bookmarkEnd w:id="52"/>
    </w:p>
    <w:p w14:paraId="2F27749B">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53" w:name="_Toc533708066"/>
      <w:bookmarkStart w:id="54"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3"/>
      <w:bookmarkEnd w:id="54"/>
      <w:bookmarkStart w:id="55" w:name="_Toc1977667"/>
      <w:bookmarkStart w:id="56"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5"/>
      <w:bookmarkEnd w:id="56"/>
    </w:p>
    <w:p w14:paraId="593CA118">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57" w:name="_Toc1977668"/>
      <w:bookmarkStart w:id="58"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7"/>
      <w:bookmarkEnd w:id="58"/>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42E6E110">
      <w:pPr>
        <w:kinsoku/>
        <w:overflowPunct/>
        <w:autoSpaceDE w:val="0"/>
        <w:autoSpaceDN w:val="0"/>
        <w:bidi w:val="0"/>
        <w:adjustRightInd w:val="0"/>
        <w:spacing w:line="360" w:lineRule="auto"/>
        <w:jc w:val="left"/>
        <w:outlineLvl w:val="9"/>
        <w:rPr>
          <w:rFonts w:ascii="宋体" w:hAnsi="宋体" w:eastAsia="宋体" w:cs="宋体"/>
          <w:color w:val="auto"/>
          <w:szCs w:val="21"/>
          <w:highlight w:val="none"/>
          <w:lang w:val="zh-CN"/>
        </w:rPr>
      </w:pPr>
    </w:p>
    <w:p w14:paraId="396ECDFB">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color w:val="auto"/>
          <w:szCs w:val="21"/>
          <w:highlight w:val="none"/>
          <w:lang w:val="zh-CN"/>
        </w:rPr>
      </w:pPr>
      <w:bookmarkStart w:id="59" w:name="_Toc3404"/>
      <w:bookmarkStart w:id="60" w:name="_Toc30483"/>
      <w:bookmarkStart w:id="61" w:name="_Toc195714220"/>
      <w:bookmarkStart w:id="62" w:name="_Toc142508316"/>
      <w:bookmarkStart w:id="63" w:name="_Toc9658_WPSOffice_Level3"/>
      <w:bookmarkStart w:id="64" w:name="_Toc1153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9"/>
      <w:bookmarkEnd w:id="60"/>
      <w:bookmarkEnd w:id="61"/>
      <w:bookmarkEnd w:id="62"/>
      <w:bookmarkEnd w:id="63"/>
      <w:bookmarkEnd w:id="64"/>
    </w:p>
    <w:p w14:paraId="24EDD370">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65" w:name="_Toc1977670"/>
      <w:bookmarkStart w:id="66" w:name="_Toc533708070"/>
      <w:r>
        <w:rPr>
          <w:rFonts w:hint="eastAsia" w:ascii="宋体" w:hAnsi="宋体" w:eastAsia="宋体" w:cs="宋体"/>
          <w:color w:val="auto"/>
          <w:szCs w:val="21"/>
          <w:highlight w:val="none"/>
          <w:lang w:val="zh-CN"/>
        </w:rPr>
        <w:t>4.1  投标费用</w:t>
      </w:r>
      <w:bookmarkEnd w:id="65"/>
      <w:bookmarkEnd w:id="66"/>
    </w:p>
    <w:p w14:paraId="5B741DA5">
      <w:pPr>
        <w:kinsoku/>
        <w:overflowPunct/>
        <w:autoSpaceDE w:val="0"/>
        <w:autoSpaceDN w:val="0"/>
        <w:bidi w:val="0"/>
        <w:adjustRightInd w:val="0"/>
        <w:spacing w:line="360" w:lineRule="auto"/>
        <w:ind w:left="210" w:leftChars="100" w:firstLine="420" w:firstLineChars="200"/>
        <w:outlineLvl w:val="9"/>
        <w:rPr>
          <w:rFonts w:ascii="宋体" w:hAnsi="宋体" w:eastAsia="宋体" w:cs="宋体"/>
          <w:color w:val="auto"/>
          <w:szCs w:val="21"/>
          <w:highlight w:val="none"/>
          <w:lang w:val="zh-CN"/>
        </w:rPr>
      </w:pPr>
      <w:bookmarkStart w:id="67" w:name="_Toc533708072"/>
      <w:bookmarkStart w:id="68"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7"/>
      <w:bookmarkEnd w:id="68"/>
    </w:p>
    <w:p w14:paraId="193C9280">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69" w:name="_Toc533708073"/>
      <w:bookmarkStart w:id="70" w:name="_Toc1977673"/>
      <w:r>
        <w:rPr>
          <w:rFonts w:hint="eastAsia" w:ascii="宋体" w:hAnsi="宋体" w:eastAsia="宋体" w:cs="宋体"/>
          <w:color w:val="auto"/>
          <w:szCs w:val="21"/>
          <w:highlight w:val="none"/>
          <w:lang w:val="zh-CN"/>
        </w:rPr>
        <w:t>4.2  踏勘现场</w:t>
      </w:r>
      <w:bookmarkEnd w:id="69"/>
      <w:bookmarkEnd w:id="70"/>
    </w:p>
    <w:p w14:paraId="6BBC4783">
      <w:pPr>
        <w:kinsoku/>
        <w:overflowPunct/>
        <w:autoSpaceDE w:val="0"/>
        <w:autoSpaceDN w:val="0"/>
        <w:bidi w:val="0"/>
        <w:adjustRightInd w:val="0"/>
        <w:spacing w:line="360" w:lineRule="auto"/>
        <w:ind w:left="300" w:leftChars="-59" w:hanging="424" w:hangingChars="202"/>
        <w:jc w:val="left"/>
        <w:outlineLvl w:val="9"/>
        <w:rPr>
          <w:rFonts w:ascii="宋体" w:hAnsi="宋体" w:eastAsia="宋体" w:cs="Times New Roman"/>
          <w:color w:val="auto"/>
          <w:kern w:val="0"/>
          <w:szCs w:val="21"/>
          <w:highlight w:val="none"/>
        </w:rPr>
      </w:pPr>
      <w:bookmarkStart w:id="71" w:name="_Toc1977676"/>
      <w:bookmarkStart w:id="72"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57E0E44F">
      <w:pPr>
        <w:kinsoku/>
        <w:overflowPunct/>
        <w:autoSpaceDE w:val="0"/>
        <w:autoSpaceDN w:val="0"/>
        <w:bidi w:val="0"/>
        <w:adjustRightInd w:val="0"/>
        <w:spacing w:line="360" w:lineRule="auto"/>
        <w:ind w:left="300" w:leftChars="-59" w:hanging="424" w:hangingChars="202"/>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2C57F9B">
      <w:pPr>
        <w:kinsoku/>
        <w:overflowPunct/>
        <w:bidi w:val="0"/>
        <w:spacing w:line="360" w:lineRule="auto"/>
        <w:ind w:left="300" w:leftChars="-59" w:hanging="424" w:hangingChars="202"/>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9140491">
      <w:pPr>
        <w:kinsoku/>
        <w:overflowPunct/>
        <w:bidi w:val="0"/>
        <w:spacing w:line="360" w:lineRule="auto"/>
        <w:ind w:left="300" w:leftChars="-59" w:hanging="424" w:hangingChars="202"/>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01A7406B">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7"/>
      <w:bookmarkEnd w:id="48"/>
      <w:bookmarkEnd w:id="71"/>
      <w:bookmarkEnd w:id="72"/>
    </w:p>
    <w:p w14:paraId="77FB3A05">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90B39CE">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21DC402">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205ABDAB">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928CD81">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E8971B8">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49BFB14">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rPr>
      </w:pPr>
    </w:p>
    <w:p w14:paraId="17113A1C">
      <w:pPr>
        <w:keepNext/>
        <w:keepLines/>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73" w:name="_Toc1565"/>
      <w:bookmarkStart w:id="74" w:name="_Toc30507_WPSOffice_Level2"/>
      <w:bookmarkStart w:id="75" w:name="_Toc450662853"/>
      <w:bookmarkStart w:id="76" w:name="_Toc486167667"/>
      <w:bookmarkStart w:id="77" w:name="_Toc140596876"/>
      <w:bookmarkStart w:id="78" w:name="_Toc142508317"/>
      <w:bookmarkStart w:id="79" w:name="_Toc5395"/>
      <w:bookmarkStart w:id="80" w:name="_Toc13488"/>
      <w:bookmarkStart w:id="81" w:name="_Toc195714221"/>
      <w:r>
        <w:rPr>
          <w:rFonts w:hint="eastAsia" w:ascii="宋体" w:hAnsi="宋体" w:eastAsia="宋体" w:cs="宋体"/>
          <w:b/>
          <w:bCs/>
          <w:color w:val="auto"/>
          <w:kern w:val="44"/>
          <w:szCs w:val="21"/>
          <w:highlight w:val="none"/>
          <w:lang w:val="zh-CN"/>
        </w:rPr>
        <w:t>二、招标文件</w:t>
      </w:r>
      <w:bookmarkEnd w:id="73"/>
      <w:bookmarkEnd w:id="74"/>
      <w:bookmarkEnd w:id="75"/>
      <w:bookmarkEnd w:id="76"/>
      <w:bookmarkEnd w:id="77"/>
      <w:bookmarkEnd w:id="78"/>
      <w:bookmarkEnd w:id="79"/>
      <w:bookmarkEnd w:id="80"/>
      <w:bookmarkEnd w:id="81"/>
    </w:p>
    <w:p w14:paraId="2E0FD7D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82" w:name="_Toc28893"/>
      <w:bookmarkStart w:id="83" w:name="_Toc195714222"/>
      <w:bookmarkStart w:id="84" w:name="_Toc2406"/>
      <w:bookmarkStart w:id="85" w:name="_Toc486167668"/>
      <w:bookmarkStart w:id="86" w:name="_Toc26635_WPSOffice_Level3"/>
      <w:bookmarkStart w:id="87" w:name="_Toc142508318"/>
      <w:bookmarkStart w:id="88" w:name="_Toc450662854"/>
      <w:bookmarkStart w:id="89" w:name="_Toc719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2"/>
      <w:bookmarkEnd w:id="83"/>
      <w:bookmarkEnd w:id="84"/>
      <w:bookmarkEnd w:id="85"/>
      <w:bookmarkEnd w:id="86"/>
      <w:bookmarkEnd w:id="87"/>
      <w:bookmarkEnd w:id="88"/>
      <w:bookmarkEnd w:id="89"/>
    </w:p>
    <w:p w14:paraId="77638208">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B1344F0">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CF4FDAF">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5B941415">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56701EAF">
      <w:pPr>
        <w:tabs>
          <w:tab w:val="left" w:pos="1890"/>
        </w:tabs>
        <w:kinsoku/>
        <w:overflowPunct/>
        <w:autoSpaceDE w:val="0"/>
        <w:autoSpaceDN w:val="0"/>
        <w:bidi w:val="0"/>
        <w:adjustRightInd w:val="0"/>
        <w:spacing w:line="360" w:lineRule="auto"/>
        <w:ind w:firstLine="424" w:firstLineChars="202"/>
        <w:outlineLvl w:val="9"/>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lang w:val="en-US" w:eastAsia="zh-CN"/>
        </w:rPr>
        <w:t>格式</w:t>
      </w:r>
    </w:p>
    <w:p w14:paraId="5630335C">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0E66EF1D">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E1DEDA0">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29E0DCD8">
      <w:pPr>
        <w:kinsoku/>
        <w:overflowPunct/>
        <w:autoSpaceDE w:val="0"/>
        <w:autoSpaceDN w:val="0"/>
        <w:bidi w:val="0"/>
        <w:adjustRightInd w:val="0"/>
        <w:spacing w:line="360" w:lineRule="auto"/>
        <w:ind w:left="356" w:leftChars="-99" w:hanging="564" w:hangingChars="269"/>
        <w:outlineLvl w:val="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w:t>
      </w:r>
      <w:r>
        <w:rPr>
          <w:rFonts w:hint="eastAsia" w:ascii="宋体" w:hAnsi="宋体" w:eastAsia="宋体" w:cs="Times New Roman"/>
          <w:b/>
          <w:bCs/>
          <w:color w:val="auto"/>
          <w:szCs w:val="21"/>
          <w:highlight w:val="none"/>
          <w:u w:val="single"/>
          <w:lang w:val="en-US" w:eastAsia="zh-CN"/>
        </w:rPr>
        <w:t>服务</w:t>
      </w:r>
      <w:r>
        <w:rPr>
          <w:rFonts w:hint="eastAsia" w:ascii="宋体" w:hAnsi="宋体" w:eastAsia="宋体" w:cs="Times New Roman"/>
          <w:b/>
          <w:bCs/>
          <w:color w:val="auto"/>
          <w:szCs w:val="21"/>
          <w:highlight w:val="none"/>
          <w:u w:val="single"/>
          <w:lang w:val="zh-CN"/>
        </w:rPr>
        <w:t>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063A455F">
      <w:pPr>
        <w:kinsoku/>
        <w:overflowPunct/>
        <w:autoSpaceDE w:val="0"/>
        <w:autoSpaceDN w:val="0"/>
        <w:bidi w:val="0"/>
        <w:adjustRightInd w:val="0"/>
        <w:spacing w:line="360" w:lineRule="auto"/>
        <w:ind w:left="356" w:leftChars="-99" w:hanging="564" w:hangingChars="269"/>
        <w:outlineLvl w:val="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4F611D4">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东莞市水务环境投资控股集团有限公司</w:t>
      </w:r>
      <w:r>
        <w:rPr>
          <w:rFonts w:hint="eastAsia" w:ascii="宋体" w:hAnsi="宋体" w:eastAsia="宋体" w:cs="Times New Roman"/>
          <w:color w:val="auto"/>
          <w:kern w:val="0"/>
          <w:szCs w:val="21"/>
          <w:highlight w:val="none"/>
        </w:rPr>
        <w:t>；</w:t>
      </w:r>
    </w:p>
    <w:p w14:paraId="5E936650">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广东晟拓工程咨询有限公司</w:t>
      </w:r>
      <w:r>
        <w:rPr>
          <w:rFonts w:hint="eastAsia" w:ascii="宋体" w:hAnsi="宋体" w:eastAsia="宋体" w:cs="Times New Roman"/>
          <w:color w:val="auto"/>
          <w:kern w:val="0"/>
          <w:szCs w:val="21"/>
          <w:highlight w:val="none"/>
        </w:rPr>
        <w:t>；</w:t>
      </w:r>
    </w:p>
    <w:p w14:paraId="6B236BDB">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东莞市水务环境投资控股集团有限公司招标采购代理协议服务项目</w:t>
      </w:r>
      <w:r>
        <w:rPr>
          <w:rFonts w:hint="eastAsia" w:ascii="宋体" w:hAnsi="宋体" w:eastAsia="宋体" w:cs="Times New Roman"/>
          <w:color w:val="auto"/>
          <w:kern w:val="0"/>
          <w:szCs w:val="21"/>
          <w:highlight w:val="none"/>
        </w:rPr>
        <w:t>所需的服务的投标，并向招标代理机构提交投标文件的当事人；</w:t>
      </w:r>
    </w:p>
    <w:p w14:paraId="29F7569D">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11787DD">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w:t>
      </w:r>
      <w:r>
        <w:rPr>
          <w:rFonts w:hint="eastAsia" w:ascii="宋体" w:hAnsi="宋体" w:eastAsia="宋体" w:cs="Times New Roman"/>
          <w:kern w:val="0"/>
          <w:szCs w:val="21"/>
          <w:highlight w:val="none"/>
        </w:rPr>
        <w:t>“中标人”指其投标被招标人接受，并与招标人签订合同的当事人</w:t>
      </w:r>
      <w:r>
        <w:rPr>
          <w:rFonts w:hint="eastAsia" w:ascii="宋体" w:hAnsi="宋体" w:eastAsia="宋体" w:cs="Times New Roman"/>
          <w:color w:val="auto"/>
          <w:kern w:val="0"/>
          <w:szCs w:val="21"/>
          <w:highlight w:val="none"/>
        </w:rPr>
        <w:t>；</w:t>
      </w:r>
    </w:p>
    <w:p w14:paraId="799BF164">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w:t>
      </w:r>
      <w:r>
        <w:rPr>
          <w:rFonts w:hint="eastAsia" w:ascii="宋体" w:hAnsi="宋体" w:eastAsia="宋体" w:cs="Times New Roman"/>
          <w:kern w:val="0"/>
          <w:szCs w:val="21"/>
          <w:highlight w:val="none"/>
        </w:rPr>
        <w:t>“甲方”指在合同条款中指明的购买服务的单位，即</w:t>
      </w:r>
      <w:r>
        <w:rPr>
          <w:rFonts w:hint="eastAsia" w:ascii="宋体" w:hAnsi="宋体" w:eastAsia="宋体" w:cs="Times New Roman"/>
          <w:kern w:val="0"/>
          <w:szCs w:val="21"/>
          <w:highlight w:val="none"/>
          <w:lang w:eastAsia="zh-CN"/>
        </w:rPr>
        <w:t>东莞市水务环境投资控股集团有限公司</w:t>
      </w:r>
      <w:r>
        <w:rPr>
          <w:rFonts w:hint="eastAsia" w:ascii="宋体" w:hAnsi="宋体" w:eastAsia="宋体" w:cs="Times New Roman"/>
          <w:color w:val="auto"/>
          <w:kern w:val="0"/>
          <w:szCs w:val="21"/>
          <w:highlight w:val="none"/>
        </w:rPr>
        <w:t>；</w:t>
      </w:r>
    </w:p>
    <w:p w14:paraId="179679D8">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EB928A5">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019A0A75">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）“投标文件”指投标人根据本招标文件向交易系统在线上传的全部文件；</w:t>
      </w:r>
    </w:p>
    <w:p w14:paraId="206AA9AE">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9DD0D78">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0DFDDC7F">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4EABF76">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2009737">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w:t>
      </w:r>
      <w:r>
        <w:rPr>
          <w:rFonts w:hint="eastAsia" w:ascii="宋体" w:hAnsi="宋体" w:eastAsia="宋体" w:cs="Times New Roman"/>
          <w:kern w:val="0"/>
          <w:szCs w:val="21"/>
          <w:highlight w:val="none"/>
        </w:rPr>
        <w:t>含税价，即为《中华人民共和国增值税暂行条例》（国务院令第6</w:t>
      </w:r>
      <w:r>
        <w:rPr>
          <w:rFonts w:ascii="宋体" w:hAnsi="宋体" w:eastAsia="宋体" w:cs="Times New Roman"/>
          <w:kern w:val="0"/>
          <w:szCs w:val="21"/>
          <w:highlight w:val="none"/>
        </w:rPr>
        <w:t>91</w:t>
      </w:r>
      <w:r>
        <w:rPr>
          <w:rFonts w:hint="eastAsia" w:ascii="宋体" w:hAnsi="宋体" w:eastAsia="宋体" w:cs="Times New Roman"/>
          <w:kern w:val="0"/>
          <w:szCs w:val="21"/>
          <w:highlight w:val="none"/>
        </w:rPr>
        <w:t>号修订版）规定的销售额及销项税之和。本招标文件所称的含税价和含税合同价是指含本采购项目投标人的销项税额，包含了投标人完成合同义务（含投标人代缴代扣、分包及委外服务、施工、采购货物等所产生的价税）的其他全部费用</w:t>
      </w:r>
      <w:r>
        <w:rPr>
          <w:rFonts w:hint="eastAsia" w:ascii="宋体" w:hAnsi="宋体" w:eastAsia="宋体" w:cs="Times New Roman"/>
          <w:color w:val="auto"/>
          <w:kern w:val="0"/>
          <w:szCs w:val="21"/>
          <w:highlight w:val="none"/>
        </w:rPr>
        <w:t>。</w:t>
      </w:r>
    </w:p>
    <w:p w14:paraId="3586E7E8">
      <w:pPr>
        <w:kinsoku/>
        <w:overflowPunct/>
        <w:autoSpaceDE w:val="0"/>
        <w:autoSpaceDN w:val="0"/>
        <w:bidi w:val="0"/>
        <w:adjustRightInd w:val="0"/>
        <w:spacing w:line="360" w:lineRule="auto"/>
        <w:ind w:left="951" w:leftChars="78" w:hanging="787" w:hangingChars="375"/>
        <w:outlineLvl w:val="9"/>
        <w:rPr>
          <w:rFonts w:ascii="宋体" w:hAnsi="宋体" w:eastAsia="宋体" w:cs="宋体"/>
          <w:color w:val="auto"/>
          <w:szCs w:val="21"/>
          <w:highlight w:val="none"/>
          <w:lang w:val="zh-CN"/>
        </w:rPr>
      </w:pPr>
    </w:p>
    <w:p w14:paraId="5DB7641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90" w:name="_Toc11346"/>
      <w:bookmarkStart w:id="91" w:name="_Toc142508319"/>
      <w:bookmarkStart w:id="92" w:name="_Toc19399"/>
      <w:bookmarkStart w:id="93" w:name="_Toc486167669"/>
      <w:bookmarkStart w:id="94" w:name="_Toc3727"/>
      <w:bookmarkStart w:id="95" w:name="_Toc195714223"/>
      <w:bookmarkStart w:id="96" w:name="_Toc450662855"/>
      <w:bookmarkStart w:id="97"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0"/>
      <w:bookmarkEnd w:id="91"/>
      <w:bookmarkEnd w:id="92"/>
      <w:bookmarkEnd w:id="93"/>
      <w:bookmarkEnd w:id="94"/>
      <w:bookmarkEnd w:id="95"/>
      <w:bookmarkEnd w:id="96"/>
      <w:bookmarkEnd w:id="97"/>
    </w:p>
    <w:p w14:paraId="56AB04E5">
      <w:pPr>
        <w:kinsoku/>
        <w:overflowPunct/>
        <w:autoSpaceDE w:val="0"/>
        <w:autoSpaceDN w:val="0"/>
        <w:bidi w:val="0"/>
        <w:adjustRightInd w:val="0"/>
        <w:spacing w:line="360" w:lineRule="auto"/>
        <w:ind w:left="288" w:leftChars="137" w:firstLine="420" w:firstLineChars="200"/>
        <w:outlineLvl w:val="9"/>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投标人或者其他利害关系人对招标文件有异议的，应当在投标截止时间10日前以书面形式</w:t>
      </w:r>
      <w:r>
        <w:rPr>
          <w:rFonts w:ascii="宋体" w:hAnsi="宋体" w:eastAsia="宋体" w:cs="Times New Roman"/>
          <w:color w:val="auto"/>
          <w:szCs w:val="21"/>
          <w:highlight w:val="none"/>
          <w:lang w:val="zh-CN"/>
        </w:rPr>
        <w:t>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hint="eastAsia" w:ascii="宋体" w:hAnsi="宋体" w:eastAsia="宋体" w:cs="Times New Roman"/>
          <w:b w:val="0"/>
          <w:bCs w:val="0"/>
          <w:color w:val="auto"/>
          <w:szCs w:val="21"/>
          <w:highlight w:val="none"/>
          <w:lang w:val="zh-CN"/>
        </w:rPr>
        <w:t>并将材料原件送达招标代理机构，逾期则视为对招标文件所有内容无异议。异议书面材料必须加盖投标人公章，并注明联系人、联系电话、联系地址。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4A60A16">
      <w:pPr>
        <w:kinsoku/>
        <w:overflowPunct/>
        <w:autoSpaceDE w:val="0"/>
        <w:autoSpaceDN w:val="0"/>
        <w:bidi w:val="0"/>
        <w:adjustRightInd w:val="0"/>
        <w:spacing w:line="360" w:lineRule="auto"/>
        <w:ind w:left="290" w:leftChars="137" w:hanging="2" w:hangingChars="1"/>
        <w:outlineLvl w:val="9"/>
        <w:rPr>
          <w:rFonts w:ascii="宋体" w:hAnsi="宋体" w:eastAsia="宋体" w:cs="宋体"/>
          <w:b/>
          <w:bCs/>
          <w:color w:val="auto"/>
          <w:szCs w:val="21"/>
          <w:highlight w:val="none"/>
          <w:lang w:val="zh-CN"/>
        </w:rPr>
      </w:pPr>
    </w:p>
    <w:p w14:paraId="6A1C04F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98" w:name="_Toc17145"/>
      <w:bookmarkStart w:id="99" w:name="_Toc450662856"/>
      <w:bookmarkStart w:id="100" w:name="_Toc142508320"/>
      <w:bookmarkStart w:id="101" w:name="_Toc23483_WPSOffice_Level3"/>
      <w:bookmarkStart w:id="102" w:name="_Toc486167670"/>
      <w:bookmarkStart w:id="103" w:name="_Toc29864"/>
      <w:bookmarkStart w:id="104" w:name="_Toc30449"/>
      <w:bookmarkStart w:id="105" w:name="_Toc195714224"/>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8"/>
      <w:bookmarkEnd w:id="99"/>
      <w:bookmarkEnd w:id="100"/>
      <w:bookmarkEnd w:id="101"/>
      <w:bookmarkEnd w:id="102"/>
      <w:bookmarkEnd w:id="103"/>
      <w:bookmarkEnd w:id="104"/>
      <w:bookmarkEnd w:id="105"/>
    </w:p>
    <w:p w14:paraId="58AF6564">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468E3915">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C67BA14">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hint="eastAsia" w:ascii="宋体" w:hAnsi="宋体" w:eastAsia="宋体" w:cs="Times New Roman"/>
          <w:color w:val="auto"/>
          <w:szCs w:val="21"/>
          <w:highlight w:val="none"/>
          <w:lang w:val="en-US" w:eastAsia="zh-CN"/>
        </w:rPr>
        <w:t>站</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51"/>
          <w:rFonts w:ascii="宋体" w:hAnsi="宋体" w:eastAsia="宋体" w:cs="Times New Roman"/>
          <w:color w:val="auto"/>
          <w:sz w:val="21"/>
          <w:szCs w:val="21"/>
          <w:highlight w:val="none"/>
        </w:rPr>
        <w:t>www.dgswjt.cn）</w:t>
      </w:r>
      <w:r>
        <w:rPr>
          <w:rStyle w:val="51"/>
          <w:rFonts w:ascii="宋体" w:hAnsi="宋体" w:eastAsia="宋体" w:cs="Times New Roman"/>
          <w:color w:val="auto"/>
          <w:sz w:val="21"/>
          <w:szCs w:val="21"/>
          <w:highlight w:val="none"/>
          <w:lang w:val="zh-CN"/>
        </w:rPr>
        <w:t>、</w:t>
      </w:r>
      <w:r>
        <w:rPr>
          <w:rStyle w:val="51"/>
          <w:rFonts w:hint="eastAsia" w:ascii="宋体" w:hAnsi="宋体" w:eastAsia="宋体" w:cs="Times New Roman"/>
          <w:bCs/>
          <w:color w:val="auto"/>
          <w:kern w:val="0"/>
          <w:sz w:val="21"/>
          <w:szCs w:val="21"/>
          <w:highlight w:val="none"/>
        </w:rPr>
        <w:t>招标代理机构网站（</w:t>
      </w:r>
      <w:r>
        <w:rPr>
          <w:rFonts w:hint="eastAsia" w:ascii="宋体" w:hAnsi="宋体" w:eastAsia="宋体" w:cs="Times New Roman"/>
          <w:bCs/>
          <w:color w:val="auto"/>
          <w:szCs w:val="21"/>
          <w:highlight w:val="none"/>
        </w:rPr>
        <w:t>http://gdstgc.com/</w:t>
      </w:r>
      <w:r>
        <w:rPr>
          <w:rStyle w:val="51"/>
          <w:rFonts w:ascii="宋体" w:hAnsi="宋体" w:eastAsia="宋体" w:cs="Times New Roman"/>
          <w:bCs/>
          <w:color w:val="auto"/>
          <w:kern w:val="0"/>
          <w:sz w:val="21"/>
          <w:szCs w:val="21"/>
          <w:highlight w:val="none"/>
        </w:rPr>
        <w:t>）</w:t>
      </w:r>
      <w:r>
        <w:rPr>
          <w:rStyle w:val="51"/>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EA4A647">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rPr>
      </w:pPr>
    </w:p>
    <w:p w14:paraId="2FDA45A4">
      <w:pPr>
        <w:keepNext/>
        <w:keepLines/>
        <w:pageBreakBefore w:val="0"/>
        <w:widowControl w:val="0"/>
        <w:tabs>
          <w:tab w:val="left" w:pos="509"/>
        </w:tabs>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106" w:name="_Toc195714225"/>
      <w:bookmarkStart w:id="107" w:name="_Toc8711"/>
      <w:bookmarkStart w:id="108" w:name="_Toc29659_WPSOffice_Level2"/>
      <w:bookmarkStart w:id="109" w:name="_Toc450662857"/>
      <w:bookmarkStart w:id="110" w:name="_Toc23342"/>
      <w:bookmarkStart w:id="111" w:name="_Toc142508321"/>
      <w:bookmarkStart w:id="112" w:name="_Toc17169"/>
      <w:bookmarkStart w:id="113" w:name="_Toc486167671"/>
      <w:bookmarkStart w:id="114" w:name="_Toc140596880"/>
      <w:r>
        <w:rPr>
          <w:rFonts w:hint="eastAsia" w:ascii="宋体" w:hAnsi="宋体" w:eastAsia="宋体" w:cs="宋体"/>
          <w:b/>
          <w:bCs/>
          <w:color w:val="auto"/>
          <w:kern w:val="44"/>
          <w:szCs w:val="21"/>
          <w:highlight w:val="none"/>
          <w:lang w:val="zh-CN"/>
        </w:rPr>
        <w:t>三、投标文件的编制</w:t>
      </w:r>
      <w:bookmarkEnd w:id="106"/>
      <w:bookmarkEnd w:id="107"/>
      <w:bookmarkEnd w:id="108"/>
      <w:bookmarkEnd w:id="109"/>
      <w:bookmarkEnd w:id="110"/>
      <w:bookmarkEnd w:id="111"/>
      <w:bookmarkEnd w:id="112"/>
      <w:bookmarkEnd w:id="113"/>
      <w:bookmarkEnd w:id="114"/>
    </w:p>
    <w:p w14:paraId="5B4C57F8">
      <w:pPr>
        <w:keepNext w:val="0"/>
        <w:keepLines w:val="0"/>
        <w:pageBreakBefore w:val="0"/>
        <w:widowControl w:val="0"/>
        <w:tabs>
          <w:tab w:val="left" w:pos="67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15" w:name="_Toc195714226"/>
      <w:bookmarkStart w:id="116" w:name="_Toc142508322"/>
      <w:bookmarkStart w:id="117" w:name="_Toc486167672"/>
      <w:bookmarkStart w:id="118" w:name="_Toc16715"/>
      <w:bookmarkStart w:id="119" w:name="_Toc10015_WPSOffice_Level3"/>
      <w:bookmarkStart w:id="120" w:name="_Toc450662858"/>
      <w:bookmarkStart w:id="121" w:name="_Toc6244"/>
      <w:bookmarkStart w:id="122" w:name="_Toc3116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5"/>
      <w:bookmarkEnd w:id="116"/>
      <w:bookmarkEnd w:id="117"/>
      <w:bookmarkEnd w:id="118"/>
      <w:bookmarkEnd w:id="119"/>
      <w:bookmarkEnd w:id="120"/>
      <w:bookmarkEnd w:id="121"/>
      <w:bookmarkEnd w:id="122"/>
    </w:p>
    <w:p w14:paraId="2866903C">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07EE1D3">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6CAAB616">
      <w:pPr>
        <w:kinsoku/>
        <w:overflowPunct/>
        <w:autoSpaceDE w:val="0"/>
        <w:autoSpaceDN w:val="0"/>
        <w:bidi w:val="0"/>
        <w:adjustRightInd w:val="0"/>
        <w:spacing w:line="360" w:lineRule="auto"/>
        <w:outlineLvl w:val="9"/>
        <w:rPr>
          <w:rFonts w:ascii="宋体" w:hAnsi="宋体" w:eastAsia="宋体" w:cs="宋体"/>
          <w:color w:val="auto"/>
          <w:szCs w:val="21"/>
          <w:highlight w:val="none"/>
          <w:lang w:val="zh-CN"/>
        </w:rPr>
      </w:pPr>
    </w:p>
    <w:p w14:paraId="0C0505F9">
      <w:pPr>
        <w:keepNext w:val="0"/>
        <w:keepLines w:val="0"/>
        <w:pageBreakBefore w:val="0"/>
        <w:widowControl w:val="0"/>
        <w:tabs>
          <w:tab w:val="left" w:pos="54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 w:val="24"/>
          <w:szCs w:val="24"/>
          <w:highlight w:val="none"/>
          <w:lang w:val="zh-CN"/>
        </w:rPr>
      </w:pPr>
      <w:bookmarkStart w:id="123" w:name="_Toc450662859"/>
      <w:bookmarkStart w:id="124" w:name="_Toc24916_WPSOffice_Level3"/>
      <w:bookmarkStart w:id="125" w:name="_Toc142508323"/>
      <w:bookmarkStart w:id="126" w:name="_Toc14943"/>
      <w:bookmarkStart w:id="127" w:name="_Toc7348"/>
      <w:bookmarkStart w:id="128" w:name="_Toc195714227"/>
      <w:bookmarkStart w:id="129" w:name="_Toc31867"/>
      <w:bookmarkStart w:id="130" w:name="_Toc48616767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3"/>
      <w:bookmarkEnd w:id="124"/>
      <w:bookmarkEnd w:id="125"/>
      <w:bookmarkEnd w:id="126"/>
      <w:bookmarkEnd w:id="127"/>
      <w:bookmarkEnd w:id="128"/>
      <w:bookmarkEnd w:id="129"/>
      <w:bookmarkEnd w:id="130"/>
    </w:p>
    <w:p w14:paraId="1C8E7426">
      <w:pPr>
        <w:kinsoku/>
        <w:overflowPunct/>
        <w:autoSpaceDE w:val="0"/>
        <w:autoSpaceDN w:val="0"/>
        <w:bidi w:val="0"/>
        <w:adjustRightInd w:val="0"/>
        <w:spacing w:line="360" w:lineRule="auto"/>
        <w:ind w:left="422" w:leftChars="-100" w:hanging="632" w:hangingChars="300"/>
        <w:outlineLvl w:val="9"/>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商务标、技术标、报价信封三部分组成。</w:t>
      </w:r>
    </w:p>
    <w:p w14:paraId="264259C9">
      <w:pPr>
        <w:kinsoku/>
        <w:overflowPunct/>
        <w:autoSpaceDE w:val="0"/>
        <w:autoSpaceDN w:val="0"/>
        <w:bidi w:val="0"/>
        <w:adjustRightInd w:val="0"/>
        <w:spacing w:line="360" w:lineRule="auto"/>
        <w:ind w:left="422" w:leftChars="-100" w:hanging="632" w:hangingChars="300"/>
        <w:outlineLvl w:val="9"/>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商务标：</w:t>
      </w:r>
    </w:p>
    <w:p w14:paraId="65BEF25F">
      <w:pPr>
        <w:kinsoku/>
        <w:overflowPunct/>
        <w:autoSpaceDE w:val="0"/>
        <w:autoSpaceDN w:val="0"/>
        <w:bidi w:val="0"/>
        <w:adjustRightInd w:val="0"/>
        <w:spacing w:line="360" w:lineRule="auto"/>
        <w:jc w:val="left"/>
        <w:outlineLvl w:val="9"/>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D0EF72B">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66450F0">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2A90E40">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71CC0218">
      <w:pPr>
        <w:tabs>
          <w:tab w:val="left" w:pos="567"/>
        </w:tabs>
        <w:kinsoku/>
        <w:overflowPunct/>
        <w:autoSpaceDE w:val="0"/>
        <w:autoSpaceDN w:val="0"/>
        <w:bidi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（4）投标报价响应表；</w:t>
      </w:r>
    </w:p>
    <w:p w14:paraId="1AC0BA70">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4782FAF0">
      <w:pPr>
        <w:kinsoku/>
        <w:overflowPunct/>
        <w:autoSpaceDE w:val="0"/>
        <w:autoSpaceDN w:val="0"/>
        <w:bidi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w:t>
      </w:r>
      <w:r>
        <w:rPr>
          <w:rFonts w:hint="eastAsia" w:ascii="宋体" w:hAnsi="宋体" w:eastAsia="宋体" w:cs="Times New Roman"/>
          <w:color w:val="auto"/>
          <w:szCs w:val="21"/>
          <w:highlight w:val="none"/>
          <w:lang w:val="zh-CN"/>
        </w:rPr>
        <w:t>多证合一营业执照（或事业单位法人证书）原件扫描件</w:t>
      </w:r>
      <w:r>
        <w:rPr>
          <w:rFonts w:ascii="宋体" w:hAnsi="宋体" w:eastAsia="宋体" w:cs="Times New Roman"/>
          <w:color w:val="auto"/>
          <w:szCs w:val="21"/>
          <w:highlight w:val="none"/>
          <w:lang w:val="zh-CN"/>
        </w:rPr>
        <w:t>；</w:t>
      </w:r>
    </w:p>
    <w:p w14:paraId="71C79F8F">
      <w:pPr>
        <w:kinsoku/>
        <w:overflowPunct/>
        <w:autoSpaceDE w:val="0"/>
        <w:autoSpaceDN w:val="0"/>
        <w:bidi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auto"/>
          <w:szCs w:val="21"/>
          <w:highlight w:val="none"/>
          <w:lang w:val="zh-CN"/>
        </w:rPr>
        <w:t>；</w:t>
      </w:r>
    </w:p>
    <w:p w14:paraId="0331B027">
      <w:pPr>
        <w:kinsoku/>
        <w:overflowPunct/>
        <w:autoSpaceDE w:val="0"/>
        <w:autoSpaceDN w:val="0"/>
        <w:bidi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法定代表人身份证明书、法定代表人授权书格式（法定代表人投标时只需提供法定代表人身份证明书，委托他人为投标代表或签署投标文件时需同时提供法定代表人授权书</w:t>
      </w:r>
      <w:r>
        <w:rPr>
          <w:rFonts w:ascii="宋体" w:hAnsi="宋体" w:eastAsia="宋体" w:cs="Times New Roman"/>
          <w:color w:val="auto"/>
          <w:szCs w:val="21"/>
          <w:highlight w:val="none"/>
          <w:lang w:val="zh-CN"/>
        </w:rPr>
        <w:t>）；</w:t>
      </w:r>
    </w:p>
    <w:p w14:paraId="25673FEC">
      <w:pPr>
        <w:tabs>
          <w:tab w:val="left" w:pos="1276"/>
        </w:tabs>
        <w:kinsoku/>
        <w:overflowPunct/>
        <w:bidi w:val="0"/>
        <w:spacing w:line="360" w:lineRule="auto"/>
        <w:ind w:left="283" w:hanging="283" w:hangingChars="135"/>
        <w:outlineLvl w:val="9"/>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4）资格业绩【</w:t>
      </w:r>
      <w:r>
        <w:rPr>
          <w:rFonts w:hint="eastAsia" w:ascii="宋体" w:hAnsi="宋体" w:eastAsia="宋体" w:cs="Times New Roman"/>
          <w:color w:val="auto"/>
          <w:szCs w:val="21"/>
          <w:highlight w:val="none"/>
          <w:lang w:val="en-US" w:eastAsia="zh-CN"/>
        </w:rPr>
        <w:t>标段一：</w:t>
      </w:r>
      <w:r>
        <w:rPr>
          <w:rFonts w:hint="eastAsia" w:ascii="宋体" w:hAnsi="宋体" w:eastAsia="宋体" w:cs="Times New Roman"/>
          <w:color w:val="auto"/>
          <w:szCs w:val="21"/>
          <w:highlight w:val="none"/>
          <w:lang w:val="zh-CN"/>
        </w:rPr>
        <w:t>投标人提供一份2021年1月1日以来服务或货物类采购代理业绩；</w:t>
      </w:r>
      <w:r>
        <w:rPr>
          <w:rFonts w:hint="eastAsia" w:ascii="宋体" w:hAnsi="宋体" w:eastAsia="宋体" w:cs="Times New Roman"/>
          <w:color w:val="auto"/>
          <w:szCs w:val="21"/>
          <w:highlight w:val="none"/>
          <w:lang w:val="en-US" w:eastAsia="zh-CN"/>
        </w:rPr>
        <w:t>标段二：投标人2021年1月1日以来具有一份建设工程招标代理业绩</w:t>
      </w:r>
      <w:r>
        <w:rPr>
          <w:rFonts w:hint="eastAsia" w:ascii="宋体" w:hAnsi="宋体" w:eastAsia="宋体" w:cs="Times New Roman"/>
          <w:color w:val="auto"/>
          <w:szCs w:val="21"/>
          <w:highlight w:val="none"/>
          <w:lang w:val="zh-CN"/>
        </w:rPr>
        <w:t>】；</w:t>
      </w:r>
    </w:p>
    <w:p w14:paraId="7D933BD3">
      <w:pPr>
        <w:kinsoku/>
        <w:overflowPunct/>
        <w:autoSpaceDE w:val="0"/>
        <w:autoSpaceDN w:val="0"/>
        <w:bidi w:val="0"/>
        <w:adjustRightInd w:val="0"/>
        <w:spacing w:line="360" w:lineRule="auto"/>
        <w:ind w:left="913" w:hanging="913" w:hangingChars="435"/>
        <w:outlineLvl w:val="9"/>
        <w:rPr>
          <w:rFonts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5）最近3年投标人牵涉的其他（失信和违法）处罚说明格式</w:t>
      </w:r>
      <w:r>
        <w:rPr>
          <w:rFonts w:hint="eastAsia" w:ascii="宋体" w:hAnsi="宋体" w:eastAsia="宋体" w:cs="宋体"/>
          <w:color w:val="auto"/>
          <w:szCs w:val="21"/>
          <w:highlight w:val="none"/>
          <w:lang w:val="zh-CN"/>
        </w:rPr>
        <w:t>；</w:t>
      </w:r>
    </w:p>
    <w:p w14:paraId="14B6309D">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F42AE4B">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26B9625">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）合同条款偏离表；</w:t>
      </w:r>
    </w:p>
    <w:p w14:paraId="1B88D23D">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75EAA603">
      <w:pPr>
        <w:tabs>
          <w:tab w:val="left" w:pos="567"/>
        </w:tabs>
        <w:kinsoku/>
        <w:overflowPunct/>
        <w:autoSpaceDE w:val="0"/>
        <w:autoSpaceDN w:val="0"/>
        <w:bidi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）中标服务费承诺书格式。</w:t>
      </w:r>
    </w:p>
    <w:p w14:paraId="234C2E0D">
      <w:pPr>
        <w:tabs>
          <w:tab w:val="left" w:pos="567"/>
        </w:tabs>
        <w:kinsoku/>
        <w:overflowPunct/>
        <w:autoSpaceDE w:val="0"/>
        <w:autoSpaceDN w:val="0"/>
        <w:bidi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1E39987D">
      <w:pPr>
        <w:kinsoku/>
        <w:overflowPunct/>
        <w:autoSpaceDE w:val="0"/>
        <w:autoSpaceDN w:val="0"/>
        <w:bidi w:val="0"/>
        <w:adjustRightInd w:val="0"/>
        <w:spacing w:line="360" w:lineRule="auto"/>
        <w:ind w:left="422" w:leftChars="-100" w:hanging="632" w:hangingChars="300"/>
        <w:outlineLvl w:val="9"/>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技术标：</w:t>
      </w:r>
    </w:p>
    <w:p w14:paraId="4F02FD30">
      <w:pPr>
        <w:kinsoku/>
        <w:overflowPunct/>
        <w:autoSpaceDE w:val="0"/>
        <w:autoSpaceDN w:val="0"/>
        <w:bidi w:val="0"/>
        <w:adjustRightInd w:val="0"/>
        <w:spacing w:line="360" w:lineRule="auto"/>
        <w:ind w:right="-23" w:rightChars="-11"/>
        <w:jc w:val="left"/>
        <w:outlineLvl w:val="9"/>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5A8B915">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56728EE6">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投入本项目服务人员情况</w:t>
      </w:r>
      <w:r>
        <w:rPr>
          <w:rFonts w:hint="eastAsia" w:ascii="宋体" w:hAnsi="宋体" w:eastAsia="宋体" w:cs="宋体"/>
          <w:color w:val="auto"/>
          <w:kern w:val="0"/>
          <w:szCs w:val="21"/>
          <w:highlight w:val="none"/>
        </w:rPr>
        <w:t>；</w:t>
      </w:r>
    </w:p>
    <w:p w14:paraId="0BD9C782">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对用户需求的理解、重难点及应对措施</w:t>
      </w:r>
      <w:r>
        <w:rPr>
          <w:rFonts w:hint="eastAsia" w:ascii="宋体" w:hAnsi="宋体" w:eastAsia="宋体" w:cs="宋体"/>
          <w:color w:val="auto"/>
          <w:kern w:val="0"/>
          <w:szCs w:val="21"/>
          <w:highlight w:val="none"/>
        </w:rPr>
        <w:t>；</w:t>
      </w:r>
    </w:p>
    <w:p w14:paraId="1E2758D2">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服务方案</w:t>
      </w:r>
      <w:r>
        <w:rPr>
          <w:rFonts w:hint="eastAsia" w:ascii="宋体" w:hAnsi="宋体" w:eastAsia="宋体" w:cs="宋体"/>
          <w:color w:val="auto"/>
          <w:kern w:val="0"/>
          <w:szCs w:val="21"/>
          <w:highlight w:val="none"/>
        </w:rPr>
        <w:t>；</w:t>
      </w:r>
    </w:p>
    <w:p w14:paraId="7276F560">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（5）应急预案及处理能力；</w:t>
      </w:r>
    </w:p>
    <w:p w14:paraId="142BC320">
      <w:pPr>
        <w:kinsoku/>
        <w:overflowPunct/>
        <w:bidi w:val="0"/>
        <w:spacing w:line="360" w:lineRule="auto"/>
        <w:ind w:left="105" w:leftChars="-100" w:hanging="315" w:hangingChars="15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034C0E9F">
      <w:pPr>
        <w:kinsoku/>
        <w:overflowPunct/>
        <w:autoSpaceDE w:val="0"/>
        <w:autoSpaceDN w:val="0"/>
        <w:bidi w:val="0"/>
        <w:adjustRightInd w:val="0"/>
        <w:spacing w:line="360" w:lineRule="auto"/>
        <w:ind w:left="422" w:leftChars="-100" w:hanging="632" w:hangingChars="300"/>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p>
    <w:p w14:paraId="13332608">
      <w:pPr>
        <w:kinsoku/>
        <w:overflowPunct/>
        <w:autoSpaceDE w:val="0"/>
        <w:autoSpaceDN w:val="0"/>
        <w:bidi w:val="0"/>
        <w:adjustRightInd w:val="0"/>
        <w:spacing w:line="360" w:lineRule="auto"/>
        <w:ind w:left="420" w:left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459BFDFF">
      <w:pPr>
        <w:kinsoku/>
        <w:overflowPunct/>
        <w:autoSpaceDE w:val="0"/>
        <w:autoSpaceDN w:val="0"/>
        <w:bidi w:val="0"/>
        <w:adjustRightInd w:val="0"/>
        <w:spacing w:line="360" w:lineRule="auto"/>
        <w:ind w:left="317" w:leftChars="-100" w:hanging="527" w:hangingChars="250"/>
        <w:outlineLvl w:val="9"/>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9.2  </w:t>
      </w:r>
      <w:r>
        <w:rPr>
          <w:rFonts w:hint="eastAsia" w:ascii="宋体" w:hAnsi="宋体" w:eastAsia="宋体" w:cs="宋体"/>
          <w:b/>
          <w:bCs/>
          <w:color w:val="auto"/>
          <w:szCs w:val="21"/>
          <w:highlight w:val="none"/>
        </w:rPr>
        <w:t>投标文件格式</w:t>
      </w:r>
      <w:r>
        <w:rPr>
          <w:rFonts w:ascii="宋体" w:hAnsi="宋体" w:eastAsia="宋体" w:cs="宋体"/>
          <w:b/>
          <w:bCs/>
          <w:color w:val="auto"/>
          <w:szCs w:val="21"/>
          <w:highlight w:val="none"/>
        </w:rPr>
        <w:t xml:space="preserve"> </w:t>
      </w:r>
    </w:p>
    <w:p w14:paraId="21529C57">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77677091">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5D0C332C">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7088B5EA">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w:t>
      </w:r>
      <w:r>
        <w:rPr>
          <w:rFonts w:hint="eastAsia" w:ascii="宋体" w:hAnsi="宋体" w:eastAsia="宋体" w:cs="宋体"/>
          <w:color w:val="auto"/>
          <w:szCs w:val="21"/>
          <w:highlight w:val="none"/>
          <w:lang w:val="en-US" w:eastAsia="zh-CN"/>
        </w:rPr>
        <w:t>原</w:t>
      </w:r>
      <w:r>
        <w:rPr>
          <w:rFonts w:hint="eastAsia" w:ascii="宋体" w:hAnsi="宋体" w:eastAsia="宋体" w:cs="宋体"/>
          <w:color w:val="auto"/>
          <w:szCs w:val="21"/>
          <w:highlight w:val="none"/>
          <w:lang w:val="zh-CN"/>
        </w:rPr>
        <w:t>件、照片可为该资料扫描件。</w:t>
      </w:r>
    </w:p>
    <w:p w14:paraId="60F1202A">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D9CDBE8">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p>
    <w:p w14:paraId="6BF332A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31" w:name="_Toc20547"/>
      <w:bookmarkStart w:id="132" w:name="_Toc13214"/>
      <w:bookmarkStart w:id="133" w:name="_Toc11170"/>
      <w:bookmarkStart w:id="134" w:name="_Toc8675_WPSOffice_Level3"/>
      <w:bookmarkStart w:id="135" w:name="_Toc195714228"/>
      <w:bookmarkStart w:id="136" w:name="_Toc450662860"/>
      <w:bookmarkStart w:id="137" w:name="_Toc142508324"/>
      <w:bookmarkStart w:id="138"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1"/>
      <w:bookmarkEnd w:id="132"/>
      <w:bookmarkEnd w:id="133"/>
      <w:bookmarkEnd w:id="134"/>
      <w:bookmarkEnd w:id="135"/>
      <w:bookmarkEnd w:id="136"/>
      <w:bookmarkEnd w:id="137"/>
      <w:bookmarkEnd w:id="138"/>
    </w:p>
    <w:p w14:paraId="7FDA5D91">
      <w:pPr>
        <w:kinsoku/>
        <w:overflowPunct/>
        <w:autoSpaceDE w:val="0"/>
        <w:autoSpaceDN w:val="0"/>
        <w:bidi w:val="0"/>
        <w:adjustRightInd w:val="0"/>
        <w:spacing w:line="360" w:lineRule="auto"/>
        <w:ind w:left="265" w:leftChars="119" w:hanging="15"/>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EBA48A6">
      <w:pPr>
        <w:kinsoku/>
        <w:overflowPunct/>
        <w:autoSpaceDE w:val="0"/>
        <w:autoSpaceDN w:val="0"/>
        <w:bidi w:val="0"/>
        <w:adjustRightInd w:val="0"/>
        <w:spacing w:line="360" w:lineRule="auto"/>
        <w:ind w:left="265" w:leftChars="119" w:hanging="15"/>
        <w:outlineLvl w:val="9"/>
        <w:rPr>
          <w:rFonts w:ascii="宋体" w:hAnsi="宋体" w:eastAsia="宋体" w:cs="宋体"/>
          <w:color w:val="auto"/>
          <w:szCs w:val="21"/>
          <w:highlight w:val="none"/>
          <w:lang w:val="zh-CN"/>
        </w:rPr>
      </w:pPr>
    </w:p>
    <w:p w14:paraId="61CCF5E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hint="eastAsia" w:ascii="宋体" w:hAnsi="宋体" w:eastAsia="宋体" w:cs="宋体"/>
          <w:color w:val="auto"/>
          <w:szCs w:val="21"/>
          <w:highlight w:val="none"/>
          <w:lang w:val="en-US" w:eastAsia="zh-CN"/>
        </w:rPr>
      </w:pPr>
      <w:bookmarkStart w:id="139" w:name="_Toc195714229"/>
      <w:bookmarkStart w:id="140" w:name="_Toc15427"/>
      <w:bookmarkStart w:id="141" w:name="_Toc4385_WPSOffice_Level3"/>
      <w:bookmarkStart w:id="142" w:name="_Toc450662861"/>
      <w:bookmarkStart w:id="143" w:name="_Toc142508325"/>
      <w:bookmarkStart w:id="144" w:name="_Toc24311"/>
      <w:bookmarkStart w:id="145" w:name="_Toc4113"/>
      <w:bookmarkStart w:id="146"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bookmarkEnd w:id="139"/>
      <w:bookmarkEnd w:id="140"/>
      <w:bookmarkEnd w:id="141"/>
      <w:bookmarkEnd w:id="142"/>
      <w:bookmarkEnd w:id="143"/>
      <w:bookmarkEnd w:id="144"/>
      <w:bookmarkEnd w:id="145"/>
      <w:bookmarkEnd w:id="146"/>
      <w:r>
        <w:rPr>
          <w:rFonts w:hint="eastAsia" w:ascii="宋体" w:hAnsi="宋体" w:eastAsia="宋体" w:cs="宋体"/>
          <w:color w:val="auto"/>
          <w:szCs w:val="21"/>
          <w:highlight w:val="none"/>
          <w:lang w:val="en-US" w:eastAsia="zh-CN"/>
        </w:rPr>
        <w:t>投标报价</w:t>
      </w:r>
    </w:p>
    <w:p w14:paraId="7D40D812">
      <w:pPr>
        <w:tabs>
          <w:tab w:val="left" w:pos="567"/>
        </w:tabs>
        <w:autoSpaceDE w:val="0"/>
        <w:autoSpaceDN w:val="0"/>
        <w:adjustRightInd w:val="0"/>
        <w:spacing w:line="360" w:lineRule="auto"/>
        <w:ind w:left="357" w:leftChars="-100" w:hanging="567"/>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en-US" w:eastAsia="zh-CN"/>
        </w:rPr>
        <w:t xml:space="preserve">11.1 </w:t>
      </w:r>
      <w:r>
        <w:rPr>
          <w:rFonts w:hint="eastAsia" w:ascii="宋体" w:hAnsi="宋体" w:eastAsia="宋体" w:cs="宋体"/>
          <w:b/>
          <w:color w:val="000000"/>
          <w:szCs w:val="21"/>
          <w:highlight w:val="none"/>
          <w:lang w:val="zh-CN"/>
        </w:rPr>
        <w:t>投标人无需就本项目进行具体报价，仅须要按照投标文件规定格式要求进行填报投标报价表。</w:t>
      </w:r>
    </w:p>
    <w:p w14:paraId="3080B320">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b/>
          <w:color w:val="000000"/>
          <w:szCs w:val="21"/>
          <w:highlight w:val="none"/>
          <w:lang w:val="en-US" w:eastAsia="zh-CN"/>
        </w:rPr>
        <w:t xml:space="preserve">11.2 </w:t>
      </w:r>
      <w:r>
        <w:rPr>
          <w:rFonts w:hint="eastAsia" w:ascii="宋体" w:hAnsi="宋体" w:eastAsia="宋体" w:cs="Times New Roman"/>
          <w:b/>
          <w:szCs w:val="21"/>
          <w:highlight w:val="none"/>
          <w:u w:val="single"/>
          <w:lang w:val="zh-CN"/>
        </w:rPr>
        <w:t>本项目投标报价为含税价，即为《中华人民共和国增值税暂行条例》（国务院令第6</w:t>
      </w:r>
      <w:r>
        <w:rPr>
          <w:rFonts w:ascii="宋体" w:hAnsi="宋体" w:eastAsia="宋体" w:cs="Times New Roman"/>
          <w:b/>
          <w:szCs w:val="21"/>
          <w:highlight w:val="none"/>
          <w:u w:val="single"/>
          <w:lang w:val="zh-CN"/>
        </w:rPr>
        <w:t>91</w:t>
      </w:r>
      <w:r>
        <w:rPr>
          <w:rFonts w:hint="eastAsia" w:ascii="宋体" w:hAnsi="宋体" w:eastAsia="宋体" w:cs="Times New Roman"/>
          <w:b/>
          <w:szCs w:val="21"/>
          <w:highlight w:val="none"/>
          <w:u w:val="single"/>
          <w:lang w:val="zh-CN"/>
        </w:rPr>
        <w:t>号修订版）规定的销售额及销项税之和</w:t>
      </w:r>
      <w:r>
        <w:rPr>
          <w:rFonts w:hint="eastAsia" w:ascii="宋体" w:hAnsi="宋体" w:eastAsia="宋体" w:cs="Times New Roman"/>
          <w:szCs w:val="21"/>
          <w:highlight w:val="none"/>
          <w:lang w:val="zh-CN"/>
        </w:rPr>
        <w:t>。本招标文件所称的含税价和含税合同价是指含本采购项目投标人的销项税额，包含了投标人完成合同义务（含投标人代缴代扣、分包及委外服务、安装、采购货物等所产生的价税）的其他全部费用。</w:t>
      </w:r>
      <w:r>
        <w:rPr>
          <w:rFonts w:hint="eastAsia" w:ascii="宋体" w:hAnsi="宋体" w:eastAsia="宋体" w:cs="宋体"/>
          <w:kern w:val="0"/>
          <w:szCs w:val="21"/>
          <w:highlight w:val="none"/>
        </w:rPr>
        <w:t xml:space="preserve">本采购项目投标报价已含投标人履行本招标内容全部义务的一切费用，包括但不限于： </w:t>
      </w:r>
    </w:p>
    <w:p w14:paraId="5548AAE9">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（1）为开展本协议服务范围内的</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lang w:val="zh-CN"/>
        </w:rPr>
        <w:t>（采购）代理服务所需的资料查阅与调查费、现场勘查费、设备使用费、人工费、人员社会保险、人身意外保险、第三方责任险、驻场服务所需的差旅费、食宿费、交通费、通讯费、配合费等费用；</w:t>
      </w:r>
    </w:p>
    <w:p w14:paraId="7CEECEEA">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（2）为开展本协议服务范围内的</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lang w:val="zh-CN"/>
        </w:rPr>
        <w:t>（采购）代理服务所需发生（如有时）的公证费、会务费、专家评审费（</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lang w:val="zh-CN"/>
        </w:rPr>
        <w:t>采购</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val="zh-CN"/>
        </w:rPr>
        <w:t>人代表及工作人员除外）、公告费、评审期间产生的差旅和食宿费、保险、档案整理（含档案数字化）及保管费、合同印刷及装订费等相关费用；</w:t>
      </w:r>
    </w:p>
    <w:p w14:paraId="24D1E20F">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（3）合理利润、税费等；</w:t>
      </w:r>
    </w:p>
    <w:p w14:paraId="50BD3583">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（4）法律法规、行业公认、完成合同实施过程中由投标人承担的其他直接及间接费用。</w:t>
      </w:r>
    </w:p>
    <w:p w14:paraId="31502DA3">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b w:val="0"/>
          <w:bCs w:val="0"/>
          <w:kern w:val="0"/>
          <w:szCs w:val="21"/>
          <w:highlight w:val="none"/>
        </w:rPr>
        <w:t>11.3</w:t>
      </w:r>
      <w:r>
        <w:rPr>
          <w:rFonts w:ascii="宋体" w:hAnsi="宋体" w:eastAsia="宋体" w:cs="宋体"/>
          <w:kern w:val="0"/>
          <w:szCs w:val="21"/>
          <w:highlight w:val="none"/>
        </w:rPr>
        <w:t xml:space="preserve"> </w:t>
      </w:r>
      <w:r>
        <w:rPr>
          <w:rFonts w:hint="eastAsia" w:ascii="宋体" w:hAnsi="宋体" w:eastAsia="宋体" w:cs="Times New Roman"/>
          <w:szCs w:val="21"/>
          <w:highlight w:val="none"/>
          <w:lang w:val="zh-CN"/>
        </w:rPr>
        <w:t>投标人根据</w:t>
      </w:r>
      <w:r>
        <w:rPr>
          <w:highlight w:val="none"/>
        </w:rPr>
        <w:fldChar w:fldCharType="begin"/>
      </w:r>
      <w:r>
        <w:rPr>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highlight w:val="none"/>
        </w:rPr>
        <w:fldChar w:fldCharType="separate"/>
      </w:r>
      <w:r>
        <w:rPr>
          <w:rFonts w:hint="eastAsia" w:ascii="宋体" w:hAnsi="宋体" w:eastAsia="宋体" w:cs="Times New Roman"/>
          <w:szCs w:val="21"/>
          <w:highlight w:val="none"/>
          <w:lang w:val="zh-CN"/>
        </w:rPr>
        <w:t>第</w:t>
      </w:r>
      <w:r>
        <w:rPr>
          <w:rFonts w:ascii="宋体" w:hAnsi="宋体" w:eastAsia="宋体" w:cs="Times New Roman"/>
          <w:szCs w:val="21"/>
          <w:highlight w:val="none"/>
          <w:lang w:val="zh-CN"/>
        </w:rPr>
        <w:t>11.</w:t>
      </w:r>
      <w:r>
        <w:rPr>
          <w:rFonts w:hint="eastAsia" w:ascii="宋体" w:hAnsi="宋体" w:eastAsia="宋体" w:cs="Times New Roman"/>
          <w:szCs w:val="21"/>
          <w:highlight w:val="none"/>
        </w:rPr>
        <w:t>2</w:t>
      </w:r>
      <w:r>
        <w:rPr>
          <w:rFonts w:hint="eastAsia" w:ascii="宋体" w:hAnsi="宋体" w:eastAsia="宋体" w:cs="Times New Roman"/>
          <w:szCs w:val="21"/>
          <w:highlight w:val="none"/>
          <w:lang w:val="zh-CN"/>
        </w:rPr>
        <w:t>款</w:t>
      </w:r>
      <w:r>
        <w:rPr>
          <w:rFonts w:hint="eastAsia" w:ascii="宋体" w:hAnsi="宋体" w:eastAsia="宋体" w:cs="Times New Roman"/>
          <w:szCs w:val="21"/>
          <w:highlight w:val="none"/>
          <w:lang w:val="zh-CN"/>
        </w:rPr>
        <w:fldChar w:fldCharType="end"/>
      </w:r>
      <w:r>
        <w:rPr>
          <w:rFonts w:hint="eastAsia" w:ascii="宋体" w:hAnsi="宋体" w:eastAsia="宋体" w:cs="Times New Roman"/>
          <w:szCs w:val="21"/>
          <w:highlight w:val="none"/>
          <w:lang w:val="zh-CN"/>
        </w:rPr>
        <w:t>所报的价格分项仅供评标委员会评审时使用；在任何情况下不限制投标人以不同的条件中标的权利。</w:t>
      </w:r>
    </w:p>
    <w:p w14:paraId="2FBC350E">
      <w:pPr>
        <w:autoSpaceDE w:val="0"/>
        <w:autoSpaceDN w:val="0"/>
        <w:adjustRightInd w:val="0"/>
        <w:spacing w:line="360" w:lineRule="auto"/>
        <w:ind w:left="268" w:leftChars="-100" w:hanging="478" w:hangingChars="228"/>
        <w:jc w:val="left"/>
        <w:rPr>
          <w:rFonts w:ascii="宋体" w:hAnsi="宋体" w:eastAsia="宋体" w:cs="宋体"/>
          <w:kern w:val="0"/>
          <w:szCs w:val="21"/>
          <w:highlight w:val="none"/>
        </w:rPr>
      </w:pPr>
      <w:r>
        <w:rPr>
          <w:rFonts w:hint="eastAsia" w:ascii="宋体" w:hAnsi="宋体" w:eastAsia="宋体" w:cs="宋体"/>
          <w:kern w:val="0"/>
          <w:szCs w:val="21"/>
          <w:highlight w:val="none"/>
        </w:rPr>
        <w:t>11.4 在合同期间，投标报价不随国家政策或法规、标准、市场因素及采购数量的变化而进行调整</w:t>
      </w:r>
      <w:r>
        <w:rPr>
          <w:rFonts w:hint="eastAsia" w:ascii="宋体" w:hAnsi="宋体" w:eastAsia="宋体" w:cs="Times New Roman"/>
          <w:kern w:val="0"/>
          <w:szCs w:val="21"/>
          <w:highlight w:val="none"/>
          <w:lang w:val="zh-CN"/>
        </w:rPr>
        <w:t>。</w:t>
      </w:r>
      <w:r>
        <w:rPr>
          <w:rFonts w:hint="eastAsia" w:ascii="宋体" w:hAnsi="宋体" w:eastAsia="宋体" w:cs="宋体"/>
          <w:kern w:val="0"/>
          <w:szCs w:val="21"/>
          <w:highlight w:val="none"/>
        </w:rPr>
        <w:t xml:space="preserve"> </w:t>
      </w:r>
    </w:p>
    <w:p w14:paraId="4C6AF578">
      <w:pPr>
        <w:tabs>
          <w:tab w:val="left" w:pos="567"/>
        </w:tabs>
        <w:autoSpaceDE w:val="0"/>
        <w:autoSpaceDN w:val="0"/>
        <w:adjustRightInd w:val="0"/>
        <w:spacing w:line="360" w:lineRule="auto"/>
        <w:ind w:left="357" w:leftChars="-100" w:hanging="567"/>
        <w:rPr>
          <w:rFonts w:hint="eastAsia" w:ascii="宋体" w:hAnsi="宋体" w:eastAsia="宋体" w:cs="宋体"/>
          <w:b/>
          <w:color w:val="000000"/>
          <w:szCs w:val="21"/>
          <w:highlight w:val="none"/>
          <w:lang w:val="en-US" w:eastAsia="zh-CN"/>
        </w:rPr>
      </w:pPr>
      <w:r>
        <w:rPr>
          <w:rFonts w:hint="eastAsia" w:ascii="宋体" w:hAnsi="宋体" w:eastAsia="宋体" w:cs="宋体"/>
          <w:szCs w:val="21"/>
          <w:highlight w:val="none"/>
          <w:lang w:val="zh-CN"/>
        </w:rPr>
        <w:t xml:space="preserve">11.5 </w:t>
      </w:r>
      <w:r>
        <w:rPr>
          <w:rFonts w:hint="eastAsia" w:ascii="宋体" w:hAnsi="宋体" w:eastAsia="宋体" w:cs="Times New Roman"/>
          <w:b/>
          <w:bCs/>
          <w:szCs w:val="21"/>
          <w:highlight w:val="none"/>
          <w:lang w:val="zh-CN"/>
        </w:rPr>
        <w:t>合同项下，招标人需要的</w:t>
      </w:r>
      <w:r>
        <w:rPr>
          <w:rFonts w:hint="eastAsia" w:ascii="宋体" w:hAnsi="宋体" w:eastAsia="宋体" w:cs="Times New Roman"/>
          <w:b/>
          <w:bCs/>
          <w:szCs w:val="21"/>
          <w:highlight w:val="none"/>
        </w:rPr>
        <w:t>相关</w:t>
      </w:r>
      <w:r>
        <w:rPr>
          <w:rFonts w:hint="eastAsia" w:ascii="宋体" w:hAnsi="宋体" w:eastAsia="宋体" w:cs="Times New Roman"/>
          <w:b/>
          <w:bCs/>
          <w:szCs w:val="21"/>
          <w:highlight w:val="none"/>
          <w:lang w:val="zh-CN"/>
        </w:rPr>
        <w:t>服务所需的费用，投标人都应计入投标报价总价。</w:t>
      </w:r>
    </w:p>
    <w:p w14:paraId="6945A0D9">
      <w:pPr>
        <w:tabs>
          <w:tab w:val="left" w:pos="567"/>
        </w:tabs>
        <w:autoSpaceDE w:val="0"/>
        <w:autoSpaceDN w:val="0"/>
        <w:adjustRightInd w:val="0"/>
        <w:spacing w:line="360" w:lineRule="auto"/>
        <w:ind w:left="357" w:leftChars="-100" w:hanging="567"/>
        <w:rPr>
          <w:rFonts w:hint="default"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11.6 中标人应在开展代理服务前与招标人（或其下属企业）签订书面《采购代理合同》（即单项采购代理合同）或《招标代理合同》（即单项招标代理合同），</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以中标金额计算，依次按以下第（1）（2）款计算得出服务费基价，服务费基价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按第（3）款计算折扣得出代理服务费</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具体如下。</w:t>
      </w:r>
    </w:p>
    <w:p w14:paraId="4FC9BA18">
      <w:pPr>
        <w:tabs>
          <w:tab w:val="left" w:pos="567"/>
        </w:tabs>
        <w:autoSpaceDE w:val="0"/>
        <w:autoSpaceDN w:val="0"/>
        <w:adjustRightInd w:val="0"/>
        <w:spacing w:line="360" w:lineRule="auto"/>
        <w:ind w:left="358" w:leftChars="0" w:hanging="358" w:hangingChars="17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lang w:val="zh-CN"/>
        </w:rPr>
        <w:t>参照</w:t>
      </w:r>
      <w:r>
        <w:rPr>
          <w:rFonts w:hint="eastAsia" w:ascii="宋体" w:hAnsi="宋体" w:eastAsia="宋体" w:cs="宋体"/>
          <w:b/>
          <w:color w:val="000000"/>
          <w:szCs w:val="21"/>
          <w:highlight w:val="none"/>
          <w:lang w:val="en-US" w:eastAsia="zh-CN"/>
        </w:rPr>
        <w:t>以下标准按差额定率累进法计算：</w:t>
      </w:r>
    </w:p>
    <w:tbl>
      <w:tblPr>
        <w:tblStyle w:val="44"/>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25D7B0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FFEEBB"/>
            <w:tcMar>
              <w:top w:w="0" w:type="dxa"/>
              <w:left w:w="0" w:type="dxa"/>
              <w:bottom w:w="0" w:type="dxa"/>
              <w:right w:w="0" w:type="dxa"/>
            </w:tcMar>
            <w:vAlign w:val="center"/>
          </w:tcPr>
          <w:p w14:paraId="49384E65">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58AC0AF4">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服务类型</w:t>
            </w:r>
          </w:p>
        </w:tc>
      </w:tr>
      <w:tr w14:paraId="5E082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5036A0E1">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680715E7">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费率</w:t>
            </w:r>
          </w:p>
        </w:tc>
      </w:tr>
      <w:tr w14:paraId="1D174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5323EA04">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FFEEBB"/>
            <w:tcMar>
              <w:top w:w="0" w:type="dxa"/>
              <w:left w:w="0" w:type="dxa"/>
              <w:bottom w:w="0" w:type="dxa"/>
              <w:right w:w="0" w:type="dxa"/>
            </w:tcMar>
            <w:vAlign w:val="center"/>
          </w:tcPr>
          <w:p w14:paraId="639E141E">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769DE5A8">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7D45CE8D">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工程招标</w:t>
            </w:r>
          </w:p>
        </w:tc>
      </w:tr>
      <w:tr w14:paraId="5701F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DFDFA2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2926474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7CB7677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1DF6A55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1ABB7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95AF0A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21C0E96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253C68C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4F21A97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7F598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B8E26B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185EDE4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15A6C51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5E36994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5251D7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1D9660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6691D19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2C36DF2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3902E30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1C10A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F74636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1E56D65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5859BA9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16FF556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09E11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7BB377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3069C63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41F2EC9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2575B23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384442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F5DF71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2FFB941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6AD97D9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5C66A34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72BAEA6D">
      <w:pPr>
        <w:tabs>
          <w:tab w:val="left" w:pos="567"/>
        </w:tabs>
        <w:autoSpaceDE w:val="0"/>
        <w:autoSpaceDN w:val="0"/>
        <w:adjustRightInd w:val="0"/>
        <w:spacing w:line="360" w:lineRule="auto"/>
        <w:ind w:left="0" w:leftChars="0" w:firstLine="0"/>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en-US" w:eastAsia="zh-CN"/>
        </w:rPr>
        <w:t>（2）</w:t>
      </w:r>
      <w:r>
        <w:rPr>
          <w:rFonts w:hint="default" w:ascii="宋体" w:hAnsi="宋体" w:eastAsia="宋体" w:cs="宋体"/>
          <w:b/>
          <w:color w:val="000000"/>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30C6D1B5">
      <w:pPr>
        <w:tabs>
          <w:tab w:val="left" w:pos="567"/>
        </w:tabs>
        <w:autoSpaceDE w:val="0"/>
        <w:autoSpaceDN w:val="0"/>
        <w:adjustRightInd w:val="0"/>
        <w:spacing w:line="360" w:lineRule="auto"/>
        <w:ind w:left="0" w:leftChars="0" w:firstLine="0"/>
        <w:rPr>
          <w:rFonts w:hint="default"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（3）服务费基价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得出代理服务费。</w:t>
      </w:r>
      <w:r>
        <w:rPr>
          <w:rFonts w:hint="eastAsia" w:ascii="宋体" w:hAnsi="宋体" w:eastAsia="宋体" w:cs="宋体"/>
          <w:b/>
          <w:color w:val="000000"/>
          <w:szCs w:val="21"/>
          <w:highlight w:val="none"/>
          <w:lang w:val="zh-CN" w:eastAsia="zh-CN"/>
        </w:rPr>
        <w:t>具体为：</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10万元（不含）以下的，按80%执行；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10万元（含）—20万元（不含）的，按70%执行；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20万元（含）—30万元（不含）的，按60%执行；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30万元（含）以上的，按50%计取，且单个项目最高代理费为30万元封顶</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同时，</w:t>
      </w:r>
      <w:r>
        <w:rPr>
          <w:rFonts w:hint="eastAsia" w:ascii="宋体" w:hAnsi="宋体" w:eastAsia="宋体" w:cs="宋体"/>
          <w:b/>
          <w:color w:val="000000"/>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
          <w:color w:val="000000"/>
          <w:szCs w:val="21"/>
          <w:highlight w:val="none"/>
          <w:lang w:val="en-US" w:eastAsia="zh-CN"/>
        </w:rPr>
        <w:t>招标人</w:t>
      </w:r>
      <w:r>
        <w:rPr>
          <w:rFonts w:hint="eastAsia" w:ascii="宋体" w:hAnsi="宋体" w:eastAsia="宋体" w:cs="宋体"/>
          <w:b/>
          <w:color w:val="000000"/>
          <w:sz w:val="21"/>
          <w:szCs w:val="21"/>
          <w:highlight w:val="none"/>
          <w:lang w:val="en-US" w:eastAsia="zh-CN"/>
        </w:rPr>
        <w:t>或其</w:t>
      </w:r>
      <w:r>
        <w:rPr>
          <w:rFonts w:hint="eastAsia" w:ascii="宋体" w:hAnsi="宋体" w:eastAsia="宋体" w:cs="宋体"/>
          <w:b/>
          <w:color w:val="000000"/>
          <w:sz w:val="21"/>
          <w:szCs w:val="21"/>
          <w:highlight w:val="none"/>
        </w:rPr>
        <w:t>下属企业</w:t>
      </w:r>
      <w:r>
        <w:rPr>
          <w:rFonts w:hint="eastAsia" w:ascii="宋体" w:hAnsi="宋体" w:eastAsia="宋体" w:cs="宋体"/>
          <w:b/>
          <w:color w:val="000000"/>
          <w:szCs w:val="21"/>
          <w:highlight w:val="none"/>
          <w:lang w:val="zh-CN" w:eastAsia="zh-CN"/>
        </w:rPr>
        <w:t>与</w:t>
      </w:r>
      <w:r>
        <w:rPr>
          <w:rFonts w:hint="eastAsia" w:ascii="宋体" w:hAnsi="宋体" w:eastAsia="宋体" w:cs="宋体"/>
          <w:b/>
          <w:color w:val="000000"/>
          <w:szCs w:val="21"/>
          <w:highlight w:val="none"/>
          <w:lang w:val="en-US" w:eastAsia="zh-CN"/>
        </w:rPr>
        <w:t>代理机构</w:t>
      </w:r>
      <w:r>
        <w:rPr>
          <w:rFonts w:hint="eastAsia" w:ascii="宋体" w:hAnsi="宋体" w:eastAsia="宋体" w:cs="宋体"/>
          <w:b/>
          <w:color w:val="000000"/>
          <w:szCs w:val="21"/>
          <w:highlight w:val="none"/>
          <w:lang w:val="zh-CN" w:eastAsia="zh-CN"/>
        </w:rPr>
        <w:t>另行商定代理费用。</w:t>
      </w:r>
    </w:p>
    <w:p w14:paraId="3026CD09">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rPr>
      </w:pPr>
    </w:p>
    <w:p w14:paraId="548315DB">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b/>
          <w:color w:val="auto"/>
          <w:szCs w:val="21"/>
          <w:highlight w:val="none"/>
          <w:lang w:val="zh-CN"/>
        </w:rPr>
      </w:pPr>
      <w:bookmarkStart w:id="147" w:name="_Toc32167"/>
      <w:bookmarkStart w:id="148" w:name="_Toc486167676"/>
      <w:bookmarkStart w:id="149" w:name="_Toc3469"/>
      <w:bookmarkStart w:id="150" w:name="_Toc195714230"/>
      <w:bookmarkStart w:id="151" w:name="_Toc30042_WPSOffice_Level3"/>
      <w:bookmarkStart w:id="152" w:name="_Toc142508326"/>
      <w:bookmarkStart w:id="153" w:name="_Toc20312"/>
      <w:bookmarkStart w:id="154" w:name="_Toc45066286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7"/>
      <w:bookmarkEnd w:id="148"/>
      <w:bookmarkEnd w:id="149"/>
      <w:bookmarkEnd w:id="150"/>
      <w:bookmarkEnd w:id="151"/>
      <w:bookmarkEnd w:id="152"/>
      <w:bookmarkEnd w:id="153"/>
      <w:bookmarkEnd w:id="154"/>
    </w:p>
    <w:p w14:paraId="24BF6A91">
      <w:pPr>
        <w:kinsoku/>
        <w:overflowPunct/>
        <w:autoSpaceDE w:val="0"/>
        <w:autoSpaceDN w:val="0"/>
        <w:bidi w:val="0"/>
        <w:adjustRightInd w:val="0"/>
        <w:spacing w:line="360" w:lineRule="auto"/>
        <w:ind w:left="265" w:leftChars="119" w:hanging="15"/>
        <w:outlineLvl w:val="9"/>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投标报价表上的价格须以人民币报价，以其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4F25A78">
      <w:pPr>
        <w:kinsoku/>
        <w:overflowPunct/>
        <w:autoSpaceDE w:val="0"/>
        <w:autoSpaceDN w:val="0"/>
        <w:bidi w:val="0"/>
        <w:adjustRightInd w:val="0"/>
        <w:spacing w:line="360" w:lineRule="auto"/>
        <w:ind w:left="265" w:leftChars="119" w:hanging="15"/>
        <w:outlineLvl w:val="9"/>
        <w:rPr>
          <w:rFonts w:ascii="宋体" w:hAnsi="宋体" w:eastAsia="宋体" w:cs="宋体"/>
          <w:color w:val="auto"/>
          <w:szCs w:val="21"/>
          <w:highlight w:val="none"/>
        </w:rPr>
      </w:pPr>
    </w:p>
    <w:p w14:paraId="2969F03B">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55" w:name="_Toc3961"/>
      <w:bookmarkStart w:id="156" w:name="_Toc486167677"/>
      <w:bookmarkStart w:id="157" w:name="_Toc450662863"/>
      <w:bookmarkStart w:id="158" w:name="_Toc21138"/>
      <w:bookmarkStart w:id="159" w:name="_Toc142508327"/>
      <w:bookmarkStart w:id="160" w:name="_Toc195714231"/>
      <w:bookmarkStart w:id="161" w:name="_Toc20031"/>
      <w:bookmarkStart w:id="162"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5"/>
      <w:bookmarkEnd w:id="156"/>
      <w:bookmarkEnd w:id="157"/>
      <w:bookmarkEnd w:id="158"/>
      <w:bookmarkEnd w:id="159"/>
      <w:bookmarkEnd w:id="160"/>
      <w:bookmarkEnd w:id="161"/>
      <w:bookmarkEnd w:id="162"/>
    </w:p>
    <w:p w14:paraId="1F88A639">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888AA8B">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6CBC47B">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DC6245E">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1242A6A6">
      <w:pPr>
        <w:kinsoku/>
        <w:overflowPunct/>
        <w:autoSpaceDE w:val="0"/>
        <w:autoSpaceDN w:val="0"/>
        <w:bidi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2895764A">
      <w:pPr>
        <w:spacing w:line="360" w:lineRule="auto"/>
        <w:ind w:left="315" w:leftChars="-100" w:hanging="525" w:hangingChars="250"/>
        <w:rPr>
          <w:rFonts w:hint="eastAsia"/>
          <w:color w:val="auto"/>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5B39E80">
      <w:pPr>
        <w:kinsoku/>
        <w:overflowPunct/>
        <w:autoSpaceDE w:val="0"/>
        <w:autoSpaceDN w:val="0"/>
        <w:bidi w:val="0"/>
        <w:adjustRightInd w:val="0"/>
        <w:spacing w:line="360" w:lineRule="auto"/>
        <w:ind w:left="357" w:leftChars="-100" w:hanging="567" w:firstLineChars="0"/>
        <w:outlineLvl w:val="9"/>
        <w:rPr>
          <w:rFonts w:ascii="宋体" w:hAnsi="宋体" w:eastAsia="宋体" w:cs="宋体"/>
          <w:color w:val="auto"/>
          <w:szCs w:val="21"/>
          <w:highlight w:val="none"/>
        </w:rPr>
      </w:pPr>
    </w:p>
    <w:p w14:paraId="617DC5E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63" w:name="_Toc142508328"/>
      <w:bookmarkStart w:id="164" w:name="_Toc195714232"/>
      <w:bookmarkStart w:id="165" w:name="_Toc486167678"/>
      <w:bookmarkStart w:id="166" w:name="_Toc450662864"/>
      <w:bookmarkStart w:id="167" w:name="_Toc29754"/>
      <w:bookmarkStart w:id="168" w:name="_Toc19646"/>
      <w:bookmarkStart w:id="169" w:name="_Toc27771_WPSOffice_Level3"/>
      <w:bookmarkStart w:id="170" w:name="_Toc861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w:t>
      </w:r>
      <w:bookmarkEnd w:id="163"/>
      <w:bookmarkEnd w:id="164"/>
      <w:bookmarkEnd w:id="165"/>
      <w:bookmarkEnd w:id="166"/>
      <w:bookmarkEnd w:id="167"/>
      <w:bookmarkEnd w:id="168"/>
      <w:bookmarkEnd w:id="169"/>
      <w:bookmarkEnd w:id="170"/>
    </w:p>
    <w:p w14:paraId="60E39D5B">
      <w:pPr>
        <w:kinsoku/>
        <w:overflowPunct/>
        <w:bidi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20A2E5E2">
      <w:pPr>
        <w:kinsoku/>
        <w:overflowPunct/>
        <w:bidi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0008C83C">
      <w:pPr>
        <w:kinsoku/>
        <w:overflowPunct/>
        <w:autoSpaceDE w:val="0"/>
        <w:autoSpaceDN w:val="0"/>
        <w:bidi w:val="0"/>
        <w:adjustRightInd w:val="0"/>
        <w:spacing w:line="360" w:lineRule="auto"/>
        <w:ind w:left="317" w:leftChars="-100" w:hanging="527" w:hangingChars="251"/>
        <w:outlineLvl w:val="9"/>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30868589">
      <w:pPr>
        <w:kinsoku/>
        <w:overflowPunct/>
        <w:autoSpaceDE w:val="0"/>
        <w:autoSpaceDN w:val="0"/>
        <w:bidi w:val="0"/>
        <w:adjustRightInd w:val="0"/>
        <w:spacing w:line="360" w:lineRule="auto"/>
        <w:outlineLvl w:val="9"/>
        <w:rPr>
          <w:rFonts w:ascii="宋体" w:hAnsi="宋体" w:eastAsia="宋体" w:cs="Times New Roman"/>
          <w:color w:val="auto"/>
          <w:kern w:val="0"/>
          <w:sz w:val="24"/>
          <w:szCs w:val="24"/>
          <w:highlight w:val="none"/>
        </w:rPr>
      </w:pPr>
    </w:p>
    <w:p w14:paraId="22938DE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71" w:name="_Toc8644"/>
      <w:bookmarkStart w:id="172" w:name="_Toc5356_WPSOffice_Level3"/>
      <w:bookmarkStart w:id="173" w:name="_Toc486167679"/>
      <w:bookmarkStart w:id="174" w:name="_Toc15779"/>
      <w:bookmarkStart w:id="175" w:name="_Toc30555"/>
      <w:bookmarkStart w:id="176" w:name="_Toc195714233"/>
      <w:bookmarkStart w:id="177"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1"/>
      <w:bookmarkEnd w:id="172"/>
      <w:bookmarkEnd w:id="173"/>
      <w:bookmarkEnd w:id="174"/>
      <w:bookmarkEnd w:id="175"/>
      <w:bookmarkEnd w:id="176"/>
      <w:bookmarkEnd w:id="177"/>
    </w:p>
    <w:p w14:paraId="3AA3FA25">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44FF60B0">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48919764">
      <w:pPr>
        <w:kinsoku/>
        <w:overflowPunct/>
        <w:autoSpaceDE w:val="0"/>
        <w:autoSpaceDN w:val="0"/>
        <w:bidi w:val="0"/>
        <w:adjustRightInd w:val="0"/>
        <w:spacing w:line="360" w:lineRule="auto"/>
        <w:ind w:left="225" w:leftChars="107" w:firstLine="489" w:firstLineChars="233"/>
        <w:jc w:val="left"/>
        <w:outlineLvl w:val="9"/>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投标截止时间前，已在公共资源交易企业库建档的投标人应将保证金关联至本</w:t>
      </w:r>
      <w:r>
        <w:rPr>
          <w:rFonts w:hint="eastAsia" w:ascii="宋体" w:hAnsi="宋体" w:eastAsia="宋体" w:cs="Times New Roman"/>
          <w:bCs w:val="0"/>
          <w:color w:val="auto"/>
          <w:kern w:val="0"/>
          <w:szCs w:val="21"/>
          <w:highlight w:val="none"/>
          <w:lang w:val="en-US" w:eastAsia="zh-CN"/>
        </w:rPr>
        <w:t>项目</w:t>
      </w:r>
      <w:r>
        <w:rPr>
          <w:rFonts w:hint="eastAsia" w:ascii="宋体" w:hAnsi="宋体" w:eastAsia="宋体" w:cs="Times New Roman"/>
          <w:bCs w:val="0"/>
          <w:color w:val="auto"/>
          <w:kern w:val="0"/>
          <w:szCs w:val="21"/>
          <w:highlight w:val="none"/>
          <w:lang w:val="zh-CN"/>
        </w:rPr>
        <w:t>。具体要求详见全国公共资源交易平台（广东省·东莞市）（网址：https://ygp.gdzwfw.gov.cn/#/441900/index）办事指南中的相关规定。</w:t>
      </w:r>
    </w:p>
    <w:p w14:paraId="2091B8CF">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7B5D9926">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745E505B">
      <w:pPr>
        <w:kinsoku/>
        <w:overflowPunct/>
        <w:autoSpaceDE w:val="0"/>
        <w:autoSpaceDN w:val="0"/>
        <w:bidi w:val="0"/>
        <w:adjustRightInd w:val="0"/>
        <w:spacing w:line="360" w:lineRule="auto"/>
        <w:ind w:left="225" w:leftChars="107" w:firstLine="489" w:firstLineChars="233"/>
        <w:jc w:val="left"/>
        <w:outlineLvl w:val="9"/>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065DE0B4">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12B71983">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p>
    <w:p w14:paraId="01CDDA1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kern w:val="0"/>
          <w:szCs w:val="21"/>
          <w:highlight w:val="none"/>
          <w:lang w:val="zh-CN"/>
        </w:rPr>
      </w:pPr>
      <w:r>
        <w:rPr>
          <w:rFonts w:hint="eastAsia" w:ascii="宋体" w:hAnsi="宋体" w:eastAsia="宋体" w:cs="宋体"/>
          <w:bCs/>
          <w:color w:val="000000"/>
          <w:kern w:val="0"/>
          <w:szCs w:val="21"/>
          <w:highlight w:val="none"/>
          <w:lang w:val="zh-CN"/>
        </w:rPr>
        <w:t>（1）对未通过资格</w:t>
      </w:r>
      <w:r>
        <w:rPr>
          <w:rFonts w:hint="eastAsia" w:ascii="宋体" w:hAnsi="宋体" w:eastAsia="宋体" w:cs="宋体"/>
          <w:bCs/>
          <w:color w:val="000000"/>
          <w:kern w:val="0"/>
          <w:szCs w:val="21"/>
          <w:highlight w:val="none"/>
          <w:lang w:val="en-US" w:eastAsia="zh-CN"/>
        </w:rPr>
        <w:t>性</w:t>
      </w:r>
      <w:r>
        <w:rPr>
          <w:rFonts w:hint="eastAsia" w:ascii="宋体" w:hAnsi="宋体" w:eastAsia="宋体" w:cs="宋体"/>
          <w:bCs/>
          <w:color w:val="000000"/>
          <w:kern w:val="0"/>
          <w:szCs w:val="21"/>
          <w:highlight w:val="none"/>
          <w:lang w:val="zh-CN"/>
        </w:rPr>
        <w:t>审查或未通过</w:t>
      </w:r>
      <w:r>
        <w:rPr>
          <w:rFonts w:hint="eastAsia" w:ascii="宋体" w:hAnsi="宋体" w:eastAsia="宋体" w:cs="宋体"/>
          <w:bCs/>
          <w:color w:val="000000"/>
          <w:kern w:val="0"/>
          <w:szCs w:val="21"/>
          <w:highlight w:val="none"/>
          <w:lang w:val="en-US" w:eastAsia="zh-CN"/>
        </w:rPr>
        <w:t>符合性检查</w:t>
      </w:r>
      <w:r>
        <w:rPr>
          <w:rFonts w:hint="eastAsia" w:ascii="宋体" w:hAnsi="宋体" w:eastAsia="宋体" w:cs="宋体"/>
          <w:bCs/>
          <w:color w:val="000000"/>
          <w:kern w:val="0"/>
          <w:szCs w:val="21"/>
          <w:highlight w:val="none"/>
          <w:lang w:val="zh-CN"/>
        </w:rPr>
        <w:t>的投标人，招标人在</w:t>
      </w:r>
      <w:r>
        <w:rPr>
          <w:rFonts w:hint="eastAsia" w:ascii="宋体" w:hAnsi="宋体" w:eastAsia="宋体" w:cs="宋体"/>
          <w:bCs/>
          <w:color w:val="000000"/>
          <w:kern w:val="0"/>
          <w:szCs w:val="21"/>
          <w:highlight w:val="none"/>
          <w:lang w:val="en-US" w:eastAsia="zh-CN"/>
        </w:rPr>
        <w:t>评标会</w:t>
      </w:r>
      <w:r>
        <w:rPr>
          <w:rFonts w:hint="eastAsia" w:ascii="宋体" w:hAnsi="宋体" w:eastAsia="宋体" w:cs="宋体"/>
          <w:bCs/>
          <w:color w:val="000000"/>
          <w:kern w:val="0"/>
          <w:szCs w:val="21"/>
          <w:highlight w:val="none"/>
          <w:lang w:val="zh-CN"/>
        </w:rPr>
        <w:t>结束后第一个工作日向交易中心发送退还指令；</w:t>
      </w:r>
    </w:p>
    <w:p w14:paraId="2D8117B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kern w:val="0"/>
          <w:szCs w:val="21"/>
          <w:highlight w:val="none"/>
          <w:lang w:val="zh-CN"/>
        </w:rPr>
      </w:pPr>
      <w:r>
        <w:rPr>
          <w:rFonts w:hint="eastAsia" w:ascii="宋体" w:hAnsi="宋体" w:eastAsia="宋体" w:cs="宋体"/>
          <w:bCs/>
          <w:color w:val="000000"/>
          <w:kern w:val="0"/>
          <w:szCs w:val="21"/>
          <w:highlight w:val="none"/>
          <w:lang w:val="zh-CN"/>
        </w:rPr>
        <w:t>（2）对除中标候选人外的投标人，招标人在发布评标结果公示后3个工作日内向交易中心发送退还指令；</w:t>
      </w:r>
    </w:p>
    <w:p w14:paraId="3A338F6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kern w:val="0"/>
          <w:szCs w:val="21"/>
          <w:highlight w:val="none"/>
          <w:lang w:val="zh-CN"/>
        </w:rPr>
      </w:pPr>
      <w:r>
        <w:rPr>
          <w:rFonts w:hint="eastAsia" w:ascii="宋体" w:hAnsi="宋体" w:eastAsia="宋体" w:cs="宋体"/>
          <w:bCs/>
          <w:color w:val="000000"/>
          <w:kern w:val="0"/>
          <w:szCs w:val="21"/>
          <w:highlight w:val="none"/>
          <w:lang w:val="zh-CN"/>
        </w:rPr>
        <w:t>（3）招标人与中标人在签订书面合同后3个工作日内向交易中心对中标人及其余中标候选人投标保证金发送退还指令。</w:t>
      </w:r>
    </w:p>
    <w:p w14:paraId="75D4DE2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kern w:val="0"/>
          <w:szCs w:val="21"/>
          <w:highlight w:val="none"/>
          <w:lang w:val="zh-CN"/>
        </w:rPr>
      </w:pPr>
      <w:r>
        <w:rPr>
          <w:rFonts w:hint="eastAsia" w:ascii="宋体" w:hAnsi="宋体" w:eastAsia="宋体" w:cs="宋体"/>
          <w:bCs/>
          <w:color w:val="000000"/>
          <w:kern w:val="0"/>
          <w:szCs w:val="21"/>
          <w:highlight w:val="none"/>
          <w:lang w:val="zh-CN"/>
        </w:rPr>
        <w:t>（4）若</w:t>
      </w:r>
      <w:r>
        <w:rPr>
          <w:rFonts w:hint="eastAsia" w:ascii="宋体" w:hAnsi="宋体" w:eastAsia="宋体" w:cs="宋体"/>
          <w:bCs/>
          <w:color w:val="000000"/>
          <w:kern w:val="0"/>
          <w:szCs w:val="21"/>
          <w:highlight w:val="none"/>
          <w:lang w:val="en-US" w:eastAsia="zh-CN"/>
        </w:rPr>
        <w:t>项目</w:t>
      </w:r>
      <w:r>
        <w:rPr>
          <w:rFonts w:hint="eastAsia" w:ascii="宋体" w:hAnsi="宋体" w:eastAsia="宋体" w:cs="宋体"/>
          <w:bCs/>
          <w:color w:val="000000"/>
          <w:kern w:val="0"/>
          <w:szCs w:val="21"/>
          <w:highlight w:val="none"/>
          <w:lang w:val="zh-CN"/>
        </w:rPr>
        <w:t>受到监督部门调查时，招标人根据实际情况处理投标保证金退回有关工作。招标人将按调查结果处理涉事投标保证金。</w:t>
      </w:r>
    </w:p>
    <w:p w14:paraId="4236B65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000000"/>
          <w:kern w:val="0"/>
          <w:szCs w:val="21"/>
          <w:highlight w:val="none"/>
          <w:lang w:val="zh-CN"/>
        </w:rPr>
        <w:t>（5）如因投诉等异常情况不能正常签发中标通知书，招标人可以退回未中标的且不涉及异常情况处理投标人的投标保证金发送退还指令。</w:t>
      </w:r>
      <w:r>
        <w:rPr>
          <w:rFonts w:hint="eastAsia" w:ascii="宋体" w:hAnsi="宋体" w:eastAsia="宋体" w:cs="宋体"/>
          <w:bCs/>
          <w:color w:val="auto"/>
          <w:kern w:val="0"/>
          <w:szCs w:val="21"/>
          <w:highlight w:val="none"/>
          <w:lang w:val="zh-CN"/>
        </w:rPr>
        <w:t>。</w:t>
      </w:r>
    </w:p>
    <w:p w14:paraId="78EABA43">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219D2407">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7CF68299">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6CB64600">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0AA72C63">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14:paraId="101F66FC">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3E1FD83">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5AD82FAA">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p>
    <w:p w14:paraId="5854E0F7">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189FEB3F">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2B5971F0">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618B370D">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31495815">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账户</w:t>
      </w:r>
      <w:r>
        <w:rPr>
          <w:rFonts w:hint="eastAsia" w:ascii="宋体" w:hAnsi="宋体" w:eastAsia="宋体" w:cs="宋体"/>
          <w:bCs/>
          <w:color w:val="auto"/>
          <w:kern w:val="0"/>
          <w:szCs w:val="21"/>
          <w:highlight w:val="none"/>
          <w:lang w:val="zh-CN"/>
        </w:rPr>
        <w:t>见全国公共资源交易平台（广东省·东莞市）办事指南。</w:t>
      </w:r>
    </w:p>
    <w:p w14:paraId="2DDC20F0">
      <w:pPr>
        <w:tabs>
          <w:tab w:val="left" w:pos="1134"/>
        </w:tabs>
        <w:kinsoku/>
        <w:overflowPunct/>
        <w:autoSpaceDE w:val="0"/>
        <w:autoSpaceDN w:val="0"/>
        <w:bidi w:val="0"/>
        <w:adjustRightInd w:val="0"/>
        <w:spacing w:line="360" w:lineRule="auto"/>
        <w:ind w:left="840" w:leftChars="150" w:hanging="525" w:hangingChars="250"/>
        <w:jc w:val="left"/>
        <w:outlineLvl w:val="9"/>
        <w:rPr>
          <w:rFonts w:ascii="宋体" w:hAnsi="宋体" w:eastAsia="宋体" w:cs="宋体"/>
          <w:color w:val="auto"/>
          <w:kern w:val="0"/>
          <w:szCs w:val="21"/>
          <w:highlight w:val="none"/>
        </w:rPr>
      </w:pPr>
    </w:p>
    <w:p w14:paraId="2040A59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78" w:name="_Toc195714234"/>
      <w:bookmarkStart w:id="179" w:name="_Toc142508330"/>
      <w:bookmarkStart w:id="180" w:name="_Toc22649_WPSOffice_Level3"/>
      <w:bookmarkStart w:id="181" w:name="_Toc450662865"/>
      <w:bookmarkStart w:id="182" w:name="_Toc1458"/>
      <w:bookmarkStart w:id="183" w:name="_Toc11815"/>
      <w:bookmarkStart w:id="184" w:name="_Toc486167680"/>
      <w:bookmarkStart w:id="185" w:name="_Toc29607"/>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8"/>
      <w:bookmarkEnd w:id="179"/>
      <w:bookmarkEnd w:id="180"/>
      <w:bookmarkEnd w:id="181"/>
      <w:bookmarkEnd w:id="182"/>
      <w:bookmarkEnd w:id="183"/>
      <w:bookmarkEnd w:id="184"/>
      <w:bookmarkEnd w:id="185"/>
    </w:p>
    <w:p w14:paraId="26A01B91">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8EF00F2">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09806F9">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9E4FDBA">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p>
    <w:p w14:paraId="35C6A4D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86" w:name="_Toc932"/>
      <w:bookmarkStart w:id="187" w:name="_Toc11953"/>
      <w:bookmarkStart w:id="188" w:name="_Toc450662866"/>
      <w:bookmarkStart w:id="189" w:name="_Toc486167681"/>
      <w:bookmarkStart w:id="190" w:name="_Toc20422"/>
      <w:bookmarkStart w:id="191" w:name="_Toc142508331"/>
      <w:bookmarkStart w:id="192" w:name="_Toc25637_WPSOffice_Level3"/>
      <w:bookmarkStart w:id="193" w:name="_Toc195714235"/>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bookmarkEnd w:id="186"/>
      <w:bookmarkEnd w:id="187"/>
      <w:bookmarkEnd w:id="188"/>
      <w:bookmarkEnd w:id="189"/>
      <w:bookmarkEnd w:id="190"/>
      <w:bookmarkEnd w:id="191"/>
      <w:bookmarkEnd w:id="192"/>
      <w:bookmarkEnd w:id="193"/>
    </w:p>
    <w:p w14:paraId="38AF6055">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17E88A1B">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4FAFF969">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4F25995E">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1CD1D0A6">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127E2BB0">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p>
    <w:p w14:paraId="3FD30C03">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630027A0">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p>
    <w:p w14:paraId="11A35D1C">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3C84D575">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（2）投标文件商务标、技术标必须按招标文件的规定填写；</w:t>
      </w:r>
    </w:p>
    <w:p w14:paraId="4B13AB9D">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2AB6B944">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61DFF669">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17A813C4">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0DB48646">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p>
    <w:p w14:paraId="54E8508E">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5E1A3A6E">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（2）投标文件价格部分应按其格式要求使用依法设立的电子认证服务提供者签发的电子签名认证证书对电子投标文件进行电子签名。该电子签名与手写签名或者盖章具有同等的法律效力。</w:t>
      </w:r>
    </w:p>
    <w:p w14:paraId="2C8F2662">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bookmarkStart w:id="194" w:name="_Toc450662867"/>
    </w:p>
    <w:p w14:paraId="32E52CB4">
      <w:pPr>
        <w:keepNext/>
        <w:keepLines/>
        <w:pageBreakBefore w:val="0"/>
        <w:widowControl w:val="0"/>
        <w:tabs>
          <w:tab w:val="left" w:pos="509"/>
        </w:tabs>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color w:val="auto"/>
          <w:kern w:val="0"/>
          <w:sz w:val="24"/>
          <w:szCs w:val="24"/>
          <w:highlight w:val="none"/>
        </w:rPr>
      </w:pPr>
      <w:bookmarkStart w:id="195" w:name="_Toc17199"/>
      <w:bookmarkStart w:id="196" w:name="_Toc195714236"/>
      <w:bookmarkStart w:id="197" w:name="_Toc486167682"/>
      <w:bookmarkStart w:id="198" w:name="_Toc140596891"/>
      <w:bookmarkStart w:id="199" w:name="_Toc142508332"/>
      <w:bookmarkStart w:id="200" w:name="_Toc26605"/>
      <w:bookmarkStart w:id="201" w:name="_Toc22356_WPSOffice_Level2"/>
      <w:bookmarkStart w:id="202" w:name="_Toc9152"/>
      <w:r>
        <w:rPr>
          <w:rFonts w:hint="eastAsia" w:ascii="宋体" w:hAnsi="宋体" w:eastAsia="宋体" w:cs="宋体"/>
          <w:b/>
          <w:bCs/>
          <w:color w:val="auto"/>
          <w:kern w:val="44"/>
          <w:szCs w:val="21"/>
          <w:highlight w:val="none"/>
          <w:lang w:val="zh-CN"/>
        </w:rPr>
        <w:t>四、投标</w:t>
      </w:r>
      <w:bookmarkEnd w:id="194"/>
      <w:bookmarkEnd w:id="195"/>
      <w:bookmarkEnd w:id="196"/>
      <w:bookmarkEnd w:id="197"/>
      <w:bookmarkEnd w:id="198"/>
      <w:bookmarkEnd w:id="199"/>
      <w:bookmarkEnd w:id="200"/>
      <w:bookmarkEnd w:id="201"/>
      <w:bookmarkEnd w:id="202"/>
    </w:p>
    <w:p w14:paraId="2A5912C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03" w:name="_Toc486167683"/>
      <w:bookmarkStart w:id="204" w:name="_Toc195714237"/>
      <w:bookmarkStart w:id="205" w:name="_Toc450662868"/>
      <w:bookmarkStart w:id="206" w:name="_Toc29885"/>
      <w:bookmarkStart w:id="207" w:name="_Toc31551"/>
      <w:bookmarkStart w:id="208" w:name="_Toc12192_WPSOffice_Level3"/>
      <w:bookmarkStart w:id="209" w:name="_Toc142508333"/>
      <w:bookmarkStart w:id="210" w:name="_Toc2297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bookmarkEnd w:id="203"/>
      <w:bookmarkEnd w:id="204"/>
      <w:bookmarkEnd w:id="205"/>
      <w:bookmarkEnd w:id="206"/>
      <w:bookmarkEnd w:id="207"/>
      <w:bookmarkEnd w:id="208"/>
      <w:bookmarkEnd w:id="209"/>
      <w:r>
        <w:rPr>
          <w:rFonts w:hint="eastAsia" w:ascii="宋体" w:hAnsi="宋体" w:eastAsia="宋体" w:cs="宋体"/>
          <w:color w:val="auto"/>
          <w:szCs w:val="21"/>
          <w:highlight w:val="none"/>
          <w:lang w:val="zh-CN"/>
        </w:rPr>
        <w:t>投标文件的加密</w:t>
      </w:r>
      <w:bookmarkEnd w:id="210"/>
    </w:p>
    <w:p w14:paraId="2C98C112">
      <w:pPr>
        <w:tabs>
          <w:tab w:val="left" w:pos="567"/>
        </w:tabs>
        <w:kinsoku/>
        <w:overflowPunct/>
        <w:bidi w:val="0"/>
        <w:adjustRightInd w:val="0"/>
        <w:spacing w:line="360" w:lineRule="auto"/>
        <w:ind w:firstLine="144" w:firstLineChars="69"/>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4DCDF607">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rPr>
      </w:pPr>
    </w:p>
    <w:p w14:paraId="3851143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11" w:name="_Toc195714238"/>
      <w:bookmarkStart w:id="212" w:name="_Toc19639"/>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211"/>
      <w:bookmarkEnd w:id="212"/>
    </w:p>
    <w:p w14:paraId="27CF2F5A">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15CEDBE9">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541BEA55">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4B07F1EF">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p>
    <w:p w14:paraId="648B8A4D">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20EF351C">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rPr>
      </w:pPr>
    </w:p>
    <w:p w14:paraId="796B67B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13" w:name="_Toc195714239"/>
      <w:bookmarkStart w:id="214" w:name="_Toc30629"/>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213"/>
      <w:bookmarkEnd w:id="214"/>
    </w:p>
    <w:p w14:paraId="06DE4A21">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403EB35A">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2A9EBFC7">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3C6A099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15" w:name="_Toc195714240"/>
      <w:bookmarkStart w:id="216" w:name="_Toc2539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215"/>
      <w:bookmarkEnd w:id="216"/>
    </w:p>
    <w:p w14:paraId="68679065">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0D6A3328">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37E02009">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08567F87">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14C4CEF0">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7689BF4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17" w:name="_Toc195714241"/>
      <w:bookmarkStart w:id="218" w:name="_Toc1323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17"/>
      <w:bookmarkEnd w:id="218"/>
    </w:p>
    <w:p w14:paraId="3DA2968C">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771953F9">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750015D6">
      <w:pPr>
        <w:kinsoku/>
        <w:overflowPunct/>
        <w:autoSpaceDE w:val="0"/>
        <w:autoSpaceDN w:val="0"/>
        <w:bidi w:val="0"/>
        <w:adjustRightInd w:val="0"/>
        <w:spacing w:line="360" w:lineRule="auto"/>
        <w:ind w:left="355" w:leftChars="-101" w:right="15" w:rightChars="7" w:hanging="567" w:hangingChars="27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3BCBA11A">
      <w:pPr>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0619F2A6">
      <w:pPr>
        <w:keepNext/>
        <w:keepLines/>
        <w:pageBreakBefore w:val="0"/>
        <w:widowControl w:val="0"/>
        <w:tabs>
          <w:tab w:val="left" w:pos="509"/>
        </w:tabs>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219" w:name="_Toc486167687"/>
      <w:bookmarkStart w:id="220" w:name="_Toc16443"/>
      <w:bookmarkStart w:id="221" w:name="_Toc450662872"/>
      <w:bookmarkStart w:id="222" w:name="_Toc30428"/>
      <w:bookmarkStart w:id="223" w:name="_Toc142508337"/>
      <w:bookmarkStart w:id="224" w:name="_Toc28824"/>
      <w:bookmarkStart w:id="225" w:name="_Toc195714242"/>
      <w:bookmarkStart w:id="226" w:name="_Toc1049_WPSOffice_Level2"/>
      <w:bookmarkStart w:id="227" w:name="_Toc140596896"/>
      <w:r>
        <w:rPr>
          <w:rFonts w:hint="eastAsia" w:ascii="宋体" w:hAnsi="宋体" w:eastAsia="宋体" w:cs="宋体"/>
          <w:b/>
          <w:bCs/>
          <w:color w:val="auto"/>
          <w:kern w:val="44"/>
          <w:szCs w:val="21"/>
          <w:highlight w:val="none"/>
          <w:lang w:val="zh-CN"/>
        </w:rPr>
        <w:t>五、开标与评标</w:t>
      </w:r>
      <w:bookmarkEnd w:id="219"/>
      <w:bookmarkEnd w:id="220"/>
      <w:bookmarkEnd w:id="221"/>
      <w:bookmarkEnd w:id="222"/>
      <w:bookmarkEnd w:id="223"/>
      <w:bookmarkEnd w:id="224"/>
      <w:bookmarkEnd w:id="225"/>
      <w:bookmarkEnd w:id="226"/>
      <w:bookmarkEnd w:id="227"/>
    </w:p>
    <w:p w14:paraId="1C42B67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right="15" w:rightChars="7" w:hanging="567" w:firstLineChars="0"/>
        <w:textAlignment w:val="auto"/>
        <w:outlineLvl w:val="2"/>
        <w:rPr>
          <w:rFonts w:ascii="宋体" w:hAnsi="宋体" w:eastAsia="宋体" w:cs="宋体"/>
          <w:color w:val="auto"/>
          <w:szCs w:val="21"/>
          <w:highlight w:val="none"/>
          <w:lang w:val="zh-CN"/>
        </w:rPr>
      </w:pPr>
      <w:bookmarkStart w:id="228" w:name="_Toc14933"/>
      <w:bookmarkStart w:id="229" w:name="_Toc1957142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28"/>
      <w:bookmarkEnd w:id="229"/>
    </w:p>
    <w:p w14:paraId="1F7CA3E2">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70BD8F78">
      <w:pPr>
        <w:tabs>
          <w:tab w:val="left" w:pos="567"/>
        </w:tabs>
        <w:kinsoku/>
        <w:overflowPunct/>
        <w:autoSpaceDE w:val="0"/>
        <w:autoSpaceDN w:val="0"/>
        <w:bidi w:val="0"/>
        <w:adjustRightInd w:val="0"/>
        <w:spacing w:line="360" w:lineRule="auto"/>
        <w:ind w:left="357" w:leftChars="-100" w:right="15" w:rightChars="7" w:hanging="567"/>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48D39CD7">
      <w:pPr>
        <w:tabs>
          <w:tab w:val="left" w:pos="567"/>
        </w:tabs>
        <w:kinsoku/>
        <w:overflowPunct/>
        <w:autoSpaceDE w:val="0"/>
        <w:autoSpaceDN w:val="0"/>
        <w:bidi w:val="0"/>
        <w:adjustRightInd w:val="0"/>
        <w:spacing w:line="360" w:lineRule="auto"/>
        <w:ind w:left="357" w:leftChars="-100" w:right="15" w:rightChars="7" w:hanging="567"/>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5C856F04">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0CAFDED1">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39661E0D">
      <w:pPr>
        <w:tabs>
          <w:tab w:val="left" w:pos="567"/>
        </w:tabs>
        <w:kinsoku/>
        <w:overflowPunct/>
        <w:autoSpaceDE w:val="0"/>
        <w:autoSpaceDN w:val="0"/>
        <w:bidi w:val="0"/>
        <w:adjustRightInd w:val="0"/>
        <w:spacing w:line="360" w:lineRule="auto"/>
        <w:ind w:left="357" w:leftChars="-100" w:right="15" w:rightChars="7" w:hanging="567"/>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由招标人及其委托的招标代理机构开启投标文件的报价信封进行唱标</w:t>
      </w:r>
      <w:r>
        <w:rPr>
          <w:rFonts w:hint="eastAsia" w:ascii="宋体" w:hAnsi="宋体" w:eastAsia="宋体" w:cs="宋体"/>
          <w:color w:val="auto"/>
          <w:szCs w:val="21"/>
          <w:highlight w:val="none"/>
          <w:lang w:eastAsia="zh-CN"/>
        </w:rPr>
        <w:t>。</w:t>
      </w:r>
    </w:p>
    <w:p w14:paraId="39EF6BFD">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23.7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624DDF10">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7314ED50">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kern w:val="0"/>
          <w:szCs w:val="21"/>
          <w:highlight w:val="none"/>
        </w:rPr>
      </w:pPr>
    </w:p>
    <w:p w14:paraId="184974A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30" w:name="_Toc486167689"/>
      <w:bookmarkStart w:id="231" w:name="_Toc32534"/>
      <w:bookmarkStart w:id="232" w:name="_Toc195714244"/>
      <w:bookmarkStart w:id="233" w:name="_Toc142508339"/>
      <w:bookmarkStart w:id="234" w:name="_Toc24503"/>
      <w:bookmarkStart w:id="235" w:name="_Toc450662874"/>
      <w:bookmarkStart w:id="236" w:name="_Toc12165_WPSOffice_Level3"/>
      <w:bookmarkStart w:id="237" w:name="_Toc23059"/>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30"/>
      <w:bookmarkEnd w:id="231"/>
      <w:bookmarkEnd w:id="232"/>
      <w:bookmarkEnd w:id="233"/>
      <w:bookmarkEnd w:id="234"/>
      <w:bookmarkEnd w:id="235"/>
      <w:bookmarkEnd w:id="236"/>
      <w:bookmarkEnd w:id="237"/>
    </w:p>
    <w:p w14:paraId="16A6B7CE">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8420746">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7359645">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598C306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38" w:name="_Toc486167690"/>
      <w:bookmarkStart w:id="239" w:name="_Toc15565_WPSOffice_Level3"/>
      <w:bookmarkStart w:id="240" w:name="_Toc7090"/>
      <w:bookmarkStart w:id="241" w:name="_Toc450662875"/>
      <w:bookmarkStart w:id="242" w:name="_Toc16920"/>
      <w:bookmarkStart w:id="243" w:name="_Toc195714245"/>
      <w:bookmarkStart w:id="244" w:name="_Toc142508340"/>
      <w:bookmarkStart w:id="245" w:name="_Toc800"/>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8"/>
      <w:bookmarkEnd w:id="239"/>
      <w:bookmarkEnd w:id="240"/>
      <w:bookmarkEnd w:id="241"/>
      <w:bookmarkEnd w:id="242"/>
      <w:bookmarkEnd w:id="243"/>
      <w:bookmarkEnd w:id="244"/>
      <w:bookmarkEnd w:id="245"/>
    </w:p>
    <w:p w14:paraId="5BC9F041">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E2DC031">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D525315">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bCs/>
          <w:color w:val="000000"/>
          <w:szCs w:val="21"/>
          <w:highlight w:val="none"/>
          <w:lang w:val="zh-CN"/>
        </w:rPr>
      </w:pPr>
    </w:p>
    <w:p w14:paraId="5D2FCD99">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2"/>
        <w:rPr>
          <w:rFonts w:hint="eastAsia" w:ascii="宋体" w:hAnsi="宋体" w:eastAsia="宋体" w:cs="宋体"/>
          <w:b/>
          <w:bCs/>
          <w:color w:val="000000"/>
          <w:szCs w:val="21"/>
          <w:highlight w:val="none"/>
          <w:lang w:val="zh-CN"/>
        </w:rPr>
      </w:pPr>
      <w:bookmarkStart w:id="246" w:name="_Toc2927"/>
      <w:bookmarkStart w:id="247" w:name="_Toc22215"/>
      <w:bookmarkStart w:id="248" w:name="_Toc195714246"/>
      <w:bookmarkStart w:id="249" w:name="_Toc16485"/>
      <w:bookmarkStart w:id="250" w:name="_Toc562"/>
      <w:r>
        <w:rPr>
          <w:rFonts w:hint="eastAsia" w:ascii="宋体" w:hAnsi="宋体" w:eastAsia="宋体" w:cs="宋体"/>
          <w:b/>
          <w:bCs/>
          <w:color w:val="000000"/>
          <w:szCs w:val="21"/>
          <w:highlight w:val="none"/>
          <w:lang w:val="zh-CN"/>
        </w:rPr>
        <w:t>26 投标文件的有效性</w:t>
      </w:r>
      <w:bookmarkEnd w:id="246"/>
      <w:bookmarkEnd w:id="247"/>
      <w:bookmarkEnd w:id="248"/>
      <w:bookmarkEnd w:id="249"/>
      <w:bookmarkEnd w:id="250"/>
    </w:p>
    <w:p w14:paraId="25664C73">
      <w:pPr>
        <w:autoSpaceDE w:val="0"/>
        <w:autoSpaceDN w:val="0"/>
        <w:adjustRightInd w:val="0"/>
        <w:spacing w:line="360" w:lineRule="auto"/>
        <w:ind w:left="357" w:leftChars="-100" w:hanging="567"/>
        <w:rPr>
          <w:rFonts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 </w:t>
      </w:r>
      <w:r>
        <w:rPr>
          <w:rFonts w:hint="eastAsia" w:ascii="宋体" w:hAnsi="宋体" w:eastAsia="宋体" w:cs="宋体"/>
          <w:b/>
          <w:bCs/>
          <w:color w:val="000000"/>
          <w:szCs w:val="21"/>
          <w:highlight w:val="none"/>
          <w:u w:val="single"/>
          <w:lang w:val="zh-CN"/>
        </w:rPr>
        <w:t>开标（评标）时，投标文件出现下列情形之一的，应当作为无效投标文件</w:t>
      </w:r>
      <w:r>
        <w:rPr>
          <w:rFonts w:hint="eastAsia" w:ascii="宋体" w:hAnsi="宋体" w:eastAsia="宋体" w:cs="宋体"/>
          <w:b/>
          <w:bCs/>
          <w:color w:val="000000"/>
          <w:szCs w:val="21"/>
          <w:highlight w:val="none"/>
          <w:lang w:val="zh-CN"/>
        </w:rPr>
        <w:t>：</w:t>
      </w:r>
    </w:p>
    <w:p w14:paraId="5B89E689">
      <w:pPr>
        <w:autoSpaceDE w:val="0"/>
        <w:autoSpaceDN w:val="0"/>
        <w:adjustRightInd w:val="0"/>
        <w:spacing w:line="360" w:lineRule="auto"/>
        <w:ind w:left="357" w:leftChars="-100" w:hanging="567"/>
        <w:rPr>
          <w:rFonts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rPr>
        <w:t>1</w:t>
      </w:r>
      <w:r>
        <w:rPr>
          <w:rFonts w:hint="eastAsia" w:ascii="宋体" w:hAnsi="宋体" w:eastAsia="宋体" w:cs="宋体"/>
          <w:b/>
          <w:bCs/>
          <w:color w:val="000000"/>
          <w:szCs w:val="21"/>
          <w:highlight w:val="none"/>
          <w:lang w:val="en-US" w:eastAsia="zh-CN"/>
        </w:rPr>
        <w:t xml:space="preserve"> </w:t>
      </w:r>
      <w:r>
        <w:rPr>
          <w:rFonts w:hint="eastAsia" w:ascii="宋体" w:hAnsi="宋体" w:eastAsia="宋体" w:cs="宋体"/>
          <w:b/>
          <w:bCs/>
          <w:color w:val="000000"/>
          <w:szCs w:val="21"/>
          <w:highlight w:val="none"/>
          <w:u w:val="single"/>
          <w:lang w:val="zh-CN"/>
        </w:rPr>
        <w:t>上传的投标文件损坏或无法读取的</w:t>
      </w:r>
      <w:r>
        <w:rPr>
          <w:rFonts w:hint="eastAsia" w:ascii="宋体" w:hAnsi="宋体" w:eastAsia="宋体" w:cs="宋体"/>
          <w:b/>
          <w:bCs/>
          <w:color w:val="000000"/>
          <w:szCs w:val="21"/>
          <w:highlight w:val="none"/>
          <w:lang w:val="zh-CN"/>
        </w:rPr>
        <w:t>；</w:t>
      </w:r>
    </w:p>
    <w:p w14:paraId="6A5BBCC7">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rPr>
        <w:t>2</w:t>
      </w:r>
      <w:r>
        <w:rPr>
          <w:rFonts w:hint="eastAsia" w:ascii="宋体" w:hAnsi="宋体" w:eastAsia="宋体" w:cs="宋体"/>
          <w:b/>
          <w:bCs/>
          <w:color w:val="000000"/>
          <w:szCs w:val="21"/>
          <w:highlight w:val="none"/>
          <w:lang w:val="en-US" w:eastAsia="zh-CN"/>
        </w:rPr>
        <w:t xml:space="preserve"> </w:t>
      </w:r>
      <w:r>
        <w:rPr>
          <w:rFonts w:hint="eastAsia" w:ascii="宋体" w:hAnsi="宋体" w:eastAsia="宋体" w:cs="宋体"/>
          <w:b/>
          <w:bCs/>
          <w:color w:val="000000"/>
          <w:szCs w:val="21"/>
          <w:highlight w:val="none"/>
          <w:u w:val="single"/>
          <w:lang w:val="zh-CN"/>
        </w:rPr>
        <w:t>经招标人确认，投标人在公共资源交易企业库填报的与本项目密切相关的信息与事实不相符的</w:t>
      </w:r>
      <w:r>
        <w:rPr>
          <w:rFonts w:hint="eastAsia" w:ascii="宋体" w:hAnsi="宋体" w:eastAsia="宋体" w:cs="宋体"/>
          <w:b/>
          <w:bCs/>
          <w:color w:val="000000"/>
          <w:szCs w:val="21"/>
          <w:highlight w:val="none"/>
          <w:lang w:val="zh-CN"/>
        </w:rPr>
        <w:t>；</w:t>
      </w:r>
    </w:p>
    <w:p w14:paraId="2E2026D6">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 xml:space="preserve">26.1.3 </w:t>
      </w:r>
      <w:r>
        <w:rPr>
          <w:rFonts w:hint="eastAsia" w:ascii="宋体" w:hAnsi="宋体" w:eastAsia="宋体" w:cs="宋体"/>
          <w:b/>
          <w:bCs/>
          <w:color w:val="000000"/>
          <w:szCs w:val="21"/>
          <w:highlight w:val="none"/>
          <w:u w:val="single"/>
          <w:lang w:val="en-US" w:eastAsia="zh-CN"/>
        </w:rPr>
        <w:t>投标文件中使用的本项目招标文件版本，与交易系统上发布的本项目招标文件的最新版本不一致的</w:t>
      </w:r>
      <w:r>
        <w:rPr>
          <w:rFonts w:hint="eastAsia" w:ascii="宋体" w:hAnsi="宋体" w:eastAsia="宋体" w:cs="宋体"/>
          <w:b/>
          <w:bCs/>
          <w:color w:val="000000"/>
          <w:szCs w:val="21"/>
          <w:highlight w:val="none"/>
          <w:lang w:val="en-US" w:eastAsia="zh-CN"/>
        </w:rPr>
        <w:t>；</w:t>
      </w:r>
    </w:p>
    <w:p w14:paraId="56D91209">
      <w:pPr>
        <w:autoSpaceDE w:val="0"/>
        <w:autoSpaceDN w:val="0"/>
        <w:adjustRightInd w:val="0"/>
        <w:spacing w:line="360" w:lineRule="auto"/>
        <w:ind w:left="639" w:leftChars="-95" w:hanging="838"/>
        <w:rPr>
          <w:rFonts w:hint="default"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26.1.4 投标文件未使用企业数字证书签名的；</w:t>
      </w:r>
    </w:p>
    <w:p w14:paraId="3C116EC8">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en-US" w:eastAsia="zh-CN"/>
        </w:rPr>
        <w:t xml:space="preserve">26.1.5 </w:t>
      </w:r>
      <w:r>
        <w:rPr>
          <w:rFonts w:hint="eastAsia" w:ascii="宋体" w:hAnsi="宋体" w:eastAsia="宋体" w:cs="宋体"/>
          <w:b/>
          <w:bCs/>
          <w:color w:val="000000"/>
          <w:szCs w:val="21"/>
          <w:highlight w:val="none"/>
          <w:u w:val="single"/>
          <w:lang w:val="zh-CN"/>
        </w:rPr>
        <w:t>投标文件签名使用的数字证书与签到的投标人名称不一致的</w:t>
      </w:r>
      <w:r>
        <w:rPr>
          <w:rFonts w:hint="eastAsia" w:ascii="宋体" w:hAnsi="宋体" w:eastAsia="宋体" w:cs="宋体"/>
          <w:b/>
          <w:bCs/>
          <w:color w:val="000000"/>
          <w:szCs w:val="21"/>
          <w:highlight w:val="none"/>
          <w:lang w:val="zh-CN"/>
        </w:rPr>
        <w:t>；</w:t>
      </w:r>
    </w:p>
    <w:p w14:paraId="53D5A486">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6 </w:t>
      </w:r>
      <w:r>
        <w:rPr>
          <w:rFonts w:hint="eastAsia" w:ascii="宋体" w:hAnsi="宋体" w:eastAsia="宋体" w:cs="宋体"/>
          <w:b/>
          <w:bCs/>
          <w:color w:val="000000"/>
          <w:szCs w:val="21"/>
          <w:highlight w:val="none"/>
          <w:u w:val="single"/>
          <w:lang w:val="zh-CN"/>
        </w:rPr>
        <w:t>投标人的投标编制MAC信息、投标编制CPU序列号、投标编制硬盘序列号均与其他投标人相同的</w:t>
      </w:r>
      <w:r>
        <w:rPr>
          <w:rFonts w:hint="eastAsia" w:ascii="宋体" w:hAnsi="宋体" w:eastAsia="宋体" w:cs="宋体"/>
          <w:b/>
          <w:bCs/>
          <w:color w:val="000000"/>
          <w:szCs w:val="21"/>
          <w:highlight w:val="none"/>
          <w:lang w:val="zh-CN"/>
        </w:rPr>
        <w:t>；</w:t>
      </w:r>
    </w:p>
    <w:p w14:paraId="32F0B3A0">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7 </w:t>
      </w:r>
      <w:r>
        <w:rPr>
          <w:rFonts w:hint="eastAsia" w:ascii="宋体" w:hAnsi="宋体" w:eastAsia="宋体" w:cs="宋体"/>
          <w:b/>
          <w:bCs/>
          <w:color w:val="000000"/>
          <w:szCs w:val="21"/>
          <w:highlight w:val="none"/>
          <w:u w:val="single"/>
          <w:lang w:val="zh-CN"/>
        </w:rPr>
        <w:t>投标文件附有招标人不能接受的条件的</w:t>
      </w:r>
      <w:r>
        <w:rPr>
          <w:rFonts w:hint="eastAsia" w:ascii="宋体" w:hAnsi="宋体" w:eastAsia="宋体" w:cs="宋体"/>
          <w:b/>
          <w:bCs/>
          <w:color w:val="000000"/>
          <w:szCs w:val="21"/>
          <w:highlight w:val="none"/>
          <w:lang w:val="zh-CN"/>
        </w:rPr>
        <w:t>；</w:t>
      </w:r>
    </w:p>
    <w:p w14:paraId="71161DCC">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8 </w:t>
      </w:r>
      <w:r>
        <w:rPr>
          <w:rFonts w:hint="eastAsia" w:ascii="宋体" w:hAnsi="宋体" w:eastAsia="宋体" w:cs="宋体"/>
          <w:b/>
          <w:bCs/>
          <w:color w:val="000000"/>
          <w:szCs w:val="21"/>
          <w:highlight w:val="none"/>
          <w:u w:val="single"/>
          <w:lang w:val="zh-CN"/>
        </w:rPr>
        <w:t>投标人资格不满足本投标人须知第</w:t>
      </w:r>
      <w:r>
        <w:rPr>
          <w:rFonts w:hint="eastAsia" w:ascii="宋体" w:hAnsi="宋体" w:eastAsia="宋体" w:cs="宋体"/>
          <w:b/>
          <w:bCs/>
          <w:color w:val="000000"/>
          <w:szCs w:val="21"/>
          <w:highlight w:val="none"/>
          <w:u w:val="single"/>
          <w:lang w:val="en-US" w:eastAsia="zh-CN"/>
        </w:rPr>
        <w:t>2</w:t>
      </w:r>
      <w:r>
        <w:rPr>
          <w:rFonts w:hint="eastAsia" w:ascii="宋体" w:hAnsi="宋体" w:eastAsia="宋体" w:cs="宋体"/>
          <w:b/>
          <w:bCs/>
          <w:color w:val="000000"/>
          <w:szCs w:val="21"/>
          <w:highlight w:val="none"/>
          <w:u w:val="single"/>
          <w:lang w:val="zh-CN"/>
        </w:rPr>
        <w:t>款的要求</w:t>
      </w:r>
      <w:r>
        <w:rPr>
          <w:rFonts w:hint="eastAsia" w:ascii="宋体" w:hAnsi="宋体" w:eastAsia="宋体" w:cs="宋体"/>
          <w:b/>
          <w:bCs/>
          <w:color w:val="000000"/>
          <w:szCs w:val="21"/>
          <w:highlight w:val="none"/>
          <w:lang w:val="zh-CN"/>
        </w:rPr>
        <w:t>；</w:t>
      </w:r>
    </w:p>
    <w:p w14:paraId="3718C7AC">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9 </w:t>
      </w:r>
      <w:r>
        <w:rPr>
          <w:rFonts w:hint="eastAsia" w:ascii="宋体" w:hAnsi="宋体" w:eastAsia="宋体" w:cs="宋体"/>
          <w:b/>
          <w:bCs/>
          <w:color w:val="000000"/>
          <w:szCs w:val="21"/>
          <w:highlight w:val="none"/>
          <w:u w:val="single"/>
          <w:lang w:val="zh-CN"/>
        </w:rPr>
        <w:t>投标人未按招标文件要求交纳投标保证金的</w:t>
      </w:r>
      <w:r>
        <w:rPr>
          <w:rFonts w:hint="eastAsia" w:ascii="宋体" w:hAnsi="宋体" w:eastAsia="宋体" w:cs="宋体"/>
          <w:b/>
          <w:bCs/>
          <w:color w:val="000000"/>
          <w:szCs w:val="21"/>
          <w:highlight w:val="none"/>
          <w:lang w:val="zh-CN"/>
        </w:rPr>
        <w:t>；</w:t>
      </w:r>
    </w:p>
    <w:p w14:paraId="60D833D3">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10 </w:t>
      </w:r>
      <w:r>
        <w:rPr>
          <w:rFonts w:hint="eastAsia" w:ascii="宋体" w:hAnsi="宋体" w:eastAsia="宋体" w:cs="宋体"/>
          <w:b/>
          <w:bCs/>
          <w:color w:val="000000"/>
          <w:szCs w:val="21"/>
          <w:highlight w:val="none"/>
          <w:u w:val="single"/>
          <w:lang w:val="zh-CN"/>
        </w:rPr>
        <w:t>投标报价响应表未按照招标文件要求填写的</w:t>
      </w:r>
      <w:r>
        <w:rPr>
          <w:rFonts w:hint="eastAsia" w:ascii="宋体" w:hAnsi="宋体" w:eastAsia="宋体" w:cs="宋体"/>
          <w:b/>
          <w:bCs/>
          <w:color w:val="000000"/>
          <w:szCs w:val="21"/>
          <w:highlight w:val="none"/>
          <w:lang w:val="zh-CN"/>
        </w:rPr>
        <w:t>；</w:t>
      </w:r>
    </w:p>
    <w:p w14:paraId="12195AEA">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11 </w:t>
      </w:r>
      <w:r>
        <w:rPr>
          <w:rFonts w:hint="eastAsia" w:ascii="宋体" w:hAnsi="宋体" w:eastAsia="宋体" w:cs="宋体"/>
          <w:b/>
          <w:bCs/>
          <w:color w:val="000000"/>
          <w:szCs w:val="21"/>
          <w:highlight w:val="none"/>
          <w:u w:val="single"/>
          <w:lang w:val="zh-CN"/>
        </w:rPr>
        <w:t>同一</w:t>
      </w:r>
      <w:r>
        <w:rPr>
          <w:rFonts w:hint="eastAsia" w:ascii="宋体" w:hAnsi="宋体" w:eastAsia="宋体" w:cs="宋体"/>
          <w:b/>
          <w:bCs/>
          <w:color w:val="000000"/>
          <w:szCs w:val="21"/>
          <w:highlight w:val="none"/>
          <w:u w:val="single"/>
          <w:lang w:val="en-US" w:eastAsia="zh-CN"/>
        </w:rPr>
        <w:t>标段</w:t>
      </w:r>
      <w:r>
        <w:rPr>
          <w:rFonts w:hint="eastAsia" w:ascii="宋体" w:hAnsi="宋体" w:eastAsia="宋体" w:cs="宋体"/>
          <w:b/>
          <w:bCs/>
          <w:color w:val="000000"/>
          <w:szCs w:val="21"/>
          <w:highlight w:val="none"/>
          <w:u w:val="single"/>
          <w:lang w:val="zh-CN"/>
        </w:rPr>
        <w:t>内，</w:t>
      </w:r>
      <w:r>
        <w:rPr>
          <w:rFonts w:hint="eastAsia" w:ascii="宋体" w:hAnsi="宋体" w:eastAsia="宋体" w:cs="宋体"/>
          <w:b/>
          <w:bCs/>
          <w:color w:val="000000"/>
          <w:szCs w:val="21"/>
          <w:highlight w:val="none"/>
          <w:u w:val="single"/>
        </w:rPr>
        <w:t>投标人递交两份或多份内容不同的投标文件</w:t>
      </w:r>
      <w:r>
        <w:rPr>
          <w:rFonts w:hint="eastAsia" w:ascii="宋体" w:hAnsi="宋体" w:eastAsia="宋体" w:cs="宋体"/>
          <w:b/>
          <w:bCs/>
          <w:color w:val="000000"/>
          <w:szCs w:val="21"/>
          <w:highlight w:val="none"/>
          <w:lang w:eastAsia="zh-CN"/>
        </w:rPr>
        <w:t>；</w:t>
      </w:r>
    </w:p>
    <w:p w14:paraId="290EFD46">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12 </w:t>
      </w:r>
      <w:r>
        <w:rPr>
          <w:rFonts w:hint="eastAsia" w:ascii="宋体" w:hAnsi="宋体" w:eastAsia="宋体" w:cs="宋体"/>
          <w:b/>
          <w:bCs/>
          <w:color w:val="000000"/>
          <w:szCs w:val="21"/>
          <w:highlight w:val="none"/>
          <w:u w:val="single"/>
          <w:lang w:val="zh-CN"/>
        </w:rPr>
        <w:t>投标文件未按本投标人须知第17</w:t>
      </w:r>
      <w:r>
        <w:rPr>
          <w:rFonts w:hint="eastAsia" w:ascii="宋体" w:hAnsi="宋体" w:eastAsia="宋体" w:cs="宋体"/>
          <w:b/>
          <w:bCs/>
          <w:color w:val="000000"/>
          <w:szCs w:val="21"/>
          <w:highlight w:val="none"/>
          <w:u w:val="single"/>
          <w:lang w:val="en-US" w:eastAsia="zh-CN"/>
        </w:rPr>
        <w:t>款</w:t>
      </w:r>
      <w:r>
        <w:rPr>
          <w:rFonts w:hint="eastAsia" w:ascii="宋体" w:hAnsi="宋体" w:eastAsia="宋体" w:cs="宋体"/>
          <w:b/>
          <w:bCs/>
          <w:color w:val="000000"/>
          <w:szCs w:val="21"/>
          <w:highlight w:val="none"/>
          <w:u w:val="single"/>
          <w:lang w:val="zh-CN"/>
        </w:rPr>
        <w:t>的要求编制、使用企业数字证书或个人数字证书电子签名的</w:t>
      </w:r>
      <w:r>
        <w:rPr>
          <w:rFonts w:hint="eastAsia" w:ascii="宋体" w:hAnsi="宋体" w:eastAsia="宋体" w:cs="宋体"/>
          <w:b/>
          <w:bCs/>
          <w:color w:val="000000"/>
          <w:szCs w:val="21"/>
          <w:highlight w:val="none"/>
          <w:lang w:val="zh-CN"/>
        </w:rPr>
        <w:t xml:space="preserve">； </w:t>
      </w:r>
    </w:p>
    <w:p w14:paraId="6821C3B8">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13 </w:t>
      </w:r>
      <w:r>
        <w:rPr>
          <w:rFonts w:hint="eastAsia" w:ascii="宋体" w:hAnsi="宋体" w:eastAsia="宋体" w:cs="宋体"/>
          <w:b/>
          <w:bCs/>
          <w:color w:val="000000"/>
          <w:szCs w:val="21"/>
          <w:highlight w:val="none"/>
          <w:u w:val="single"/>
          <w:lang w:val="zh-CN"/>
        </w:rPr>
        <w:t>投标有效期限不符合要求</w:t>
      </w:r>
      <w:r>
        <w:rPr>
          <w:rFonts w:hint="eastAsia" w:ascii="宋体" w:hAnsi="宋体" w:eastAsia="宋体" w:cs="宋体"/>
          <w:b/>
          <w:bCs/>
          <w:color w:val="000000"/>
          <w:szCs w:val="21"/>
          <w:highlight w:val="none"/>
          <w:lang w:val="zh-CN"/>
        </w:rPr>
        <w:t>；</w:t>
      </w:r>
    </w:p>
    <w:p w14:paraId="40D04E24">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14 </w:t>
      </w:r>
      <w:r>
        <w:rPr>
          <w:rFonts w:hint="eastAsia" w:ascii="宋体" w:hAnsi="宋体" w:eastAsia="宋体" w:cs="宋体"/>
          <w:b/>
          <w:bCs/>
          <w:color w:val="000000"/>
          <w:szCs w:val="21"/>
          <w:highlight w:val="none"/>
          <w:u w:val="single"/>
          <w:lang w:val="zh-CN"/>
        </w:rPr>
        <w:t>投标文件未对对应包组招标范围内的全部内容进行投标报价或投标方案不是唯一</w:t>
      </w:r>
      <w:r>
        <w:rPr>
          <w:rFonts w:hint="eastAsia" w:ascii="宋体" w:hAnsi="宋体" w:eastAsia="宋体" w:cs="宋体"/>
          <w:b/>
          <w:bCs/>
          <w:color w:val="000000"/>
          <w:szCs w:val="21"/>
          <w:highlight w:val="none"/>
          <w:lang w:val="zh-CN"/>
        </w:rPr>
        <w:t>；</w:t>
      </w:r>
    </w:p>
    <w:p w14:paraId="480C8D9B">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15 </w:t>
      </w:r>
      <w:r>
        <w:rPr>
          <w:rFonts w:hint="eastAsia" w:ascii="宋体" w:hAnsi="宋体" w:eastAsia="宋体" w:cs="宋体"/>
          <w:b/>
          <w:bCs/>
          <w:color w:val="000000"/>
          <w:szCs w:val="21"/>
          <w:highlight w:val="none"/>
          <w:u w:val="single"/>
          <w:lang w:val="zh-CN"/>
        </w:rPr>
        <w:t>未提供或虚假填写《合同条款偏离表》，或对《合同条款偏离表》有负偏离的</w:t>
      </w:r>
      <w:r>
        <w:rPr>
          <w:rFonts w:hint="eastAsia" w:ascii="宋体" w:hAnsi="宋体" w:eastAsia="宋体" w:cs="宋体"/>
          <w:b/>
          <w:bCs/>
          <w:color w:val="000000"/>
          <w:szCs w:val="21"/>
          <w:highlight w:val="none"/>
          <w:lang w:val="zh-CN"/>
        </w:rPr>
        <w:t>；</w:t>
      </w:r>
    </w:p>
    <w:p w14:paraId="04E179E9">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16 </w:t>
      </w:r>
      <w:r>
        <w:rPr>
          <w:rFonts w:hint="eastAsia" w:ascii="宋体" w:hAnsi="宋体" w:eastAsia="宋体" w:cs="宋体"/>
          <w:b/>
          <w:bCs/>
          <w:color w:val="000000"/>
          <w:szCs w:val="21"/>
          <w:highlight w:val="none"/>
          <w:u w:val="single"/>
          <w:lang w:val="zh-CN"/>
        </w:rPr>
        <w:t>未填写或虚假填写《用户需求偏离表》的</w:t>
      </w:r>
      <w:r>
        <w:rPr>
          <w:rFonts w:hint="eastAsia" w:ascii="宋体" w:hAnsi="宋体" w:eastAsia="宋体" w:cs="宋体"/>
          <w:b/>
          <w:bCs/>
          <w:color w:val="000000"/>
          <w:szCs w:val="21"/>
          <w:highlight w:val="none"/>
          <w:lang w:val="zh-CN"/>
        </w:rPr>
        <w:t>；</w:t>
      </w:r>
    </w:p>
    <w:p w14:paraId="38009603">
      <w:pPr>
        <w:autoSpaceDE w:val="0"/>
        <w:autoSpaceDN w:val="0"/>
        <w:adjustRightInd w:val="0"/>
        <w:spacing w:line="360" w:lineRule="auto"/>
        <w:ind w:left="639" w:leftChars="-95" w:hanging="838"/>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17 </w:t>
      </w:r>
      <w:r>
        <w:rPr>
          <w:rFonts w:hint="eastAsia" w:ascii="宋体" w:hAnsi="宋体" w:eastAsia="宋体" w:cs="宋体"/>
          <w:b/>
          <w:bCs/>
          <w:color w:val="000000"/>
          <w:szCs w:val="21"/>
          <w:highlight w:val="none"/>
          <w:u w:val="single"/>
          <w:lang w:val="zh-CN"/>
        </w:rPr>
        <w:t>未响应招标文件提出的实质性要求和条件（标注★的条款）</w:t>
      </w:r>
      <w:r>
        <w:rPr>
          <w:rFonts w:hint="eastAsia" w:ascii="宋体" w:hAnsi="宋体" w:eastAsia="宋体" w:cs="宋体"/>
          <w:b/>
          <w:bCs/>
          <w:color w:val="000000"/>
          <w:szCs w:val="21"/>
          <w:highlight w:val="none"/>
          <w:lang w:val="zh-CN"/>
        </w:rPr>
        <w:t>；</w:t>
      </w:r>
    </w:p>
    <w:p w14:paraId="65DE5600">
      <w:pPr>
        <w:autoSpaceDE w:val="0"/>
        <w:autoSpaceDN w:val="0"/>
        <w:adjustRightInd w:val="0"/>
        <w:spacing w:line="360" w:lineRule="auto"/>
        <w:ind w:left="639" w:leftChars="-95" w:hanging="838"/>
        <w:rPr>
          <w:rFonts w:ascii="宋体" w:hAnsi="宋体" w:eastAsia="宋体" w:cs="宋体"/>
          <w:color w:val="auto"/>
          <w:szCs w:val="21"/>
          <w:highlight w:val="none"/>
          <w:lang w:val="zh-CN"/>
        </w:rPr>
      </w:pPr>
      <w:r>
        <w:rPr>
          <w:rFonts w:hint="eastAsia" w:ascii="宋体" w:hAnsi="宋体" w:eastAsia="宋体" w:cs="宋体"/>
          <w:b/>
          <w:bCs/>
          <w:color w:val="000000"/>
          <w:szCs w:val="21"/>
          <w:highlight w:val="none"/>
          <w:lang w:val="zh-CN"/>
        </w:rPr>
        <w:t>26.1.</w:t>
      </w:r>
      <w:r>
        <w:rPr>
          <w:rFonts w:hint="eastAsia" w:ascii="宋体" w:hAnsi="宋体" w:eastAsia="宋体" w:cs="宋体"/>
          <w:b/>
          <w:bCs/>
          <w:color w:val="000000"/>
          <w:szCs w:val="21"/>
          <w:highlight w:val="none"/>
          <w:lang w:val="en-US" w:eastAsia="zh-CN"/>
        </w:rPr>
        <w:t xml:space="preserve">18 </w:t>
      </w:r>
      <w:r>
        <w:rPr>
          <w:rFonts w:hint="eastAsia" w:ascii="宋体" w:hAnsi="宋体" w:eastAsia="宋体" w:cs="宋体"/>
          <w:b/>
          <w:bCs/>
          <w:color w:val="000000"/>
          <w:szCs w:val="21"/>
          <w:highlight w:val="none"/>
          <w:u w:val="single"/>
          <w:lang w:val="zh-CN"/>
        </w:rPr>
        <w:t>属于招标文件中规定为无效标的；属于法律、法规、规章规定的应作无效投标文件处理的</w:t>
      </w:r>
      <w:r>
        <w:rPr>
          <w:rFonts w:hint="eastAsia" w:ascii="宋体" w:hAnsi="宋体" w:eastAsia="宋体" w:cs="宋体"/>
          <w:b/>
          <w:bCs/>
          <w:color w:val="000000"/>
          <w:szCs w:val="21"/>
          <w:highlight w:val="none"/>
          <w:lang w:val="zh-CN"/>
        </w:rPr>
        <w:t>。</w:t>
      </w:r>
    </w:p>
    <w:p w14:paraId="42994C9E">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p>
    <w:p w14:paraId="069A45F0">
      <w:pPr>
        <w:autoSpaceDE w:val="0"/>
        <w:autoSpaceDN w:val="0"/>
        <w:adjustRightInd w:val="0"/>
        <w:spacing w:line="360" w:lineRule="auto"/>
        <w:ind w:left="357" w:leftChars="-100" w:hanging="567"/>
        <w:outlineLvl w:val="2"/>
        <w:rPr>
          <w:rFonts w:hint="eastAsia" w:ascii="宋体" w:hAnsi="宋体" w:eastAsia="宋体" w:cs="宋体"/>
          <w:b/>
          <w:bCs/>
          <w:color w:val="000000"/>
          <w:szCs w:val="21"/>
          <w:highlight w:val="none"/>
          <w:lang w:val="zh-CN"/>
        </w:rPr>
      </w:pPr>
      <w:bookmarkStart w:id="251" w:name="_Toc142508341"/>
      <w:bookmarkStart w:id="252" w:name="_Toc12715"/>
      <w:bookmarkStart w:id="253" w:name="_Toc1525"/>
      <w:bookmarkStart w:id="254" w:name="_Toc486167691"/>
      <w:bookmarkStart w:id="255" w:name="_Toc450662876"/>
      <w:bookmarkStart w:id="256" w:name="_Toc18668"/>
      <w:bookmarkStart w:id="257" w:name="_Toc28910_WPSOffice_Level3"/>
      <w:bookmarkStart w:id="258" w:name="_Toc195714247"/>
      <w:r>
        <w:rPr>
          <w:rFonts w:hint="eastAsia" w:ascii="宋体" w:hAnsi="宋体" w:eastAsia="宋体" w:cs="宋体"/>
          <w:b/>
          <w:bCs/>
          <w:color w:val="000000"/>
          <w:szCs w:val="21"/>
          <w:highlight w:val="none"/>
          <w:lang w:val="zh-CN"/>
        </w:rPr>
        <w:t>27 投标文件的初审</w:t>
      </w:r>
      <w:bookmarkEnd w:id="251"/>
      <w:bookmarkEnd w:id="252"/>
      <w:bookmarkEnd w:id="253"/>
      <w:bookmarkEnd w:id="254"/>
      <w:bookmarkEnd w:id="255"/>
      <w:bookmarkEnd w:id="256"/>
      <w:bookmarkEnd w:id="257"/>
      <w:bookmarkEnd w:id="258"/>
    </w:p>
    <w:p w14:paraId="4E66F418">
      <w:pPr>
        <w:kinsoku/>
        <w:overflowPunct/>
        <w:autoSpaceDE w:val="0"/>
        <w:autoSpaceDN w:val="0"/>
        <w:bidi w:val="0"/>
        <w:adjustRightInd w:val="0"/>
        <w:spacing w:line="360" w:lineRule="auto"/>
        <w:ind w:left="357" w:leftChars="-100" w:hanging="567"/>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4B7CD7E3">
      <w:pPr>
        <w:kinsoku/>
        <w:overflowPunct/>
        <w:autoSpaceDE w:val="0"/>
        <w:autoSpaceDN w:val="0"/>
        <w:bidi w:val="0"/>
        <w:adjustRightInd w:val="0"/>
        <w:spacing w:line="360" w:lineRule="auto"/>
        <w:ind w:left="330" w:leftChars="-100" w:hanging="540"/>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38E253A4">
      <w:pPr>
        <w:kinsoku/>
        <w:overflowPunct/>
        <w:autoSpaceDE w:val="0"/>
        <w:autoSpaceDN w:val="0"/>
        <w:bidi w:val="0"/>
        <w:adjustRightInd w:val="0"/>
        <w:spacing w:line="360" w:lineRule="auto"/>
        <w:ind w:left="330" w:leftChars="-100" w:hanging="540"/>
        <w:outlineLvl w:val="9"/>
        <w:rPr>
          <w:rFonts w:ascii="宋体" w:hAnsi="宋体" w:eastAsia="宋体" w:cs="宋体"/>
          <w:b/>
          <w:color w:val="auto"/>
          <w:szCs w:val="21"/>
          <w:highlight w:val="none"/>
          <w:lang w:val="zh-CN"/>
        </w:rPr>
      </w:pPr>
    </w:p>
    <w:p w14:paraId="7DD7F3AF">
      <w:pPr>
        <w:keepNext w:val="0"/>
        <w:keepLines w:val="0"/>
        <w:pageBreakBefore w:val="0"/>
        <w:widowControl w:val="0"/>
        <w:tabs>
          <w:tab w:val="left" w:pos="52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59" w:name="_Toc450662877"/>
      <w:bookmarkStart w:id="260" w:name="_Toc4837"/>
      <w:bookmarkStart w:id="261" w:name="_Toc195714248"/>
      <w:bookmarkStart w:id="262" w:name="_Toc30225"/>
      <w:bookmarkStart w:id="263" w:name="_Toc338_WPSOffice_Level3"/>
      <w:bookmarkStart w:id="264" w:name="_Toc28664"/>
      <w:bookmarkStart w:id="265" w:name="_Toc142508342"/>
      <w:bookmarkStart w:id="266" w:name="_Toc48616769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59"/>
      <w:bookmarkEnd w:id="260"/>
      <w:bookmarkEnd w:id="261"/>
      <w:bookmarkEnd w:id="262"/>
      <w:bookmarkEnd w:id="263"/>
      <w:bookmarkEnd w:id="264"/>
      <w:bookmarkEnd w:id="265"/>
      <w:bookmarkEnd w:id="266"/>
    </w:p>
    <w:p w14:paraId="7439A795">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A2EA642">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b/>
          <w:bCs/>
          <w:color w:val="auto"/>
          <w:szCs w:val="21"/>
          <w:highlight w:val="none"/>
          <w:u w:val="single"/>
          <w:lang w:val="zh-CN"/>
        </w:rPr>
      </w:pPr>
      <w:bookmarkStart w:id="267"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ascii="宋体" w:hAnsi="宋体" w:eastAsia="宋体" w:cs="宋体"/>
          <w:b/>
          <w:bCs/>
          <w:color w:val="auto"/>
          <w:szCs w:val="21"/>
          <w:highlight w:val="none"/>
          <w:u w:val="single"/>
          <w:lang w:val="zh-CN"/>
        </w:rPr>
        <w:t>因此温馨提示各投标人：编制投标文件时，请认真填写本项目递交投标文件时法定代表人或法定代表人授权书列明的被授权人的联系电话，如招标文件</w:t>
      </w:r>
      <w:r>
        <w:rPr>
          <w:rFonts w:hint="eastAsia" w:ascii="宋体" w:hAnsi="宋体" w:eastAsia="宋体" w:cs="宋体"/>
          <w:b/>
          <w:bCs/>
          <w:color w:val="auto"/>
          <w:szCs w:val="21"/>
          <w:highlight w:val="none"/>
          <w:u w:val="single"/>
          <w:lang w:val="en-US" w:eastAsia="zh-CN"/>
        </w:rPr>
        <w:t>第六篇</w:t>
      </w:r>
      <w:r>
        <w:rPr>
          <w:rFonts w:hint="eastAsia" w:ascii="宋体" w:hAnsi="宋体" w:eastAsia="宋体" w:cs="宋体"/>
          <w:b/>
          <w:bCs/>
          <w:color w:val="auto"/>
          <w:szCs w:val="21"/>
          <w:highlight w:val="none"/>
          <w:u w:val="single"/>
          <w:lang w:val="zh-CN"/>
        </w:rPr>
        <w:t>投标文件格式“投标函”</w:t>
      </w:r>
      <w:r>
        <w:rPr>
          <w:rFonts w:hint="eastAsia" w:ascii="宋体" w:hAnsi="宋体" w:eastAsia="宋体" w:cs="宋体"/>
          <w:b/>
          <w:bCs/>
          <w:color w:val="auto"/>
          <w:szCs w:val="21"/>
          <w:highlight w:val="none"/>
          <w:u w:val="single"/>
          <w:lang w:val="en-US" w:eastAsia="zh-CN"/>
        </w:rPr>
        <w:t>和“法定代表人授权书”</w:t>
      </w:r>
      <w:r>
        <w:rPr>
          <w:rFonts w:hint="eastAsia" w:ascii="宋体" w:hAnsi="宋体" w:eastAsia="宋体" w:cs="宋体"/>
          <w:b/>
          <w:bCs/>
          <w:color w:val="auto"/>
          <w:szCs w:val="21"/>
          <w:highlight w:val="none"/>
          <w:u w:val="single"/>
          <w:lang w:val="zh-CN"/>
        </w:rPr>
        <w:t>中的</w:t>
      </w:r>
      <w:r>
        <w:rPr>
          <w:rFonts w:hint="eastAsia" w:ascii="宋体" w:hAnsi="宋体" w:eastAsia="宋体" w:cs="宋体"/>
          <w:b/>
          <w:bCs/>
          <w:color w:val="auto"/>
          <w:szCs w:val="21"/>
          <w:highlight w:val="none"/>
          <w:u w:val="single"/>
          <w:lang w:val="en-US" w:eastAsia="zh-CN"/>
        </w:rPr>
        <w:t>联系方式及电子邮箱</w:t>
      </w:r>
      <w:r>
        <w:rPr>
          <w:rFonts w:hint="eastAsia" w:ascii="宋体" w:hAnsi="宋体" w:eastAsia="宋体" w:cs="宋体"/>
          <w:b/>
          <w:bCs/>
          <w:color w:val="auto"/>
          <w:szCs w:val="21"/>
          <w:highlight w:val="none"/>
          <w:u w:val="single"/>
          <w:lang w:val="zh-CN"/>
        </w:rPr>
        <w:t>，以便能及时收到澄清通知。</w:t>
      </w:r>
    </w:p>
    <w:p w14:paraId="1726CA19">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p>
    <w:bookmarkEnd w:id="267"/>
    <w:p w14:paraId="61FFBEC0">
      <w:pPr>
        <w:keepNext w:val="0"/>
        <w:keepLines w:val="0"/>
        <w:pageBreakBefore w:val="0"/>
        <w:widowControl w:val="0"/>
        <w:tabs>
          <w:tab w:val="left" w:pos="52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68" w:name="_Toc22065"/>
      <w:bookmarkStart w:id="269" w:name="_Toc521918096"/>
      <w:bookmarkStart w:id="270" w:name="_Toc142508343"/>
      <w:bookmarkStart w:id="271" w:name="_Toc18368_WPSOffice_Level3"/>
      <w:bookmarkStart w:id="272" w:name="_Toc10967"/>
      <w:bookmarkStart w:id="273" w:name="_Toc16580"/>
      <w:bookmarkStart w:id="274" w:name="_Toc195714249"/>
      <w:bookmarkStart w:id="275" w:name="_Toc52204735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68"/>
      <w:bookmarkEnd w:id="269"/>
      <w:bookmarkEnd w:id="270"/>
      <w:bookmarkEnd w:id="271"/>
      <w:bookmarkEnd w:id="272"/>
      <w:bookmarkEnd w:id="273"/>
      <w:bookmarkEnd w:id="274"/>
      <w:bookmarkEnd w:id="275"/>
    </w:p>
    <w:p w14:paraId="4275A829">
      <w:pPr>
        <w:tabs>
          <w:tab w:val="left" w:pos="540"/>
        </w:tabs>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45B3571D">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6E52DB8B">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9B8C10E">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D14DE25">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根据上述商务、技术综合评价的权重分配计算出各投标人的综合得分。</w:t>
      </w:r>
    </w:p>
    <w:p w14:paraId="32184631">
      <w:pPr>
        <w:tabs>
          <w:tab w:val="left" w:pos="567"/>
        </w:tabs>
        <w:kinsoku/>
        <w:overflowPunct/>
        <w:autoSpaceDE w:val="0"/>
        <w:autoSpaceDN w:val="0"/>
        <w:bidi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276" w:name="_Toc521918097"/>
      <w:bookmarkStart w:id="277" w:name="_Toc522047356"/>
    </w:p>
    <w:p w14:paraId="3044007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78" w:name="_Toc14804"/>
      <w:bookmarkStart w:id="279" w:name="_Toc28500"/>
      <w:bookmarkStart w:id="280" w:name="_Toc21460_WPSOffice_Level3"/>
      <w:bookmarkStart w:id="281" w:name="_Toc195714250"/>
      <w:bookmarkStart w:id="282" w:name="_Toc142508344"/>
      <w:bookmarkStart w:id="283" w:name="_Toc27026"/>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76"/>
      <w:bookmarkEnd w:id="277"/>
      <w:bookmarkEnd w:id="278"/>
      <w:bookmarkEnd w:id="279"/>
      <w:bookmarkEnd w:id="280"/>
      <w:bookmarkEnd w:id="281"/>
      <w:bookmarkEnd w:id="282"/>
      <w:bookmarkEnd w:id="283"/>
    </w:p>
    <w:p w14:paraId="6F3EF256">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对所有投标文件的评审，都采用相同的程序和标准。按步骤先进行初步评审，再进行商务、技术评审。</w:t>
      </w:r>
    </w:p>
    <w:p w14:paraId="20D68044">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p>
    <w:p w14:paraId="0E366844">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4CFD931">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.3 </w:t>
      </w:r>
      <w:r>
        <w:rPr>
          <w:rFonts w:hint="eastAsia" w:ascii="宋体" w:hAnsi="宋体" w:eastAsia="宋体" w:cs="宋体"/>
          <w:b/>
          <w:bCs/>
          <w:color w:val="000000"/>
          <w:szCs w:val="21"/>
          <w:highlight w:val="none"/>
          <w:u w:val="single"/>
          <w:lang w:val="zh-CN"/>
        </w:rPr>
        <w:t>若</w:t>
      </w:r>
      <w:r>
        <w:rPr>
          <w:rFonts w:hint="eastAsia" w:ascii="宋体" w:hAnsi="宋体" w:eastAsia="宋体" w:cs="宋体"/>
          <w:b/>
          <w:bCs/>
          <w:color w:val="000000"/>
          <w:szCs w:val="21"/>
          <w:highlight w:val="none"/>
          <w:u w:val="single"/>
        </w:rPr>
        <w:t>本次招标过程单个</w:t>
      </w:r>
      <w:r>
        <w:rPr>
          <w:rFonts w:hint="eastAsia" w:ascii="宋体" w:hAnsi="宋体" w:eastAsia="宋体" w:cs="宋体"/>
          <w:b/>
          <w:bCs/>
          <w:color w:val="000000"/>
          <w:szCs w:val="21"/>
          <w:highlight w:val="none"/>
          <w:u w:val="single"/>
          <w:lang w:val="en-US" w:eastAsia="zh-CN"/>
        </w:rPr>
        <w:t>标段</w:t>
      </w:r>
      <w:r>
        <w:rPr>
          <w:rFonts w:hint="eastAsia" w:ascii="宋体" w:hAnsi="宋体" w:eastAsia="宋体" w:cs="宋体"/>
          <w:b/>
          <w:bCs/>
          <w:color w:val="000000"/>
          <w:szCs w:val="21"/>
          <w:highlight w:val="none"/>
          <w:u w:val="single"/>
        </w:rPr>
        <w:t>中有效投标人不足三个时，对应</w:t>
      </w:r>
      <w:r>
        <w:rPr>
          <w:rFonts w:hint="eastAsia" w:ascii="宋体" w:hAnsi="宋体" w:eastAsia="宋体" w:cs="宋体"/>
          <w:b/>
          <w:bCs/>
          <w:color w:val="000000"/>
          <w:szCs w:val="21"/>
          <w:highlight w:val="none"/>
          <w:u w:val="single"/>
          <w:lang w:val="en-US" w:eastAsia="zh-CN"/>
        </w:rPr>
        <w:t>标段</w:t>
      </w:r>
      <w:r>
        <w:rPr>
          <w:rFonts w:hint="eastAsia" w:ascii="宋体" w:hAnsi="宋体" w:eastAsia="宋体" w:cs="宋体"/>
          <w:b/>
          <w:bCs/>
          <w:color w:val="000000"/>
          <w:szCs w:val="21"/>
          <w:highlight w:val="none"/>
          <w:u w:val="single"/>
        </w:rPr>
        <w:t>公开招标失败。</w:t>
      </w:r>
    </w:p>
    <w:p w14:paraId="0ABB3A61">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p>
    <w:p w14:paraId="383DA343">
      <w:pPr>
        <w:keepNext w:val="0"/>
        <w:keepLines w:val="0"/>
        <w:pageBreakBefore w:val="0"/>
        <w:widowControl w:val="0"/>
        <w:tabs>
          <w:tab w:val="left" w:pos="52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84" w:name="_Toc142508345"/>
      <w:bookmarkStart w:id="285" w:name="_Toc11615"/>
      <w:bookmarkStart w:id="286" w:name="_Toc32498_WPSOffice_Level3"/>
      <w:bookmarkStart w:id="287" w:name="_Toc195714251"/>
      <w:bookmarkStart w:id="288" w:name="_Toc465358969"/>
      <w:bookmarkStart w:id="289" w:name="_Toc486167694"/>
      <w:bookmarkStart w:id="290" w:name="_Toc22653"/>
      <w:bookmarkStart w:id="291" w:name="_Toc4819"/>
      <w:bookmarkStart w:id="292" w:name="_Toc466882017"/>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84"/>
      <w:bookmarkEnd w:id="285"/>
      <w:bookmarkEnd w:id="286"/>
      <w:bookmarkEnd w:id="287"/>
      <w:bookmarkEnd w:id="288"/>
      <w:bookmarkEnd w:id="289"/>
      <w:bookmarkEnd w:id="290"/>
      <w:bookmarkEnd w:id="291"/>
      <w:bookmarkEnd w:id="292"/>
    </w:p>
    <w:p w14:paraId="34F1F3B9">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0323CFFF">
      <w:pPr>
        <w:kinsoku/>
        <w:overflowPunct/>
        <w:autoSpaceDE w:val="0"/>
        <w:autoSpaceDN w:val="0"/>
        <w:bidi w:val="0"/>
        <w:adjustRightInd w:val="0"/>
        <w:snapToGrid w:val="0"/>
        <w:spacing w:line="360" w:lineRule="auto"/>
        <w:ind w:left="210" w:leftChars="100" w:firstLine="525" w:firstLineChars="250"/>
        <w:jc w:val="left"/>
        <w:outlineLvl w:val="9"/>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6E30006">
      <w:pPr>
        <w:autoSpaceDE w:val="0"/>
        <w:autoSpaceDN w:val="0"/>
        <w:adjustRightInd w:val="0"/>
        <w:spacing w:line="360" w:lineRule="auto"/>
        <w:ind w:left="284" w:hanging="568"/>
        <w:jc w:val="left"/>
        <w:rPr>
          <w:rFonts w:hint="eastAsia" w:ascii="宋体" w:hAnsi="宋体" w:eastAsia="宋体" w:cs="宋体"/>
          <w:b/>
          <w:color w:val="000000"/>
          <w:szCs w:val="21"/>
          <w:highlight w:val="none"/>
          <w:u w:val="single"/>
          <w:lang w:val="zh-CN"/>
        </w:rPr>
      </w:pPr>
      <w:r>
        <w:rPr>
          <w:rFonts w:hint="eastAsia" w:ascii="宋体" w:hAnsi="宋体" w:eastAsia="宋体" w:cs="Times New Roman"/>
          <w:b/>
          <w:color w:val="auto"/>
          <w:szCs w:val="21"/>
          <w:highlight w:val="none"/>
        </w:rPr>
        <w:t xml:space="preserve">31.2 </w:t>
      </w:r>
      <w:r>
        <w:rPr>
          <w:rFonts w:hint="eastAsia" w:ascii="宋体" w:hAnsi="宋体" w:eastAsia="宋体" w:cs="宋体"/>
          <w:b/>
          <w:color w:val="000000"/>
          <w:szCs w:val="21"/>
          <w:highlight w:val="none"/>
          <w:u w:val="single"/>
          <w:lang w:val="zh-CN"/>
        </w:rPr>
        <w:t>结果公示后，招标人有权要求中标候选人在结果公示之日起</w:t>
      </w:r>
      <w:r>
        <w:rPr>
          <w:rFonts w:hint="eastAsia" w:ascii="宋体" w:hAnsi="宋体" w:eastAsia="宋体" w:cs="Times New Roman"/>
          <w:b/>
          <w:color w:val="000000"/>
          <w:szCs w:val="21"/>
          <w:highlight w:val="none"/>
          <w:u w:val="single"/>
          <w:lang w:val="zh-CN"/>
        </w:rPr>
        <w:t>3日（最后一日是节假日或公休日的，应顺延到节假日或公休日后第一个工作日）</w:t>
      </w:r>
      <w:r>
        <w:rPr>
          <w:rFonts w:hint="eastAsia" w:ascii="宋体" w:hAnsi="宋体" w:eastAsia="宋体" w:cs="宋体"/>
          <w:b/>
          <w:color w:val="000000"/>
          <w:szCs w:val="21"/>
          <w:highlight w:val="none"/>
          <w:u w:val="singl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r>
        <w:rPr>
          <w:rFonts w:hint="eastAsia" w:ascii="宋体" w:hAnsi="宋体" w:eastAsia="宋体" w:cs="宋体"/>
          <w:b/>
          <w:color w:val="000000"/>
          <w:szCs w:val="21"/>
          <w:highlight w:val="none"/>
          <w:lang w:val="zh-CN"/>
        </w:rPr>
        <w:t>。</w:t>
      </w:r>
    </w:p>
    <w:p w14:paraId="50E69C46">
      <w:pPr>
        <w:kinsoku/>
        <w:overflowPunct/>
        <w:autoSpaceDE w:val="0"/>
        <w:autoSpaceDN w:val="0"/>
        <w:bidi w:val="0"/>
        <w:adjustRightInd w:val="0"/>
        <w:snapToGrid w:val="0"/>
        <w:spacing w:line="360" w:lineRule="auto"/>
        <w:ind w:left="246" w:leftChars="117" w:firstLine="422" w:firstLineChars="200"/>
        <w:jc w:val="left"/>
        <w:outlineLvl w:val="9"/>
        <w:rPr>
          <w:rFonts w:ascii="宋体" w:hAnsi="宋体" w:eastAsia="宋体" w:cs="Times New Roman"/>
          <w:b/>
          <w:color w:val="auto"/>
          <w:szCs w:val="21"/>
          <w:highlight w:val="none"/>
          <w:lang w:val="zh-CN"/>
        </w:rPr>
      </w:pPr>
      <w:r>
        <w:rPr>
          <w:rFonts w:hint="eastAsia" w:ascii="宋体" w:hAnsi="宋体" w:eastAsia="宋体" w:cs="宋体"/>
          <w:b/>
          <w:color w:val="000000"/>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000000"/>
          <w:kern w:val="0"/>
          <w:szCs w:val="21"/>
          <w:highlight w:val="none"/>
          <w:u w:val="singl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000000"/>
          <w:szCs w:val="21"/>
          <w:highlight w:val="none"/>
          <w:u w:val="single"/>
          <w:lang w:val="zh-CN"/>
        </w:rPr>
        <w:t>，视为其无法提供真实的资料，招标人有权取消其中标候选人资格</w:t>
      </w:r>
      <w:r>
        <w:rPr>
          <w:rFonts w:hint="eastAsia" w:ascii="宋体" w:hAnsi="宋体" w:eastAsia="宋体" w:cs="Times New Roman"/>
          <w:b/>
          <w:color w:val="auto"/>
          <w:szCs w:val="21"/>
          <w:highlight w:val="none"/>
          <w:lang w:val="zh-CN"/>
        </w:rPr>
        <w:t>。</w:t>
      </w:r>
    </w:p>
    <w:p w14:paraId="656F663E">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BDF3505">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AC808C6">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709F42B">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0F0CAA6">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55DD4DE">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383D244">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E11B325">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31B1AF41">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5E660232">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bookmarkStart w:id="293" w:name="OLE_LINK4"/>
      <w:r>
        <w:rPr>
          <w:rFonts w:hint="eastAsia" w:ascii="宋体" w:hAnsi="宋体" w:eastAsia="宋体" w:cs="宋体"/>
          <w:color w:val="auto"/>
          <w:szCs w:val="21"/>
          <w:highlight w:val="none"/>
          <w:lang w:val="zh-CN"/>
        </w:rPr>
        <w:t>监督部门：东莞市水务环境投资控股集团有限公司，联系人：莫先生，联系电话：0769-22293252</w:t>
      </w:r>
      <w:bookmarkEnd w:id="293"/>
      <w:r>
        <w:rPr>
          <w:rFonts w:hint="eastAsia" w:ascii="宋体" w:hAnsi="宋体" w:eastAsia="宋体" w:cs="宋体"/>
          <w:color w:val="auto"/>
          <w:szCs w:val="21"/>
          <w:highlight w:val="none"/>
          <w:lang w:val="zh-CN"/>
        </w:rPr>
        <w:t>。</w:t>
      </w:r>
    </w:p>
    <w:p w14:paraId="7094E158">
      <w:pPr>
        <w:kinsoku/>
        <w:overflowPunct/>
        <w:autoSpaceDE w:val="0"/>
        <w:autoSpaceDN w:val="0"/>
        <w:bidi w:val="0"/>
        <w:adjustRightInd w:val="0"/>
        <w:snapToGrid w:val="0"/>
        <w:spacing w:line="360" w:lineRule="auto"/>
        <w:ind w:left="296" w:leftChars="100" w:hanging="86" w:hangingChars="41"/>
        <w:jc w:val="left"/>
        <w:outlineLvl w:val="9"/>
        <w:rPr>
          <w:rFonts w:ascii="宋体" w:hAnsi="宋体" w:eastAsia="宋体" w:cs="宋体"/>
          <w:color w:val="auto"/>
          <w:szCs w:val="21"/>
          <w:highlight w:val="none"/>
          <w:lang w:val="zh-CN"/>
        </w:rPr>
      </w:pPr>
    </w:p>
    <w:p w14:paraId="170BF8E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288" w:leftChars="-100" w:hanging="498" w:hangingChars="236"/>
        <w:textAlignment w:val="auto"/>
        <w:outlineLvl w:val="2"/>
        <w:rPr>
          <w:rFonts w:ascii="宋体" w:hAnsi="宋体" w:eastAsia="宋体" w:cs="宋体"/>
          <w:b/>
          <w:color w:val="auto"/>
          <w:szCs w:val="21"/>
          <w:highlight w:val="none"/>
          <w:lang w:val="zh-CN"/>
        </w:rPr>
      </w:pPr>
      <w:bookmarkStart w:id="294" w:name="_Toc195714252"/>
      <w:bookmarkStart w:id="295" w:name="_Toc142508346"/>
      <w:bookmarkStart w:id="296" w:name="_Toc30565"/>
      <w:bookmarkStart w:id="297" w:name="_Toc465358970"/>
      <w:bookmarkStart w:id="298" w:name="_Toc486167695"/>
      <w:bookmarkStart w:id="299" w:name="_Toc3154"/>
      <w:bookmarkStart w:id="300" w:name="_Toc1848_WPSOffice_Level3"/>
      <w:bookmarkStart w:id="301" w:name="_Toc26354"/>
      <w:bookmarkStart w:id="302" w:name="_Toc466882018"/>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294"/>
      <w:bookmarkEnd w:id="295"/>
      <w:bookmarkEnd w:id="296"/>
      <w:bookmarkEnd w:id="297"/>
      <w:bookmarkEnd w:id="298"/>
      <w:bookmarkEnd w:id="299"/>
      <w:bookmarkEnd w:id="300"/>
      <w:bookmarkEnd w:id="301"/>
      <w:bookmarkEnd w:id="302"/>
    </w:p>
    <w:p w14:paraId="18851B4F">
      <w:pPr>
        <w:autoSpaceDE w:val="0"/>
        <w:autoSpaceDN w:val="0"/>
        <w:adjustRightInd w:val="0"/>
        <w:snapToGrid w:val="0"/>
        <w:spacing w:line="360" w:lineRule="auto"/>
        <w:ind w:left="321" w:leftChars="-100" w:hanging="531" w:hangingChars="252"/>
        <w:jc w:val="left"/>
        <w:rPr>
          <w:rFonts w:hint="eastAsia" w:ascii="宋体" w:hAnsi="宋体" w:eastAsia="宋体" w:cs="宋体"/>
          <w:b/>
          <w:color w:val="000000"/>
          <w:szCs w:val="21"/>
          <w:highlight w:val="none"/>
        </w:rPr>
      </w:pPr>
      <w:r>
        <w:rPr>
          <w:rFonts w:hint="eastAsia" w:ascii="宋体" w:hAnsi="宋体" w:eastAsia="宋体" w:cs="宋体"/>
          <w:b/>
          <w:color w:val="auto"/>
          <w:szCs w:val="21"/>
          <w:highlight w:val="none"/>
        </w:rPr>
        <w:t xml:space="preserve">32.1 </w:t>
      </w:r>
      <w:r>
        <w:rPr>
          <w:rFonts w:hint="eastAsia" w:ascii="宋体" w:hAnsi="宋体" w:eastAsia="宋体" w:cs="宋体"/>
          <w:b/>
          <w:color w:val="000000"/>
          <w:szCs w:val="21"/>
          <w:highlight w:val="none"/>
          <w:u w:val="single"/>
        </w:rPr>
        <w:t>在</w:t>
      </w:r>
      <w:r>
        <w:rPr>
          <w:rFonts w:hint="eastAsia" w:ascii="宋体" w:hAnsi="宋体" w:eastAsia="宋体" w:cs="宋体"/>
          <w:b/>
          <w:color w:val="000000"/>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000000"/>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eastAsia="宋体" w:cs="宋体"/>
          <w:b/>
          <w:color w:val="000000"/>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szCs w:val="21"/>
          <w:highlight w:val="none"/>
        </w:rPr>
        <w:t>。</w:t>
      </w:r>
    </w:p>
    <w:p w14:paraId="49CB98E5">
      <w:pPr>
        <w:autoSpaceDE w:val="0"/>
        <w:autoSpaceDN w:val="0"/>
        <w:adjustRightInd w:val="0"/>
        <w:snapToGrid w:val="0"/>
        <w:spacing w:line="360" w:lineRule="auto"/>
        <w:ind w:left="321" w:leftChars="-100" w:hanging="531" w:hangingChars="252"/>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32</w:t>
      </w:r>
      <w:r>
        <w:rPr>
          <w:rFonts w:hint="eastAsia" w:ascii="宋体" w:hAnsi="宋体" w:eastAsia="宋体" w:cs="宋体"/>
          <w:b/>
          <w:color w:val="000000"/>
          <w:szCs w:val="21"/>
          <w:highlight w:val="none"/>
        </w:rPr>
        <w:t xml:space="preserve">.2 </w:t>
      </w:r>
      <w:r>
        <w:rPr>
          <w:rFonts w:hint="eastAsia" w:ascii="宋体" w:hAnsi="宋体" w:eastAsia="宋体" w:cs="宋体"/>
          <w:b/>
          <w:color w:val="000000"/>
          <w:szCs w:val="21"/>
          <w:highlight w:val="none"/>
          <w:u w:val="single"/>
        </w:rPr>
        <w:t>投标人</w:t>
      </w:r>
      <w:r>
        <w:rPr>
          <w:rFonts w:hint="eastAsia" w:ascii="宋体" w:hAnsi="宋体" w:eastAsia="宋体" w:cs="宋体"/>
          <w:b/>
          <w:color w:val="000000"/>
          <w:kern w:val="0"/>
          <w:szCs w:val="21"/>
          <w:highlight w:val="none"/>
          <w:u w:val="single"/>
        </w:rPr>
        <w:t>在招标人（或其委托的招标代理机构）、或评标委员会通知其提供</w:t>
      </w:r>
      <w:r>
        <w:rPr>
          <w:rFonts w:hint="eastAsia" w:ascii="宋体" w:hAnsi="宋体" w:eastAsia="宋体" w:cs="宋体"/>
          <w:b/>
          <w:color w:val="000000"/>
          <w:szCs w:val="21"/>
          <w:highlight w:val="none"/>
          <w:u w:val="single"/>
          <w:lang w:val="zh-CN"/>
        </w:rPr>
        <w:t>上述投标文件或投标文件外其他相关（包括但不限于业绩合同对应的发票等）的证明资料原件</w:t>
      </w:r>
      <w:r>
        <w:rPr>
          <w:rFonts w:hint="eastAsia" w:ascii="宋体" w:hAnsi="宋体" w:eastAsia="宋体" w:cs="宋体"/>
          <w:b/>
          <w:color w:val="000000"/>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szCs w:val="21"/>
          <w:highlight w:val="none"/>
        </w:rPr>
        <w:t>。</w:t>
      </w:r>
    </w:p>
    <w:p w14:paraId="030F58F1">
      <w:pPr>
        <w:kinsoku/>
        <w:overflowPunct/>
        <w:autoSpaceDE w:val="0"/>
        <w:autoSpaceDN w:val="0"/>
        <w:bidi w:val="0"/>
        <w:adjustRightInd w:val="0"/>
        <w:snapToGrid w:val="0"/>
        <w:spacing w:line="360" w:lineRule="auto"/>
        <w:ind w:left="321" w:leftChars="-100" w:hanging="531" w:hangingChars="252"/>
        <w:jc w:val="left"/>
        <w:outlineLvl w:val="9"/>
        <w:rPr>
          <w:rFonts w:ascii="宋体" w:hAnsi="宋体" w:eastAsia="宋体" w:cs="宋体"/>
          <w:b/>
          <w:color w:val="auto"/>
          <w:szCs w:val="21"/>
          <w:highlight w:val="none"/>
        </w:rPr>
      </w:pPr>
      <w:r>
        <w:rPr>
          <w:rFonts w:hint="eastAsia" w:ascii="宋体" w:hAnsi="宋体" w:eastAsia="宋体" w:cs="宋体"/>
          <w:b/>
          <w:color w:val="000000"/>
          <w:szCs w:val="21"/>
          <w:highlight w:val="none"/>
          <w:lang w:val="en-US" w:eastAsia="zh-CN"/>
        </w:rPr>
        <w:t>32</w:t>
      </w:r>
      <w:r>
        <w:rPr>
          <w:rFonts w:hint="eastAsia" w:ascii="宋体" w:hAnsi="宋体" w:eastAsia="宋体" w:cs="宋体"/>
          <w:b/>
          <w:color w:val="000000"/>
          <w:szCs w:val="21"/>
          <w:highlight w:val="none"/>
        </w:rPr>
        <w:t xml:space="preserve">.3 </w:t>
      </w:r>
      <w:r>
        <w:rPr>
          <w:rFonts w:hint="eastAsia" w:ascii="宋体" w:hAnsi="宋体" w:eastAsia="宋体" w:cs="宋体"/>
          <w:b/>
          <w:color w:val="000000"/>
          <w:szCs w:val="21"/>
          <w:highlight w:val="none"/>
          <w:u w:val="single"/>
        </w:rPr>
        <w:t>若投标人在投标或履约过程中存在提供虚假材料、虚假响应招标文件要求等弄虚作假行为，或未能根据本须知</w:t>
      </w:r>
      <w:r>
        <w:rPr>
          <w:rFonts w:hint="eastAsia" w:ascii="宋体" w:hAnsi="宋体" w:eastAsia="宋体" w:cs="宋体"/>
          <w:b/>
          <w:color w:val="000000"/>
          <w:szCs w:val="21"/>
          <w:highlight w:val="none"/>
          <w:u w:val="single"/>
          <w:lang w:val="en-US" w:eastAsia="zh-CN"/>
        </w:rPr>
        <w:t>31</w:t>
      </w:r>
      <w:r>
        <w:rPr>
          <w:rFonts w:hint="eastAsia" w:ascii="宋体" w:hAnsi="宋体" w:eastAsia="宋体" w:cs="宋体"/>
          <w:b/>
          <w:color w:val="000000"/>
          <w:szCs w:val="21"/>
          <w:highlight w:val="none"/>
          <w:u w:val="single"/>
        </w:rPr>
        <w:t>.2款约定按时提供原件进行核查的，或不按照投标文件承诺履约或撤回投标或放弃中标资格或不按要求与招标人签订合同等影响中标结果的行为，因此导致投标人无法参与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color w:val="000000"/>
          <w:szCs w:val="21"/>
          <w:highlight w:val="none"/>
          <w:u w:val="single"/>
          <w:lang w:eastAsia="zh-CN"/>
        </w:rPr>
        <w:t>东莞市水务环境投资控股集团有限公司</w:t>
      </w:r>
      <w:r>
        <w:rPr>
          <w:rFonts w:hint="eastAsia" w:ascii="宋体" w:hAnsi="宋体" w:eastAsia="宋体" w:cs="宋体"/>
          <w:b/>
          <w:color w:val="000000"/>
          <w:szCs w:val="21"/>
          <w:highlight w:val="none"/>
          <w:u w:val="single"/>
        </w:rPr>
        <w:t>相关招标采购等活动的，由投标人自行承担全部后果</w:t>
      </w:r>
      <w:r>
        <w:rPr>
          <w:rFonts w:hint="eastAsia" w:ascii="宋体" w:hAnsi="宋体" w:eastAsia="宋体" w:cs="宋体"/>
          <w:b/>
          <w:color w:val="auto"/>
          <w:szCs w:val="21"/>
          <w:highlight w:val="none"/>
        </w:rPr>
        <w:t>。</w:t>
      </w:r>
    </w:p>
    <w:p w14:paraId="5BC382AE">
      <w:pPr>
        <w:kinsoku/>
        <w:overflowPunct/>
        <w:autoSpaceDE w:val="0"/>
        <w:autoSpaceDN w:val="0"/>
        <w:bidi w:val="0"/>
        <w:adjustRightInd w:val="0"/>
        <w:snapToGrid w:val="0"/>
        <w:spacing w:line="360" w:lineRule="auto"/>
        <w:jc w:val="left"/>
        <w:outlineLvl w:val="9"/>
        <w:rPr>
          <w:rFonts w:ascii="宋体" w:hAnsi="宋体" w:eastAsia="宋体" w:cs="宋体"/>
          <w:color w:val="auto"/>
          <w:szCs w:val="21"/>
          <w:highlight w:val="none"/>
        </w:rPr>
      </w:pPr>
      <w:bookmarkStart w:id="303" w:name="_Toc465358971"/>
      <w:bookmarkStart w:id="304" w:name="_Toc466882019"/>
    </w:p>
    <w:p w14:paraId="642C572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16" w:leftChars="-59" w:hanging="140" w:hangingChars="67"/>
        <w:textAlignment w:val="auto"/>
        <w:outlineLvl w:val="2"/>
        <w:rPr>
          <w:rFonts w:ascii="宋体" w:hAnsi="宋体" w:eastAsia="宋体" w:cs="宋体"/>
          <w:color w:val="auto"/>
          <w:szCs w:val="21"/>
          <w:highlight w:val="none"/>
          <w:lang w:val="zh-CN"/>
        </w:rPr>
      </w:pPr>
      <w:bookmarkStart w:id="305" w:name="_Toc10867_WPSOffice_Level3"/>
      <w:bookmarkStart w:id="306" w:name="_Toc486167696"/>
      <w:bookmarkStart w:id="307" w:name="_Toc8654"/>
      <w:bookmarkStart w:id="308" w:name="_Toc142508347"/>
      <w:bookmarkStart w:id="309" w:name="_Toc8371"/>
      <w:bookmarkStart w:id="310" w:name="_Toc195714253"/>
      <w:bookmarkStart w:id="311" w:name="_Toc23672"/>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03"/>
      <w:bookmarkEnd w:id="304"/>
      <w:bookmarkEnd w:id="305"/>
      <w:bookmarkEnd w:id="306"/>
      <w:bookmarkEnd w:id="307"/>
      <w:bookmarkEnd w:id="308"/>
      <w:bookmarkEnd w:id="309"/>
      <w:bookmarkEnd w:id="310"/>
      <w:bookmarkEnd w:id="311"/>
    </w:p>
    <w:p w14:paraId="102D7E5C">
      <w:pPr>
        <w:kinsoku/>
        <w:overflowPunct/>
        <w:autoSpaceDE w:val="0"/>
        <w:autoSpaceDN w:val="0"/>
        <w:bidi w:val="0"/>
        <w:adjustRightInd w:val="0"/>
        <w:spacing w:line="360" w:lineRule="auto"/>
        <w:ind w:left="248" w:leftChars="118" w:firstLine="1"/>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1113BEB">
      <w:pPr>
        <w:kinsoku/>
        <w:overflowPunct/>
        <w:autoSpaceDE w:val="0"/>
        <w:autoSpaceDN w:val="0"/>
        <w:bidi w:val="0"/>
        <w:adjustRightInd w:val="0"/>
        <w:snapToGrid w:val="0"/>
        <w:spacing w:line="360" w:lineRule="auto"/>
        <w:ind w:left="436" w:leftChars="-158" w:hanging="768" w:hangingChars="320"/>
        <w:jc w:val="left"/>
        <w:outlineLvl w:val="9"/>
        <w:rPr>
          <w:rFonts w:ascii="宋体" w:hAnsi="宋体" w:eastAsia="宋体" w:cs="宋体"/>
          <w:color w:val="auto"/>
          <w:kern w:val="44"/>
          <w:sz w:val="24"/>
          <w:szCs w:val="24"/>
          <w:highlight w:val="none"/>
          <w:lang w:val="zh-CN"/>
        </w:rPr>
      </w:pPr>
      <w:bookmarkStart w:id="312" w:name="_Toc450662880"/>
    </w:p>
    <w:p w14:paraId="4F0F2045">
      <w:pPr>
        <w:keepNext/>
        <w:keepLines/>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313" w:name="_Toc142508348"/>
      <w:bookmarkStart w:id="314" w:name="_Toc4904"/>
      <w:bookmarkStart w:id="315" w:name="_Toc486167697"/>
      <w:bookmarkStart w:id="316" w:name="_Toc16848_WPSOffice_Level2"/>
      <w:bookmarkStart w:id="317" w:name="_Toc27936"/>
      <w:bookmarkStart w:id="318" w:name="_Toc16789"/>
      <w:bookmarkStart w:id="319" w:name="_Toc195714254"/>
      <w:bookmarkStart w:id="320" w:name="_Toc140596907"/>
      <w:r>
        <w:rPr>
          <w:rFonts w:hint="eastAsia" w:ascii="宋体" w:hAnsi="宋体" w:eastAsia="宋体" w:cs="宋体"/>
          <w:b/>
          <w:bCs/>
          <w:color w:val="auto"/>
          <w:kern w:val="44"/>
          <w:szCs w:val="21"/>
          <w:highlight w:val="none"/>
          <w:lang w:val="zh-CN"/>
        </w:rPr>
        <w:t>六、授予合同</w:t>
      </w:r>
      <w:bookmarkEnd w:id="312"/>
      <w:bookmarkEnd w:id="313"/>
      <w:bookmarkEnd w:id="314"/>
      <w:bookmarkEnd w:id="315"/>
      <w:bookmarkEnd w:id="316"/>
      <w:bookmarkEnd w:id="317"/>
      <w:bookmarkEnd w:id="318"/>
      <w:bookmarkEnd w:id="319"/>
      <w:bookmarkEnd w:id="320"/>
    </w:p>
    <w:p w14:paraId="01858B5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21" w:name="_Toc450662881"/>
      <w:bookmarkStart w:id="322" w:name="_Toc6401_WPSOffice_Level3"/>
      <w:bookmarkStart w:id="323" w:name="_Toc29383"/>
      <w:bookmarkStart w:id="324" w:name="_Toc31713"/>
      <w:bookmarkStart w:id="325" w:name="_Toc195714255"/>
      <w:bookmarkStart w:id="326" w:name="_Toc486167698"/>
      <w:bookmarkStart w:id="327" w:name="_Toc12122"/>
      <w:bookmarkStart w:id="328" w:name="_Toc142508349"/>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21"/>
      <w:bookmarkEnd w:id="322"/>
      <w:bookmarkEnd w:id="323"/>
      <w:bookmarkEnd w:id="324"/>
      <w:bookmarkEnd w:id="325"/>
      <w:bookmarkEnd w:id="326"/>
      <w:bookmarkEnd w:id="327"/>
      <w:bookmarkEnd w:id="328"/>
    </w:p>
    <w:p w14:paraId="48544832">
      <w:pPr>
        <w:tabs>
          <w:tab w:val="left" w:pos="645"/>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642C627D">
      <w:pPr>
        <w:numPr>
          <w:ilvl w:val="1"/>
          <w:numId w:val="0"/>
        </w:numPr>
        <w:tabs>
          <w:tab w:val="left" w:pos="54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34</w:t>
      </w:r>
      <w:r>
        <w:rPr>
          <w:rFonts w:hint="eastAsia" w:ascii="宋体" w:hAnsi="宋体" w:eastAsia="宋体" w:cs="宋体"/>
          <w:b/>
          <w:bCs/>
          <w:color w:val="auto"/>
          <w:szCs w:val="21"/>
          <w:highlight w:val="none"/>
          <w:lang w:val="zh-CN"/>
        </w:rPr>
        <w:t xml:space="preserve">.2 </w:t>
      </w:r>
      <w:r>
        <w:rPr>
          <w:rFonts w:hint="eastAsia" w:ascii="宋体" w:hAnsi="宋体" w:eastAsia="宋体" w:cs="宋体"/>
          <w:b/>
          <w:bCs/>
          <w:color w:val="auto"/>
          <w:szCs w:val="21"/>
          <w:highlight w:val="none"/>
          <w:u w:val="single"/>
          <w:lang w:val="zh-CN"/>
        </w:rPr>
        <w:t>招标人确认中标结果时，同一个投标人最多只能承接东莞市水务环境投资控股集团有限公司招标采购代理协议服务项目一个标段。招标人依法按照每个标段评标报告中推荐的中标候选人顺序确定中标人。每个标段先按评审报告中推荐的第一中标候选人确定中标。</w:t>
      </w:r>
    </w:p>
    <w:p w14:paraId="6DDC34E7">
      <w:pPr>
        <w:numPr>
          <w:ilvl w:val="1"/>
          <w:numId w:val="0"/>
        </w:numPr>
        <w:tabs>
          <w:tab w:val="left" w:pos="540"/>
        </w:tabs>
        <w:autoSpaceDE w:val="0"/>
        <w:autoSpaceDN w:val="0"/>
        <w:adjustRightInd w:val="0"/>
        <w:spacing w:line="360" w:lineRule="auto"/>
        <w:ind w:left="330" w:leftChars="-100" w:right="44" w:rightChars="21" w:hanging="540"/>
        <w:rPr>
          <w:rFonts w:hint="default" w:ascii="宋体" w:hAnsi="宋体" w:eastAsia="宋体" w:cs="宋体"/>
          <w:b/>
          <w:bCs/>
          <w:color w:val="000000"/>
          <w:szCs w:val="21"/>
          <w:highlight w:val="none"/>
          <w:lang w:val="en-US" w:eastAsia="zh-CN"/>
        </w:rPr>
      </w:pPr>
      <w:r>
        <w:rPr>
          <w:rFonts w:hint="eastAsia" w:ascii="宋体" w:hAnsi="宋体" w:eastAsia="宋体" w:cs="宋体"/>
          <w:b/>
          <w:bCs/>
          <w:color w:val="auto"/>
          <w:szCs w:val="21"/>
          <w:highlight w:val="none"/>
        </w:rPr>
        <w:t>34</w:t>
      </w:r>
      <w:r>
        <w:rPr>
          <w:rFonts w:hint="eastAsia" w:ascii="宋体" w:hAnsi="宋体" w:eastAsia="宋体" w:cs="宋体"/>
          <w:b/>
          <w:bCs/>
          <w:color w:val="auto"/>
          <w:kern w:val="0"/>
          <w:szCs w:val="21"/>
          <w:highlight w:val="none"/>
        </w:rPr>
        <w:t xml:space="preserve">.3 </w:t>
      </w:r>
      <w:r>
        <w:rPr>
          <w:rFonts w:hint="eastAsia" w:ascii="宋体" w:hAnsi="宋体" w:eastAsia="宋体" w:cs="宋体"/>
          <w:b/>
          <w:bCs/>
          <w:color w:val="000000"/>
          <w:szCs w:val="21"/>
          <w:highlight w:val="none"/>
          <w:u w:val="single"/>
          <w:lang w:val="en-US" w:eastAsia="zh-CN"/>
        </w:rPr>
        <w:t>因不可抗力或自身原因不能履行合同的、不按要求与招标人签订合同、中标人放弃中标、中标资格被依法确认无效的，招标人可以按照评标委员会提出的中标候选人名单排序依次确定其他中标候选人为中标人或重新招标。招标人选择其排序次后的中标候选人作为中标人的选择原则：若某标段中标人存在上述情形的，招标人选择其排序次后的中标候选人作为中标人，若该中标候选人在其他标段中已被确认为第一中标候选人或中标人的，则选择其排序次后的中标候选人作为中标人，以此类推。</w:t>
      </w:r>
    </w:p>
    <w:p w14:paraId="5AE07F47">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000000"/>
          <w:szCs w:val="21"/>
          <w:highlight w:val="none"/>
          <w:lang w:val="en-US" w:eastAsia="zh-CN"/>
        </w:rPr>
        <w:t xml:space="preserve">34.4 </w:t>
      </w:r>
      <w:r>
        <w:rPr>
          <w:rFonts w:hint="eastAsia" w:ascii="宋体" w:hAnsi="宋体" w:eastAsia="宋体" w:cs="宋体"/>
          <w:b/>
          <w:bCs/>
          <w:color w:val="000000"/>
          <w:szCs w:val="21"/>
          <w:highlight w:val="none"/>
          <w:u w:val="single"/>
          <w:lang w:val="en-US" w:eastAsia="zh-CN"/>
        </w:rPr>
        <w:t>凡参加</w:t>
      </w:r>
      <w:r>
        <w:rPr>
          <w:rFonts w:hint="eastAsia" w:ascii="宋体" w:hAnsi="宋体" w:eastAsia="宋体" w:cs="宋体"/>
          <w:b/>
          <w:bCs/>
          <w:color w:val="auto"/>
          <w:szCs w:val="21"/>
          <w:highlight w:val="none"/>
          <w:u w:val="single"/>
          <w:lang w:val="zh-CN"/>
        </w:rPr>
        <w:t>东莞市水务环境投资控股集团有限公司招标采购代理协议服务项目</w:t>
      </w:r>
      <w:r>
        <w:rPr>
          <w:rFonts w:hint="eastAsia" w:ascii="宋体" w:hAnsi="宋体" w:eastAsia="宋体" w:cs="宋体"/>
          <w:b/>
          <w:bCs/>
          <w:color w:val="000000"/>
          <w:szCs w:val="21"/>
          <w:highlight w:val="none"/>
          <w:u w:val="single"/>
          <w:lang w:val="en-US" w:eastAsia="zh-CN"/>
        </w:rPr>
        <w:t>投标的投标人，视为认可第34款规定。</w:t>
      </w:r>
    </w:p>
    <w:p w14:paraId="38CFDBF8">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bookmarkStart w:id="329" w:name="_Toc450662885"/>
    </w:p>
    <w:p w14:paraId="00B62B44">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30" w:name="_Toc18984"/>
      <w:bookmarkStart w:id="331" w:name="_Toc142508350"/>
      <w:bookmarkStart w:id="332" w:name="_Toc8196"/>
      <w:bookmarkStart w:id="333" w:name="_Toc486167699"/>
      <w:bookmarkStart w:id="334" w:name="_Toc195714256"/>
      <w:bookmarkStart w:id="335" w:name="_Toc1028"/>
      <w:bookmarkStart w:id="336" w:name="_Toc6726_WPSOffice_Level3"/>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29"/>
      <w:bookmarkEnd w:id="330"/>
      <w:bookmarkEnd w:id="331"/>
      <w:bookmarkEnd w:id="332"/>
      <w:bookmarkEnd w:id="333"/>
      <w:bookmarkEnd w:id="334"/>
      <w:bookmarkEnd w:id="335"/>
      <w:bookmarkEnd w:id="336"/>
    </w:p>
    <w:p w14:paraId="05ECEFE4">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bookmarkStart w:id="337"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63347F2">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B7395C2">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p>
    <w:p w14:paraId="777D0ED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38" w:name="_Toc28020"/>
      <w:bookmarkStart w:id="339" w:name="_Toc15992"/>
      <w:bookmarkStart w:id="340" w:name="_Toc19127"/>
      <w:bookmarkStart w:id="341" w:name="_Toc9694_WPSOffice_Level3"/>
      <w:bookmarkStart w:id="342" w:name="_Toc142508351"/>
      <w:bookmarkStart w:id="343" w:name="_Toc195714257"/>
      <w:bookmarkStart w:id="344" w:name="_Toc486167700"/>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37"/>
      <w:bookmarkEnd w:id="338"/>
      <w:bookmarkEnd w:id="339"/>
      <w:bookmarkEnd w:id="340"/>
      <w:bookmarkEnd w:id="341"/>
      <w:bookmarkEnd w:id="342"/>
      <w:bookmarkEnd w:id="343"/>
      <w:bookmarkEnd w:id="344"/>
    </w:p>
    <w:p w14:paraId="587D7D52">
      <w:pPr>
        <w:tabs>
          <w:tab w:val="left" w:pos="540"/>
        </w:tabs>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Times New Roman"/>
          <w:b/>
          <w:color w:val="auto"/>
          <w:szCs w:val="21"/>
          <w:highlight w:val="none"/>
          <w:u w:val="single"/>
          <w:lang w:val="zh-CN"/>
        </w:rPr>
        <w:t>。</w:t>
      </w:r>
    </w:p>
    <w:p w14:paraId="710EC0B8">
      <w:pPr>
        <w:kinsoku/>
        <w:overflowPunct/>
        <w:autoSpaceDE w:val="0"/>
        <w:autoSpaceDN w:val="0"/>
        <w:bidi w:val="0"/>
        <w:adjustRightInd w:val="0"/>
        <w:snapToGrid w:val="0"/>
        <w:spacing w:line="360" w:lineRule="auto"/>
        <w:ind w:left="315" w:leftChars="-100" w:hanging="525" w:hangingChars="250"/>
        <w:jc w:val="left"/>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.2 </w:t>
      </w:r>
      <w:r>
        <w:rPr>
          <w:rFonts w:hint="eastAsia" w:ascii="宋体" w:hAnsi="宋体" w:eastAsia="宋体" w:cs="宋体"/>
          <w:szCs w:val="21"/>
          <w:highlight w:val="none"/>
          <w:lang w:val="zh-CN"/>
        </w:rPr>
        <w:t>发出中标通知书后，中标人无正当理由拒签合同的，招标人取消其中标资格，其投标保证金不予退还，给招标人造成的损失超过投标保证金数额的，中标人还应当对超过部分予以赔偿；招标人无正当理由拒签合同的，招标人向中标人退还投标保证金，给中标人造成损失的，还应当赔偿损失</w:t>
      </w:r>
      <w:r>
        <w:rPr>
          <w:rFonts w:hint="eastAsia" w:ascii="宋体" w:hAnsi="宋体" w:eastAsia="宋体" w:cs="宋体"/>
          <w:b/>
          <w:bCs/>
          <w:color w:val="auto"/>
          <w:szCs w:val="21"/>
          <w:highlight w:val="none"/>
          <w:lang w:val="zh-CN"/>
        </w:rPr>
        <w:t>。</w:t>
      </w:r>
    </w:p>
    <w:p w14:paraId="37241E77">
      <w:pPr>
        <w:kinsoku/>
        <w:overflowPunct/>
        <w:autoSpaceDE w:val="0"/>
        <w:autoSpaceDN w:val="0"/>
        <w:bidi w:val="0"/>
        <w:adjustRightInd w:val="0"/>
        <w:snapToGrid w:val="0"/>
        <w:spacing w:line="360" w:lineRule="auto"/>
        <w:ind w:left="315" w:leftChars="-100" w:hanging="525" w:hangingChars="250"/>
        <w:jc w:val="left"/>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36.3 </w:t>
      </w:r>
      <w:r>
        <w:rPr>
          <w:rFonts w:hint="eastAsia" w:ascii="宋体" w:hAnsi="宋体" w:eastAsia="宋体" w:cs="宋体"/>
          <w:szCs w:val="21"/>
          <w:highlight w:val="none"/>
        </w:rPr>
        <w:t>合同履约应严格执行国家、省、市相关规定</w:t>
      </w:r>
      <w:r>
        <w:rPr>
          <w:rFonts w:hint="eastAsia" w:ascii="宋体" w:hAnsi="宋体" w:eastAsia="宋体" w:cs="宋体"/>
          <w:szCs w:val="21"/>
          <w:highlight w:val="none"/>
          <w:lang w:eastAsia="zh-CN"/>
        </w:rPr>
        <w:t>。</w:t>
      </w:r>
    </w:p>
    <w:p w14:paraId="086DB947">
      <w:pPr>
        <w:kinsoku/>
        <w:overflowPunct/>
        <w:autoSpaceDE w:val="0"/>
        <w:autoSpaceDN w:val="0"/>
        <w:bidi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1909C47A">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45" w:name="_Toc450662887"/>
      <w:bookmarkStart w:id="346" w:name="_Toc8181"/>
      <w:bookmarkStart w:id="347" w:name="_Toc10513_WPSOffice_Level3"/>
      <w:bookmarkStart w:id="348" w:name="_Toc2356"/>
      <w:bookmarkStart w:id="349" w:name="_Toc142508352"/>
      <w:bookmarkStart w:id="350" w:name="_Toc5304"/>
      <w:bookmarkStart w:id="351" w:name="_Toc195714258"/>
      <w:bookmarkStart w:id="352" w:name="_Toc486167701"/>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45"/>
      <w:bookmarkEnd w:id="346"/>
      <w:bookmarkEnd w:id="347"/>
      <w:bookmarkEnd w:id="348"/>
      <w:bookmarkEnd w:id="349"/>
      <w:bookmarkEnd w:id="350"/>
      <w:bookmarkEnd w:id="351"/>
      <w:bookmarkEnd w:id="352"/>
    </w:p>
    <w:p w14:paraId="44008CE2">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000000"/>
          <w:szCs w:val="21"/>
          <w:highlight w:val="none"/>
          <w:lang w:val="zh-CN"/>
        </w:rPr>
      </w:pPr>
      <w:bookmarkStart w:id="353" w:name="_Toc465358977"/>
      <w:bookmarkStart w:id="354" w:name="_Toc466882025"/>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000000"/>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000000"/>
          <w:szCs w:val="21"/>
          <w:highlight w:val="none"/>
          <w:u w:val="single"/>
        </w:rPr>
        <w:t>或履约保证保险</w:t>
      </w:r>
      <w:r>
        <w:rPr>
          <w:rFonts w:hint="eastAsia" w:ascii="宋体" w:hAnsi="宋体" w:eastAsia="宋体" w:cs="宋体"/>
          <w:b/>
          <w:bCs/>
          <w:color w:val="000000"/>
          <w:szCs w:val="21"/>
          <w:highlight w:val="none"/>
          <w:u w:val="single"/>
          <w:lang w:val="zh-CN"/>
        </w:rPr>
        <w:t>或担保公司履约担保书），作为履约担保（所需费用由中标人自行承担），</w:t>
      </w:r>
      <w:r>
        <w:rPr>
          <w:rFonts w:hint="eastAsia" w:ascii="宋体" w:hAnsi="宋体" w:eastAsia="宋体" w:cs="宋体"/>
          <w:b/>
          <w:bCs/>
          <w:color w:val="000000"/>
          <w:kern w:val="0"/>
          <w:szCs w:val="24"/>
          <w:highlight w:val="none"/>
          <w:u w:val="single"/>
        </w:rPr>
        <w:t>否则招标人可有权取消中标人的中标资格，并不予退还其投标保证金。</w:t>
      </w:r>
      <w:r>
        <w:rPr>
          <w:rFonts w:hint="eastAsia" w:ascii="宋体" w:hAnsi="宋体" w:eastAsia="宋体" w:cs="Times New Roman"/>
          <w:b/>
          <w:bCs/>
          <w:szCs w:val="21"/>
          <w:highlight w:val="none"/>
          <w:u w:val="single"/>
        </w:rPr>
        <w:t>本项目</w:t>
      </w:r>
      <w:r>
        <w:rPr>
          <w:rFonts w:hint="eastAsia" w:ascii="宋体" w:hAnsi="宋体" w:eastAsia="宋体" w:cs="Times New Roman"/>
          <w:b/>
          <w:bCs/>
          <w:szCs w:val="21"/>
          <w:highlight w:val="none"/>
          <w:u w:val="single"/>
          <w:lang w:val="zh-CN"/>
        </w:rPr>
        <w:t>履约</w:t>
      </w:r>
      <w:r>
        <w:rPr>
          <w:rFonts w:hint="eastAsia" w:ascii="宋体" w:hAnsi="宋体" w:eastAsia="宋体" w:cs="Times New Roman"/>
          <w:b/>
          <w:bCs/>
          <w:szCs w:val="21"/>
          <w:highlight w:val="none"/>
          <w:u w:val="single"/>
        </w:rPr>
        <w:t>担保</w:t>
      </w:r>
      <w:r>
        <w:rPr>
          <w:rFonts w:hint="eastAsia" w:ascii="宋体" w:hAnsi="宋体" w:eastAsia="宋体" w:cs="Times New Roman"/>
          <w:b/>
          <w:bCs/>
          <w:szCs w:val="21"/>
          <w:highlight w:val="none"/>
          <w:u w:val="single"/>
          <w:lang w:val="zh-CN"/>
        </w:rPr>
        <w:t>金额为人民币贰拾万元整(200,000.00元)</w:t>
      </w:r>
      <w:r>
        <w:rPr>
          <w:rFonts w:hint="eastAsia" w:ascii="宋体" w:hAnsi="宋体" w:eastAsia="宋体" w:cs="宋体"/>
          <w:b/>
          <w:bCs/>
          <w:color w:val="000000"/>
          <w:szCs w:val="21"/>
          <w:highlight w:val="none"/>
          <w:u w:val="single"/>
          <w:lang w:val="zh-CN"/>
        </w:rPr>
        <w:t>。</w:t>
      </w:r>
      <w:r>
        <w:rPr>
          <w:rFonts w:hint="eastAsia" w:ascii="宋体" w:hAnsi="宋体" w:eastAsia="宋体" w:cs="宋体"/>
          <w:bCs/>
          <w:color w:val="000000"/>
          <w:kern w:val="0"/>
          <w:szCs w:val="24"/>
          <w:highlight w:val="none"/>
        </w:rPr>
        <w:t>合同履行过程中，中标人</w:t>
      </w:r>
      <w:r>
        <w:rPr>
          <w:rFonts w:hint="eastAsia" w:ascii="宋体" w:hAnsi="宋体" w:eastAsia="宋体" w:cs="宋体"/>
          <w:color w:val="000000"/>
          <w:kern w:val="0"/>
          <w:szCs w:val="24"/>
          <w:highlight w:val="none"/>
        </w:rPr>
        <w:t>给招标人</w:t>
      </w:r>
      <w:r>
        <w:rPr>
          <w:rFonts w:hint="eastAsia" w:ascii="宋体" w:hAnsi="宋体" w:eastAsia="宋体" w:cs="宋体"/>
          <w:color w:val="000000"/>
          <w:kern w:val="0"/>
          <w:szCs w:val="24"/>
          <w:highlight w:val="none"/>
          <w:lang w:eastAsia="zh-CN"/>
        </w:rPr>
        <w:t>（</w:t>
      </w:r>
      <w:r>
        <w:rPr>
          <w:rFonts w:hint="eastAsia" w:ascii="宋体" w:hAnsi="宋体" w:eastAsia="宋体" w:cs="宋体"/>
          <w:color w:val="000000"/>
          <w:kern w:val="0"/>
          <w:szCs w:val="24"/>
          <w:highlight w:val="none"/>
          <w:lang w:val="en-US" w:eastAsia="zh-CN"/>
        </w:rPr>
        <w:t>含其权属分公司</w:t>
      </w:r>
      <w:r>
        <w:rPr>
          <w:rFonts w:hint="eastAsia" w:ascii="宋体" w:hAnsi="宋体" w:eastAsia="宋体" w:cs="宋体"/>
          <w:color w:val="000000"/>
          <w:kern w:val="0"/>
          <w:szCs w:val="24"/>
          <w:highlight w:val="none"/>
          <w:lang w:eastAsia="zh-CN"/>
        </w:rPr>
        <w:t>）</w:t>
      </w:r>
      <w:r>
        <w:rPr>
          <w:rFonts w:hint="eastAsia" w:ascii="宋体" w:hAnsi="宋体" w:eastAsia="宋体" w:cs="宋体"/>
          <w:color w:val="000000"/>
          <w:kern w:val="0"/>
          <w:szCs w:val="24"/>
          <w:highlight w:val="none"/>
        </w:rPr>
        <w:t>造成的损失超过履约担保数额的，中标人还应当对超过部分予以赔偿，招标人并依法追究中标人的相应责任。</w:t>
      </w:r>
    </w:p>
    <w:p w14:paraId="7CE9205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kern w:val="0"/>
          <w:szCs w:val="21"/>
          <w:highlight w:val="none"/>
        </w:rPr>
        <w:t>.2 履约担保用于补偿</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因</w:t>
      </w:r>
      <w:r>
        <w:rPr>
          <w:rFonts w:hint="eastAsia" w:ascii="宋体" w:hAnsi="宋体" w:eastAsia="宋体" w:cs="宋体"/>
          <w:color w:val="000000"/>
          <w:kern w:val="0"/>
          <w:szCs w:val="21"/>
          <w:highlight w:val="none"/>
          <w:lang w:eastAsia="zh-CN"/>
        </w:rPr>
        <w:t>中标人</w:t>
      </w:r>
      <w:r>
        <w:rPr>
          <w:rFonts w:hint="eastAsia" w:ascii="宋体" w:hAnsi="宋体" w:eastAsia="宋体" w:cs="宋体"/>
          <w:color w:val="000000"/>
          <w:kern w:val="0"/>
          <w:szCs w:val="21"/>
          <w:highlight w:val="none"/>
        </w:rPr>
        <w:t>不能完成其合同义务而蒙受的损失或其他合同约定的事项。如发生下列任一情况时，</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有权依合同追究违约责任外，同时有权提取履约担保并进行相应处理：</w:t>
      </w:r>
    </w:p>
    <w:p w14:paraId="68AE359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r>
        <w:rPr>
          <w:rFonts w:hint="eastAsia" w:ascii="宋体" w:hAnsi="宋体" w:eastAsia="宋体" w:cs="宋体"/>
          <w:color w:val="000000"/>
          <w:kern w:val="0"/>
          <w:szCs w:val="21"/>
          <w:highlight w:val="none"/>
          <w:lang w:eastAsia="zh-CN"/>
        </w:rPr>
        <w:t>中标人</w:t>
      </w:r>
      <w:r>
        <w:rPr>
          <w:rFonts w:hint="eastAsia" w:ascii="宋体" w:hAnsi="宋体" w:eastAsia="宋体" w:cs="宋体"/>
          <w:color w:val="000000"/>
          <w:kern w:val="0"/>
          <w:szCs w:val="21"/>
          <w:highlight w:val="none"/>
        </w:rPr>
        <w:t>将合同项下</w:t>
      </w:r>
      <w:r>
        <w:rPr>
          <w:rFonts w:hint="eastAsia" w:ascii="宋体" w:hAnsi="宋体" w:eastAsia="宋体" w:cs="宋体"/>
          <w:color w:val="000000"/>
          <w:kern w:val="0"/>
          <w:szCs w:val="21"/>
          <w:highlight w:val="none"/>
          <w:lang w:eastAsia="zh-CN"/>
        </w:rPr>
        <w:t>中标人</w:t>
      </w:r>
      <w:r>
        <w:rPr>
          <w:rFonts w:hint="eastAsia" w:ascii="宋体" w:hAnsi="宋体" w:eastAsia="宋体" w:cs="宋体"/>
          <w:color w:val="000000"/>
          <w:kern w:val="0"/>
          <w:szCs w:val="21"/>
          <w:highlight w:val="none"/>
        </w:rPr>
        <w:t>的权利义务全部转让给第三方，或未经</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书面同意将部分权利义务转让给第三方的，</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有权没收其履约担保。</w:t>
      </w:r>
    </w:p>
    <w:p w14:paraId="51B19E2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（2）在合同履行期间，</w:t>
      </w:r>
      <w:r>
        <w:rPr>
          <w:rFonts w:hint="eastAsia" w:ascii="宋体" w:hAnsi="宋体" w:eastAsia="宋体" w:cs="宋体"/>
          <w:color w:val="000000"/>
          <w:kern w:val="0"/>
          <w:szCs w:val="21"/>
          <w:highlight w:val="none"/>
          <w:lang w:eastAsia="zh-CN"/>
        </w:rPr>
        <w:t>中标人</w:t>
      </w:r>
      <w:r>
        <w:rPr>
          <w:rFonts w:hint="eastAsia" w:ascii="宋体" w:hAnsi="宋体" w:eastAsia="宋体" w:cs="宋体"/>
          <w:color w:val="000000"/>
          <w:kern w:val="0"/>
          <w:szCs w:val="21"/>
          <w:highlight w:val="none"/>
        </w:rPr>
        <w:t>怠于履行合同义务，经</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通知或要求承担违约金后仍拒不改正的，</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可依法没收或适当扣除其履约担保。</w:t>
      </w:r>
    </w:p>
    <w:p w14:paraId="694A258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（3）在合同履行期间，因</w:t>
      </w:r>
      <w:r>
        <w:rPr>
          <w:rFonts w:hint="eastAsia" w:ascii="宋体" w:hAnsi="宋体" w:eastAsia="宋体" w:cs="宋体"/>
          <w:color w:val="000000"/>
          <w:kern w:val="0"/>
          <w:szCs w:val="21"/>
          <w:highlight w:val="none"/>
          <w:lang w:eastAsia="zh-CN"/>
        </w:rPr>
        <w:t>中标人</w:t>
      </w:r>
      <w:r>
        <w:rPr>
          <w:rFonts w:hint="eastAsia" w:ascii="宋体" w:hAnsi="宋体" w:eastAsia="宋体" w:cs="宋体"/>
          <w:color w:val="000000"/>
          <w:kern w:val="0"/>
          <w:szCs w:val="21"/>
          <w:highlight w:val="none"/>
        </w:rPr>
        <w:t>服务质量问题造成损害、侵权损失（包括但不限于</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经济损失、第三人人身财产损失等）、与其所雇用员工发生劳资纠纷、上访、闹事或其他影响</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生产经营等情况而其未及时妥善处理的，</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有权使用履约担保予以支付或作出相应处理，由此产生的一切法律后果由</w:t>
      </w:r>
      <w:r>
        <w:rPr>
          <w:rFonts w:hint="eastAsia" w:ascii="宋体" w:hAnsi="宋体" w:eastAsia="宋体" w:cs="宋体"/>
          <w:color w:val="000000"/>
          <w:kern w:val="0"/>
          <w:szCs w:val="21"/>
          <w:highlight w:val="none"/>
          <w:lang w:eastAsia="zh-CN"/>
        </w:rPr>
        <w:t>中标人</w:t>
      </w:r>
      <w:r>
        <w:rPr>
          <w:rFonts w:hint="eastAsia" w:ascii="宋体" w:hAnsi="宋体" w:eastAsia="宋体" w:cs="宋体"/>
          <w:color w:val="000000"/>
          <w:kern w:val="0"/>
          <w:szCs w:val="21"/>
          <w:highlight w:val="none"/>
        </w:rPr>
        <w:t>承担。</w:t>
      </w:r>
    </w:p>
    <w:p w14:paraId="0DE2F68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（4）在合同履行期间，</w:t>
      </w:r>
      <w:r>
        <w:rPr>
          <w:rFonts w:hint="eastAsia" w:ascii="宋体" w:hAnsi="宋体" w:eastAsia="宋体" w:cs="宋体"/>
          <w:color w:val="000000"/>
          <w:kern w:val="0"/>
          <w:szCs w:val="21"/>
          <w:highlight w:val="none"/>
          <w:lang w:eastAsia="zh-CN"/>
        </w:rPr>
        <w:t>中标人</w:t>
      </w:r>
      <w:r>
        <w:rPr>
          <w:rFonts w:hint="eastAsia" w:ascii="宋体" w:hAnsi="宋体" w:eastAsia="宋体" w:cs="宋体"/>
          <w:color w:val="000000"/>
          <w:kern w:val="0"/>
          <w:szCs w:val="21"/>
          <w:highlight w:val="none"/>
        </w:rPr>
        <w:t>违约产生的违约金、赔偿、罚款或其他应付费用等款项，</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有权直接从未付款项中直接扣除或启用履约担保予以支付。</w:t>
      </w:r>
    </w:p>
    <w:p w14:paraId="26411E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（5）合同期内，</w:t>
      </w:r>
      <w:r>
        <w:rPr>
          <w:rFonts w:hint="eastAsia" w:ascii="宋体" w:hAnsi="宋体" w:eastAsia="宋体" w:cs="宋体"/>
          <w:color w:val="000000"/>
          <w:kern w:val="0"/>
          <w:szCs w:val="21"/>
          <w:highlight w:val="none"/>
          <w:lang w:eastAsia="zh-CN"/>
        </w:rPr>
        <w:t>中标人</w:t>
      </w:r>
      <w:r>
        <w:rPr>
          <w:rFonts w:hint="eastAsia" w:ascii="宋体" w:hAnsi="宋体" w:eastAsia="宋体" w:cs="宋体"/>
          <w:color w:val="000000"/>
          <w:kern w:val="0"/>
          <w:szCs w:val="21"/>
          <w:highlight w:val="none"/>
        </w:rPr>
        <w:t>不能及时完成合同某项义务的，</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有权提取履约担保用于处理该项工作。</w:t>
      </w:r>
    </w:p>
    <w:p w14:paraId="5B31660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（6）其他根据本合同约定或法律规定，</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可启用履约担保的情形。</w:t>
      </w:r>
    </w:p>
    <w:p w14:paraId="379CFEEF">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kern w:val="0"/>
          <w:szCs w:val="21"/>
          <w:highlight w:val="none"/>
        </w:rPr>
        <w:t>.3  履约担保应符合如下规定：</w:t>
      </w:r>
    </w:p>
    <w:p w14:paraId="54C4325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（1）出具履约保函的银行必须是境内支行一级以上机构，并经招标人同意，执行本款时所发生的费用由中标人承担。</w:t>
      </w:r>
    </w:p>
    <w:p w14:paraId="45C9944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（2）履约担保格式应采用招标文件中提供的（格式参见</w:t>
      </w:r>
      <w:r>
        <w:rPr>
          <w:rFonts w:hint="eastAsia" w:ascii="宋体" w:hAnsi="宋体" w:eastAsia="宋体" w:cs="宋体"/>
          <w:color w:val="000000"/>
          <w:kern w:val="0"/>
          <w:szCs w:val="21"/>
          <w:highlight w:val="none"/>
          <w:lang w:eastAsia="zh-CN"/>
        </w:rPr>
        <w:t>第</w:t>
      </w:r>
      <w:r>
        <w:rPr>
          <w:rFonts w:hint="eastAsia" w:ascii="宋体" w:hAnsi="宋体" w:eastAsia="宋体" w:cs="宋体"/>
          <w:color w:val="000000"/>
          <w:kern w:val="0"/>
          <w:szCs w:val="21"/>
          <w:highlight w:val="none"/>
          <w:lang w:val="en-US" w:eastAsia="zh-CN"/>
        </w:rPr>
        <w:t>五</w:t>
      </w:r>
      <w:r>
        <w:rPr>
          <w:rFonts w:hint="eastAsia" w:ascii="宋体" w:hAnsi="宋体" w:eastAsia="宋体" w:cs="宋体"/>
          <w:color w:val="000000"/>
          <w:kern w:val="0"/>
          <w:szCs w:val="21"/>
          <w:highlight w:val="none"/>
          <w:lang w:eastAsia="zh-CN"/>
        </w:rPr>
        <w:t>篇</w:t>
      </w:r>
      <w:r>
        <w:rPr>
          <w:rFonts w:hint="eastAsia" w:ascii="宋体" w:hAnsi="宋体" w:eastAsia="宋体" w:cs="宋体"/>
          <w:color w:val="000000"/>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14FBDBC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（3）提供担保</w:t>
      </w:r>
      <w:r>
        <w:rPr>
          <w:rFonts w:hint="eastAsia" w:ascii="宋体" w:hAnsi="宋体" w:eastAsia="宋体" w:cs="宋体"/>
          <w:color w:val="000000"/>
          <w:kern w:val="0"/>
          <w:szCs w:val="21"/>
          <w:highlight w:val="none"/>
          <w:lang w:val="en-US" w:eastAsia="zh-CN"/>
        </w:rPr>
        <w:t>书</w:t>
      </w:r>
      <w:r>
        <w:rPr>
          <w:rFonts w:hint="eastAsia" w:ascii="宋体" w:hAnsi="宋体" w:eastAsia="宋体" w:cs="宋体"/>
          <w:color w:val="000000"/>
          <w:kern w:val="0"/>
          <w:szCs w:val="21"/>
          <w:highlight w:val="none"/>
        </w:rPr>
        <w:t>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3504B56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7D5209E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6B1AEAA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r>
        <w:rPr>
          <w:rFonts w:hint="eastAsia" w:ascii="宋体" w:hAnsi="宋体" w:eastAsia="宋体" w:cs="宋体"/>
          <w:kern w:val="0"/>
          <w:szCs w:val="21"/>
          <w:highlight w:val="none"/>
        </w:rPr>
        <w:t>不</w:t>
      </w:r>
      <w:r>
        <w:rPr>
          <w:rFonts w:hint="eastAsia" w:ascii="宋体" w:hAnsi="宋体" w:eastAsia="宋体" w:cs="Times New Roman"/>
          <w:kern w:val="0"/>
          <w:szCs w:val="21"/>
          <w:highlight w:val="none"/>
        </w:rPr>
        <w:t>可撤销银行履约保函（或履约保证保险或担保公司履约担保书）应在合同期限届满并完成本合同及单项采购代理合同相关服务义务后28日内保持有效</w:t>
      </w:r>
      <w:r>
        <w:rPr>
          <w:rFonts w:hint="eastAsia" w:ascii="宋体" w:hAnsi="宋体" w:eastAsia="宋体" w:cs="宋体"/>
          <w:color w:val="000000"/>
          <w:kern w:val="0"/>
          <w:szCs w:val="21"/>
          <w:highlight w:val="none"/>
        </w:rPr>
        <w:t>。</w:t>
      </w:r>
    </w:p>
    <w:p w14:paraId="4E612906">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kern w:val="0"/>
          <w:szCs w:val="21"/>
          <w:highlight w:val="none"/>
        </w:rPr>
        <w:t>.4  履约保证金应用本合同货币。</w:t>
      </w:r>
    </w:p>
    <w:p w14:paraId="1252A7F8">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kern w:val="0"/>
          <w:szCs w:val="21"/>
          <w:highlight w:val="none"/>
        </w:rPr>
        <w:t>.5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62662E39">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履约保证金账户（特别提醒，本账户非投标保证金汇入账户)：</w:t>
      </w:r>
    </w:p>
    <w:p w14:paraId="28BA1067">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000000"/>
          <w:kern w:val="0"/>
          <w:szCs w:val="21"/>
          <w:highlight w:val="none"/>
          <w:lang w:val="zh-CN"/>
        </w:rPr>
      </w:pPr>
      <w:r>
        <w:rPr>
          <w:rFonts w:hint="eastAsia" w:ascii="宋体" w:hAnsi="宋体" w:eastAsia="宋体" w:cs="宋体"/>
          <w:b/>
          <w:color w:val="000000"/>
          <w:kern w:val="0"/>
          <w:szCs w:val="21"/>
          <w:highlight w:val="none"/>
          <w:lang w:val="zh-CN"/>
        </w:rPr>
        <w:t xml:space="preserve">开户名称：东莞市水务环境投资控股集团有限公司  </w:t>
      </w:r>
    </w:p>
    <w:p w14:paraId="1916EA0D">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000000"/>
          <w:kern w:val="0"/>
          <w:szCs w:val="21"/>
          <w:highlight w:val="none"/>
          <w:lang w:val="zh-CN"/>
        </w:rPr>
      </w:pPr>
      <w:r>
        <w:rPr>
          <w:rFonts w:hint="eastAsia" w:ascii="宋体" w:hAnsi="宋体" w:eastAsia="宋体" w:cs="宋体"/>
          <w:b/>
          <w:color w:val="000000"/>
          <w:kern w:val="0"/>
          <w:szCs w:val="21"/>
          <w:highlight w:val="none"/>
          <w:lang w:val="zh-CN"/>
        </w:rPr>
        <w:t>开户银行：中国工商银行股份有限公司东莞分行营业部</w:t>
      </w:r>
    </w:p>
    <w:p w14:paraId="5E306B0F">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000000"/>
          <w:kern w:val="0"/>
          <w:szCs w:val="21"/>
          <w:highlight w:val="none"/>
          <w:lang w:val="en-US" w:eastAsia="zh-CN"/>
        </w:rPr>
      </w:pPr>
      <w:r>
        <w:rPr>
          <w:rFonts w:hint="eastAsia" w:ascii="宋体" w:hAnsi="宋体" w:eastAsia="宋体" w:cs="宋体"/>
          <w:b/>
          <w:color w:val="000000"/>
          <w:kern w:val="0"/>
          <w:szCs w:val="21"/>
          <w:highlight w:val="none"/>
          <w:lang w:val="zh-CN"/>
        </w:rPr>
        <w:t>银行账号：2010 0213 0920 0288 88</w:t>
      </w:r>
      <w:r>
        <w:rPr>
          <w:rFonts w:hint="eastAsia" w:ascii="宋体" w:hAnsi="宋体" w:eastAsia="宋体" w:cs="宋体"/>
          <w:b/>
          <w:color w:val="000000"/>
          <w:kern w:val="0"/>
          <w:szCs w:val="21"/>
          <w:highlight w:val="none"/>
          <w:lang w:val="en-US" w:eastAsia="zh-CN"/>
        </w:rPr>
        <w:t>9</w:t>
      </w:r>
    </w:p>
    <w:p w14:paraId="69507F48">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000000"/>
          <w:szCs w:val="21"/>
          <w:highlight w:val="none"/>
        </w:rPr>
      </w:pPr>
      <w:bookmarkStart w:id="355" w:name="_Toc4195"/>
      <w:bookmarkStart w:id="356" w:name="_Toc27162"/>
      <w:bookmarkStart w:id="357" w:name="_Toc10548"/>
      <w:bookmarkStart w:id="358" w:name="_Toc142508353"/>
      <w:bookmarkStart w:id="359" w:name="_Toc486167702"/>
      <w:bookmarkStart w:id="360" w:name="_Toc195714259"/>
      <w:r>
        <w:rPr>
          <w:rFonts w:hint="eastAsia" w:ascii="宋体" w:hAnsi="宋体" w:eastAsia="宋体" w:cs="宋体"/>
          <w:color w:val="000000"/>
          <w:szCs w:val="21"/>
          <w:highlight w:val="none"/>
          <w:lang w:val="en-US" w:eastAsia="zh-CN"/>
        </w:rPr>
        <w:t xml:space="preserve">37.6 </w:t>
      </w:r>
      <w:r>
        <w:rPr>
          <w:rFonts w:hint="eastAsia" w:ascii="宋体" w:hAnsi="宋体" w:eastAsia="宋体" w:cs="宋体"/>
          <w:color w:val="000000"/>
          <w:szCs w:val="21"/>
          <w:highlight w:val="none"/>
        </w:rPr>
        <w:t>在</w:t>
      </w:r>
      <w:r>
        <w:rPr>
          <w:rFonts w:hint="eastAsia" w:ascii="宋体" w:hAnsi="宋体" w:eastAsia="宋体" w:cs="宋体"/>
          <w:color w:val="000000"/>
          <w:szCs w:val="21"/>
          <w:highlight w:val="none"/>
          <w:lang w:eastAsia="zh-CN"/>
        </w:rPr>
        <w:t>中标人</w:t>
      </w:r>
      <w:r>
        <w:rPr>
          <w:rFonts w:hint="eastAsia" w:ascii="宋体" w:hAnsi="宋体" w:eastAsia="宋体" w:cs="宋体"/>
          <w:color w:val="000000"/>
          <w:szCs w:val="21"/>
          <w:highlight w:val="none"/>
        </w:rPr>
        <w:t>完成本合同下全部义务，且在合同期限届满并完成本合同及单项招标代理合同相关服务义务后，</w:t>
      </w:r>
      <w:r>
        <w:rPr>
          <w:rFonts w:hint="eastAsia" w:ascii="宋体" w:hAnsi="宋体" w:eastAsia="宋体" w:cs="宋体"/>
          <w:color w:val="000000"/>
          <w:szCs w:val="21"/>
          <w:highlight w:val="none"/>
          <w:lang w:eastAsia="zh-CN"/>
        </w:rPr>
        <w:t>东莞市水务环境投资控股集团有限公司</w:t>
      </w:r>
      <w:r>
        <w:rPr>
          <w:rFonts w:hint="eastAsia" w:ascii="宋体" w:hAnsi="宋体" w:eastAsia="宋体" w:cs="宋体"/>
          <w:color w:val="000000"/>
          <w:szCs w:val="21"/>
          <w:highlight w:val="none"/>
        </w:rPr>
        <w:t>在扣除相应的费用（若有）后将履约担保余额无息退还</w:t>
      </w:r>
      <w:r>
        <w:rPr>
          <w:rFonts w:hint="eastAsia" w:ascii="宋体" w:hAnsi="宋体" w:eastAsia="宋体" w:cs="宋体"/>
          <w:color w:val="000000"/>
          <w:szCs w:val="21"/>
          <w:highlight w:val="none"/>
          <w:lang w:eastAsia="zh-CN"/>
        </w:rPr>
        <w:t>中标人</w:t>
      </w:r>
      <w:r>
        <w:rPr>
          <w:rFonts w:hint="eastAsia" w:ascii="宋体" w:hAnsi="宋体" w:eastAsia="宋体" w:cs="宋体"/>
          <w:color w:val="000000"/>
          <w:szCs w:val="21"/>
          <w:highlight w:val="none"/>
        </w:rPr>
        <w:t>。</w:t>
      </w:r>
    </w:p>
    <w:p w14:paraId="632D28E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 xml:space="preserve">37.7 </w:t>
      </w:r>
      <w:r>
        <w:rPr>
          <w:rFonts w:hint="eastAsia" w:ascii="宋体" w:hAnsi="宋体" w:eastAsia="宋体" w:cs="宋体"/>
          <w:color w:val="000000"/>
          <w:szCs w:val="21"/>
          <w:highlight w:val="none"/>
        </w:rPr>
        <w:t>如</w:t>
      </w:r>
      <w:r>
        <w:rPr>
          <w:rFonts w:hint="eastAsia" w:ascii="宋体" w:hAnsi="宋体" w:eastAsia="宋体" w:cs="宋体"/>
          <w:color w:val="000000"/>
          <w:szCs w:val="21"/>
          <w:highlight w:val="none"/>
          <w:lang w:eastAsia="zh-CN"/>
        </w:rPr>
        <w:t>中标人</w:t>
      </w:r>
      <w:r>
        <w:rPr>
          <w:rFonts w:hint="eastAsia" w:ascii="宋体" w:hAnsi="宋体" w:eastAsia="宋体" w:cs="宋体"/>
          <w:color w:val="000000"/>
          <w:szCs w:val="21"/>
          <w:highlight w:val="none"/>
        </w:rPr>
        <w:t>提供不可撤销银行履约保函或履约保证保险或担保公司履约担保书作为履约担保的，不可撤销银行履约保函或履约保证保险或担保公司履约担保书应在合同期限届满并完成本合同及单项采购代理合同相关服务义务后28日内保持有效。</w:t>
      </w:r>
    </w:p>
    <w:p w14:paraId="07E55FFC">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 xml:space="preserve">37.8 </w:t>
      </w:r>
      <w:r>
        <w:rPr>
          <w:rFonts w:hint="eastAsia" w:ascii="宋体" w:hAnsi="宋体" w:eastAsia="宋体" w:cs="宋体"/>
          <w:color w:val="000000"/>
          <w:szCs w:val="21"/>
          <w:highlight w:val="none"/>
        </w:rPr>
        <w:t>在合同履行过程中，不论何种原因导致履约担保数额不符合招标文件要求的，</w:t>
      </w:r>
      <w:r>
        <w:rPr>
          <w:rFonts w:hint="eastAsia" w:ascii="宋体" w:hAnsi="宋体" w:eastAsia="宋体" w:cs="宋体"/>
          <w:color w:val="000000"/>
          <w:szCs w:val="21"/>
          <w:highlight w:val="none"/>
          <w:lang w:eastAsia="zh-CN"/>
        </w:rPr>
        <w:t>中标人</w:t>
      </w:r>
      <w:r>
        <w:rPr>
          <w:rFonts w:hint="eastAsia" w:ascii="宋体" w:hAnsi="宋体" w:eastAsia="宋体" w:cs="宋体"/>
          <w:color w:val="000000"/>
          <w:szCs w:val="21"/>
          <w:highlight w:val="none"/>
        </w:rPr>
        <w:t>应当在5日内予以补足。逾期不予补足的，</w:t>
      </w:r>
      <w:r>
        <w:rPr>
          <w:rFonts w:hint="eastAsia" w:ascii="宋体" w:hAnsi="宋体" w:eastAsia="宋体" w:cs="宋体"/>
          <w:color w:val="000000"/>
          <w:szCs w:val="21"/>
          <w:highlight w:val="none"/>
          <w:lang w:eastAsia="zh-CN"/>
        </w:rPr>
        <w:t>东莞市水务环境投资控股集团有限公司</w:t>
      </w:r>
      <w:r>
        <w:rPr>
          <w:rFonts w:hint="eastAsia" w:ascii="宋体" w:hAnsi="宋体" w:eastAsia="宋体" w:cs="宋体"/>
          <w:color w:val="000000"/>
          <w:szCs w:val="21"/>
          <w:highlight w:val="none"/>
        </w:rPr>
        <w:t>有权按需补足的金额要求</w:t>
      </w:r>
      <w:r>
        <w:rPr>
          <w:rFonts w:hint="eastAsia" w:ascii="宋体" w:hAnsi="宋体" w:eastAsia="宋体" w:cs="宋体"/>
          <w:color w:val="000000"/>
          <w:szCs w:val="21"/>
          <w:highlight w:val="none"/>
          <w:lang w:eastAsia="zh-CN"/>
        </w:rPr>
        <w:t>中标人</w:t>
      </w:r>
      <w:r>
        <w:rPr>
          <w:rFonts w:hint="eastAsia" w:ascii="宋体" w:hAnsi="宋体" w:eastAsia="宋体" w:cs="宋体"/>
          <w:color w:val="000000"/>
          <w:szCs w:val="21"/>
          <w:highlight w:val="none"/>
        </w:rPr>
        <w:t>承担违约金，并要求限期补足。如</w:t>
      </w:r>
      <w:r>
        <w:rPr>
          <w:rFonts w:hint="eastAsia" w:ascii="宋体" w:hAnsi="宋体" w:eastAsia="宋体" w:cs="宋体"/>
          <w:color w:val="000000"/>
          <w:szCs w:val="21"/>
          <w:highlight w:val="none"/>
          <w:lang w:eastAsia="zh-CN"/>
        </w:rPr>
        <w:t>中标人</w:t>
      </w:r>
      <w:r>
        <w:rPr>
          <w:rFonts w:hint="eastAsia" w:ascii="宋体" w:hAnsi="宋体" w:eastAsia="宋体" w:cs="宋体"/>
          <w:color w:val="000000"/>
          <w:szCs w:val="21"/>
          <w:highlight w:val="none"/>
        </w:rPr>
        <w:t>仍不补足的，</w:t>
      </w:r>
      <w:r>
        <w:rPr>
          <w:rFonts w:hint="eastAsia" w:ascii="宋体" w:hAnsi="宋体" w:eastAsia="宋体" w:cs="宋体"/>
          <w:color w:val="000000"/>
          <w:szCs w:val="21"/>
          <w:highlight w:val="none"/>
          <w:lang w:eastAsia="zh-CN"/>
        </w:rPr>
        <w:t>东莞市水务环境投资控股集团有限公司</w:t>
      </w:r>
      <w:r>
        <w:rPr>
          <w:rFonts w:hint="eastAsia" w:ascii="宋体" w:hAnsi="宋体" w:eastAsia="宋体" w:cs="宋体"/>
          <w:color w:val="000000"/>
          <w:szCs w:val="21"/>
          <w:highlight w:val="none"/>
        </w:rPr>
        <w:t>有权单方解除合同，违约金可直接从未付合同款或履约担保中扣除。</w:t>
      </w:r>
    </w:p>
    <w:p w14:paraId="1BFC1632">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hint="eastAsia" w:ascii="宋体" w:hAnsi="宋体" w:eastAsia="宋体" w:cs="宋体"/>
          <w:color w:val="auto"/>
          <w:szCs w:val="21"/>
          <w:highlight w:val="none"/>
        </w:rPr>
      </w:pPr>
    </w:p>
    <w:p w14:paraId="50B604E2">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353"/>
      <w:bookmarkEnd w:id="354"/>
      <w:bookmarkEnd w:id="355"/>
      <w:bookmarkEnd w:id="356"/>
      <w:bookmarkEnd w:id="357"/>
      <w:bookmarkEnd w:id="358"/>
      <w:bookmarkEnd w:id="359"/>
      <w:bookmarkEnd w:id="360"/>
    </w:p>
    <w:p w14:paraId="506A8BFF">
      <w:pPr>
        <w:kinsoku/>
        <w:overflowPunct/>
        <w:autoSpaceDE w:val="0"/>
        <w:autoSpaceDN w:val="0"/>
        <w:bidi w:val="0"/>
        <w:adjustRightInd w:val="0"/>
        <w:spacing w:line="360" w:lineRule="auto"/>
        <w:ind w:left="328" w:leftChars="-114" w:hanging="567" w:hanging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78AACFD9">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bookmarkStart w:id="361" w:name="_Toc450662888"/>
    </w:p>
    <w:p w14:paraId="14B1445C">
      <w:pPr>
        <w:keepNext w:val="0"/>
        <w:keepLines w:val="0"/>
        <w:pageBreakBefore w:val="0"/>
        <w:widowControl w:val="0"/>
        <w:tabs>
          <w:tab w:val="left" w:pos="46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62" w:name="_Toc142508354"/>
      <w:bookmarkStart w:id="363" w:name="_Toc2401"/>
      <w:bookmarkStart w:id="364" w:name="_Toc195714260"/>
      <w:bookmarkStart w:id="365" w:name="_Toc486167703"/>
      <w:bookmarkStart w:id="366" w:name="_Toc23218"/>
      <w:bookmarkStart w:id="367" w:name="_Toc926"/>
      <w:bookmarkStart w:id="368" w:name="_Toc28921_WPSOffice_Level3"/>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61"/>
      <w:bookmarkEnd w:id="362"/>
      <w:bookmarkEnd w:id="363"/>
      <w:bookmarkEnd w:id="364"/>
      <w:bookmarkEnd w:id="365"/>
      <w:bookmarkEnd w:id="366"/>
      <w:bookmarkEnd w:id="367"/>
      <w:bookmarkEnd w:id="368"/>
    </w:p>
    <w:p w14:paraId="7A817002">
      <w:pPr>
        <w:kinsoku/>
        <w:overflowPunct/>
        <w:autoSpaceDE w:val="0"/>
        <w:autoSpaceDN w:val="0"/>
        <w:bidi w:val="0"/>
        <w:adjustRightInd w:val="0"/>
        <w:spacing w:line="360" w:lineRule="auto"/>
        <w:ind w:left="357" w:leftChars="-100" w:hanging="567" w:hangingChars="27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中标人应</w:t>
      </w:r>
      <w:r>
        <w:rPr>
          <w:rFonts w:hint="eastAsia" w:ascii="宋体" w:hAnsi="宋体" w:eastAsia="宋体" w:cs="宋体"/>
          <w:color w:val="auto"/>
          <w:szCs w:val="21"/>
          <w:highlight w:val="none"/>
          <w:lang w:val="en-US" w:eastAsia="zh-CN"/>
        </w:rPr>
        <w:t>按</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.2款规定在领取《中标通知书》原件之前</w:t>
      </w:r>
      <w:r>
        <w:rPr>
          <w:rFonts w:hint="eastAsia" w:ascii="宋体" w:hAnsi="宋体" w:eastAsia="宋体" w:cs="宋体"/>
          <w:color w:val="auto"/>
          <w:szCs w:val="21"/>
          <w:highlight w:val="none"/>
          <w:lang w:val="zh-CN"/>
        </w:rPr>
        <w:t>向招标代理机构一次性交纳中标服务费，</w:t>
      </w:r>
      <w:r>
        <w:rPr>
          <w:rFonts w:hint="eastAsia" w:ascii="宋体" w:hAnsi="宋体" w:eastAsia="宋体" w:cs="宋体"/>
          <w:color w:val="auto"/>
          <w:szCs w:val="21"/>
          <w:highlight w:val="none"/>
          <w:lang w:val="en-US" w:eastAsia="zh-CN"/>
        </w:rPr>
        <w:t>标段一</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标段二的</w:t>
      </w:r>
      <w:r>
        <w:rPr>
          <w:rFonts w:hint="eastAsia" w:ascii="宋体" w:hAnsi="宋体" w:eastAsia="宋体" w:cs="宋体"/>
          <w:color w:val="auto"/>
          <w:szCs w:val="21"/>
          <w:highlight w:val="none"/>
          <w:lang w:val="zh-CN"/>
        </w:rPr>
        <w:t>中标服务费</w:t>
      </w:r>
      <w:r>
        <w:rPr>
          <w:rFonts w:hint="eastAsia" w:ascii="宋体" w:hAnsi="宋体" w:eastAsia="宋体" w:cs="宋体"/>
          <w:color w:val="auto"/>
          <w:szCs w:val="21"/>
          <w:highlight w:val="none"/>
          <w:lang w:val="en-US" w:eastAsia="zh-CN"/>
        </w:rPr>
        <w:t>均为人民币20,000.00元（大写：人民币贰万元整），即每个中标人的</w:t>
      </w:r>
      <w:r>
        <w:rPr>
          <w:rFonts w:hint="eastAsia" w:ascii="宋体" w:hAnsi="宋体" w:eastAsia="宋体" w:cs="宋体"/>
          <w:color w:val="auto"/>
          <w:szCs w:val="21"/>
          <w:highlight w:val="none"/>
          <w:lang w:val="zh-CN"/>
        </w:rPr>
        <w:t>中标服务费</w:t>
      </w:r>
      <w:r>
        <w:rPr>
          <w:rFonts w:hint="eastAsia" w:ascii="宋体" w:hAnsi="宋体" w:eastAsia="宋体" w:cs="宋体"/>
          <w:color w:val="auto"/>
          <w:szCs w:val="21"/>
          <w:highlight w:val="none"/>
          <w:lang w:val="en-US" w:eastAsia="zh-CN"/>
        </w:rPr>
        <w:t>均为20,000.00元</w:t>
      </w:r>
      <w:r>
        <w:rPr>
          <w:rFonts w:hint="eastAsia" w:ascii="宋体" w:hAnsi="宋体" w:eastAsia="宋体" w:cs="宋体"/>
          <w:color w:val="auto"/>
          <w:szCs w:val="21"/>
          <w:highlight w:val="none"/>
        </w:rPr>
        <w:t>。</w:t>
      </w:r>
    </w:p>
    <w:p w14:paraId="104AE94E">
      <w:pPr>
        <w:kinsoku/>
        <w:overflowPunct/>
        <w:autoSpaceDE w:val="0"/>
        <w:autoSpaceDN w:val="0"/>
        <w:bidi w:val="0"/>
        <w:adjustRightInd w:val="0"/>
        <w:spacing w:line="360" w:lineRule="auto"/>
        <w:ind w:left="357" w:leftChars="-100" w:hanging="567" w:hangingChars="27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 中标人收到中标通知后，须在15日内</w:t>
      </w:r>
      <w:r>
        <w:rPr>
          <w:rFonts w:hint="eastAsia" w:ascii="宋体" w:hAnsi="宋体" w:eastAsia="宋体" w:cs="宋体"/>
          <w:b w:val="0"/>
          <w:bCs w:val="0"/>
          <w:color w:val="000000"/>
          <w:kern w:val="0"/>
          <w:szCs w:val="21"/>
          <w:highlight w:val="none"/>
          <w:lang w:val="zh-CN"/>
        </w:rPr>
        <w:t>内向招标代理机构交纳中标服务费用及领取《中标通知书》原件，否则视为放弃中标权利和义务</w:t>
      </w:r>
      <w:r>
        <w:rPr>
          <w:rFonts w:hint="eastAsia" w:ascii="宋体" w:hAnsi="宋体" w:eastAsia="宋体" w:cs="宋体"/>
          <w:color w:val="auto"/>
          <w:szCs w:val="21"/>
          <w:highlight w:val="none"/>
        </w:rPr>
        <w:t>。</w:t>
      </w:r>
    </w:p>
    <w:p w14:paraId="63932068">
      <w:pPr>
        <w:kinsoku/>
        <w:overflowPunct/>
        <w:autoSpaceDE w:val="0"/>
        <w:autoSpaceDN w:val="0"/>
        <w:bidi w:val="0"/>
        <w:adjustRightInd w:val="0"/>
        <w:spacing w:line="360" w:lineRule="auto"/>
        <w:ind w:left="357" w:leftChars="-100" w:hanging="567" w:hangingChars="27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 中标服务费只接受以银行转账、电汇方式交纳。</w:t>
      </w:r>
    </w:p>
    <w:p w14:paraId="4C235D96">
      <w:pPr>
        <w:kinsoku/>
        <w:overflowPunct/>
        <w:autoSpaceDE/>
        <w:autoSpaceDN/>
        <w:bidi w:val="0"/>
        <w:adjustRightInd w:val="0"/>
        <w:spacing w:line="360" w:lineRule="auto"/>
        <w:ind w:left="-210" w:leftChars="-100"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中标服务费汇入账号（特别提醒，本账户非投标保证金汇入账户)：</w:t>
      </w:r>
    </w:p>
    <w:p w14:paraId="1820FABD">
      <w:pPr>
        <w:kinsoku/>
        <w:overflowPunct/>
        <w:autoSpaceDE/>
        <w:autoSpaceDN/>
        <w:bidi w:val="0"/>
        <w:adjustRightInd w:val="0"/>
        <w:spacing w:line="360" w:lineRule="auto"/>
        <w:ind w:left="-210" w:leftChars="-100" w:firstLine="525" w:firstLineChars="25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lang w:eastAsia="zh-CN"/>
        </w:rPr>
        <w:t>广东晟拓工程咨询有限公司</w:t>
      </w:r>
    </w:p>
    <w:p w14:paraId="1B1DE8B4">
      <w:pPr>
        <w:kinsoku/>
        <w:overflowPunct/>
        <w:autoSpaceDE/>
        <w:autoSpaceDN/>
        <w:bidi w:val="0"/>
        <w:adjustRightInd w:val="0"/>
        <w:spacing w:line="360" w:lineRule="auto"/>
        <w:ind w:left="-210" w:leftChars="-100"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银行账号：44050110251200001421</w:t>
      </w:r>
    </w:p>
    <w:p w14:paraId="7FD9E750">
      <w:pPr>
        <w:kinsoku/>
        <w:overflowPunct/>
        <w:autoSpaceDE/>
        <w:autoSpaceDN/>
        <w:bidi w:val="0"/>
        <w:adjustRightInd w:val="0"/>
        <w:spacing w:line="360" w:lineRule="auto"/>
        <w:ind w:left="-210" w:leftChars="-100"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开户银行：中国建设银行股份有限公司东莞高盛支行</w:t>
      </w:r>
    </w:p>
    <w:p w14:paraId="20CA42B1">
      <w:pPr>
        <w:kinsoku/>
        <w:overflowPunct/>
        <w:autoSpaceDE w:val="0"/>
        <w:autoSpaceDN w:val="0"/>
        <w:bidi w:val="0"/>
        <w:adjustRightInd w:val="0"/>
        <w:spacing w:line="360" w:lineRule="auto"/>
        <w:ind w:left="357" w:leftChars="-100" w:hanging="567" w:hangingChars="270"/>
        <w:jc w:val="left"/>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.2款规定办理，将不予退还其投标保证金。</w:t>
      </w:r>
    </w:p>
    <w:p w14:paraId="6E306F7D">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bookmarkStart w:id="369" w:name="_Toc450662889"/>
    </w:p>
    <w:p w14:paraId="411A748F">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70" w:name="_Toc6796"/>
      <w:bookmarkStart w:id="371" w:name="_Toc142508355"/>
      <w:bookmarkStart w:id="372" w:name="_Toc21985"/>
      <w:bookmarkStart w:id="373" w:name="_Toc6764_WPSOffice_Level3"/>
      <w:bookmarkStart w:id="374" w:name="_Toc4807"/>
      <w:bookmarkStart w:id="375" w:name="_Toc195714261"/>
      <w:bookmarkStart w:id="376" w:name="_Toc486167704"/>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369"/>
      <w:bookmarkEnd w:id="370"/>
      <w:bookmarkEnd w:id="371"/>
      <w:bookmarkEnd w:id="372"/>
      <w:bookmarkEnd w:id="373"/>
      <w:bookmarkEnd w:id="374"/>
      <w:bookmarkEnd w:id="375"/>
      <w:bookmarkEnd w:id="376"/>
    </w:p>
    <w:p w14:paraId="28E8B128">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377" w:name="_Toc31106_WPSOffice_Level3"/>
      <w:bookmarkStart w:id="378" w:name="_Toc486167705"/>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000000"/>
          <w:szCs w:val="21"/>
          <w:highlight w:val="none"/>
          <w:lang w:val="zh-CN"/>
        </w:rPr>
        <w:t>该项目获得中标的中标人在执行合同过程中，向招标人</w:t>
      </w:r>
      <w:r>
        <w:rPr>
          <w:rFonts w:hint="eastAsia" w:ascii="宋体" w:hAnsi="宋体" w:eastAsia="宋体" w:cs="宋体"/>
          <w:color w:val="000000"/>
          <w:kern w:val="0"/>
          <w:szCs w:val="24"/>
          <w:highlight w:val="none"/>
          <w:lang w:eastAsia="zh-CN"/>
        </w:rPr>
        <w:t>（</w:t>
      </w:r>
      <w:r>
        <w:rPr>
          <w:rFonts w:hint="eastAsia" w:ascii="宋体" w:hAnsi="宋体" w:eastAsia="宋体" w:cs="Times New Roman"/>
          <w:szCs w:val="21"/>
          <w:highlight w:val="none"/>
          <w:lang w:val="zh-CN"/>
        </w:rPr>
        <w:t>或招标人的</w:t>
      </w:r>
      <w:r>
        <w:rPr>
          <w:rFonts w:hint="eastAsia" w:ascii="宋体" w:hAnsi="宋体" w:eastAsia="宋体" w:cs="Times New Roman"/>
          <w:szCs w:val="21"/>
          <w:highlight w:val="none"/>
          <w:lang w:val="en-US" w:eastAsia="zh-CN"/>
        </w:rPr>
        <w:t>下属</w:t>
      </w:r>
      <w:r>
        <w:rPr>
          <w:rFonts w:hint="eastAsia" w:ascii="宋体" w:hAnsi="宋体" w:eastAsia="宋体" w:cs="Times New Roman"/>
          <w:szCs w:val="21"/>
          <w:highlight w:val="none"/>
          <w:lang w:val="zh-CN"/>
        </w:rPr>
        <w:t>公司</w:t>
      </w:r>
      <w:r>
        <w:rPr>
          <w:rFonts w:hint="eastAsia" w:ascii="宋体" w:hAnsi="宋体" w:eastAsia="宋体" w:cs="宋体"/>
          <w:color w:val="000000"/>
          <w:kern w:val="0"/>
          <w:szCs w:val="24"/>
          <w:highlight w:val="none"/>
          <w:lang w:eastAsia="zh-CN"/>
        </w:rPr>
        <w:t>）</w:t>
      </w:r>
      <w:r>
        <w:rPr>
          <w:rFonts w:hint="eastAsia" w:ascii="宋体" w:hAnsi="宋体" w:eastAsia="宋体" w:cs="宋体"/>
          <w:color w:val="000000"/>
          <w:szCs w:val="21"/>
          <w:highlight w:val="none"/>
          <w:lang w:val="zh-CN"/>
        </w:rPr>
        <w:t>出具的发票必须是由中标人</w:t>
      </w:r>
      <w:r>
        <w:rPr>
          <w:rFonts w:hint="eastAsia" w:ascii="宋体" w:hAnsi="宋体" w:eastAsia="宋体" w:cs="Times New Roman"/>
          <w:szCs w:val="21"/>
          <w:highlight w:val="none"/>
          <w:lang w:val="zh-CN"/>
        </w:rPr>
        <w:t>（</w:t>
      </w:r>
      <w:r>
        <w:rPr>
          <w:rFonts w:hint="eastAsia" w:ascii="宋体" w:hAnsi="宋体" w:eastAsia="宋体" w:cs="Times New Roman"/>
          <w:szCs w:val="21"/>
          <w:highlight w:val="none"/>
        </w:rPr>
        <w:t>不含其不具有独立法人资格的分支机构</w:t>
      </w:r>
      <w:r>
        <w:rPr>
          <w:rFonts w:hint="eastAsia" w:ascii="宋体" w:hAnsi="宋体" w:eastAsia="宋体" w:cs="Times New Roman"/>
          <w:szCs w:val="21"/>
          <w:highlight w:val="none"/>
          <w:lang w:val="zh-CN"/>
        </w:rPr>
        <w:t>）</w:t>
      </w:r>
      <w:r>
        <w:rPr>
          <w:rFonts w:hint="eastAsia" w:ascii="宋体" w:hAnsi="宋体" w:eastAsia="宋体" w:cs="宋体"/>
          <w:color w:val="000000"/>
          <w:szCs w:val="21"/>
          <w:highlight w:val="none"/>
          <w:lang w:val="zh-CN"/>
        </w:rPr>
        <w:t>开具，不得以其他单位或个人名义出具，本项目中标人向招标人</w:t>
      </w:r>
      <w:r>
        <w:rPr>
          <w:rFonts w:hint="eastAsia" w:ascii="宋体" w:hAnsi="宋体" w:eastAsia="宋体" w:cs="宋体"/>
          <w:color w:val="000000"/>
          <w:kern w:val="0"/>
          <w:szCs w:val="24"/>
          <w:highlight w:val="none"/>
          <w:lang w:eastAsia="zh-CN"/>
        </w:rPr>
        <w:t>（</w:t>
      </w:r>
      <w:r>
        <w:rPr>
          <w:rFonts w:hint="eastAsia" w:ascii="宋体" w:hAnsi="宋体" w:eastAsia="宋体" w:cs="Times New Roman"/>
          <w:szCs w:val="21"/>
          <w:highlight w:val="none"/>
          <w:lang w:val="zh-CN"/>
        </w:rPr>
        <w:t>或招标人的</w:t>
      </w:r>
      <w:r>
        <w:rPr>
          <w:rFonts w:hint="eastAsia" w:ascii="宋体" w:hAnsi="宋体" w:eastAsia="宋体" w:cs="Times New Roman"/>
          <w:szCs w:val="21"/>
          <w:highlight w:val="none"/>
          <w:lang w:val="en-US" w:eastAsia="zh-CN"/>
        </w:rPr>
        <w:t>下属</w:t>
      </w:r>
      <w:r>
        <w:rPr>
          <w:rFonts w:hint="eastAsia" w:ascii="宋体" w:hAnsi="宋体" w:eastAsia="宋体" w:cs="Times New Roman"/>
          <w:szCs w:val="21"/>
          <w:highlight w:val="none"/>
          <w:lang w:val="zh-CN"/>
        </w:rPr>
        <w:t>公司</w:t>
      </w:r>
      <w:r>
        <w:rPr>
          <w:rFonts w:hint="eastAsia" w:ascii="宋体" w:hAnsi="宋体" w:eastAsia="宋体" w:cs="宋体"/>
          <w:color w:val="000000"/>
          <w:kern w:val="0"/>
          <w:szCs w:val="24"/>
          <w:highlight w:val="none"/>
          <w:lang w:eastAsia="zh-CN"/>
        </w:rPr>
        <w:t>）</w:t>
      </w:r>
      <w:r>
        <w:rPr>
          <w:rFonts w:hint="eastAsia" w:ascii="宋体" w:hAnsi="宋体" w:eastAsia="宋体" w:cs="宋体"/>
          <w:color w:val="000000"/>
          <w:szCs w:val="21"/>
          <w:highlight w:val="none"/>
          <w:lang w:val="zh-CN"/>
        </w:rPr>
        <w:t>出具的发票类型为增值税</w:t>
      </w:r>
      <w:r>
        <w:rPr>
          <w:rFonts w:hint="eastAsia" w:ascii="宋体" w:hAnsi="宋体" w:eastAsia="宋体" w:cs="Times New Roman"/>
          <w:szCs w:val="21"/>
          <w:highlight w:val="none"/>
          <w:lang w:val="zh-CN"/>
        </w:rPr>
        <w:t>专用发票</w:t>
      </w:r>
      <w:r>
        <w:rPr>
          <w:rFonts w:hint="eastAsia" w:ascii="宋体" w:hAnsi="宋体" w:eastAsia="宋体" w:cs="Times New Roman"/>
          <w:szCs w:val="21"/>
          <w:highlight w:val="none"/>
        </w:rPr>
        <w:t>/</w:t>
      </w:r>
      <w:r>
        <w:rPr>
          <w:rFonts w:hint="eastAsia" w:ascii="宋体" w:hAnsi="宋体" w:eastAsia="宋体" w:cs="宋体"/>
          <w:color w:val="000000"/>
          <w:szCs w:val="21"/>
          <w:highlight w:val="none"/>
          <w:lang w:val="en-US" w:eastAsia="zh-CN"/>
        </w:rPr>
        <w:t>普通</w:t>
      </w:r>
      <w:r>
        <w:rPr>
          <w:rFonts w:hint="eastAsia" w:ascii="宋体" w:hAnsi="宋体" w:eastAsia="宋体" w:cs="宋体"/>
          <w:color w:val="000000"/>
          <w:szCs w:val="21"/>
          <w:highlight w:val="none"/>
          <w:lang w:val="zh-CN"/>
        </w:rPr>
        <w:t>发票。</w:t>
      </w:r>
    </w:p>
    <w:p w14:paraId="3325BA88">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Times New Roman"/>
          <w:color w:val="auto"/>
          <w:szCs w:val="21"/>
          <w:highlight w:val="none"/>
        </w:rPr>
      </w:pPr>
    </w:p>
    <w:p w14:paraId="726ED2DF">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b/>
          <w:color w:val="auto"/>
          <w:szCs w:val="21"/>
          <w:highlight w:val="none"/>
        </w:rPr>
      </w:pPr>
      <w:bookmarkStart w:id="379" w:name="_Toc24547"/>
      <w:bookmarkStart w:id="380" w:name="_Toc8619"/>
      <w:bookmarkStart w:id="381" w:name="_Toc142508356"/>
      <w:bookmarkStart w:id="382" w:name="_Toc195714262"/>
      <w:bookmarkStart w:id="383" w:name="_Toc24876"/>
      <w:r>
        <w:rPr>
          <w:rFonts w:hint="eastAsia" w:ascii="宋体" w:hAnsi="宋体" w:eastAsia="宋体" w:cs="宋体"/>
          <w:b/>
          <w:color w:val="auto"/>
          <w:szCs w:val="21"/>
          <w:highlight w:val="none"/>
        </w:rPr>
        <w:t>4</w:t>
      </w:r>
      <w:r>
        <w:rPr>
          <w:rFonts w:ascii="宋体" w:hAnsi="宋体" w:eastAsia="宋体" w:cs="宋体"/>
          <w:b/>
          <w:color w:val="auto"/>
          <w:szCs w:val="21"/>
          <w:highlight w:val="none"/>
        </w:rPr>
        <w:t xml:space="preserve"> 招标相关补充约定</w:t>
      </w:r>
      <w:bookmarkEnd w:id="379"/>
      <w:bookmarkEnd w:id="380"/>
      <w:bookmarkEnd w:id="381"/>
      <w:bookmarkEnd w:id="382"/>
      <w:bookmarkEnd w:id="383"/>
    </w:p>
    <w:p w14:paraId="07ACF583">
      <w:pPr>
        <w:kinsoku/>
        <w:overflowPunct/>
        <w:autoSpaceDE w:val="0"/>
        <w:autoSpaceDN w:val="0"/>
        <w:bidi w:val="0"/>
        <w:adjustRightInd w:val="0"/>
        <w:snapToGrid w:val="0"/>
        <w:spacing w:line="360" w:lineRule="auto"/>
        <w:ind w:left="317" w:leftChars="-100" w:hanging="527" w:hangingChars="250"/>
        <w:jc w:val="left"/>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0D8D6B96">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Times New Roman"/>
          <w:color w:val="auto"/>
          <w:szCs w:val="21"/>
          <w:highlight w:val="none"/>
        </w:rPr>
      </w:pPr>
    </w:p>
    <w:p w14:paraId="7C15F70A">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rPr>
      </w:pPr>
      <w:bookmarkStart w:id="384" w:name="_Toc142508357"/>
      <w:bookmarkStart w:id="385" w:name="_Toc195714263"/>
      <w:bookmarkStart w:id="386" w:name="_Toc26594"/>
      <w:bookmarkStart w:id="387" w:name="_Toc7950"/>
      <w:bookmarkStart w:id="388" w:name="_Toc29758"/>
      <w:r>
        <w:rPr>
          <w:rFonts w:hint="eastAsia" w:ascii="宋体" w:hAnsi="宋体" w:eastAsia="宋体" w:cs="宋体"/>
          <w:color w:val="auto"/>
          <w:szCs w:val="21"/>
          <w:highlight w:val="none"/>
        </w:rPr>
        <w:t>4</w:t>
      </w:r>
      <w:r>
        <w:rPr>
          <w:rFonts w:hint="default" w:ascii="宋体" w:hAnsi="宋体" w:eastAsia="宋体" w:cs="宋体"/>
          <w:color w:val="auto"/>
          <w:szCs w:val="21"/>
          <w:highlight w:val="none"/>
          <w:lang w:val="en-US"/>
        </w:rPr>
        <w:t>2</w:t>
      </w:r>
      <w:r>
        <w:rPr>
          <w:rFonts w:hint="eastAsia" w:ascii="宋体" w:hAnsi="宋体" w:eastAsia="宋体" w:cs="宋体"/>
          <w:color w:val="auto"/>
          <w:szCs w:val="21"/>
          <w:highlight w:val="none"/>
        </w:rPr>
        <w:t xml:space="preserve"> 本次招标活动的最终解释权归招标代理机构及招标人所有。</w:t>
      </w:r>
      <w:bookmarkEnd w:id="377"/>
      <w:bookmarkEnd w:id="378"/>
      <w:bookmarkEnd w:id="384"/>
      <w:bookmarkEnd w:id="385"/>
      <w:bookmarkEnd w:id="386"/>
      <w:bookmarkEnd w:id="387"/>
      <w:bookmarkEnd w:id="388"/>
    </w:p>
    <w:p w14:paraId="2E9B0AE9">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firstLineChars="0"/>
        <w:jc w:val="center"/>
        <w:textAlignment w:val="auto"/>
        <w:outlineLvl w:val="0"/>
        <w:rPr>
          <w:rFonts w:ascii="宋体" w:hAnsi="宋体" w:eastAsia="宋体" w:cs="宋体"/>
          <w:b/>
          <w:bCs/>
          <w:color w:val="auto"/>
          <w:kern w:val="44"/>
          <w:sz w:val="32"/>
          <w:szCs w:val="32"/>
          <w:highlight w:val="none"/>
          <w:lang w:val="zh-CN"/>
        </w:rPr>
      </w:pPr>
      <w:bookmarkStart w:id="389" w:name="_Toc450662891"/>
      <w:bookmarkStart w:id="390" w:name="_Toc486167706"/>
      <w:bookmarkStart w:id="391" w:name="_Toc27939_WPSOffice_Level1"/>
      <w:bookmarkStart w:id="392" w:name="_Toc21539"/>
      <w:bookmarkStart w:id="393" w:name="_Toc14879"/>
      <w:bookmarkStart w:id="394" w:name="_Toc21446"/>
      <w:bookmarkStart w:id="395" w:name="_Toc195714264"/>
      <w:bookmarkStart w:id="396"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89"/>
      <w:bookmarkEnd w:id="390"/>
      <w:bookmarkEnd w:id="391"/>
      <w:bookmarkEnd w:id="392"/>
      <w:bookmarkEnd w:id="393"/>
      <w:bookmarkEnd w:id="394"/>
      <w:bookmarkEnd w:id="395"/>
      <w:bookmarkEnd w:id="396"/>
    </w:p>
    <w:p w14:paraId="1EF5F08A">
      <w:pPr>
        <w:keepNext w:val="0"/>
        <w:keepLines w:val="0"/>
        <w:pageBreakBefore w:val="0"/>
        <w:widowControl w:val="0"/>
        <w:kinsoku/>
        <w:wordWrap/>
        <w:overflowPunct/>
        <w:topLinePunct w:val="0"/>
        <w:autoSpaceDE/>
        <w:autoSpaceDN/>
        <w:bidi w:val="0"/>
        <w:adjustRightInd/>
        <w:snapToGrid/>
        <w:spacing w:after="164" w:afterLines="50" w:line="360" w:lineRule="auto"/>
        <w:ind w:left="0" w:leftChars="0" w:firstLine="422" w:firstLineChars="175"/>
        <w:textAlignment w:val="auto"/>
        <w:rPr>
          <w:rFonts w:hint="default" w:ascii="宋体" w:hAnsi="宋体" w:eastAsia="宋体" w:cs="宋体"/>
          <w:b/>
          <w:color w:val="auto"/>
          <w:sz w:val="24"/>
          <w:szCs w:val="24"/>
          <w:highlight w:val="none"/>
          <w:lang w:val="en-US" w:eastAsia="zh-CN"/>
        </w:rPr>
      </w:pPr>
      <w:bookmarkStart w:id="397" w:name="_Toc18587"/>
      <w:r>
        <w:rPr>
          <w:rFonts w:hint="eastAsia" w:ascii="宋体" w:hAnsi="宋体" w:eastAsia="宋体" w:cs="宋体"/>
          <w:b/>
          <w:color w:val="auto"/>
          <w:sz w:val="24"/>
          <w:szCs w:val="24"/>
          <w:highlight w:val="none"/>
          <w:lang w:val="en-US" w:eastAsia="zh-CN"/>
        </w:rPr>
        <w:t>标段一：采购代理协议服务</w:t>
      </w:r>
    </w:p>
    <w:p w14:paraId="44CF63D6">
      <w:pPr>
        <w:spacing w:line="360" w:lineRule="auto"/>
        <w:ind w:firstLine="422" w:firstLineChars="200"/>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一、招标内容</w:t>
      </w:r>
    </w:p>
    <w:p w14:paraId="4C537B3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东莞市水务环境投资控股集团有限公司</w:t>
      </w:r>
      <w:r>
        <w:rPr>
          <w:rFonts w:hint="eastAsia" w:ascii="宋体" w:hAnsi="宋体" w:eastAsia="宋体" w:cs="宋体"/>
          <w:color w:val="auto"/>
          <w:sz w:val="21"/>
          <w:szCs w:val="21"/>
          <w:highlight w:val="none"/>
        </w:rPr>
        <w:t>根据工作需要，现通过公开招标选取</w:t>
      </w:r>
      <w:r>
        <w:rPr>
          <w:rFonts w:hint="eastAsia" w:ascii="宋体" w:hAnsi="宋体" w:eastAsia="宋体" w:cs="宋体"/>
          <w:color w:val="auto"/>
          <w:sz w:val="21"/>
          <w:szCs w:val="21"/>
          <w:highlight w:val="none"/>
          <w:lang w:val="en-US" w:eastAsia="zh-CN"/>
        </w:rPr>
        <w:t>4家采购代理机构</w:t>
      </w:r>
      <w:r>
        <w:rPr>
          <w:rFonts w:hint="eastAsia" w:ascii="宋体" w:hAnsi="宋体" w:eastAsia="宋体" w:cs="宋体"/>
          <w:color w:val="auto"/>
          <w:sz w:val="21"/>
          <w:szCs w:val="21"/>
          <w:highlight w:val="none"/>
        </w:rPr>
        <w:t>在协议服务期限内，提供</w:t>
      </w:r>
      <w:r>
        <w:rPr>
          <w:rFonts w:hint="eastAsia" w:ascii="宋体" w:hAnsi="宋体" w:eastAsia="宋体" w:cs="宋体"/>
          <w:color w:val="auto"/>
          <w:sz w:val="21"/>
          <w:szCs w:val="21"/>
          <w:highlight w:val="none"/>
          <w:lang w:val="en-US" w:eastAsia="zh-CN"/>
        </w:rPr>
        <w:t>东莞市水务环境投资控股集团有限公司</w:t>
      </w:r>
      <w:r>
        <w:rPr>
          <w:rFonts w:hint="eastAsia" w:ascii="宋体" w:hAnsi="宋体" w:eastAsia="宋体" w:cs="宋体"/>
          <w:color w:val="auto"/>
          <w:sz w:val="21"/>
          <w:szCs w:val="21"/>
          <w:highlight w:val="none"/>
        </w:rPr>
        <w:t>（含下属企业）</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代理服务，包括</w:t>
      </w:r>
      <w:r>
        <w:rPr>
          <w:rFonts w:hint="eastAsia" w:ascii="宋体" w:hAnsi="宋体" w:eastAsia="宋体" w:cs="宋体"/>
          <w:color w:val="auto"/>
          <w:sz w:val="21"/>
          <w:szCs w:val="21"/>
          <w:highlight w:val="none"/>
          <w:lang w:val="en-US" w:eastAsia="zh-CN"/>
        </w:rPr>
        <w:t>非依法必须招标的</w:t>
      </w:r>
      <w:r>
        <w:rPr>
          <w:rFonts w:hint="eastAsia" w:ascii="宋体" w:hAnsi="宋体" w:eastAsia="宋体" w:cs="宋体"/>
          <w:color w:val="auto"/>
          <w:sz w:val="21"/>
          <w:szCs w:val="21"/>
          <w:highlight w:val="none"/>
        </w:rPr>
        <w:t>工程及与工程相关的货物、服务</w:t>
      </w:r>
      <w:r>
        <w:rPr>
          <w:rFonts w:hint="eastAsia" w:ascii="宋体" w:hAnsi="宋体" w:eastAsia="宋体" w:cs="宋体"/>
          <w:color w:val="auto"/>
          <w:sz w:val="21"/>
          <w:szCs w:val="21"/>
          <w:highlight w:val="none"/>
          <w:lang w:val="en-US" w:eastAsia="zh-CN"/>
        </w:rPr>
        <w:t>招标和企业采购类项目</w:t>
      </w:r>
      <w:r>
        <w:rPr>
          <w:rFonts w:hint="eastAsia" w:ascii="宋体" w:hAnsi="宋体" w:eastAsia="宋体" w:cs="宋体"/>
          <w:color w:val="auto"/>
          <w:sz w:val="21"/>
          <w:szCs w:val="21"/>
          <w:highlight w:val="none"/>
        </w:rPr>
        <w:t>或其他项目，具体以</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人实际委托项目为准。</w:t>
      </w:r>
    </w:p>
    <w:p w14:paraId="1EC78F57">
      <w:pPr>
        <w:spacing w:line="360" w:lineRule="auto"/>
        <w:ind w:firstLine="424" w:firstLineChars="20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协议服务期限</w:t>
      </w:r>
      <w:r>
        <w:rPr>
          <w:rFonts w:hint="eastAsia" w:ascii="宋体" w:hAnsi="宋体" w:eastAsia="宋体" w:cs="宋体"/>
          <w:b/>
          <w:bCs/>
          <w:color w:val="auto"/>
          <w:sz w:val="21"/>
          <w:szCs w:val="21"/>
          <w:highlight w:val="none"/>
        </w:rPr>
        <w:t>及服务内容</w:t>
      </w:r>
    </w:p>
    <w:p w14:paraId="166DF5D7">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本项目的协议服务期限：自合同签订之日起2年。</w:t>
      </w:r>
    </w:p>
    <w:p w14:paraId="54913D39">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val="en-US" w:eastAsia="zh-CN"/>
        </w:rPr>
        <w:t>东莞市水务环境投资控股集团有限公司</w:t>
      </w:r>
      <w:r>
        <w:rPr>
          <w:rFonts w:hint="eastAsia" w:ascii="宋体" w:hAnsi="宋体" w:eastAsia="宋体" w:cs="宋体"/>
          <w:color w:val="auto"/>
          <w:sz w:val="21"/>
          <w:szCs w:val="21"/>
          <w:highlight w:val="none"/>
        </w:rPr>
        <w:t>（含下属企业）作为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委托</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项目实行全过程代理服务工作，包括但不限于：</w:t>
      </w:r>
    </w:p>
    <w:p w14:paraId="39D4A533">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（1）对项目全过程进行统筹规划，对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项目提出合理化建议、协助</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复核招标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基本条件并开展</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需求调查；</w:t>
      </w:r>
    </w:p>
    <w:p w14:paraId="1BCAA1A1">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（2）发布招标计划（如需）；</w:t>
      </w:r>
    </w:p>
    <w:p w14:paraId="417B0CA7">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（3）编制</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及合同；</w:t>
      </w:r>
    </w:p>
    <w:p w14:paraId="0AADC78F">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（4）办理行业监督部门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核备手续（如需），提出招标申请，预订开标、评标场地；</w:t>
      </w:r>
    </w:p>
    <w:p w14:paraId="6D469A1C">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（5）发出投标邀请书或发布</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w:t>
      </w:r>
    </w:p>
    <w:p w14:paraId="7037FC18">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（6）发布</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或发售采购文件</w:t>
      </w:r>
      <w:r>
        <w:rPr>
          <w:rFonts w:hint="eastAsia" w:ascii="宋体" w:hAnsi="宋体" w:eastAsia="宋体" w:cs="宋体"/>
          <w:color w:val="auto"/>
          <w:sz w:val="21"/>
          <w:szCs w:val="21"/>
          <w:highlight w:val="none"/>
        </w:rPr>
        <w:t>；</w:t>
      </w:r>
    </w:p>
    <w:p w14:paraId="6DF76772">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（7）协助</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）审查投标人（供应商）资格，答疑和整理答疑回复，对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进行必要的澄清与修改；</w:t>
      </w:r>
    </w:p>
    <w:p w14:paraId="6FB95130">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（8）申请评标及评标专家抽取（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专家代表除外，非评审项目除外）；</w:t>
      </w:r>
    </w:p>
    <w:p w14:paraId="74B8D1EE">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（9）申请及办理公证（监督部门或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有要求时）；</w:t>
      </w:r>
    </w:p>
    <w:p w14:paraId="5E8B56F8">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接收投标（响应）文件（如有），</w:t>
      </w:r>
      <w:r>
        <w:rPr>
          <w:rFonts w:hint="eastAsia" w:ascii="宋体" w:hAnsi="宋体" w:eastAsia="宋体" w:cs="宋体"/>
          <w:color w:val="auto"/>
          <w:sz w:val="21"/>
          <w:szCs w:val="21"/>
          <w:highlight w:val="none"/>
        </w:rPr>
        <w:t>组织开标、评标；</w:t>
      </w:r>
    </w:p>
    <w:p w14:paraId="13809BCD">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（11）结果公示；</w:t>
      </w:r>
    </w:p>
    <w:p w14:paraId="178673E6">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（12）签发中标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通知书；</w:t>
      </w:r>
    </w:p>
    <w:p w14:paraId="35BAE31E">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（13）协助签订合同及征询合同双方意见进行修订并装订；</w:t>
      </w:r>
    </w:p>
    <w:p w14:paraId="77DAB554">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（14）合同公示；</w:t>
      </w:r>
    </w:p>
    <w:p w14:paraId="3AC2983D">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收取、</w:t>
      </w:r>
      <w:r>
        <w:rPr>
          <w:rFonts w:hint="eastAsia" w:ascii="宋体" w:hAnsi="宋体" w:eastAsia="宋体" w:cs="宋体"/>
          <w:color w:val="auto"/>
          <w:sz w:val="21"/>
          <w:szCs w:val="21"/>
          <w:highlight w:val="none"/>
        </w:rPr>
        <w:t>退回投标保证金（如需）；</w:t>
      </w:r>
    </w:p>
    <w:p w14:paraId="4F380133">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资料收集及移交，</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全过程资料整理（含档案数字化）和存档保管；</w:t>
      </w:r>
    </w:p>
    <w:p w14:paraId="35B7EEE0">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）协助处理异议；</w:t>
      </w:r>
    </w:p>
    <w:p w14:paraId="3545615B">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）协助处理投诉或其他相关事务；</w:t>
      </w:r>
    </w:p>
    <w:p w14:paraId="1242F354">
      <w:pPr>
        <w:pStyle w:val="138"/>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）合同咨询及其他服务，包括处理</w:t>
      </w:r>
      <w:r>
        <w:rPr>
          <w:rFonts w:hint="eastAsia" w:ascii="宋体" w:hAnsi="宋体" w:eastAsia="宋体" w:cs="宋体"/>
          <w:color w:val="auto"/>
          <w:sz w:val="21"/>
          <w:szCs w:val="21"/>
          <w:highlight w:val="none"/>
          <w:lang w:val="en-US" w:eastAsia="zh-CN"/>
        </w:rPr>
        <w:t>采购项目</w:t>
      </w:r>
      <w:r>
        <w:rPr>
          <w:rFonts w:hint="eastAsia" w:ascii="宋体" w:hAnsi="宋体" w:eastAsia="宋体" w:cs="宋体"/>
          <w:color w:val="auto"/>
          <w:sz w:val="21"/>
          <w:szCs w:val="21"/>
          <w:highlight w:val="none"/>
        </w:rPr>
        <w:t>后续工作、协助调解</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过程及</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合同实施过程中的争议，以及其他保证</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工作按时按质顺利进行的其他事项。</w:t>
      </w:r>
    </w:p>
    <w:p w14:paraId="017BF674">
      <w:pPr>
        <w:pStyle w:val="1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中标人应本着诚实信用的原则，高效率的提供本用户需求书规定的各项服务。</w:t>
      </w:r>
    </w:p>
    <w:p w14:paraId="3C61BF5C">
      <w:pPr>
        <w:pStyle w:val="138"/>
        <w:spacing w:line="360" w:lineRule="auto"/>
        <w:ind w:firstLineChars="201"/>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三、采购代理服务规范要求</w:t>
      </w:r>
    </w:p>
    <w:p w14:paraId="2524AFCF">
      <w:pPr>
        <w:pStyle w:val="138"/>
        <w:spacing w:line="360" w:lineRule="auto"/>
        <w:ind w:firstLineChars="20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Cs w:val="21"/>
          <w:highlight w:val="none"/>
          <w:lang w:val="en-US" w:eastAsia="zh-CN"/>
        </w:rPr>
        <w:t>3.1</w:t>
      </w:r>
      <w:r>
        <w:rPr>
          <w:rFonts w:hint="eastAsia" w:ascii="宋体" w:hAnsi="宋体" w:eastAsia="宋体" w:cs="宋体"/>
          <w:szCs w:val="21"/>
          <w:highlight w:val="none"/>
        </w:rPr>
        <w:t>采购代理服务工作程序</w:t>
      </w:r>
    </w:p>
    <w:tbl>
      <w:tblPr>
        <w:tblStyle w:val="44"/>
        <w:tblW w:w="4999" w:type="pct"/>
        <w:tblInd w:w="0" w:type="dxa"/>
        <w:tblLayout w:type="autofit"/>
        <w:tblCellMar>
          <w:top w:w="0" w:type="dxa"/>
          <w:left w:w="0" w:type="dxa"/>
          <w:bottom w:w="0" w:type="dxa"/>
          <w:right w:w="0" w:type="dxa"/>
        </w:tblCellMar>
      </w:tblPr>
      <w:tblGrid>
        <w:gridCol w:w="3338"/>
        <w:gridCol w:w="6824"/>
      </w:tblGrid>
      <w:tr w14:paraId="794468D0">
        <w:tblPrEx>
          <w:tblCellMar>
            <w:top w:w="0" w:type="dxa"/>
            <w:left w:w="0" w:type="dxa"/>
            <w:bottom w:w="0" w:type="dxa"/>
            <w:right w:w="0" w:type="dxa"/>
          </w:tblCellMar>
        </w:tblPrEx>
        <w:trPr>
          <w:trHeight w:val="472" w:hRule="exact"/>
        </w:trPr>
        <w:tc>
          <w:tcPr>
            <w:tcW w:w="1642" w:type="pct"/>
            <w:tcBorders>
              <w:top w:val="single" w:color="000000" w:sz="4" w:space="0"/>
              <w:left w:val="single" w:color="000000" w:sz="4" w:space="0"/>
              <w:bottom w:val="single" w:color="000000" w:sz="4" w:space="0"/>
              <w:right w:val="single" w:color="000000" w:sz="4" w:space="0"/>
            </w:tcBorders>
            <w:vAlign w:val="center"/>
          </w:tcPr>
          <w:p w14:paraId="1A48C81D">
            <w:pPr>
              <w:pStyle w:val="222"/>
              <w:keepNext w:val="0"/>
              <w:keepLines w:val="0"/>
              <w:suppressLineNumbers w:val="0"/>
              <w:kinsoku w:val="0"/>
              <w:overflowPunct w:val="0"/>
              <w:spacing w:before="111" w:beforeAutospacing="0" w:after="0" w:afterAutospacing="0"/>
              <w:ind w:left="955" w:right="956"/>
              <w:jc w:val="center"/>
              <w:rPr>
                <w:rFonts w:hint="default" w:ascii="宋体" w:hAnsi="宋体" w:eastAsia="宋体"/>
                <w:szCs w:val="21"/>
                <w:highlight w:val="none"/>
              </w:rPr>
            </w:pPr>
            <w:r>
              <w:rPr>
                <w:rFonts w:hint="eastAsia" w:ascii="宋体" w:hAnsi="宋体" w:eastAsia="宋体"/>
                <w:b/>
                <w:bCs/>
                <w:szCs w:val="21"/>
                <w:highlight w:val="none"/>
              </w:rPr>
              <w:t>工作阶段</w:t>
            </w:r>
          </w:p>
        </w:tc>
        <w:tc>
          <w:tcPr>
            <w:tcW w:w="3357" w:type="pct"/>
            <w:tcBorders>
              <w:top w:val="single" w:color="000000" w:sz="4" w:space="0"/>
              <w:left w:val="single" w:color="000000" w:sz="4" w:space="0"/>
              <w:bottom w:val="single" w:color="000000" w:sz="4" w:space="0"/>
              <w:right w:val="single" w:color="000000" w:sz="4" w:space="0"/>
            </w:tcBorders>
            <w:vAlign w:val="center"/>
          </w:tcPr>
          <w:p w14:paraId="5B90D961">
            <w:pPr>
              <w:pStyle w:val="222"/>
              <w:keepNext w:val="0"/>
              <w:keepLines w:val="0"/>
              <w:suppressLineNumbers w:val="0"/>
              <w:kinsoku w:val="0"/>
              <w:overflowPunct w:val="0"/>
              <w:spacing w:before="111" w:beforeAutospacing="0" w:after="0" w:afterAutospacing="0"/>
              <w:ind w:left="839" w:right="840"/>
              <w:jc w:val="center"/>
              <w:rPr>
                <w:rFonts w:hint="default" w:ascii="宋体" w:hAnsi="宋体" w:eastAsia="宋体"/>
                <w:szCs w:val="21"/>
                <w:highlight w:val="none"/>
              </w:rPr>
            </w:pPr>
            <w:r>
              <w:rPr>
                <w:rFonts w:hint="eastAsia" w:ascii="宋体" w:hAnsi="宋体" w:eastAsia="宋体"/>
                <w:b/>
                <w:bCs/>
                <w:szCs w:val="21"/>
                <w:highlight w:val="none"/>
              </w:rPr>
              <w:t>工作内容</w:t>
            </w:r>
          </w:p>
        </w:tc>
      </w:tr>
      <w:tr w14:paraId="00329B48">
        <w:tblPrEx>
          <w:tblCellMar>
            <w:top w:w="0" w:type="dxa"/>
            <w:left w:w="0" w:type="dxa"/>
            <w:bottom w:w="0" w:type="dxa"/>
            <w:right w:w="0" w:type="dxa"/>
          </w:tblCellMar>
        </w:tblPrEx>
        <w:trPr>
          <w:trHeight w:val="462" w:hRule="exact"/>
        </w:trPr>
        <w:tc>
          <w:tcPr>
            <w:tcW w:w="1642" w:type="pct"/>
            <w:vMerge w:val="restart"/>
            <w:tcBorders>
              <w:top w:val="single" w:color="000000" w:sz="4" w:space="0"/>
              <w:left w:val="single" w:color="000000" w:sz="4" w:space="0"/>
              <w:bottom w:val="single" w:color="000000" w:sz="4" w:space="0"/>
              <w:right w:val="single" w:color="000000" w:sz="4" w:space="0"/>
            </w:tcBorders>
            <w:vAlign w:val="center"/>
          </w:tcPr>
          <w:p w14:paraId="43EC1273">
            <w:pPr>
              <w:pStyle w:val="222"/>
              <w:keepNext w:val="0"/>
              <w:keepLines w:val="0"/>
              <w:suppressLineNumbers w:val="0"/>
              <w:kinsoku w:val="0"/>
              <w:overflowPunct w:val="0"/>
              <w:spacing w:before="187" w:beforeAutospacing="0" w:after="0" w:afterAutospacing="0"/>
              <w:ind w:left="131" w:right="0"/>
              <w:jc w:val="center"/>
              <w:rPr>
                <w:rFonts w:hint="default" w:ascii="宋体" w:hAnsi="宋体" w:eastAsia="宋体"/>
                <w:szCs w:val="21"/>
                <w:highlight w:val="none"/>
              </w:rPr>
            </w:pPr>
            <w:r>
              <w:rPr>
                <w:rFonts w:hint="eastAsia" w:ascii="宋体" w:hAnsi="宋体" w:eastAsia="宋体"/>
                <w:szCs w:val="21"/>
                <w:highlight w:val="none"/>
              </w:rPr>
              <w:t>业务承接与采购准备阶段</w:t>
            </w:r>
          </w:p>
        </w:tc>
        <w:tc>
          <w:tcPr>
            <w:tcW w:w="3357" w:type="pct"/>
            <w:tcBorders>
              <w:top w:val="single" w:color="000000" w:sz="4" w:space="0"/>
              <w:left w:val="single" w:color="000000" w:sz="4" w:space="0"/>
              <w:bottom w:val="single" w:color="000000" w:sz="4" w:space="0"/>
              <w:right w:val="single" w:color="000000" w:sz="4" w:space="0"/>
            </w:tcBorders>
            <w:vAlign w:val="center"/>
          </w:tcPr>
          <w:p w14:paraId="1351BCB7">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承接业务及签订采购代理合同</w:t>
            </w:r>
          </w:p>
        </w:tc>
      </w:tr>
      <w:tr w14:paraId="00EE0437">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0CBF8171">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25271739">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组建采购代理项目组</w:t>
            </w:r>
          </w:p>
        </w:tc>
      </w:tr>
      <w:tr w14:paraId="3CE8AC6D">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4C1FDE05">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063E6EDD">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收集和分析基础信息</w:t>
            </w:r>
          </w:p>
        </w:tc>
      </w:tr>
      <w:tr w14:paraId="2D0E46C6">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7B4EC40F">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2EFE93F9">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落实招标采购基本条件</w:t>
            </w:r>
          </w:p>
        </w:tc>
      </w:tr>
      <w:tr w14:paraId="2D24E9C8">
        <w:tblPrEx>
          <w:tblCellMar>
            <w:top w:w="0" w:type="dxa"/>
            <w:left w:w="0" w:type="dxa"/>
            <w:bottom w:w="0" w:type="dxa"/>
            <w:right w:w="0" w:type="dxa"/>
          </w:tblCellMar>
        </w:tblPrEx>
        <w:trPr>
          <w:trHeight w:val="463"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37B3079E">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5F590C3A">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对项目全过程进行统筹规划</w:t>
            </w:r>
          </w:p>
        </w:tc>
      </w:tr>
      <w:tr w14:paraId="1072FC81">
        <w:tblPrEx>
          <w:tblCellMar>
            <w:top w:w="0" w:type="dxa"/>
            <w:left w:w="0" w:type="dxa"/>
            <w:bottom w:w="0" w:type="dxa"/>
            <w:right w:w="0" w:type="dxa"/>
          </w:tblCellMar>
        </w:tblPrEx>
        <w:trPr>
          <w:trHeight w:val="462" w:hRule="exact"/>
        </w:trPr>
        <w:tc>
          <w:tcPr>
            <w:tcW w:w="1642" w:type="pct"/>
            <w:vMerge w:val="restart"/>
            <w:tcBorders>
              <w:top w:val="single" w:color="000000" w:sz="4" w:space="0"/>
              <w:left w:val="single" w:color="000000" w:sz="4" w:space="0"/>
              <w:bottom w:val="single" w:color="000000" w:sz="4" w:space="0"/>
              <w:right w:val="single" w:color="000000" w:sz="4" w:space="0"/>
            </w:tcBorders>
            <w:vAlign w:val="center"/>
          </w:tcPr>
          <w:p w14:paraId="070C37A3">
            <w:pPr>
              <w:pStyle w:val="222"/>
              <w:keepNext w:val="0"/>
              <w:keepLines w:val="0"/>
              <w:suppressLineNumbers w:val="0"/>
              <w:kinsoku w:val="0"/>
              <w:overflowPunct w:val="0"/>
              <w:spacing w:before="1" w:beforeAutospacing="0" w:after="0" w:afterAutospacing="0"/>
              <w:ind w:left="0" w:right="0"/>
              <w:jc w:val="center"/>
              <w:rPr>
                <w:rFonts w:hint="default" w:ascii="宋体" w:hAnsi="宋体" w:eastAsia="宋体"/>
                <w:szCs w:val="21"/>
                <w:highlight w:val="none"/>
              </w:rPr>
            </w:pPr>
            <w:r>
              <w:rPr>
                <w:rFonts w:hint="eastAsia" w:ascii="宋体" w:hAnsi="宋体" w:eastAsia="宋体"/>
                <w:szCs w:val="21"/>
                <w:highlight w:val="none"/>
              </w:rPr>
              <w:t>采购投标阶段</w:t>
            </w:r>
          </w:p>
        </w:tc>
        <w:tc>
          <w:tcPr>
            <w:tcW w:w="3357" w:type="pct"/>
            <w:tcBorders>
              <w:top w:val="single" w:color="000000" w:sz="4" w:space="0"/>
              <w:left w:val="single" w:color="000000" w:sz="4" w:space="0"/>
              <w:bottom w:val="single" w:color="000000" w:sz="4" w:space="0"/>
              <w:right w:val="single" w:color="000000" w:sz="4" w:space="0"/>
            </w:tcBorders>
            <w:vAlign w:val="center"/>
          </w:tcPr>
          <w:p w14:paraId="498C22A0">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编制采购文件及合同</w:t>
            </w:r>
          </w:p>
        </w:tc>
      </w:tr>
      <w:tr w14:paraId="3418320F">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1D645665">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34316A89">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发出采购公告（或投标邀请书）</w:t>
            </w:r>
          </w:p>
        </w:tc>
      </w:tr>
      <w:tr w14:paraId="6DB30769">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3B4071CC">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3F22E113">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发售采购文件</w:t>
            </w:r>
          </w:p>
        </w:tc>
      </w:tr>
      <w:tr w14:paraId="4CD59704">
        <w:tblPrEx>
          <w:tblCellMar>
            <w:top w:w="0" w:type="dxa"/>
            <w:left w:w="0" w:type="dxa"/>
            <w:bottom w:w="0" w:type="dxa"/>
            <w:right w:w="0" w:type="dxa"/>
          </w:tblCellMar>
        </w:tblPrEx>
        <w:trPr>
          <w:trHeight w:val="463"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66DA5C02">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12DD0E23">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组织潜在投标人（供应商）踏勘现场(如需)</w:t>
            </w:r>
          </w:p>
        </w:tc>
      </w:tr>
      <w:tr w14:paraId="358A67ED">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4C98E7B5">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59BED77C">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采购文件澄清与修改（如需）</w:t>
            </w:r>
          </w:p>
        </w:tc>
      </w:tr>
      <w:tr w14:paraId="17EFD711">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49E7A6C8">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4F242840">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申请评审专家抽取</w:t>
            </w:r>
          </w:p>
        </w:tc>
      </w:tr>
      <w:tr w14:paraId="7AA3F0E4">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2A7FB98E">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7CFEF333">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申请及办理公证（监督部门或采购人有要求时）</w:t>
            </w:r>
          </w:p>
        </w:tc>
      </w:tr>
      <w:tr w14:paraId="131EFE94">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3F19AE9F">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6682EC50">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接收投标（响应）文件</w:t>
            </w:r>
          </w:p>
        </w:tc>
      </w:tr>
      <w:tr w14:paraId="60A0133D">
        <w:tblPrEx>
          <w:tblCellMar>
            <w:top w:w="0" w:type="dxa"/>
            <w:left w:w="0" w:type="dxa"/>
            <w:bottom w:w="0" w:type="dxa"/>
            <w:right w:w="0" w:type="dxa"/>
          </w:tblCellMar>
        </w:tblPrEx>
        <w:trPr>
          <w:trHeight w:val="462" w:hRule="exact"/>
        </w:trPr>
        <w:tc>
          <w:tcPr>
            <w:tcW w:w="1642" w:type="pct"/>
            <w:vMerge w:val="restart"/>
            <w:tcBorders>
              <w:top w:val="single" w:color="000000" w:sz="4" w:space="0"/>
              <w:left w:val="single" w:color="000000" w:sz="4" w:space="0"/>
              <w:bottom w:val="single" w:color="000000" w:sz="4" w:space="0"/>
              <w:right w:val="single" w:color="000000" w:sz="4" w:space="0"/>
            </w:tcBorders>
            <w:vAlign w:val="center"/>
          </w:tcPr>
          <w:p w14:paraId="37797987">
            <w:pPr>
              <w:pStyle w:val="222"/>
              <w:keepNext w:val="0"/>
              <w:keepLines w:val="0"/>
              <w:suppressLineNumbers w:val="0"/>
              <w:kinsoku w:val="0"/>
              <w:overflowPunct w:val="0"/>
              <w:spacing w:before="187" w:beforeAutospacing="0" w:after="0" w:afterAutospacing="0"/>
              <w:ind w:left="245" w:right="0"/>
              <w:jc w:val="center"/>
              <w:rPr>
                <w:rFonts w:hint="default" w:ascii="宋体" w:hAnsi="宋体" w:eastAsia="宋体"/>
                <w:szCs w:val="21"/>
                <w:highlight w:val="none"/>
              </w:rPr>
            </w:pPr>
            <w:r>
              <w:rPr>
                <w:rFonts w:hint="eastAsia" w:ascii="宋体" w:hAnsi="宋体" w:eastAsia="宋体"/>
                <w:szCs w:val="21"/>
                <w:highlight w:val="none"/>
              </w:rPr>
              <w:t>开标、评标与定标阶段</w:t>
            </w:r>
          </w:p>
        </w:tc>
        <w:tc>
          <w:tcPr>
            <w:tcW w:w="3357" w:type="pct"/>
            <w:tcBorders>
              <w:top w:val="single" w:color="000000" w:sz="4" w:space="0"/>
              <w:left w:val="single" w:color="000000" w:sz="4" w:space="0"/>
              <w:bottom w:val="single" w:color="000000" w:sz="4" w:space="0"/>
              <w:right w:val="single" w:color="000000" w:sz="4" w:space="0"/>
            </w:tcBorders>
            <w:vAlign w:val="center"/>
          </w:tcPr>
          <w:p w14:paraId="51314454">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组织开标</w:t>
            </w:r>
          </w:p>
        </w:tc>
      </w:tr>
      <w:tr w14:paraId="70F773B2">
        <w:tblPrEx>
          <w:tblCellMar>
            <w:top w:w="0" w:type="dxa"/>
            <w:left w:w="0" w:type="dxa"/>
            <w:bottom w:w="0" w:type="dxa"/>
            <w:right w:w="0" w:type="dxa"/>
          </w:tblCellMar>
        </w:tblPrEx>
        <w:trPr>
          <w:trHeight w:val="463"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1BB5E33A">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0A29B24F">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组织评标</w:t>
            </w:r>
          </w:p>
        </w:tc>
      </w:tr>
      <w:tr w14:paraId="4872ADCD">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4FB5DC2D">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3BB7F4B3">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评标结果公示</w:t>
            </w:r>
          </w:p>
        </w:tc>
      </w:tr>
      <w:tr w14:paraId="3D9A2471">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000000" w:sz="4" w:space="0"/>
              <w:right w:val="single" w:color="000000" w:sz="4" w:space="0"/>
            </w:tcBorders>
            <w:vAlign w:val="center"/>
          </w:tcPr>
          <w:p w14:paraId="1E285FF1">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000000" w:sz="4" w:space="0"/>
            </w:tcBorders>
            <w:vAlign w:val="center"/>
          </w:tcPr>
          <w:p w14:paraId="3490D4ED">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协助定标</w:t>
            </w:r>
          </w:p>
        </w:tc>
      </w:tr>
      <w:tr w14:paraId="3ABC119C">
        <w:tblPrEx>
          <w:tblCellMar>
            <w:top w:w="0" w:type="dxa"/>
            <w:left w:w="0" w:type="dxa"/>
            <w:bottom w:w="0" w:type="dxa"/>
            <w:right w:w="0" w:type="dxa"/>
          </w:tblCellMar>
        </w:tblPrEx>
        <w:trPr>
          <w:trHeight w:val="462" w:hRule="exact"/>
        </w:trPr>
        <w:tc>
          <w:tcPr>
            <w:tcW w:w="1642" w:type="pct"/>
            <w:vMerge w:val="continue"/>
            <w:tcBorders>
              <w:top w:val="single" w:color="000000" w:sz="4" w:space="0"/>
              <w:left w:val="single" w:color="000000" w:sz="4" w:space="0"/>
              <w:bottom w:val="single" w:color="auto" w:sz="4" w:space="0"/>
              <w:right w:val="single" w:color="000000" w:sz="4" w:space="0"/>
            </w:tcBorders>
            <w:vAlign w:val="center"/>
          </w:tcPr>
          <w:p w14:paraId="5E572A25">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auto" w:sz="4" w:space="0"/>
              <w:right w:val="single" w:color="000000" w:sz="4" w:space="0"/>
            </w:tcBorders>
            <w:vAlign w:val="center"/>
          </w:tcPr>
          <w:p w14:paraId="66BA644D">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发出中标（成交）通知书</w:t>
            </w:r>
          </w:p>
        </w:tc>
      </w:tr>
      <w:tr w14:paraId="11BAFDCF">
        <w:tblPrEx>
          <w:tblCellMar>
            <w:top w:w="0" w:type="dxa"/>
            <w:left w:w="0" w:type="dxa"/>
            <w:bottom w:w="0" w:type="dxa"/>
            <w:right w:w="0" w:type="dxa"/>
          </w:tblCellMar>
        </w:tblPrEx>
        <w:trPr>
          <w:trHeight w:val="462" w:hRule="exact"/>
        </w:trPr>
        <w:tc>
          <w:tcPr>
            <w:tcW w:w="1642" w:type="pct"/>
            <w:vMerge w:val="restart"/>
            <w:tcBorders>
              <w:top w:val="single" w:color="auto" w:sz="4" w:space="0"/>
              <w:left w:val="single" w:color="auto" w:sz="4" w:space="0"/>
              <w:right w:val="single" w:color="000000" w:sz="4" w:space="0"/>
            </w:tcBorders>
            <w:vAlign w:val="center"/>
          </w:tcPr>
          <w:p w14:paraId="4ADE2663">
            <w:pPr>
              <w:pStyle w:val="222"/>
              <w:keepNext w:val="0"/>
              <w:keepLines w:val="0"/>
              <w:suppressLineNumbers w:val="0"/>
              <w:kinsoku w:val="0"/>
              <w:overflowPunct w:val="0"/>
              <w:spacing w:before="132" w:beforeAutospacing="0" w:after="0" w:afterAutospacing="0"/>
              <w:ind w:left="131" w:right="0"/>
              <w:jc w:val="center"/>
              <w:rPr>
                <w:rFonts w:hint="default" w:ascii="宋体" w:hAnsi="宋体" w:eastAsia="宋体"/>
                <w:szCs w:val="21"/>
                <w:highlight w:val="none"/>
              </w:rPr>
            </w:pPr>
            <w:r>
              <w:rPr>
                <w:rFonts w:hint="eastAsia" w:ascii="宋体" w:hAnsi="宋体" w:eastAsia="宋体"/>
                <w:szCs w:val="21"/>
                <w:highlight w:val="none"/>
              </w:rPr>
              <w:t>合同签订及后续服务阶段</w:t>
            </w:r>
          </w:p>
        </w:tc>
        <w:tc>
          <w:tcPr>
            <w:tcW w:w="3357" w:type="pct"/>
            <w:tcBorders>
              <w:top w:val="single" w:color="auto" w:sz="4" w:space="0"/>
              <w:left w:val="single" w:color="000000" w:sz="4" w:space="0"/>
              <w:bottom w:val="single" w:color="000000" w:sz="4" w:space="0"/>
              <w:right w:val="single" w:color="auto" w:sz="4" w:space="0"/>
            </w:tcBorders>
            <w:vAlign w:val="center"/>
          </w:tcPr>
          <w:p w14:paraId="5744D0C2">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r>
              <w:rPr>
                <w:rFonts w:hint="eastAsia" w:ascii="宋体" w:hAnsi="宋体" w:eastAsia="宋体"/>
                <w:szCs w:val="21"/>
                <w:highlight w:val="none"/>
              </w:rPr>
              <w:t>协助签订合同</w:t>
            </w:r>
          </w:p>
        </w:tc>
      </w:tr>
      <w:tr w14:paraId="19989FFD">
        <w:tblPrEx>
          <w:tblCellMar>
            <w:top w:w="0" w:type="dxa"/>
            <w:left w:w="0" w:type="dxa"/>
            <w:bottom w:w="0" w:type="dxa"/>
            <w:right w:w="0" w:type="dxa"/>
          </w:tblCellMar>
        </w:tblPrEx>
        <w:trPr>
          <w:trHeight w:val="463" w:hRule="exact"/>
        </w:trPr>
        <w:tc>
          <w:tcPr>
            <w:tcW w:w="1642" w:type="pct"/>
            <w:vMerge w:val="continue"/>
            <w:tcBorders>
              <w:left w:val="single" w:color="auto" w:sz="4" w:space="0"/>
              <w:right w:val="single" w:color="000000" w:sz="4" w:space="0"/>
            </w:tcBorders>
            <w:vAlign w:val="center"/>
          </w:tcPr>
          <w:p w14:paraId="3F5640DB">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auto" w:sz="4" w:space="0"/>
            </w:tcBorders>
            <w:vAlign w:val="center"/>
          </w:tcPr>
          <w:p w14:paraId="517BC596">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收取、退还投标保证金（如需）</w:t>
            </w:r>
          </w:p>
        </w:tc>
      </w:tr>
      <w:tr w14:paraId="14E38B71">
        <w:tblPrEx>
          <w:tblCellMar>
            <w:top w:w="0" w:type="dxa"/>
            <w:left w:w="0" w:type="dxa"/>
            <w:bottom w:w="0" w:type="dxa"/>
            <w:right w:w="0" w:type="dxa"/>
          </w:tblCellMar>
        </w:tblPrEx>
        <w:trPr>
          <w:trHeight w:val="580" w:hRule="exact"/>
        </w:trPr>
        <w:tc>
          <w:tcPr>
            <w:tcW w:w="1642" w:type="pct"/>
            <w:vMerge w:val="continue"/>
            <w:tcBorders>
              <w:left w:val="single" w:color="auto" w:sz="4" w:space="0"/>
              <w:right w:val="single" w:color="000000" w:sz="4" w:space="0"/>
            </w:tcBorders>
            <w:vAlign w:val="center"/>
          </w:tcPr>
          <w:p w14:paraId="6C8193DF">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auto" w:sz="4" w:space="0"/>
            </w:tcBorders>
          </w:tcPr>
          <w:p w14:paraId="3A7D15D2">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采购资料收集及移交，采购全过程资料整理（含档案数字化）和存档保管</w:t>
            </w:r>
          </w:p>
        </w:tc>
      </w:tr>
      <w:tr w14:paraId="4A49C6AF">
        <w:tblPrEx>
          <w:tblCellMar>
            <w:top w:w="0" w:type="dxa"/>
            <w:left w:w="0" w:type="dxa"/>
            <w:bottom w:w="0" w:type="dxa"/>
            <w:right w:w="0" w:type="dxa"/>
          </w:tblCellMar>
        </w:tblPrEx>
        <w:trPr>
          <w:trHeight w:val="463" w:hRule="exact"/>
        </w:trPr>
        <w:tc>
          <w:tcPr>
            <w:tcW w:w="1642" w:type="pct"/>
            <w:vMerge w:val="continue"/>
            <w:tcBorders>
              <w:left w:val="single" w:color="auto" w:sz="4" w:space="0"/>
              <w:right w:val="single" w:color="000000" w:sz="4" w:space="0"/>
            </w:tcBorders>
            <w:vAlign w:val="center"/>
          </w:tcPr>
          <w:p w14:paraId="38B2F426">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auto" w:sz="4" w:space="0"/>
            </w:tcBorders>
          </w:tcPr>
          <w:p w14:paraId="627FA3A2">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协助处理异议</w:t>
            </w:r>
          </w:p>
        </w:tc>
      </w:tr>
      <w:tr w14:paraId="7351EBA7">
        <w:tblPrEx>
          <w:tblCellMar>
            <w:top w:w="0" w:type="dxa"/>
            <w:left w:w="0" w:type="dxa"/>
            <w:bottom w:w="0" w:type="dxa"/>
            <w:right w:w="0" w:type="dxa"/>
          </w:tblCellMar>
        </w:tblPrEx>
        <w:trPr>
          <w:trHeight w:val="463" w:hRule="exact"/>
        </w:trPr>
        <w:tc>
          <w:tcPr>
            <w:tcW w:w="1642" w:type="pct"/>
            <w:vMerge w:val="continue"/>
            <w:tcBorders>
              <w:left w:val="single" w:color="auto" w:sz="4" w:space="0"/>
              <w:right w:val="single" w:color="000000" w:sz="4" w:space="0"/>
            </w:tcBorders>
            <w:vAlign w:val="center"/>
          </w:tcPr>
          <w:p w14:paraId="596F5EEA">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000000" w:sz="4" w:space="0"/>
              <w:right w:val="single" w:color="auto" w:sz="4" w:space="0"/>
            </w:tcBorders>
          </w:tcPr>
          <w:p w14:paraId="3698D89C">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协助处理投诉或其他相关事务</w:t>
            </w:r>
          </w:p>
        </w:tc>
      </w:tr>
      <w:tr w14:paraId="4A6A040E">
        <w:tblPrEx>
          <w:tblCellMar>
            <w:top w:w="0" w:type="dxa"/>
            <w:left w:w="0" w:type="dxa"/>
            <w:bottom w:w="0" w:type="dxa"/>
            <w:right w:w="0" w:type="dxa"/>
          </w:tblCellMar>
        </w:tblPrEx>
        <w:trPr>
          <w:trHeight w:val="463" w:hRule="exact"/>
        </w:trPr>
        <w:tc>
          <w:tcPr>
            <w:tcW w:w="1642" w:type="pct"/>
            <w:vMerge w:val="continue"/>
            <w:tcBorders>
              <w:left w:val="single" w:color="auto" w:sz="4" w:space="0"/>
              <w:bottom w:val="single" w:color="auto" w:sz="4" w:space="0"/>
              <w:right w:val="single" w:color="000000" w:sz="4" w:space="0"/>
            </w:tcBorders>
            <w:vAlign w:val="center"/>
          </w:tcPr>
          <w:p w14:paraId="37BDE287">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szCs w:val="21"/>
                <w:highlight w:val="none"/>
              </w:rPr>
            </w:pPr>
          </w:p>
        </w:tc>
        <w:tc>
          <w:tcPr>
            <w:tcW w:w="3357" w:type="pct"/>
            <w:tcBorders>
              <w:top w:val="single" w:color="000000" w:sz="4" w:space="0"/>
              <w:left w:val="single" w:color="000000" w:sz="4" w:space="0"/>
              <w:bottom w:val="single" w:color="auto" w:sz="4" w:space="0"/>
              <w:right w:val="single" w:color="auto" w:sz="4" w:space="0"/>
            </w:tcBorders>
          </w:tcPr>
          <w:p w14:paraId="76F2B2C4">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szCs w:val="21"/>
                <w:highlight w:val="none"/>
              </w:rPr>
            </w:pPr>
            <w:r>
              <w:rPr>
                <w:rFonts w:hint="eastAsia" w:ascii="宋体" w:hAnsi="宋体" w:eastAsia="宋体"/>
                <w:szCs w:val="21"/>
                <w:highlight w:val="none"/>
              </w:rPr>
              <w:t>合同咨询及其他服务</w:t>
            </w:r>
          </w:p>
        </w:tc>
      </w:tr>
    </w:tbl>
    <w:p w14:paraId="0F71BE3A">
      <w:pPr>
        <w:pStyle w:val="138"/>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3.2采购代理工作职责划分及法定时限要求</w:t>
      </w:r>
    </w:p>
    <w:p w14:paraId="6A2B695E">
      <w:pPr>
        <w:pStyle w:val="138"/>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Style w:val="53"/>
          <w:rFonts w:hint="eastAsia" w:ascii="宋体" w:hAnsi="宋体" w:eastAsia="宋体" w:cs="宋体"/>
          <w:highlight w:val="none"/>
        </w:rPr>
        <w:t>针对招标方式的</w:t>
      </w:r>
      <w:r>
        <w:rPr>
          <w:rFonts w:hint="eastAsia" w:ascii="宋体" w:hAnsi="宋体" w:eastAsia="宋体" w:cs="宋体"/>
          <w:szCs w:val="21"/>
          <w:highlight w:val="none"/>
        </w:rPr>
        <w:t>采购代理工作职责划分及法定时限要求</w:t>
      </w:r>
    </w:p>
    <w:tbl>
      <w:tblPr>
        <w:tblStyle w:val="44"/>
        <w:tblW w:w="50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41"/>
        <w:gridCol w:w="1513"/>
        <w:gridCol w:w="2073"/>
        <w:gridCol w:w="2609"/>
        <w:gridCol w:w="2824"/>
      </w:tblGrid>
      <w:tr w14:paraId="2151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restart"/>
            <w:vAlign w:val="center"/>
          </w:tcPr>
          <w:p w14:paraId="25EE02FE">
            <w:pPr>
              <w:pStyle w:val="222"/>
              <w:keepNext w:val="0"/>
              <w:keepLines w:val="0"/>
              <w:suppressLineNumbers w:val="0"/>
              <w:kinsoku w:val="0"/>
              <w:overflowPunct w:val="0"/>
              <w:spacing w:before="0" w:beforeAutospacing="0" w:after="0" w:afterAutospacing="0" w:line="288" w:lineRule="auto"/>
              <w:ind w:left="166" w:right="150"/>
              <w:jc w:val="center"/>
              <w:rPr>
                <w:rFonts w:hint="default" w:ascii="宋体" w:hAnsi="宋体" w:eastAsia="宋体"/>
                <w:b/>
                <w:bCs/>
                <w:szCs w:val="21"/>
                <w:highlight w:val="none"/>
              </w:rPr>
            </w:pPr>
            <w:r>
              <w:rPr>
                <w:rFonts w:hint="eastAsia" w:ascii="宋体" w:hAnsi="宋体" w:eastAsia="宋体"/>
                <w:b/>
                <w:bCs/>
                <w:szCs w:val="21"/>
                <w:highlight w:val="none"/>
              </w:rPr>
              <w:t>工作</w:t>
            </w:r>
          </w:p>
          <w:p w14:paraId="7D2E2BBE">
            <w:pPr>
              <w:pStyle w:val="222"/>
              <w:keepNext w:val="0"/>
              <w:keepLines w:val="0"/>
              <w:suppressLineNumbers w:val="0"/>
              <w:kinsoku w:val="0"/>
              <w:overflowPunct w:val="0"/>
              <w:spacing w:before="0" w:beforeAutospacing="0" w:after="0" w:afterAutospacing="0" w:line="288" w:lineRule="auto"/>
              <w:ind w:left="166" w:right="150"/>
              <w:jc w:val="center"/>
              <w:rPr>
                <w:rFonts w:hint="default" w:ascii="宋体" w:hAnsi="宋体" w:eastAsia="宋体"/>
                <w:szCs w:val="21"/>
                <w:highlight w:val="none"/>
              </w:rPr>
            </w:pPr>
            <w:r>
              <w:rPr>
                <w:rFonts w:hint="eastAsia" w:ascii="宋体" w:hAnsi="宋体" w:eastAsia="宋体"/>
                <w:b/>
                <w:bCs/>
                <w:szCs w:val="21"/>
                <w:highlight w:val="none"/>
              </w:rPr>
              <w:t>阶段</w:t>
            </w:r>
          </w:p>
        </w:tc>
        <w:tc>
          <w:tcPr>
            <w:tcW w:w="737" w:type="pct"/>
            <w:vMerge w:val="restart"/>
            <w:vAlign w:val="center"/>
          </w:tcPr>
          <w:p w14:paraId="1986A42C">
            <w:pPr>
              <w:pStyle w:val="222"/>
              <w:keepNext w:val="0"/>
              <w:keepLines w:val="0"/>
              <w:suppressLineNumbers w:val="0"/>
              <w:kinsoku w:val="0"/>
              <w:overflowPunct w:val="0"/>
              <w:spacing w:before="0" w:beforeAutospacing="0" w:after="0" w:afterAutospacing="0" w:line="288" w:lineRule="auto"/>
              <w:ind w:left="0" w:right="0"/>
              <w:jc w:val="center"/>
              <w:rPr>
                <w:rFonts w:hint="default" w:ascii="宋体" w:hAnsi="宋体" w:eastAsia="宋体"/>
                <w:szCs w:val="21"/>
                <w:highlight w:val="none"/>
              </w:rPr>
            </w:pPr>
            <w:r>
              <w:rPr>
                <w:rFonts w:hint="eastAsia" w:ascii="宋体" w:hAnsi="宋体" w:eastAsia="宋体"/>
                <w:b/>
                <w:bCs/>
                <w:szCs w:val="21"/>
                <w:highlight w:val="none"/>
              </w:rPr>
              <w:t>工作程序</w:t>
            </w:r>
          </w:p>
        </w:tc>
        <w:tc>
          <w:tcPr>
            <w:tcW w:w="2281" w:type="pct"/>
            <w:gridSpan w:val="2"/>
            <w:vAlign w:val="center"/>
          </w:tcPr>
          <w:p w14:paraId="565B3A84">
            <w:pPr>
              <w:pStyle w:val="222"/>
              <w:keepNext w:val="0"/>
              <w:keepLines w:val="0"/>
              <w:suppressLineNumbers w:val="0"/>
              <w:kinsoku w:val="0"/>
              <w:overflowPunct w:val="0"/>
              <w:spacing w:before="0" w:beforeAutospacing="0" w:after="0" w:afterAutospacing="0" w:line="288" w:lineRule="auto"/>
              <w:ind w:left="1451" w:right="1452"/>
              <w:jc w:val="center"/>
              <w:rPr>
                <w:rFonts w:hint="default" w:ascii="宋体" w:hAnsi="宋体" w:eastAsia="宋体"/>
                <w:szCs w:val="21"/>
                <w:highlight w:val="none"/>
              </w:rPr>
            </w:pPr>
            <w:r>
              <w:rPr>
                <w:rFonts w:hint="eastAsia" w:ascii="宋体" w:hAnsi="宋体" w:eastAsia="宋体"/>
                <w:b/>
                <w:bCs/>
                <w:szCs w:val="21"/>
                <w:highlight w:val="none"/>
              </w:rPr>
              <w:t>职责划分</w:t>
            </w:r>
          </w:p>
        </w:tc>
        <w:tc>
          <w:tcPr>
            <w:tcW w:w="1376" w:type="pct"/>
            <w:vMerge w:val="restart"/>
            <w:vAlign w:val="center"/>
          </w:tcPr>
          <w:p w14:paraId="65A2047B">
            <w:pPr>
              <w:pStyle w:val="222"/>
              <w:keepNext w:val="0"/>
              <w:keepLines w:val="0"/>
              <w:suppressLineNumbers w:val="0"/>
              <w:kinsoku w:val="0"/>
              <w:overflowPunct w:val="0"/>
              <w:spacing w:before="0" w:beforeAutospacing="0" w:after="0" w:afterAutospacing="0" w:line="288" w:lineRule="auto"/>
              <w:ind w:left="0" w:right="0"/>
              <w:jc w:val="center"/>
              <w:rPr>
                <w:rFonts w:hint="default" w:ascii="宋体" w:hAnsi="宋体" w:eastAsia="宋体"/>
                <w:szCs w:val="21"/>
                <w:highlight w:val="none"/>
              </w:rPr>
            </w:pPr>
            <w:r>
              <w:rPr>
                <w:rFonts w:hint="eastAsia" w:ascii="宋体" w:hAnsi="宋体" w:eastAsia="宋体"/>
                <w:b/>
                <w:bCs/>
                <w:szCs w:val="21"/>
                <w:highlight w:val="none"/>
              </w:rPr>
              <w:t>法定时限要求</w:t>
            </w:r>
          </w:p>
        </w:tc>
      </w:tr>
      <w:tr w14:paraId="660D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21C1B431">
            <w:pPr>
              <w:pStyle w:val="222"/>
              <w:keepNext w:val="0"/>
              <w:keepLines w:val="0"/>
              <w:suppressLineNumbers w:val="0"/>
              <w:kinsoku w:val="0"/>
              <w:overflowPunct w:val="0"/>
              <w:spacing w:before="0" w:beforeAutospacing="0" w:after="0" w:afterAutospacing="0" w:line="288" w:lineRule="auto"/>
              <w:ind w:left="362" w:right="0"/>
              <w:rPr>
                <w:rFonts w:hint="default" w:ascii="宋体" w:hAnsi="宋体" w:eastAsia="宋体"/>
                <w:szCs w:val="21"/>
                <w:highlight w:val="none"/>
              </w:rPr>
            </w:pPr>
          </w:p>
        </w:tc>
        <w:tc>
          <w:tcPr>
            <w:tcW w:w="737" w:type="pct"/>
            <w:vMerge w:val="continue"/>
            <w:vAlign w:val="center"/>
          </w:tcPr>
          <w:p w14:paraId="3BD18754">
            <w:pPr>
              <w:pStyle w:val="222"/>
              <w:keepNext w:val="0"/>
              <w:keepLines w:val="0"/>
              <w:suppressLineNumbers w:val="0"/>
              <w:kinsoku w:val="0"/>
              <w:overflowPunct w:val="0"/>
              <w:spacing w:before="0" w:beforeAutospacing="0" w:after="0" w:afterAutospacing="0" w:line="288" w:lineRule="auto"/>
              <w:ind w:left="362" w:right="0"/>
              <w:rPr>
                <w:rFonts w:hint="default" w:ascii="宋体" w:hAnsi="宋体" w:eastAsia="宋体"/>
                <w:szCs w:val="21"/>
                <w:highlight w:val="none"/>
              </w:rPr>
            </w:pPr>
          </w:p>
        </w:tc>
        <w:tc>
          <w:tcPr>
            <w:tcW w:w="1010" w:type="pct"/>
            <w:vAlign w:val="center"/>
          </w:tcPr>
          <w:p w14:paraId="4008E535">
            <w:pPr>
              <w:pStyle w:val="222"/>
              <w:keepNext w:val="0"/>
              <w:keepLines w:val="0"/>
              <w:suppressLineNumbers w:val="0"/>
              <w:kinsoku w:val="0"/>
              <w:overflowPunct w:val="0"/>
              <w:spacing w:before="102" w:beforeAutospacing="0" w:after="0" w:afterAutospacing="0" w:line="288" w:lineRule="auto"/>
              <w:ind w:left="51" w:right="53"/>
              <w:jc w:val="center"/>
              <w:rPr>
                <w:rFonts w:hint="default" w:ascii="宋体" w:hAnsi="宋体" w:eastAsia="宋体"/>
                <w:szCs w:val="21"/>
                <w:highlight w:val="none"/>
              </w:rPr>
            </w:pPr>
            <w:r>
              <w:rPr>
                <w:rFonts w:hint="eastAsia" w:ascii="宋体" w:hAnsi="宋体" w:eastAsia="宋体"/>
                <w:b/>
                <w:bCs/>
                <w:szCs w:val="21"/>
                <w:highlight w:val="none"/>
              </w:rPr>
              <w:t>采购代理机构</w:t>
            </w:r>
          </w:p>
        </w:tc>
        <w:tc>
          <w:tcPr>
            <w:tcW w:w="1271" w:type="pct"/>
            <w:vAlign w:val="center"/>
          </w:tcPr>
          <w:p w14:paraId="27713A13">
            <w:pPr>
              <w:pStyle w:val="222"/>
              <w:keepNext w:val="0"/>
              <w:keepLines w:val="0"/>
              <w:suppressLineNumbers w:val="0"/>
              <w:kinsoku w:val="0"/>
              <w:overflowPunct w:val="0"/>
              <w:spacing w:before="102" w:beforeAutospacing="0" w:after="0" w:afterAutospacing="0" w:line="288" w:lineRule="auto"/>
              <w:ind w:left="639" w:right="639"/>
              <w:jc w:val="center"/>
              <w:rPr>
                <w:rFonts w:hint="default" w:ascii="宋体" w:hAnsi="宋体" w:eastAsia="宋体"/>
                <w:szCs w:val="21"/>
                <w:highlight w:val="none"/>
              </w:rPr>
            </w:pPr>
            <w:r>
              <w:rPr>
                <w:rFonts w:hint="eastAsia" w:ascii="宋体" w:hAnsi="宋体" w:eastAsia="宋体"/>
                <w:b/>
                <w:bCs/>
                <w:szCs w:val="21"/>
                <w:highlight w:val="none"/>
              </w:rPr>
              <w:t>采购人</w:t>
            </w:r>
          </w:p>
        </w:tc>
        <w:tc>
          <w:tcPr>
            <w:tcW w:w="1376" w:type="pct"/>
            <w:vMerge w:val="continue"/>
          </w:tcPr>
          <w:p w14:paraId="1B72D831">
            <w:pPr>
              <w:pStyle w:val="222"/>
              <w:keepNext w:val="0"/>
              <w:keepLines w:val="0"/>
              <w:suppressLineNumbers w:val="0"/>
              <w:kinsoku w:val="0"/>
              <w:overflowPunct w:val="0"/>
              <w:spacing w:before="102" w:beforeAutospacing="0" w:after="0" w:afterAutospacing="0" w:line="288" w:lineRule="auto"/>
              <w:ind w:left="639" w:right="639"/>
              <w:jc w:val="center"/>
              <w:rPr>
                <w:rFonts w:hint="default" w:ascii="宋体" w:hAnsi="宋体" w:eastAsia="宋体"/>
                <w:szCs w:val="21"/>
                <w:highlight w:val="none"/>
              </w:rPr>
            </w:pPr>
          </w:p>
        </w:tc>
      </w:tr>
      <w:tr w14:paraId="4817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restart"/>
            <w:vAlign w:val="center"/>
          </w:tcPr>
          <w:p w14:paraId="27EE7809">
            <w:pPr>
              <w:pStyle w:val="222"/>
              <w:keepNext w:val="0"/>
              <w:keepLines w:val="0"/>
              <w:suppressLineNumbers w:val="0"/>
              <w:kinsoku w:val="0"/>
              <w:overflowPunct w:val="0"/>
              <w:spacing w:before="0" w:beforeAutospacing="0" w:after="0" w:afterAutospacing="0" w:line="288" w:lineRule="auto"/>
              <w:ind w:left="167" w:right="167"/>
              <w:jc w:val="center"/>
              <w:rPr>
                <w:rFonts w:hint="default" w:ascii="宋体" w:hAnsi="宋体" w:eastAsia="宋体"/>
                <w:szCs w:val="21"/>
                <w:highlight w:val="none"/>
              </w:rPr>
            </w:pPr>
            <w:r>
              <w:rPr>
                <w:rFonts w:hint="eastAsia" w:ascii="宋体" w:hAnsi="宋体" w:eastAsia="宋体"/>
                <w:szCs w:val="21"/>
                <w:highlight w:val="none"/>
              </w:rPr>
              <w:t>业务承接与采购准备阶段</w:t>
            </w:r>
          </w:p>
        </w:tc>
        <w:tc>
          <w:tcPr>
            <w:tcW w:w="737" w:type="pct"/>
            <w:vAlign w:val="center"/>
          </w:tcPr>
          <w:p w14:paraId="398A1D8F">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收集和分析基础信息</w:t>
            </w:r>
          </w:p>
        </w:tc>
        <w:tc>
          <w:tcPr>
            <w:tcW w:w="1010" w:type="pct"/>
            <w:vAlign w:val="center"/>
          </w:tcPr>
          <w:p w14:paraId="72D71A18">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对采购人提供的相关基础资料和信息进行审查、提出合理化建议和提供咨询服务</w:t>
            </w:r>
          </w:p>
        </w:tc>
        <w:tc>
          <w:tcPr>
            <w:tcW w:w="1271" w:type="pct"/>
            <w:vAlign w:val="center"/>
          </w:tcPr>
          <w:p w14:paraId="18C577A9">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提供开展采购项目所需的相关基础资料和信息</w:t>
            </w:r>
          </w:p>
        </w:tc>
        <w:tc>
          <w:tcPr>
            <w:tcW w:w="1376" w:type="pct"/>
          </w:tcPr>
          <w:p w14:paraId="7BD80E75">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5BB7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3C1B722E">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23C76B08">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落实招标基本条件</w:t>
            </w:r>
          </w:p>
        </w:tc>
        <w:tc>
          <w:tcPr>
            <w:tcW w:w="1010" w:type="pct"/>
            <w:vAlign w:val="center"/>
          </w:tcPr>
          <w:p w14:paraId="1B4F72CC">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1271" w:type="pct"/>
            <w:vAlign w:val="center"/>
          </w:tcPr>
          <w:p w14:paraId="04E2F18F">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保证采购项目具备法定的采购条件</w:t>
            </w:r>
          </w:p>
        </w:tc>
        <w:tc>
          <w:tcPr>
            <w:tcW w:w="1376" w:type="pct"/>
          </w:tcPr>
          <w:p w14:paraId="59FAFD31">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4461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5A0606FA">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60492E1A">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对项目全过程进行统筹规划</w:t>
            </w:r>
          </w:p>
        </w:tc>
        <w:tc>
          <w:tcPr>
            <w:tcW w:w="1010" w:type="pct"/>
            <w:vAlign w:val="center"/>
          </w:tcPr>
          <w:p w14:paraId="70DEA54E">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对采购项目提出合理化建议、协助采购人复核</w:t>
            </w:r>
            <w:r>
              <w:rPr>
                <w:rFonts w:hint="default" w:ascii="宋体" w:hAnsi="宋体" w:eastAsia="宋体"/>
                <w:szCs w:val="21"/>
                <w:highlight w:val="none"/>
              </w:rPr>
              <w:t>招标</w:t>
            </w:r>
            <w:r>
              <w:rPr>
                <w:rFonts w:hint="eastAsia" w:ascii="宋体" w:hAnsi="宋体" w:eastAsia="宋体"/>
                <w:szCs w:val="21"/>
                <w:highlight w:val="none"/>
              </w:rPr>
              <w:t>基本条件并开展采购需求调查等</w:t>
            </w:r>
          </w:p>
        </w:tc>
        <w:tc>
          <w:tcPr>
            <w:tcW w:w="1271" w:type="pct"/>
            <w:vAlign w:val="center"/>
          </w:tcPr>
          <w:p w14:paraId="6641EFA8">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采购方案的审查及决策</w:t>
            </w:r>
          </w:p>
        </w:tc>
        <w:tc>
          <w:tcPr>
            <w:tcW w:w="1376" w:type="pct"/>
          </w:tcPr>
          <w:p w14:paraId="57437A12">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6FB4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07F9031C">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27D4ABF3">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发布招标计划（如需）</w:t>
            </w:r>
          </w:p>
        </w:tc>
        <w:tc>
          <w:tcPr>
            <w:tcW w:w="1010" w:type="pct"/>
            <w:vAlign w:val="center"/>
          </w:tcPr>
          <w:p w14:paraId="7DB634F1">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p>
        </w:tc>
        <w:tc>
          <w:tcPr>
            <w:tcW w:w="1271" w:type="pct"/>
            <w:vAlign w:val="center"/>
          </w:tcPr>
          <w:p w14:paraId="1E2F8C11">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376" w:type="pct"/>
          </w:tcPr>
          <w:p w14:paraId="11FA476D">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2EE1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restart"/>
            <w:vAlign w:val="center"/>
          </w:tcPr>
          <w:p w14:paraId="1569CB30">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采购投标阶段</w:t>
            </w:r>
          </w:p>
        </w:tc>
        <w:tc>
          <w:tcPr>
            <w:tcW w:w="737" w:type="pct"/>
            <w:vAlign w:val="center"/>
          </w:tcPr>
          <w:p w14:paraId="1E08801B">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编制采购文件及合同</w:t>
            </w:r>
          </w:p>
        </w:tc>
        <w:tc>
          <w:tcPr>
            <w:tcW w:w="1010" w:type="pct"/>
            <w:vAlign w:val="center"/>
          </w:tcPr>
          <w:p w14:paraId="18ED4CBF">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采购文件的编制及修改</w:t>
            </w:r>
          </w:p>
        </w:tc>
        <w:tc>
          <w:tcPr>
            <w:tcW w:w="1271" w:type="pct"/>
            <w:vAlign w:val="center"/>
          </w:tcPr>
          <w:p w14:paraId="3D598B2F">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采购文件的审查、决策及报批（备案）</w:t>
            </w:r>
          </w:p>
        </w:tc>
        <w:tc>
          <w:tcPr>
            <w:tcW w:w="1376" w:type="pct"/>
          </w:tcPr>
          <w:p w14:paraId="428FC6BF">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74D3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4E5A90E8">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39669E82">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发布采购公告或投标邀请书</w:t>
            </w:r>
          </w:p>
        </w:tc>
        <w:tc>
          <w:tcPr>
            <w:tcW w:w="1010" w:type="pct"/>
            <w:vAlign w:val="center"/>
          </w:tcPr>
          <w:p w14:paraId="000E185F">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办理发布采购公告所需的手续</w:t>
            </w:r>
          </w:p>
          <w:p w14:paraId="484234D7">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投标邀请书的发放</w:t>
            </w:r>
          </w:p>
        </w:tc>
        <w:tc>
          <w:tcPr>
            <w:tcW w:w="1271" w:type="pct"/>
            <w:vAlign w:val="center"/>
          </w:tcPr>
          <w:p w14:paraId="5F1DB1EB">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对采购公告或投标邀请书内容进行确认</w:t>
            </w:r>
          </w:p>
        </w:tc>
        <w:tc>
          <w:tcPr>
            <w:tcW w:w="1376" w:type="pct"/>
            <w:vAlign w:val="center"/>
          </w:tcPr>
          <w:p w14:paraId="459372F7">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采购公告的公告期限为5个工作日</w:t>
            </w:r>
          </w:p>
        </w:tc>
      </w:tr>
      <w:tr w14:paraId="2C6F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4982656C">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165A9F2D">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发售采购文件</w:t>
            </w:r>
          </w:p>
        </w:tc>
        <w:tc>
          <w:tcPr>
            <w:tcW w:w="1010" w:type="pct"/>
            <w:vAlign w:val="center"/>
          </w:tcPr>
          <w:p w14:paraId="69D574DB">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发售采购文件</w:t>
            </w:r>
          </w:p>
        </w:tc>
        <w:tc>
          <w:tcPr>
            <w:tcW w:w="1271" w:type="pct"/>
            <w:vAlign w:val="center"/>
          </w:tcPr>
          <w:p w14:paraId="7DE00601">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376" w:type="pct"/>
            <w:vAlign w:val="center"/>
          </w:tcPr>
          <w:p w14:paraId="682B43E4">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r>
              <w:rPr>
                <w:rFonts w:hint="eastAsia" w:ascii="宋体" w:hAnsi="宋体" w:eastAsia="宋体" w:cs="宋体"/>
                <w:szCs w:val="21"/>
                <w:highlight w:val="none"/>
              </w:rPr>
              <w:t>发售期不得少于5个工作日</w:t>
            </w:r>
          </w:p>
        </w:tc>
      </w:tr>
      <w:tr w14:paraId="4774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509066F7">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63E7BABF">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组织潜在投标人踏勘现场（如需）</w:t>
            </w:r>
          </w:p>
        </w:tc>
        <w:tc>
          <w:tcPr>
            <w:tcW w:w="1010" w:type="pct"/>
            <w:vAlign w:val="center"/>
          </w:tcPr>
          <w:p w14:paraId="1D0FE514">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组织潜在投标人踏勘项目现场</w:t>
            </w:r>
          </w:p>
        </w:tc>
        <w:tc>
          <w:tcPr>
            <w:tcW w:w="1271" w:type="pct"/>
            <w:vAlign w:val="center"/>
          </w:tcPr>
          <w:p w14:paraId="5C8929F6">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提供现场踏勘条件</w:t>
            </w:r>
          </w:p>
        </w:tc>
        <w:tc>
          <w:tcPr>
            <w:tcW w:w="1376" w:type="pct"/>
            <w:vAlign w:val="center"/>
          </w:tcPr>
          <w:p w14:paraId="0806E9A4">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r>
      <w:tr w14:paraId="487E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310D4CAA">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5DBC73D8">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采购文件澄清与修改（如需）</w:t>
            </w:r>
          </w:p>
        </w:tc>
        <w:tc>
          <w:tcPr>
            <w:tcW w:w="1010" w:type="pct"/>
            <w:vAlign w:val="center"/>
          </w:tcPr>
          <w:p w14:paraId="5A5AA7A8">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采购文件澄清或修改初稿的编制及完善</w:t>
            </w:r>
          </w:p>
        </w:tc>
        <w:tc>
          <w:tcPr>
            <w:tcW w:w="1271" w:type="pct"/>
            <w:vAlign w:val="center"/>
          </w:tcPr>
          <w:p w14:paraId="69D55052">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采购文件澄清或修改的审查、决策及报批（备案）、协调设计单位代表或其他单位对相关问题进行澄清或说明</w:t>
            </w:r>
          </w:p>
        </w:tc>
        <w:tc>
          <w:tcPr>
            <w:tcW w:w="1376" w:type="pct"/>
            <w:vAlign w:val="center"/>
          </w:tcPr>
          <w:p w14:paraId="2CFE640B">
            <w:pPr>
              <w:pStyle w:val="222"/>
              <w:keepNext w:val="0"/>
              <w:keepLines w:val="0"/>
              <w:suppressLineNumbers w:val="0"/>
              <w:kinsoku w:val="0"/>
              <w:overflowPunct w:val="0"/>
              <w:spacing w:before="0" w:beforeAutospacing="0" w:after="0" w:afterAutospacing="0" w:line="288" w:lineRule="auto"/>
              <w:ind w:left="71" w:right="0"/>
              <w:jc w:val="center"/>
              <w:rPr>
                <w:rFonts w:hint="default" w:ascii="宋体" w:hAnsi="宋体" w:eastAsia="宋体"/>
                <w:szCs w:val="21"/>
                <w:highlight w:val="none"/>
              </w:rPr>
            </w:pPr>
            <w:r>
              <w:rPr>
                <w:rFonts w:hint="eastAsia" w:ascii="宋体" w:hAnsi="宋体" w:eastAsia="宋体"/>
                <w:szCs w:val="21"/>
                <w:highlight w:val="none"/>
              </w:rPr>
              <w:t>采购文件的澄清或者修改的内容可能影响投标文件编制的，采购代理机构应当在投标截止时间至少15日前发出</w:t>
            </w:r>
          </w:p>
        </w:tc>
      </w:tr>
      <w:tr w14:paraId="3AFA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44645D33">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66E4646E">
            <w:pPr>
              <w:pStyle w:val="222"/>
              <w:keepNext w:val="0"/>
              <w:keepLines w:val="0"/>
              <w:suppressLineNumbers w:val="0"/>
              <w:kinsoku w:val="0"/>
              <w:overflowPunct w:val="0"/>
              <w:spacing w:before="0" w:beforeAutospacing="0" w:after="0" w:afterAutospacing="0" w:line="288" w:lineRule="auto"/>
              <w:ind w:left="71" w:right="0"/>
              <w:jc w:val="center"/>
              <w:rPr>
                <w:rFonts w:hint="default" w:ascii="宋体" w:hAnsi="宋体" w:eastAsia="宋体"/>
                <w:szCs w:val="21"/>
                <w:highlight w:val="none"/>
              </w:rPr>
            </w:pPr>
            <w:r>
              <w:rPr>
                <w:rFonts w:hint="eastAsia" w:ascii="宋体" w:hAnsi="宋体" w:eastAsia="宋体"/>
                <w:szCs w:val="21"/>
                <w:highlight w:val="none"/>
              </w:rPr>
              <w:t>申请评审专家抽取</w:t>
            </w:r>
          </w:p>
        </w:tc>
        <w:tc>
          <w:tcPr>
            <w:tcW w:w="1010" w:type="pct"/>
            <w:vAlign w:val="center"/>
          </w:tcPr>
          <w:p w14:paraId="0DCEFFF2">
            <w:pPr>
              <w:pStyle w:val="222"/>
              <w:keepNext w:val="0"/>
              <w:keepLines w:val="0"/>
              <w:suppressLineNumbers w:val="0"/>
              <w:kinsoku w:val="0"/>
              <w:overflowPunct w:val="0"/>
              <w:spacing w:before="53" w:beforeAutospacing="0" w:after="0" w:afterAutospacing="0" w:line="288" w:lineRule="auto"/>
              <w:ind w:left="71" w:right="54"/>
              <w:jc w:val="center"/>
              <w:rPr>
                <w:rFonts w:hint="default" w:ascii="宋体" w:hAnsi="宋体" w:eastAsia="宋体"/>
                <w:szCs w:val="21"/>
                <w:highlight w:val="none"/>
              </w:rPr>
            </w:pPr>
            <w:r>
              <w:rPr>
                <w:rFonts w:hint="eastAsia" w:ascii="宋体" w:hAnsi="宋体" w:eastAsia="宋体"/>
                <w:szCs w:val="21"/>
                <w:highlight w:val="none"/>
              </w:rPr>
              <w:t>发起专家抽取申请</w:t>
            </w:r>
          </w:p>
        </w:tc>
        <w:tc>
          <w:tcPr>
            <w:tcW w:w="1271" w:type="pct"/>
            <w:vAlign w:val="center"/>
          </w:tcPr>
          <w:p w14:paraId="60FEFDBC">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监督评审专家申请、抽取流程</w:t>
            </w:r>
          </w:p>
        </w:tc>
        <w:tc>
          <w:tcPr>
            <w:tcW w:w="1376" w:type="pct"/>
            <w:vAlign w:val="center"/>
          </w:tcPr>
          <w:p w14:paraId="2D45FA5F">
            <w:pPr>
              <w:pStyle w:val="222"/>
              <w:keepNext w:val="0"/>
              <w:keepLines w:val="0"/>
              <w:suppressLineNumbers w:val="0"/>
              <w:kinsoku w:val="0"/>
              <w:overflowPunct w:val="0"/>
              <w:spacing w:before="0" w:beforeAutospacing="0" w:after="0" w:afterAutospacing="0" w:line="288" w:lineRule="auto"/>
              <w:ind w:left="71" w:right="0"/>
              <w:jc w:val="center"/>
              <w:rPr>
                <w:rFonts w:hint="default" w:ascii="宋体" w:hAnsi="宋体" w:eastAsia="宋体"/>
                <w:szCs w:val="21"/>
                <w:highlight w:val="none"/>
              </w:rPr>
            </w:pPr>
          </w:p>
        </w:tc>
      </w:tr>
      <w:tr w14:paraId="30C4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0E7D444E">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63FF4C6A">
            <w:pPr>
              <w:pStyle w:val="222"/>
              <w:keepNext w:val="0"/>
              <w:keepLines w:val="0"/>
              <w:suppressLineNumbers w:val="0"/>
              <w:kinsoku w:val="0"/>
              <w:overflowPunct w:val="0"/>
              <w:spacing w:before="0" w:beforeAutospacing="0" w:after="0" w:afterAutospacing="0" w:line="288" w:lineRule="auto"/>
              <w:ind w:left="71" w:right="0"/>
              <w:jc w:val="center"/>
              <w:rPr>
                <w:rFonts w:hint="default" w:ascii="宋体" w:hAnsi="宋体" w:eastAsia="宋体"/>
                <w:szCs w:val="21"/>
                <w:highlight w:val="none"/>
              </w:rPr>
            </w:pPr>
            <w:r>
              <w:rPr>
                <w:rFonts w:hint="eastAsia" w:ascii="宋体" w:hAnsi="宋体" w:eastAsia="宋体"/>
                <w:szCs w:val="21"/>
                <w:highlight w:val="none"/>
              </w:rPr>
              <w:t>申请及办理公证（监督部门或采购人有要求时）</w:t>
            </w:r>
          </w:p>
        </w:tc>
        <w:tc>
          <w:tcPr>
            <w:tcW w:w="1010" w:type="pct"/>
            <w:vAlign w:val="center"/>
          </w:tcPr>
          <w:p w14:paraId="39861D9B">
            <w:pPr>
              <w:pStyle w:val="222"/>
              <w:keepNext w:val="0"/>
              <w:keepLines w:val="0"/>
              <w:suppressLineNumbers w:val="0"/>
              <w:kinsoku w:val="0"/>
              <w:overflowPunct w:val="0"/>
              <w:spacing w:before="53" w:beforeAutospacing="0" w:after="0" w:afterAutospacing="0" w:line="288" w:lineRule="auto"/>
              <w:ind w:left="71" w:right="54"/>
              <w:jc w:val="center"/>
              <w:rPr>
                <w:rFonts w:hint="default" w:ascii="宋体" w:hAnsi="宋体" w:eastAsia="宋体"/>
                <w:szCs w:val="21"/>
                <w:highlight w:val="none"/>
              </w:rPr>
            </w:pPr>
            <w:r>
              <w:rPr>
                <w:rFonts w:hint="eastAsia" w:ascii="宋体" w:hAnsi="宋体" w:eastAsia="宋体"/>
                <w:szCs w:val="21"/>
                <w:highlight w:val="none"/>
              </w:rPr>
              <w:t>完成申请及办理公证的相关资料</w:t>
            </w:r>
          </w:p>
        </w:tc>
        <w:tc>
          <w:tcPr>
            <w:tcW w:w="1271" w:type="pct"/>
            <w:vAlign w:val="center"/>
          </w:tcPr>
          <w:p w14:paraId="006426B7">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提供办理公证所需材料</w:t>
            </w:r>
          </w:p>
        </w:tc>
        <w:tc>
          <w:tcPr>
            <w:tcW w:w="1376" w:type="pct"/>
            <w:vAlign w:val="center"/>
          </w:tcPr>
          <w:p w14:paraId="349306FD">
            <w:pPr>
              <w:pStyle w:val="222"/>
              <w:keepNext w:val="0"/>
              <w:keepLines w:val="0"/>
              <w:suppressLineNumbers w:val="0"/>
              <w:kinsoku w:val="0"/>
              <w:overflowPunct w:val="0"/>
              <w:spacing w:before="0" w:beforeAutospacing="0" w:after="0" w:afterAutospacing="0" w:line="288" w:lineRule="auto"/>
              <w:ind w:left="71" w:right="0"/>
              <w:jc w:val="center"/>
              <w:rPr>
                <w:rFonts w:hint="default" w:ascii="宋体" w:hAnsi="宋体" w:eastAsia="宋体"/>
                <w:szCs w:val="21"/>
                <w:highlight w:val="none"/>
              </w:rPr>
            </w:pPr>
          </w:p>
        </w:tc>
      </w:tr>
      <w:tr w14:paraId="2FE1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66D449B3">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1A9898A2">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接收投标文件</w:t>
            </w:r>
          </w:p>
        </w:tc>
        <w:tc>
          <w:tcPr>
            <w:tcW w:w="1010" w:type="pct"/>
            <w:vAlign w:val="center"/>
          </w:tcPr>
          <w:p w14:paraId="35E3130A">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投标文件的接收</w:t>
            </w:r>
          </w:p>
        </w:tc>
        <w:tc>
          <w:tcPr>
            <w:tcW w:w="1271" w:type="pct"/>
            <w:vAlign w:val="center"/>
          </w:tcPr>
          <w:p w14:paraId="53A78CA4">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376" w:type="pct"/>
            <w:vAlign w:val="center"/>
          </w:tcPr>
          <w:p w14:paraId="09F0AB73">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自采购文件开始发出之日起至投标人提交投标文件截止之日止，不得少于20日</w:t>
            </w:r>
          </w:p>
        </w:tc>
      </w:tr>
      <w:tr w14:paraId="79B9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restart"/>
            <w:vAlign w:val="center"/>
          </w:tcPr>
          <w:p w14:paraId="697885CC">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开标、评标与定标阶段</w:t>
            </w:r>
          </w:p>
        </w:tc>
        <w:tc>
          <w:tcPr>
            <w:tcW w:w="737" w:type="pct"/>
            <w:vAlign w:val="center"/>
          </w:tcPr>
          <w:p w14:paraId="18A8B04F">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组织开标</w:t>
            </w:r>
          </w:p>
        </w:tc>
        <w:tc>
          <w:tcPr>
            <w:tcW w:w="1010" w:type="pct"/>
            <w:vAlign w:val="center"/>
          </w:tcPr>
          <w:p w14:paraId="3C40DA30">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完成开标准备工作及开标活动的具体实施</w:t>
            </w:r>
          </w:p>
        </w:tc>
        <w:tc>
          <w:tcPr>
            <w:tcW w:w="1271" w:type="pct"/>
            <w:vAlign w:val="center"/>
          </w:tcPr>
          <w:p w14:paraId="57D23339">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376" w:type="pct"/>
            <w:vAlign w:val="center"/>
          </w:tcPr>
          <w:p w14:paraId="7C3D6152">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在采购文件确定的提交投标文件截止时间的同一时间组织开标</w:t>
            </w:r>
          </w:p>
        </w:tc>
      </w:tr>
      <w:tr w14:paraId="0D4C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7FF5D1B3">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31B1FA41">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组织评标</w:t>
            </w:r>
          </w:p>
        </w:tc>
        <w:tc>
          <w:tcPr>
            <w:tcW w:w="1010" w:type="pct"/>
            <w:vAlign w:val="center"/>
          </w:tcPr>
          <w:p w14:paraId="1D15B07C">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提供评标工作的各项保障条件，协助评标委员会完成评标</w:t>
            </w:r>
          </w:p>
        </w:tc>
        <w:tc>
          <w:tcPr>
            <w:tcW w:w="1271" w:type="pct"/>
            <w:vAlign w:val="center"/>
          </w:tcPr>
          <w:p w14:paraId="675C1D26">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376" w:type="pct"/>
            <w:vAlign w:val="center"/>
          </w:tcPr>
          <w:p w14:paraId="4092F825">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4962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788F1C6E">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2A78D100">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评标结果公示</w:t>
            </w:r>
          </w:p>
        </w:tc>
        <w:tc>
          <w:tcPr>
            <w:tcW w:w="1010" w:type="pct"/>
            <w:vAlign w:val="center"/>
          </w:tcPr>
          <w:p w14:paraId="64512896">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办理评标结果公示的相关事宜</w:t>
            </w:r>
          </w:p>
        </w:tc>
        <w:tc>
          <w:tcPr>
            <w:tcW w:w="1271" w:type="pct"/>
            <w:vAlign w:val="center"/>
          </w:tcPr>
          <w:p w14:paraId="062A3122">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对评标结果进行确认</w:t>
            </w:r>
          </w:p>
        </w:tc>
        <w:tc>
          <w:tcPr>
            <w:tcW w:w="1376" w:type="pct"/>
            <w:vAlign w:val="center"/>
          </w:tcPr>
          <w:p w14:paraId="0B667124">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自收到评标报告之日起3日内公示中标候选人，公示期不得少于3日（节假日顺延，即公示最后一日应为工作日）</w:t>
            </w:r>
          </w:p>
        </w:tc>
      </w:tr>
      <w:tr w14:paraId="4FA6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72F4467D">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0E97609E">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协助定标</w:t>
            </w:r>
          </w:p>
        </w:tc>
        <w:tc>
          <w:tcPr>
            <w:tcW w:w="1010" w:type="pct"/>
            <w:vAlign w:val="center"/>
          </w:tcPr>
          <w:p w14:paraId="7380ED5A">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p>
        </w:tc>
        <w:tc>
          <w:tcPr>
            <w:tcW w:w="1271" w:type="pct"/>
            <w:vAlign w:val="center"/>
          </w:tcPr>
          <w:p w14:paraId="6D9EAA1C">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确定中标人</w:t>
            </w:r>
          </w:p>
        </w:tc>
        <w:tc>
          <w:tcPr>
            <w:tcW w:w="1376" w:type="pct"/>
            <w:vAlign w:val="center"/>
          </w:tcPr>
          <w:p w14:paraId="002B57E9">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在投标有效期届满之前完成定标工作</w:t>
            </w:r>
          </w:p>
        </w:tc>
      </w:tr>
      <w:tr w14:paraId="262F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07B7AD5E">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173F37A0">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发出中标通知书并向未中标人告知中标结果</w:t>
            </w:r>
          </w:p>
        </w:tc>
        <w:tc>
          <w:tcPr>
            <w:tcW w:w="1010" w:type="pct"/>
            <w:vAlign w:val="center"/>
          </w:tcPr>
          <w:p w14:paraId="55C612B6">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中标通知书及中标公告/中标结果通知书的拟订和发放</w:t>
            </w:r>
          </w:p>
          <w:p w14:paraId="65796207">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c>
          <w:tcPr>
            <w:tcW w:w="1271" w:type="pct"/>
            <w:vAlign w:val="center"/>
          </w:tcPr>
          <w:p w14:paraId="0FC508D5">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对中标通知书及中标公告/中标结果通知书进行确认</w:t>
            </w:r>
          </w:p>
        </w:tc>
        <w:tc>
          <w:tcPr>
            <w:tcW w:w="1376" w:type="pct"/>
            <w:vAlign w:val="center"/>
          </w:tcPr>
          <w:p w14:paraId="4DB02C2B">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16ED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restart"/>
            <w:vAlign w:val="center"/>
          </w:tcPr>
          <w:p w14:paraId="7B98F069">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合同签订及后续服务阶段</w:t>
            </w:r>
          </w:p>
        </w:tc>
        <w:tc>
          <w:tcPr>
            <w:tcW w:w="737" w:type="pct"/>
            <w:vAlign w:val="center"/>
          </w:tcPr>
          <w:p w14:paraId="42971C73">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协助签订合同</w:t>
            </w:r>
          </w:p>
        </w:tc>
        <w:tc>
          <w:tcPr>
            <w:tcW w:w="1010" w:type="pct"/>
            <w:vAlign w:val="center"/>
          </w:tcPr>
          <w:p w14:paraId="09FA76C0">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协助采购人与中标人签订合同</w:t>
            </w:r>
          </w:p>
        </w:tc>
        <w:tc>
          <w:tcPr>
            <w:tcW w:w="1271" w:type="pct"/>
            <w:vAlign w:val="center"/>
          </w:tcPr>
          <w:p w14:paraId="21E98A80">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r>
              <w:rPr>
                <w:rFonts w:hint="eastAsia" w:ascii="宋体" w:hAnsi="宋体" w:eastAsia="宋体" w:cs="宋体"/>
                <w:szCs w:val="21"/>
                <w:highlight w:val="none"/>
              </w:rPr>
              <w:t>与中标人签订合同</w:t>
            </w:r>
          </w:p>
        </w:tc>
        <w:tc>
          <w:tcPr>
            <w:tcW w:w="1376" w:type="pct"/>
            <w:vAlign w:val="center"/>
          </w:tcPr>
          <w:p w14:paraId="53FC9B23">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自中标通知书发出之日起30日内签订合同</w:t>
            </w:r>
          </w:p>
        </w:tc>
      </w:tr>
      <w:tr w14:paraId="4B58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7ADF8090">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4C47574B">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收取、退还投标保证金（如需）</w:t>
            </w:r>
          </w:p>
        </w:tc>
        <w:tc>
          <w:tcPr>
            <w:tcW w:w="1010" w:type="pct"/>
            <w:vAlign w:val="center"/>
          </w:tcPr>
          <w:p w14:paraId="76B1BCB8">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按采购文件要求收取投标保证金；投标保证金及其利息（如有）的返还</w:t>
            </w:r>
          </w:p>
        </w:tc>
        <w:tc>
          <w:tcPr>
            <w:tcW w:w="1271" w:type="pct"/>
            <w:vAlign w:val="center"/>
          </w:tcPr>
          <w:p w14:paraId="5AFB81A9">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376" w:type="pct"/>
            <w:vAlign w:val="center"/>
          </w:tcPr>
          <w:p w14:paraId="79BCB383">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最迟应当在书面合同签订后5日内向中标人和未中标的投标人退还投标保证金</w:t>
            </w:r>
          </w:p>
        </w:tc>
      </w:tr>
      <w:tr w14:paraId="5ADE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6DA7345A">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34AFD1A9">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采购资料收集及移交，采购全过程资料整理（含档案数字化）和存档保管</w:t>
            </w:r>
          </w:p>
        </w:tc>
        <w:tc>
          <w:tcPr>
            <w:tcW w:w="1010" w:type="pct"/>
            <w:vAlign w:val="center"/>
          </w:tcPr>
          <w:p w14:paraId="30AFD24D">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负责收集、整理采购投标活动中形成的相关文件和资料，同时形成电子档案，在保管年限内妥善保存档案</w:t>
            </w:r>
          </w:p>
        </w:tc>
        <w:tc>
          <w:tcPr>
            <w:tcW w:w="1271" w:type="pct"/>
            <w:vAlign w:val="center"/>
          </w:tcPr>
          <w:p w14:paraId="27C1B7BF">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376" w:type="pct"/>
            <w:vAlign w:val="center"/>
          </w:tcPr>
          <w:p w14:paraId="144BD238">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2D9A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320AE26C">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568018EC">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协助处理异议</w:t>
            </w:r>
          </w:p>
        </w:tc>
        <w:tc>
          <w:tcPr>
            <w:tcW w:w="1010" w:type="pct"/>
            <w:vAlign w:val="center"/>
          </w:tcPr>
          <w:p w14:paraId="0FB9A21C">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协助处理异议，对异议进行分析并提出处理建议</w:t>
            </w:r>
          </w:p>
        </w:tc>
        <w:tc>
          <w:tcPr>
            <w:tcW w:w="1271" w:type="pct"/>
            <w:vAlign w:val="center"/>
          </w:tcPr>
          <w:p w14:paraId="69115ED5">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处理异议</w:t>
            </w:r>
          </w:p>
        </w:tc>
        <w:tc>
          <w:tcPr>
            <w:tcW w:w="1376" w:type="pct"/>
            <w:vAlign w:val="center"/>
          </w:tcPr>
          <w:p w14:paraId="34532AC4">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对采购文件、评标结果提出的异议，自收到异议之日起3日内作出答复；对开标提出的异议，应当在开标现场当场作出答复</w:t>
            </w:r>
          </w:p>
        </w:tc>
      </w:tr>
      <w:tr w14:paraId="5ECF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39D0BF73">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441F6E10">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协助处理投诉或其他相关事务</w:t>
            </w:r>
          </w:p>
        </w:tc>
        <w:tc>
          <w:tcPr>
            <w:tcW w:w="1010" w:type="pct"/>
            <w:vAlign w:val="center"/>
          </w:tcPr>
          <w:p w14:paraId="0F24D0D2">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配合监督部门依法组织开展的调查取证及相关处理工作</w:t>
            </w:r>
          </w:p>
        </w:tc>
        <w:tc>
          <w:tcPr>
            <w:tcW w:w="1271" w:type="pct"/>
            <w:vAlign w:val="center"/>
          </w:tcPr>
          <w:p w14:paraId="0EAAB858">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配合监督部门依法组织开展的调查取证及相关处理工作</w:t>
            </w:r>
          </w:p>
        </w:tc>
        <w:tc>
          <w:tcPr>
            <w:tcW w:w="1376" w:type="pct"/>
          </w:tcPr>
          <w:p w14:paraId="5981C76D">
            <w:pPr>
              <w:keepNext w:val="0"/>
              <w:keepLines w:val="0"/>
              <w:suppressLineNumbers w:val="0"/>
              <w:spacing w:before="0" w:beforeAutospacing="0" w:after="0" w:afterAutospacing="0" w:line="288" w:lineRule="auto"/>
              <w:ind w:left="71" w:right="0"/>
              <w:rPr>
                <w:rFonts w:hint="default" w:ascii="宋体" w:hAnsi="宋体" w:eastAsia="宋体" w:cs="宋体"/>
                <w:szCs w:val="21"/>
                <w:highlight w:val="none"/>
              </w:rPr>
            </w:pPr>
          </w:p>
        </w:tc>
      </w:tr>
      <w:tr w14:paraId="5605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05" w:type="pct"/>
            <w:vMerge w:val="continue"/>
            <w:vAlign w:val="center"/>
          </w:tcPr>
          <w:p w14:paraId="21093211">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37" w:type="pct"/>
            <w:vAlign w:val="center"/>
          </w:tcPr>
          <w:p w14:paraId="09C909BC">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合同咨询及其他服务</w:t>
            </w:r>
          </w:p>
        </w:tc>
        <w:tc>
          <w:tcPr>
            <w:tcW w:w="1010" w:type="pct"/>
            <w:vAlign w:val="center"/>
          </w:tcPr>
          <w:p w14:paraId="638A7DAC">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按采购代理合同约定执行</w:t>
            </w:r>
          </w:p>
        </w:tc>
        <w:tc>
          <w:tcPr>
            <w:tcW w:w="1271" w:type="pct"/>
            <w:vAlign w:val="center"/>
          </w:tcPr>
          <w:p w14:paraId="2772C8AC">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按采购代理合同约定执行</w:t>
            </w:r>
          </w:p>
        </w:tc>
        <w:tc>
          <w:tcPr>
            <w:tcW w:w="1376" w:type="pct"/>
          </w:tcPr>
          <w:p w14:paraId="24E2FD33">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bl>
    <w:p w14:paraId="711AE82B">
      <w:pPr>
        <w:pStyle w:val="138"/>
        <w:spacing w:line="360" w:lineRule="auto"/>
        <w:ind w:firstLineChars="20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Cs w:val="21"/>
          <w:highlight w:val="none"/>
        </w:rPr>
        <w:t>（2）</w:t>
      </w:r>
      <w:r>
        <w:rPr>
          <w:rStyle w:val="53"/>
          <w:rFonts w:hint="eastAsia" w:ascii="宋体" w:hAnsi="宋体" w:eastAsia="宋体" w:cs="宋体"/>
          <w:highlight w:val="none"/>
        </w:rPr>
        <w:t>针对非招标方式的</w:t>
      </w:r>
      <w:r>
        <w:rPr>
          <w:rFonts w:hint="eastAsia" w:ascii="宋体" w:hAnsi="宋体" w:eastAsia="宋体" w:cs="宋体"/>
          <w:szCs w:val="21"/>
          <w:highlight w:val="none"/>
        </w:rPr>
        <w:t>采购代理工作职责划分及法定时限要求</w:t>
      </w:r>
      <w:r>
        <w:rPr>
          <w:rFonts w:hint="eastAsia" w:ascii="宋体" w:hAnsi="宋体" w:eastAsia="宋体" w:cs="宋体"/>
          <w:szCs w:val="21"/>
          <w:highlight w:val="none"/>
          <w:lang w:eastAsia="zh-CN"/>
        </w:rPr>
        <w:t>。</w:t>
      </w:r>
    </w:p>
    <w:tbl>
      <w:tblPr>
        <w:tblStyle w:val="44"/>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3"/>
        <w:gridCol w:w="1536"/>
        <w:gridCol w:w="2476"/>
        <w:gridCol w:w="2227"/>
        <w:gridCol w:w="3026"/>
      </w:tblGrid>
      <w:tr w14:paraId="2FC9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restart"/>
            <w:vAlign w:val="center"/>
          </w:tcPr>
          <w:p w14:paraId="6FBA5F3A">
            <w:pPr>
              <w:pStyle w:val="222"/>
              <w:keepNext w:val="0"/>
              <w:keepLines w:val="0"/>
              <w:suppressLineNumbers w:val="0"/>
              <w:kinsoku w:val="0"/>
              <w:overflowPunct w:val="0"/>
              <w:spacing w:before="0" w:beforeAutospacing="0" w:after="0" w:afterAutospacing="0" w:line="288" w:lineRule="auto"/>
              <w:ind w:left="166" w:right="150"/>
              <w:jc w:val="center"/>
              <w:rPr>
                <w:rFonts w:hint="default" w:ascii="宋体" w:hAnsi="宋体" w:eastAsia="宋体"/>
                <w:szCs w:val="21"/>
                <w:highlight w:val="none"/>
              </w:rPr>
            </w:pPr>
            <w:r>
              <w:rPr>
                <w:rFonts w:hint="eastAsia" w:ascii="宋体" w:hAnsi="宋体" w:eastAsia="宋体"/>
                <w:b/>
                <w:bCs/>
                <w:szCs w:val="21"/>
                <w:highlight w:val="none"/>
              </w:rPr>
              <w:t>工作阶段</w:t>
            </w:r>
          </w:p>
        </w:tc>
        <w:tc>
          <w:tcPr>
            <w:tcW w:w="746" w:type="pct"/>
            <w:vMerge w:val="restart"/>
            <w:vAlign w:val="center"/>
          </w:tcPr>
          <w:p w14:paraId="75C8AD5E">
            <w:pPr>
              <w:pStyle w:val="222"/>
              <w:keepNext w:val="0"/>
              <w:keepLines w:val="0"/>
              <w:suppressLineNumbers w:val="0"/>
              <w:kinsoku w:val="0"/>
              <w:overflowPunct w:val="0"/>
              <w:spacing w:before="0" w:beforeAutospacing="0" w:after="0" w:afterAutospacing="0" w:line="288" w:lineRule="auto"/>
              <w:ind w:left="0" w:right="0"/>
              <w:jc w:val="center"/>
              <w:rPr>
                <w:rFonts w:hint="default" w:ascii="宋体" w:hAnsi="宋体" w:eastAsia="宋体"/>
                <w:szCs w:val="21"/>
                <w:highlight w:val="none"/>
              </w:rPr>
            </w:pPr>
            <w:r>
              <w:rPr>
                <w:rFonts w:hint="eastAsia" w:ascii="宋体" w:hAnsi="宋体" w:eastAsia="宋体"/>
                <w:b/>
                <w:bCs/>
                <w:szCs w:val="21"/>
                <w:highlight w:val="none"/>
              </w:rPr>
              <w:t>工作程序</w:t>
            </w:r>
          </w:p>
        </w:tc>
        <w:tc>
          <w:tcPr>
            <w:tcW w:w="2285" w:type="pct"/>
            <w:gridSpan w:val="2"/>
            <w:vAlign w:val="center"/>
          </w:tcPr>
          <w:p w14:paraId="0FF2B1F8">
            <w:pPr>
              <w:pStyle w:val="222"/>
              <w:keepNext w:val="0"/>
              <w:keepLines w:val="0"/>
              <w:suppressLineNumbers w:val="0"/>
              <w:kinsoku w:val="0"/>
              <w:overflowPunct w:val="0"/>
              <w:spacing w:before="0" w:beforeAutospacing="0" w:after="0" w:afterAutospacing="0" w:line="288" w:lineRule="auto"/>
              <w:ind w:left="1451" w:right="1452"/>
              <w:jc w:val="center"/>
              <w:rPr>
                <w:rFonts w:hint="default" w:ascii="宋体" w:hAnsi="宋体" w:eastAsia="宋体"/>
                <w:szCs w:val="21"/>
                <w:highlight w:val="none"/>
              </w:rPr>
            </w:pPr>
            <w:r>
              <w:rPr>
                <w:rFonts w:hint="eastAsia" w:ascii="宋体" w:hAnsi="宋体" w:eastAsia="宋体"/>
                <w:b/>
                <w:bCs/>
                <w:szCs w:val="21"/>
                <w:highlight w:val="none"/>
              </w:rPr>
              <w:t>职责划分</w:t>
            </w:r>
          </w:p>
        </w:tc>
        <w:tc>
          <w:tcPr>
            <w:tcW w:w="1470" w:type="pct"/>
            <w:vMerge w:val="restart"/>
            <w:vAlign w:val="center"/>
          </w:tcPr>
          <w:p w14:paraId="0DFEFCBD">
            <w:pPr>
              <w:pStyle w:val="222"/>
              <w:keepNext w:val="0"/>
              <w:keepLines w:val="0"/>
              <w:suppressLineNumbers w:val="0"/>
              <w:kinsoku w:val="0"/>
              <w:overflowPunct w:val="0"/>
              <w:spacing w:before="0" w:beforeAutospacing="0" w:after="0" w:afterAutospacing="0" w:line="288" w:lineRule="auto"/>
              <w:ind w:left="0" w:right="0"/>
              <w:jc w:val="center"/>
              <w:rPr>
                <w:rFonts w:hint="default" w:ascii="宋体" w:hAnsi="宋体" w:eastAsia="宋体"/>
                <w:szCs w:val="21"/>
                <w:highlight w:val="none"/>
              </w:rPr>
            </w:pPr>
            <w:r>
              <w:rPr>
                <w:rFonts w:hint="eastAsia" w:ascii="宋体" w:hAnsi="宋体" w:eastAsia="宋体"/>
                <w:b/>
                <w:bCs/>
                <w:szCs w:val="21"/>
                <w:highlight w:val="none"/>
              </w:rPr>
              <w:t>法定时限要求</w:t>
            </w:r>
          </w:p>
        </w:tc>
      </w:tr>
      <w:tr w14:paraId="4278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356506DE">
            <w:pPr>
              <w:pStyle w:val="222"/>
              <w:keepNext w:val="0"/>
              <w:keepLines w:val="0"/>
              <w:suppressLineNumbers w:val="0"/>
              <w:kinsoku w:val="0"/>
              <w:overflowPunct w:val="0"/>
              <w:spacing w:before="0" w:beforeAutospacing="0" w:after="0" w:afterAutospacing="0" w:line="288" w:lineRule="auto"/>
              <w:ind w:left="362" w:right="0"/>
              <w:rPr>
                <w:rFonts w:hint="default" w:ascii="宋体" w:hAnsi="宋体" w:eastAsia="宋体"/>
                <w:szCs w:val="21"/>
                <w:highlight w:val="none"/>
              </w:rPr>
            </w:pPr>
          </w:p>
        </w:tc>
        <w:tc>
          <w:tcPr>
            <w:tcW w:w="746" w:type="pct"/>
            <w:vMerge w:val="continue"/>
            <w:vAlign w:val="center"/>
          </w:tcPr>
          <w:p w14:paraId="25078A2F">
            <w:pPr>
              <w:pStyle w:val="222"/>
              <w:keepNext w:val="0"/>
              <w:keepLines w:val="0"/>
              <w:suppressLineNumbers w:val="0"/>
              <w:kinsoku w:val="0"/>
              <w:overflowPunct w:val="0"/>
              <w:spacing w:before="0" w:beforeAutospacing="0" w:after="0" w:afterAutospacing="0" w:line="288" w:lineRule="auto"/>
              <w:ind w:left="362" w:right="0"/>
              <w:rPr>
                <w:rFonts w:hint="default" w:ascii="宋体" w:hAnsi="宋体" w:eastAsia="宋体"/>
                <w:szCs w:val="21"/>
                <w:highlight w:val="none"/>
              </w:rPr>
            </w:pPr>
          </w:p>
        </w:tc>
        <w:tc>
          <w:tcPr>
            <w:tcW w:w="1203" w:type="pct"/>
            <w:vAlign w:val="center"/>
          </w:tcPr>
          <w:p w14:paraId="42F36B98">
            <w:pPr>
              <w:pStyle w:val="222"/>
              <w:keepNext w:val="0"/>
              <w:keepLines w:val="0"/>
              <w:suppressLineNumbers w:val="0"/>
              <w:kinsoku w:val="0"/>
              <w:overflowPunct w:val="0"/>
              <w:spacing w:before="102" w:beforeAutospacing="0" w:after="0" w:afterAutospacing="0" w:line="288" w:lineRule="auto"/>
              <w:ind w:left="51" w:right="53"/>
              <w:jc w:val="center"/>
              <w:rPr>
                <w:rFonts w:hint="default" w:ascii="宋体" w:hAnsi="宋体" w:eastAsia="宋体"/>
                <w:szCs w:val="21"/>
                <w:highlight w:val="none"/>
              </w:rPr>
            </w:pPr>
            <w:r>
              <w:rPr>
                <w:rFonts w:hint="eastAsia" w:ascii="宋体" w:hAnsi="宋体" w:eastAsia="宋体"/>
                <w:b/>
                <w:bCs/>
                <w:szCs w:val="21"/>
                <w:highlight w:val="none"/>
              </w:rPr>
              <w:t>采购代理机构</w:t>
            </w:r>
          </w:p>
        </w:tc>
        <w:tc>
          <w:tcPr>
            <w:tcW w:w="1082" w:type="pct"/>
            <w:vAlign w:val="center"/>
          </w:tcPr>
          <w:p w14:paraId="7DA68107">
            <w:pPr>
              <w:pStyle w:val="222"/>
              <w:keepNext w:val="0"/>
              <w:keepLines w:val="0"/>
              <w:suppressLineNumbers w:val="0"/>
              <w:kinsoku w:val="0"/>
              <w:overflowPunct w:val="0"/>
              <w:spacing w:before="102" w:beforeAutospacing="0" w:after="0" w:afterAutospacing="0" w:line="288" w:lineRule="auto"/>
              <w:ind w:left="639" w:right="639"/>
              <w:jc w:val="center"/>
              <w:rPr>
                <w:rFonts w:hint="default" w:ascii="宋体" w:hAnsi="宋体" w:eastAsia="宋体"/>
                <w:szCs w:val="21"/>
                <w:highlight w:val="none"/>
              </w:rPr>
            </w:pPr>
            <w:r>
              <w:rPr>
                <w:rFonts w:hint="eastAsia" w:ascii="宋体" w:hAnsi="宋体" w:eastAsia="宋体"/>
                <w:b/>
                <w:bCs/>
                <w:szCs w:val="21"/>
                <w:highlight w:val="none"/>
              </w:rPr>
              <w:t>采购人</w:t>
            </w:r>
          </w:p>
        </w:tc>
        <w:tc>
          <w:tcPr>
            <w:tcW w:w="1470" w:type="pct"/>
            <w:vMerge w:val="continue"/>
          </w:tcPr>
          <w:p w14:paraId="3EF81335">
            <w:pPr>
              <w:pStyle w:val="222"/>
              <w:keepNext w:val="0"/>
              <w:keepLines w:val="0"/>
              <w:suppressLineNumbers w:val="0"/>
              <w:kinsoku w:val="0"/>
              <w:overflowPunct w:val="0"/>
              <w:spacing w:before="102" w:beforeAutospacing="0" w:after="0" w:afterAutospacing="0" w:line="288" w:lineRule="auto"/>
              <w:ind w:left="639" w:right="639"/>
              <w:jc w:val="center"/>
              <w:rPr>
                <w:rFonts w:hint="default" w:ascii="宋体" w:hAnsi="宋体" w:eastAsia="宋体"/>
                <w:szCs w:val="21"/>
                <w:highlight w:val="none"/>
              </w:rPr>
            </w:pPr>
          </w:p>
        </w:tc>
      </w:tr>
      <w:tr w14:paraId="1B35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restart"/>
            <w:vAlign w:val="center"/>
          </w:tcPr>
          <w:p w14:paraId="367F060A">
            <w:pPr>
              <w:pStyle w:val="222"/>
              <w:keepNext w:val="0"/>
              <w:keepLines w:val="0"/>
              <w:suppressLineNumbers w:val="0"/>
              <w:kinsoku w:val="0"/>
              <w:overflowPunct w:val="0"/>
              <w:spacing w:before="0" w:beforeAutospacing="0" w:after="0" w:afterAutospacing="0" w:line="288" w:lineRule="auto"/>
              <w:ind w:left="167" w:right="167"/>
              <w:jc w:val="center"/>
              <w:rPr>
                <w:rFonts w:hint="default" w:ascii="宋体" w:hAnsi="宋体" w:eastAsia="宋体"/>
                <w:szCs w:val="21"/>
                <w:highlight w:val="none"/>
              </w:rPr>
            </w:pPr>
            <w:r>
              <w:rPr>
                <w:rFonts w:hint="eastAsia" w:ascii="宋体" w:hAnsi="宋体" w:eastAsia="宋体"/>
                <w:szCs w:val="21"/>
                <w:highlight w:val="none"/>
              </w:rPr>
              <w:t>业务承接与采购准备阶段</w:t>
            </w:r>
          </w:p>
        </w:tc>
        <w:tc>
          <w:tcPr>
            <w:tcW w:w="746" w:type="pct"/>
            <w:vAlign w:val="center"/>
          </w:tcPr>
          <w:p w14:paraId="73C89DC5">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收集和分析基础信息</w:t>
            </w:r>
          </w:p>
        </w:tc>
        <w:tc>
          <w:tcPr>
            <w:tcW w:w="1203" w:type="pct"/>
            <w:vAlign w:val="center"/>
          </w:tcPr>
          <w:p w14:paraId="69B8C813">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对采购人提供的相关基础资料和信息进行审查、提出合理化建议和提供咨询服务</w:t>
            </w:r>
          </w:p>
        </w:tc>
        <w:tc>
          <w:tcPr>
            <w:tcW w:w="1082" w:type="pct"/>
            <w:vAlign w:val="center"/>
          </w:tcPr>
          <w:p w14:paraId="4B2847E1">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提供开展采购项目所需的相关基础资料和信息</w:t>
            </w:r>
          </w:p>
        </w:tc>
        <w:tc>
          <w:tcPr>
            <w:tcW w:w="1470" w:type="pct"/>
            <w:vAlign w:val="center"/>
          </w:tcPr>
          <w:p w14:paraId="0F71D7E4">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r>
      <w:tr w14:paraId="1658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1F83D9D9">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6133C600">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落实采购基本条件</w:t>
            </w:r>
          </w:p>
        </w:tc>
        <w:tc>
          <w:tcPr>
            <w:tcW w:w="1203" w:type="pct"/>
            <w:vAlign w:val="center"/>
          </w:tcPr>
          <w:p w14:paraId="0367DAEF">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1082" w:type="pct"/>
            <w:vAlign w:val="center"/>
          </w:tcPr>
          <w:p w14:paraId="2EE0F6D3">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保证采购项目具备法定的采购条件</w:t>
            </w:r>
          </w:p>
        </w:tc>
        <w:tc>
          <w:tcPr>
            <w:tcW w:w="1470" w:type="pct"/>
            <w:vAlign w:val="center"/>
          </w:tcPr>
          <w:p w14:paraId="65F52B03">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r>
      <w:tr w14:paraId="6671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037C39C1">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0C040045">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对项目全过程进行统筹规划</w:t>
            </w:r>
          </w:p>
        </w:tc>
        <w:tc>
          <w:tcPr>
            <w:tcW w:w="1203" w:type="pct"/>
            <w:vAlign w:val="center"/>
          </w:tcPr>
          <w:p w14:paraId="762A8AD5">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对采购项目提出合理化建议、协助采购人复核采购基本条件并开展采购需求调查等</w:t>
            </w:r>
          </w:p>
        </w:tc>
        <w:tc>
          <w:tcPr>
            <w:tcW w:w="1082" w:type="pct"/>
            <w:vAlign w:val="center"/>
          </w:tcPr>
          <w:p w14:paraId="01A40412">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采购方案的审查及决策</w:t>
            </w:r>
          </w:p>
        </w:tc>
        <w:tc>
          <w:tcPr>
            <w:tcW w:w="1470" w:type="pct"/>
            <w:vAlign w:val="center"/>
          </w:tcPr>
          <w:p w14:paraId="7812EDB1">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r>
      <w:tr w14:paraId="5351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0E0FDBBD">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4A947CDB">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发布招标计划（如需）；</w:t>
            </w:r>
          </w:p>
        </w:tc>
        <w:tc>
          <w:tcPr>
            <w:tcW w:w="1203" w:type="pct"/>
            <w:vAlign w:val="center"/>
          </w:tcPr>
          <w:p w14:paraId="010369FF">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p>
        </w:tc>
        <w:tc>
          <w:tcPr>
            <w:tcW w:w="1082" w:type="pct"/>
            <w:vAlign w:val="center"/>
          </w:tcPr>
          <w:p w14:paraId="444AF229">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470" w:type="pct"/>
            <w:vAlign w:val="center"/>
          </w:tcPr>
          <w:p w14:paraId="7D630405">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r>
      <w:tr w14:paraId="1677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restart"/>
            <w:vAlign w:val="center"/>
          </w:tcPr>
          <w:p w14:paraId="63BBA1F8">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采购响应阶段</w:t>
            </w:r>
          </w:p>
        </w:tc>
        <w:tc>
          <w:tcPr>
            <w:tcW w:w="746" w:type="pct"/>
            <w:vAlign w:val="center"/>
          </w:tcPr>
          <w:p w14:paraId="0A525346">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编制采购文件及合同</w:t>
            </w:r>
          </w:p>
        </w:tc>
        <w:tc>
          <w:tcPr>
            <w:tcW w:w="1203" w:type="pct"/>
            <w:vAlign w:val="center"/>
          </w:tcPr>
          <w:p w14:paraId="3BEF36A4">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采购文件的编制及修改</w:t>
            </w:r>
          </w:p>
        </w:tc>
        <w:tc>
          <w:tcPr>
            <w:tcW w:w="1082" w:type="pct"/>
            <w:vAlign w:val="center"/>
          </w:tcPr>
          <w:p w14:paraId="5CC08FCA">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采购文件的审查、决策及报批（备案）</w:t>
            </w:r>
          </w:p>
        </w:tc>
        <w:tc>
          <w:tcPr>
            <w:tcW w:w="1470" w:type="pct"/>
            <w:vAlign w:val="center"/>
          </w:tcPr>
          <w:p w14:paraId="315FA48B">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0CDE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6173F254">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77F094A2">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发布采购公告或单一来源意向公示</w:t>
            </w:r>
          </w:p>
        </w:tc>
        <w:tc>
          <w:tcPr>
            <w:tcW w:w="1203" w:type="pct"/>
            <w:vAlign w:val="center"/>
          </w:tcPr>
          <w:p w14:paraId="19FF7BFA">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办理发布采购公告所需的手续或单一来源意向的公示</w:t>
            </w:r>
          </w:p>
        </w:tc>
        <w:tc>
          <w:tcPr>
            <w:tcW w:w="1082" w:type="pct"/>
            <w:vAlign w:val="center"/>
          </w:tcPr>
          <w:p w14:paraId="1B84242F">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对采购公告或单一来源意向公示内容进行确认</w:t>
            </w:r>
          </w:p>
        </w:tc>
        <w:tc>
          <w:tcPr>
            <w:tcW w:w="1470" w:type="pct"/>
            <w:vAlign w:val="center"/>
          </w:tcPr>
          <w:p w14:paraId="57B866F5">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竞争性谈判公告、竞争性磋商公告和询价公告的公告期限为3个工作日，单一来源意向公示期限不得少于5个工作日</w:t>
            </w:r>
          </w:p>
        </w:tc>
      </w:tr>
      <w:tr w14:paraId="4909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2998CE42">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2A392BC4">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发售采购文件</w:t>
            </w:r>
          </w:p>
        </w:tc>
        <w:tc>
          <w:tcPr>
            <w:tcW w:w="1203" w:type="pct"/>
            <w:vAlign w:val="center"/>
          </w:tcPr>
          <w:p w14:paraId="1D6ADFFA">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发售采购文件</w:t>
            </w:r>
          </w:p>
        </w:tc>
        <w:tc>
          <w:tcPr>
            <w:tcW w:w="1082" w:type="pct"/>
            <w:vAlign w:val="center"/>
          </w:tcPr>
          <w:p w14:paraId="5D62E38B">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470" w:type="pct"/>
            <w:vAlign w:val="center"/>
          </w:tcPr>
          <w:p w14:paraId="3B30EADC">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竞争性谈判、询价发售期限一般不少于3个工作日，竞争性磋商发售期限不得少于5个工作日</w:t>
            </w:r>
          </w:p>
        </w:tc>
      </w:tr>
      <w:tr w14:paraId="2446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6594D612">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4C45D781">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组织潜在供应商踏勘现场（如需）</w:t>
            </w:r>
          </w:p>
        </w:tc>
        <w:tc>
          <w:tcPr>
            <w:tcW w:w="1203" w:type="pct"/>
            <w:vAlign w:val="center"/>
          </w:tcPr>
          <w:p w14:paraId="1BD7F02B">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组织潜在供应商踏勘项目现场</w:t>
            </w:r>
          </w:p>
        </w:tc>
        <w:tc>
          <w:tcPr>
            <w:tcW w:w="1082" w:type="pct"/>
            <w:vAlign w:val="center"/>
          </w:tcPr>
          <w:p w14:paraId="05774ECD">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提供现场踏勘条件</w:t>
            </w:r>
          </w:p>
        </w:tc>
        <w:tc>
          <w:tcPr>
            <w:tcW w:w="1470" w:type="pct"/>
            <w:vAlign w:val="center"/>
          </w:tcPr>
          <w:p w14:paraId="41337CF2">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223F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497" w:type="pct"/>
            <w:vMerge w:val="continue"/>
            <w:vAlign w:val="center"/>
          </w:tcPr>
          <w:p w14:paraId="6D400A5A">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4EF1825E">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采购文件澄清与修改（如需）</w:t>
            </w:r>
          </w:p>
        </w:tc>
        <w:tc>
          <w:tcPr>
            <w:tcW w:w="1203" w:type="pct"/>
            <w:vAlign w:val="center"/>
          </w:tcPr>
          <w:p w14:paraId="05AD1809">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采购文件澄清或修改初稿的编制及完善</w:t>
            </w:r>
          </w:p>
        </w:tc>
        <w:tc>
          <w:tcPr>
            <w:tcW w:w="1082" w:type="pct"/>
            <w:vAlign w:val="center"/>
          </w:tcPr>
          <w:p w14:paraId="0262A0AE">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采购文件澄清或修改的审查、决策及报批（备案）、协调设计单位代表或其他单位对相关问题进行澄清或说明</w:t>
            </w:r>
          </w:p>
        </w:tc>
        <w:tc>
          <w:tcPr>
            <w:tcW w:w="1470" w:type="pct"/>
            <w:vAlign w:val="center"/>
          </w:tcPr>
          <w:p w14:paraId="6690EA5B">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采购文件的澄清或者修改的内容可能影响响应文件编制的，采购代理机构应当提交首次响应文件截止之日3个工作日前</w:t>
            </w:r>
          </w:p>
        </w:tc>
      </w:tr>
      <w:tr w14:paraId="60A7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497" w:type="pct"/>
            <w:vMerge w:val="continue"/>
            <w:vAlign w:val="center"/>
          </w:tcPr>
          <w:p w14:paraId="7591F83A">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3C240B3B">
            <w:pPr>
              <w:pStyle w:val="222"/>
              <w:keepNext w:val="0"/>
              <w:keepLines w:val="0"/>
              <w:suppressLineNumbers w:val="0"/>
              <w:kinsoku w:val="0"/>
              <w:overflowPunct w:val="0"/>
              <w:spacing w:before="0" w:beforeAutospacing="0" w:after="0" w:afterAutospacing="0" w:line="288" w:lineRule="auto"/>
              <w:ind w:left="71" w:right="0"/>
              <w:jc w:val="center"/>
              <w:rPr>
                <w:rFonts w:hint="default" w:ascii="宋体" w:hAnsi="宋体" w:eastAsia="宋体"/>
                <w:szCs w:val="21"/>
                <w:highlight w:val="none"/>
              </w:rPr>
            </w:pPr>
            <w:r>
              <w:rPr>
                <w:rFonts w:hint="eastAsia" w:ascii="宋体" w:hAnsi="宋体" w:eastAsia="宋体"/>
                <w:szCs w:val="21"/>
                <w:highlight w:val="none"/>
              </w:rPr>
              <w:t>申请评审专家抽取</w:t>
            </w:r>
          </w:p>
        </w:tc>
        <w:tc>
          <w:tcPr>
            <w:tcW w:w="1203" w:type="pct"/>
            <w:vAlign w:val="center"/>
          </w:tcPr>
          <w:p w14:paraId="67CD6ACA">
            <w:pPr>
              <w:pStyle w:val="222"/>
              <w:keepNext w:val="0"/>
              <w:keepLines w:val="0"/>
              <w:suppressLineNumbers w:val="0"/>
              <w:kinsoku w:val="0"/>
              <w:overflowPunct w:val="0"/>
              <w:spacing w:before="53" w:beforeAutospacing="0" w:after="0" w:afterAutospacing="0" w:line="288" w:lineRule="auto"/>
              <w:ind w:left="71" w:right="54"/>
              <w:jc w:val="center"/>
              <w:rPr>
                <w:rFonts w:hint="default" w:ascii="宋体" w:hAnsi="宋体" w:eastAsia="宋体"/>
                <w:szCs w:val="21"/>
                <w:highlight w:val="none"/>
              </w:rPr>
            </w:pPr>
            <w:r>
              <w:rPr>
                <w:rFonts w:hint="eastAsia" w:ascii="宋体" w:hAnsi="宋体" w:eastAsia="宋体"/>
                <w:szCs w:val="21"/>
                <w:highlight w:val="none"/>
              </w:rPr>
              <w:t>发起专家抽取申请</w:t>
            </w:r>
          </w:p>
        </w:tc>
        <w:tc>
          <w:tcPr>
            <w:tcW w:w="1082" w:type="pct"/>
            <w:vAlign w:val="center"/>
          </w:tcPr>
          <w:p w14:paraId="50CE214B">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监督评审专家申请、抽取流程</w:t>
            </w:r>
          </w:p>
        </w:tc>
        <w:tc>
          <w:tcPr>
            <w:tcW w:w="1470" w:type="pct"/>
            <w:vAlign w:val="center"/>
          </w:tcPr>
          <w:p w14:paraId="24DA105C">
            <w:pPr>
              <w:pStyle w:val="222"/>
              <w:keepNext w:val="0"/>
              <w:keepLines w:val="0"/>
              <w:suppressLineNumbers w:val="0"/>
              <w:kinsoku w:val="0"/>
              <w:overflowPunct w:val="0"/>
              <w:spacing w:before="0" w:beforeAutospacing="0" w:after="0" w:afterAutospacing="0" w:line="288" w:lineRule="auto"/>
              <w:ind w:left="71" w:right="0"/>
              <w:jc w:val="center"/>
              <w:rPr>
                <w:rFonts w:hint="default" w:ascii="宋体" w:hAnsi="宋体" w:eastAsia="宋体"/>
                <w:szCs w:val="21"/>
                <w:highlight w:val="none"/>
              </w:rPr>
            </w:pPr>
          </w:p>
        </w:tc>
      </w:tr>
      <w:tr w14:paraId="02CE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497" w:type="pct"/>
            <w:vMerge w:val="continue"/>
            <w:vAlign w:val="center"/>
          </w:tcPr>
          <w:p w14:paraId="2270B539">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77186F1F">
            <w:pPr>
              <w:pStyle w:val="222"/>
              <w:keepNext w:val="0"/>
              <w:keepLines w:val="0"/>
              <w:suppressLineNumbers w:val="0"/>
              <w:kinsoku w:val="0"/>
              <w:overflowPunct w:val="0"/>
              <w:spacing w:before="0" w:beforeAutospacing="0" w:after="0" w:afterAutospacing="0" w:line="288" w:lineRule="auto"/>
              <w:ind w:left="71" w:right="0"/>
              <w:jc w:val="center"/>
              <w:rPr>
                <w:rFonts w:hint="default" w:ascii="宋体" w:hAnsi="宋体" w:eastAsia="宋体"/>
                <w:szCs w:val="21"/>
                <w:highlight w:val="none"/>
              </w:rPr>
            </w:pPr>
            <w:r>
              <w:rPr>
                <w:rFonts w:hint="eastAsia" w:ascii="宋体" w:hAnsi="宋体" w:eastAsia="宋体"/>
                <w:szCs w:val="21"/>
                <w:highlight w:val="none"/>
              </w:rPr>
              <w:t>申请及办理公证（监督部门或采购人有要求时）</w:t>
            </w:r>
          </w:p>
        </w:tc>
        <w:tc>
          <w:tcPr>
            <w:tcW w:w="1203" w:type="pct"/>
            <w:vAlign w:val="center"/>
          </w:tcPr>
          <w:p w14:paraId="52F66BCD">
            <w:pPr>
              <w:pStyle w:val="222"/>
              <w:keepNext w:val="0"/>
              <w:keepLines w:val="0"/>
              <w:suppressLineNumbers w:val="0"/>
              <w:kinsoku w:val="0"/>
              <w:overflowPunct w:val="0"/>
              <w:spacing w:before="53" w:beforeAutospacing="0" w:after="0" w:afterAutospacing="0" w:line="288" w:lineRule="auto"/>
              <w:ind w:left="71" w:right="54"/>
              <w:jc w:val="center"/>
              <w:rPr>
                <w:rFonts w:hint="default" w:ascii="宋体" w:hAnsi="宋体" w:eastAsia="宋体"/>
                <w:szCs w:val="21"/>
                <w:highlight w:val="none"/>
              </w:rPr>
            </w:pPr>
            <w:r>
              <w:rPr>
                <w:rFonts w:hint="eastAsia" w:ascii="宋体" w:hAnsi="宋体" w:eastAsia="宋体"/>
                <w:szCs w:val="21"/>
                <w:highlight w:val="none"/>
              </w:rPr>
              <w:t>完成申请及办理公证的相关资料</w:t>
            </w:r>
          </w:p>
        </w:tc>
        <w:tc>
          <w:tcPr>
            <w:tcW w:w="1082" w:type="pct"/>
            <w:vAlign w:val="center"/>
          </w:tcPr>
          <w:p w14:paraId="163FF861">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提供办理公证所需材料</w:t>
            </w:r>
          </w:p>
        </w:tc>
        <w:tc>
          <w:tcPr>
            <w:tcW w:w="1470" w:type="pct"/>
            <w:vAlign w:val="center"/>
          </w:tcPr>
          <w:p w14:paraId="06F5C4A1">
            <w:pPr>
              <w:pStyle w:val="222"/>
              <w:keepNext w:val="0"/>
              <w:keepLines w:val="0"/>
              <w:suppressLineNumbers w:val="0"/>
              <w:kinsoku w:val="0"/>
              <w:overflowPunct w:val="0"/>
              <w:spacing w:before="0" w:beforeAutospacing="0" w:after="0" w:afterAutospacing="0" w:line="288" w:lineRule="auto"/>
              <w:ind w:left="71" w:right="0"/>
              <w:jc w:val="center"/>
              <w:rPr>
                <w:rFonts w:hint="default" w:ascii="宋体" w:hAnsi="宋体" w:eastAsia="宋体"/>
                <w:szCs w:val="21"/>
                <w:highlight w:val="none"/>
              </w:rPr>
            </w:pPr>
          </w:p>
        </w:tc>
      </w:tr>
      <w:tr w14:paraId="73E7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4E3895B0">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26DC0CD8">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接收响应文件</w:t>
            </w:r>
          </w:p>
        </w:tc>
        <w:tc>
          <w:tcPr>
            <w:tcW w:w="1203" w:type="pct"/>
            <w:vAlign w:val="center"/>
          </w:tcPr>
          <w:p w14:paraId="655A5F64">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响应文件的接收</w:t>
            </w:r>
          </w:p>
        </w:tc>
        <w:tc>
          <w:tcPr>
            <w:tcW w:w="1082" w:type="pct"/>
            <w:vAlign w:val="center"/>
          </w:tcPr>
          <w:p w14:paraId="5917510C">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470" w:type="pct"/>
            <w:vAlign w:val="center"/>
          </w:tcPr>
          <w:p w14:paraId="70E678D9">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竞争性谈判、询价方式从采购文件发出之日起至供应商提交首次响应文件截止之日止不得少于3个工作日；</w:t>
            </w:r>
          </w:p>
          <w:p w14:paraId="7DCBFDD0">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竞争性磋商从采购文件发出之日起至供应商提交首次响应文件截止之日止不得少于10日。</w:t>
            </w:r>
          </w:p>
        </w:tc>
      </w:tr>
      <w:tr w14:paraId="3CF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restart"/>
            <w:vAlign w:val="center"/>
          </w:tcPr>
          <w:p w14:paraId="21750339">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开标、评标与定标阶段</w:t>
            </w:r>
          </w:p>
        </w:tc>
        <w:tc>
          <w:tcPr>
            <w:tcW w:w="746" w:type="pct"/>
            <w:vAlign w:val="center"/>
          </w:tcPr>
          <w:p w14:paraId="0CED0C76">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组织开标</w:t>
            </w:r>
          </w:p>
        </w:tc>
        <w:tc>
          <w:tcPr>
            <w:tcW w:w="1203" w:type="pct"/>
            <w:vAlign w:val="center"/>
          </w:tcPr>
          <w:p w14:paraId="3766155A">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完成开标准备工作及开标活动的具体实施</w:t>
            </w:r>
          </w:p>
        </w:tc>
        <w:tc>
          <w:tcPr>
            <w:tcW w:w="1082" w:type="pct"/>
            <w:vAlign w:val="center"/>
          </w:tcPr>
          <w:p w14:paraId="069EFF62">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470" w:type="pct"/>
            <w:vAlign w:val="center"/>
          </w:tcPr>
          <w:p w14:paraId="68512CEA">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在采购文件确定的提交响应文件截止时间的同一时间组织开标</w:t>
            </w:r>
          </w:p>
        </w:tc>
      </w:tr>
      <w:tr w14:paraId="4AC2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497" w:type="pct"/>
            <w:vMerge w:val="continue"/>
            <w:vAlign w:val="center"/>
          </w:tcPr>
          <w:p w14:paraId="6DF5AC56">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2C36C429">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组织谈判小组（或磋商小组/询价小组）</w:t>
            </w:r>
          </w:p>
        </w:tc>
        <w:tc>
          <w:tcPr>
            <w:tcW w:w="1203" w:type="pct"/>
            <w:vAlign w:val="center"/>
          </w:tcPr>
          <w:p w14:paraId="07FB849E">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提供评标工作的各项保障条件，协助谈判小组（或磋商小组/询价小组）会完成评标</w:t>
            </w:r>
          </w:p>
        </w:tc>
        <w:tc>
          <w:tcPr>
            <w:tcW w:w="1082" w:type="pct"/>
            <w:vAlign w:val="center"/>
          </w:tcPr>
          <w:p w14:paraId="17BEA0F0">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p>
        </w:tc>
        <w:tc>
          <w:tcPr>
            <w:tcW w:w="1470" w:type="pct"/>
            <w:vAlign w:val="center"/>
          </w:tcPr>
          <w:p w14:paraId="452E3D6B">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4D66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5D3C608A">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33865B4E">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结果公示</w:t>
            </w:r>
          </w:p>
        </w:tc>
        <w:tc>
          <w:tcPr>
            <w:tcW w:w="1203" w:type="pct"/>
            <w:vAlign w:val="center"/>
          </w:tcPr>
          <w:p w14:paraId="47C38C59">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r>
              <w:rPr>
                <w:rFonts w:hint="eastAsia" w:ascii="宋体" w:hAnsi="宋体" w:eastAsia="宋体"/>
                <w:szCs w:val="21"/>
                <w:highlight w:val="none"/>
              </w:rPr>
              <w:t>办理结果公示的相关事宜</w:t>
            </w:r>
          </w:p>
        </w:tc>
        <w:tc>
          <w:tcPr>
            <w:tcW w:w="1082" w:type="pct"/>
            <w:vAlign w:val="center"/>
          </w:tcPr>
          <w:p w14:paraId="5DE519B2">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对结果进行确认</w:t>
            </w:r>
          </w:p>
        </w:tc>
        <w:tc>
          <w:tcPr>
            <w:tcW w:w="1470" w:type="pct"/>
            <w:vAlign w:val="center"/>
          </w:tcPr>
          <w:p w14:paraId="28419EB6">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自收到评标报告之日起3日内公示成交候选人，公示期不得少于3日（节假日顺延，即公示最后一日应为工作日）</w:t>
            </w:r>
          </w:p>
        </w:tc>
      </w:tr>
      <w:tr w14:paraId="5E2A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3049D1E2">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40D33E7C">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协助定标</w:t>
            </w:r>
          </w:p>
        </w:tc>
        <w:tc>
          <w:tcPr>
            <w:tcW w:w="1203" w:type="pct"/>
            <w:vAlign w:val="center"/>
          </w:tcPr>
          <w:p w14:paraId="1616EC08">
            <w:pPr>
              <w:pStyle w:val="222"/>
              <w:keepNext w:val="0"/>
              <w:keepLines w:val="0"/>
              <w:suppressLineNumbers w:val="0"/>
              <w:kinsoku w:val="0"/>
              <w:overflowPunct w:val="0"/>
              <w:spacing w:before="53" w:beforeAutospacing="0" w:after="0" w:afterAutospacing="0" w:line="288" w:lineRule="auto"/>
              <w:ind w:left="71" w:right="54"/>
              <w:rPr>
                <w:rFonts w:hint="default" w:ascii="宋体" w:hAnsi="宋体" w:eastAsia="宋体"/>
                <w:szCs w:val="21"/>
                <w:highlight w:val="none"/>
              </w:rPr>
            </w:pPr>
          </w:p>
        </w:tc>
        <w:tc>
          <w:tcPr>
            <w:tcW w:w="1082" w:type="pct"/>
            <w:vAlign w:val="center"/>
          </w:tcPr>
          <w:p w14:paraId="54DFB15F">
            <w:pPr>
              <w:pStyle w:val="222"/>
              <w:keepNext w:val="0"/>
              <w:keepLines w:val="0"/>
              <w:suppressLineNumbers w:val="0"/>
              <w:kinsoku w:val="0"/>
              <w:overflowPunct w:val="0"/>
              <w:spacing w:before="53" w:beforeAutospacing="0" w:after="0" w:afterAutospacing="0" w:line="288" w:lineRule="auto"/>
              <w:ind w:left="71" w:right="66"/>
              <w:rPr>
                <w:rFonts w:hint="default" w:ascii="宋体" w:hAnsi="宋体" w:eastAsia="宋体"/>
                <w:szCs w:val="21"/>
                <w:highlight w:val="none"/>
              </w:rPr>
            </w:pPr>
            <w:r>
              <w:rPr>
                <w:rFonts w:hint="eastAsia" w:ascii="宋体" w:hAnsi="宋体" w:eastAsia="宋体"/>
                <w:szCs w:val="21"/>
                <w:highlight w:val="none"/>
              </w:rPr>
              <w:t>确定成交人</w:t>
            </w:r>
          </w:p>
        </w:tc>
        <w:tc>
          <w:tcPr>
            <w:tcW w:w="1470" w:type="pct"/>
            <w:vAlign w:val="center"/>
          </w:tcPr>
          <w:p w14:paraId="2A514A23">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在响应有效期届满之前完成定标工作</w:t>
            </w:r>
          </w:p>
        </w:tc>
      </w:tr>
      <w:tr w14:paraId="0205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trPr>
        <w:tc>
          <w:tcPr>
            <w:tcW w:w="497" w:type="pct"/>
            <w:vMerge w:val="continue"/>
            <w:vAlign w:val="center"/>
          </w:tcPr>
          <w:p w14:paraId="5A39D863">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7BAA44C1">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发出成交通知书并向未成交人告知成交结果</w:t>
            </w:r>
          </w:p>
        </w:tc>
        <w:tc>
          <w:tcPr>
            <w:tcW w:w="1203" w:type="pct"/>
            <w:vAlign w:val="center"/>
          </w:tcPr>
          <w:p w14:paraId="2530114A">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成交通知书及成交公告/成交结果通知书的拟订和发放</w:t>
            </w:r>
          </w:p>
          <w:p w14:paraId="152F0322">
            <w:pPr>
              <w:keepNext w:val="0"/>
              <w:keepLines w:val="0"/>
              <w:suppressLineNumbers w:val="0"/>
              <w:spacing w:before="0" w:beforeAutospacing="0" w:after="0" w:afterAutospacing="0" w:line="288" w:lineRule="auto"/>
              <w:ind w:left="0" w:right="52"/>
              <w:rPr>
                <w:rFonts w:hint="default" w:ascii="宋体" w:hAnsi="宋体" w:eastAsia="宋体" w:cs="宋体"/>
                <w:szCs w:val="21"/>
                <w:highlight w:val="none"/>
              </w:rPr>
            </w:pPr>
          </w:p>
        </w:tc>
        <w:tc>
          <w:tcPr>
            <w:tcW w:w="1082" w:type="pct"/>
            <w:vAlign w:val="center"/>
          </w:tcPr>
          <w:p w14:paraId="6D43F132">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对成交通知书及成交公告/成交结果通知书进行确认</w:t>
            </w:r>
          </w:p>
        </w:tc>
        <w:tc>
          <w:tcPr>
            <w:tcW w:w="1470" w:type="pct"/>
            <w:vAlign w:val="center"/>
          </w:tcPr>
          <w:p w14:paraId="4694C90D">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7F75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restart"/>
            <w:vAlign w:val="center"/>
          </w:tcPr>
          <w:p w14:paraId="22D4F76B">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合同签订及后续服务阶段</w:t>
            </w:r>
          </w:p>
        </w:tc>
        <w:tc>
          <w:tcPr>
            <w:tcW w:w="746" w:type="pct"/>
            <w:vAlign w:val="center"/>
          </w:tcPr>
          <w:p w14:paraId="23965B3B">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协助签订合同</w:t>
            </w:r>
          </w:p>
        </w:tc>
        <w:tc>
          <w:tcPr>
            <w:tcW w:w="1203" w:type="pct"/>
            <w:vAlign w:val="center"/>
          </w:tcPr>
          <w:p w14:paraId="64EABAD4">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协助采购人与成交人签订合同</w:t>
            </w:r>
          </w:p>
        </w:tc>
        <w:tc>
          <w:tcPr>
            <w:tcW w:w="1082" w:type="pct"/>
            <w:vAlign w:val="center"/>
          </w:tcPr>
          <w:p w14:paraId="627652C8">
            <w:pPr>
              <w:keepNext w:val="0"/>
              <w:keepLines w:val="0"/>
              <w:suppressLineNumbers w:val="0"/>
              <w:spacing w:before="0" w:beforeAutospacing="0" w:after="0" w:afterAutospacing="0" w:line="288" w:lineRule="auto"/>
              <w:ind w:left="0" w:right="52"/>
              <w:rPr>
                <w:rFonts w:hint="default" w:ascii="宋体" w:hAnsi="宋体" w:eastAsia="宋体" w:cs="宋体"/>
                <w:szCs w:val="21"/>
                <w:highlight w:val="none"/>
              </w:rPr>
            </w:pPr>
            <w:r>
              <w:rPr>
                <w:rFonts w:hint="eastAsia" w:ascii="宋体" w:hAnsi="宋体" w:eastAsia="宋体" w:cs="宋体"/>
                <w:szCs w:val="21"/>
                <w:highlight w:val="none"/>
              </w:rPr>
              <w:t>与成交人签订合同</w:t>
            </w:r>
          </w:p>
        </w:tc>
        <w:tc>
          <w:tcPr>
            <w:tcW w:w="1470" w:type="pct"/>
            <w:vAlign w:val="center"/>
          </w:tcPr>
          <w:p w14:paraId="26979A80">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自成交通知书发出之日起30日内签订合同</w:t>
            </w:r>
          </w:p>
        </w:tc>
      </w:tr>
      <w:tr w14:paraId="4AD4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6F7D3E5E">
            <w:pPr>
              <w:keepNext w:val="0"/>
              <w:keepLines w:val="0"/>
              <w:suppressLineNumbers w:val="0"/>
              <w:spacing w:before="0" w:beforeAutospacing="0" w:after="0" w:afterAutospacing="0" w:line="288" w:lineRule="auto"/>
              <w:ind w:left="0" w:right="0"/>
              <w:jc w:val="center"/>
              <w:rPr>
                <w:rFonts w:hint="default" w:ascii="宋体" w:hAnsi="宋体" w:eastAsia="宋体" w:cs="宋体"/>
                <w:szCs w:val="21"/>
                <w:highlight w:val="none"/>
              </w:rPr>
            </w:pPr>
          </w:p>
        </w:tc>
        <w:tc>
          <w:tcPr>
            <w:tcW w:w="746" w:type="pct"/>
            <w:vAlign w:val="center"/>
          </w:tcPr>
          <w:p w14:paraId="30DA6980">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退还保证金</w:t>
            </w:r>
          </w:p>
        </w:tc>
        <w:tc>
          <w:tcPr>
            <w:tcW w:w="1203" w:type="pct"/>
            <w:vAlign w:val="center"/>
          </w:tcPr>
          <w:p w14:paraId="0AE28203">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保证金及其利息（如有）的返还</w:t>
            </w:r>
          </w:p>
        </w:tc>
        <w:tc>
          <w:tcPr>
            <w:tcW w:w="1082" w:type="pct"/>
            <w:vAlign w:val="center"/>
          </w:tcPr>
          <w:p w14:paraId="61F7E6D1">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p>
        </w:tc>
        <w:tc>
          <w:tcPr>
            <w:tcW w:w="1470" w:type="pct"/>
            <w:vAlign w:val="center"/>
          </w:tcPr>
          <w:p w14:paraId="26D10221">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最迟应当在书面同签订后5日内向成交人和未成交的供应商退还保证金</w:t>
            </w:r>
          </w:p>
        </w:tc>
      </w:tr>
      <w:tr w14:paraId="44F0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6C8C8B1A">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c>
          <w:tcPr>
            <w:tcW w:w="746" w:type="pct"/>
            <w:vAlign w:val="center"/>
          </w:tcPr>
          <w:p w14:paraId="407730AE">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采购资料收集及移交，采购全过程资料整理（含档案数字化）和存档保管</w:t>
            </w:r>
          </w:p>
        </w:tc>
        <w:tc>
          <w:tcPr>
            <w:tcW w:w="1203" w:type="pct"/>
            <w:vAlign w:val="center"/>
          </w:tcPr>
          <w:p w14:paraId="640FB099">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负责收集、整理采购活动中形成的相关文件和资料，同时形成电子档案，在保管年限内妥善保存档案</w:t>
            </w:r>
          </w:p>
        </w:tc>
        <w:tc>
          <w:tcPr>
            <w:tcW w:w="1082" w:type="pct"/>
            <w:vAlign w:val="center"/>
          </w:tcPr>
          <w:p w14:paraId="0346E503">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p>
        </w:tc>
        <w:tc>
          <w:tcPr>
            <w:tcW w:w="1470" w:type="pct"/>
            <w:vAlign w:val="center"/>
          </w:tcPr>
          <w:p w14:paraId="1984F27C">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p>
        </w:tc>
      </w:tr>
      <w:tr w14:paraId="1273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7" w:type="pct"/>
            <w:vMerge w:val="continue"/>
            <w:vAlign w:val="center"/>
          </w:tcPr>
          <w:p w14:paraId="0A172898">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c>
          <w:tcPr>
            <w:tcW w:w="746" w:type="pct"/>
            <w:vAlign w:val="center"/>
          </w:tcPr>
          <w:p w14:paraId="4D261696">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协助处理异议</w:t>
            </w:r>
          </w:p>
        </w:tc>
        <w:tc>
          <w:tcPr>
            <w:tcW w:w="1203" w:type="pct"/>
            <w:vAlign w:val="center"/>
          </w:tcPr>
          <w:p w14:paraId="175795B3">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协助处理异议，对异议进行分析并提出处理建议</w:t>
            </w:r>
          </w:p>
        </w:tc>
        <w:tc>
          <w:tcPr>
            <w:tcW w:w="1082" w:type="pct"/>
            <w:vAlign w:val="center"/>
          </w:tcPr>
          <w:p w14:paraId="66983072">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处理异议</w:t>
            </w:r>
          </w:p>
        </w:tc>
        <w:tc>
          <w:tcPr>
            <w:tcW w:w="1470" w:type="pct"/>
            <w:vAlign w:val="center"/>
          </w:tcPr>
          <w:p w14:paraId="51FCFC30">
            <w:pPr>
              <w:pStyle w:val="222"/>
              <w:keepNext w:val="0"/>
              <w:keepLines w:val="0"/>
              <w:suppressLineNumbers w:val="0"/>
              <w:kinsoku w:val="0"/>
              <w:overflowPunct w:val="0"/>
              <w:spacing w:before="53" w:beforeAutospacing="0" w:after="0" w:afterAutospacing="0" w:line="288" w:lineRule="auto"/>
              <w:ind w:left="71" w:right="52"/>
              <w:jc w:val="center"/>
              <w:rPr>
                <w:rFonts w:hint="default" w:ascii="宋体" w:hAnsi="宋体" w:eastAsia="宋体"/>
                <w:szCs w:val="21"/>
                <w:highlight w:val="none"/>
              </w:rPr>
            </w:pPr>
            <w:r>
              <w:rPr>
                <w:rFonts w:hint="eastAsia" w:ascii="宋体" w:hAnsi="宋体" w:eastAsia="宋体"/>
                <w:szCs w:val="21"/>
                <w:highlight w:val="none"/>
              </w:rPr>
              <w:t>对采购文件、评标结果提出的异议，自收到异议之日起3日内作出答复；对开标提出的异议，应当在开标现场当场作出答复</w:t>
            </w:r>
          </w:p>
        </w:tc>
      </w:tr>
      <w:tr w14:paraId="6F0C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16F59C5B">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c>
          <w:tcPr>
            <w:tcW w:w="746" w:type="pct"/>
            <w:vAlign w:val="center"/>
          </w:tcPr>
          <w:p w14:paraId="39509DFB">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协助处理投诉或其他相关事务</w:t>
            </w:r>
          </w:p>
        </w:tc>
        <w:tc>
          <w:tcPr>
            <w:tcW w:w="1203" w:type="pct"/>
            <w:vAlign w:val="center"/>
          </w:tcPr>
          <w:p w14:paraId="2FF152CE">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配合监督部门依法组织开展的调查取证及相关处理工作</w:t>
            </w:r>
          </w:p>
        </w:tc>
        <w:tc>
          <w:tcPr>
            <w:tcW w:w="1082" w:type="pct"/>
            <w:vAlign w:val="center"/>
          </w:tcPr>
          <w:p w14:paraId="755DFEC0">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配合监督部门依法组织开展的调查取证及相关处理工作</w:t>
            </w:r>
          </w:p>
        </w:tc>
        <w:tc>
          <w:tcPr>
            <w:tcW w:w="1470" w:type="pct"/>
            <w:vAlign w:val="center"/>
          </w:tcPr>
          <w:p w14:paraId="0217C0A2">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r w14:paraId="27C2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97" w:type="pct"/>
            <w:vMerge w:val="continue"/>
            <w:vAlign w:val="center"/>
          </w:tcPr>
          <w:p w14:paraId="194B5A1C">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c>
          <w:tcPr>
            <w:tcW w:w="746" w:type="pct"/>
            <w:vAlign w:val="center"/>
          </w:tcPr>
          <w:p w14:paraId="1327E1F5">
            <w:pPr>
              <w:pStyle w:val="222"/>
              <w:keepNext w:val="0"/>
              <w:keepLines w:val="0"/>
              <w:suppressLineNumbers w:val="0"/>
              <w:kinsoku w:val="0"/>
              <w:overflowPunct w:val="0"/>
              <w:spacing w:before="0" w:beforeAutospacing="0" w:after="0" w:afterAutospacing="0" w:line="288" w:lineRule="auto"/>
              <w:ind w:left="71" w:right="0"/>
              <w:rPr>
                <w:rFonts w:hint="default" w:ascii="宋体" w:hAnsi="宋体" w:eastAsia="宋体"/>
                <w:szCs w:val="21"/>
                <w:highlight w:val="none"/>
              </w:rPr>
            </w:pPr>
            <w:r>
              <w:rPr>
                <w:rFonts w:hint="eastAsia" w:ascii="宋体" w:hAnsi="宋体" w:eastAsia="宋体"/>
                <w:szCs w:val="21"/>
                <w:highlight w:val="none"/>
              </w:rPr>
              <w:t>合同咨询及其他服务</w:t>
            </w:r>
          </w:p>
        </w:tc>
        <w:tc>
          <w:tcPr>
            <w:tcW w:w="1203" w:type="pct"/>
            <w:vAlign w:val="center"/>
          </w:tcPr>
          <w:p w14:paraId="39677FAB">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按采购代理合同约定执行</w:t>
            </w:r>
          </w:p>
        </w:tc>
        <w:tc>
          <w:tcPr>
            <w:tcW w:w="1082" w:type="pct"/>
            <w:vAlign w:val="center"/>
          </w:tcPr>
          <w:p w14:paraId="697FA0FB">
            <w:pPr>
              <w:pStyle w:val="222"/>
              <w:keepNext w:val="0"/>
              <w:keepLines w:val="0"/>
              <w:suppressLineNumbers w:val="0"/>
              <w:kinsoku w:val="0"/>
              <w:overflowPunct w:val="0"/>
              <w:spacing w:before="53" w:beforeAutospacing="0" w:after="0" w:afterAutospacing="0" w:line="288" w:lineRule="auto"/>
              <w:ind w:left="71" w:right="52"/>
              <w:rPr>
                <w:rFonts w:hint="default" w:ascii="宋体" w:hAnsi="宋体" w:eastAsia="宋体"/>
                <w:szCs w:val="21"/>
                <w:highlight w:val="none"/>
              </w:rPr>
            </w:pPr>
            <w:r>
              <w:rPr>
                <w:rFonts w:hint="eastAsia" w:ascii="宋体" w:hAnsi="宋体" w:eastAsia="宋体"/>
                <w:szCs w:val="21"/>
                <w:highlight w:val="none"/>
              </w:rPr>
              <w:t>按采购代理合同约定执行</w:t>
            </w:r>
          </w:p>
        </w:tc>
        <w:tc>
          <w:tcPr>
            <w:tcW w:w="1470" w:type="pct"/>
            <w:vAlign w:val="center"/>
          </w:tcPr>
          <w:p w14:paraId="503A7C93">
            <w:pPr>
              <w:keepNext w:val="0"/>
              <w:keepLines w:val="0"/>
              <w:suppressLineNumbers w:val="0"/>
              <w:spacing w:before="0" w:beforeAutospacing="0" w:after="0" w:afterAutospacing="0" w:line="288" w:lineRule="auto"/>
              <w:ind w:left="0" w:right="0"/>
              <w:rPr>
                <w:rFonts w:hint="default" w:ascii="宋体" w:hAnsi="宋体" w:eastAsia="宋体" w:cs="宋体"/>
                <w:szCs w:val="21"/>
                <w:highlight w:val="none"/>
              </w:rPr>
            </w:pPr>
          </w:p>
        </w:tc>
      </w:tr>
    </w:tbl>
    <w:p w14:paraId="6556B292">
      <w:pPr>
        <w:pStyle w:val="138"/>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注：1、采购人和采购代理机构双方职责的划分最终以采购代理合同约定为准。</w:t>
      </w:r>
    </w:p>
    <w:p w14:paraId="2F3FB649">
      <w:pPr>
        <w:pStyle w:val="138"/>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Cs w:val="21"/>
          <w:highlight w:val="none"/>
        </w:rPr>
        <w:t>2、本表规定的法定时限若有新的法规政策以新的时限为准，</w:t>
      </w:r>
      <w:r>
        <w:rPr>
          <w:rFonts w:hint="eastAsia" w:ascii="宋体" w:hAnsi="宋体" w:eastAsia="宋体" w:cs="宋体"/>
          <w:color w:val="auto"/>
          <w:szCs w:val="21"/>
          <w:highlight w:val="none"/>
          <w:lang w:eastAsia="zh-CN"/>
        </w:rPr>
        <w:t>如</w:t>
      </w:r>
      <w:r>
        <w:rPr>
          <w:rFonts w:hint="eastAsia" w:ascii="宋体" w:hAnsi="宋体" w:eastAsia="宋体" w:cs="宋体"/>
          <w:color w:val="auto"/>
          <w:szCs w:val="21"/>
          <w:highlight w:val="none"/>
          <w:lang w:val="en-US" w:eastAsia="zh-CN"/>
        </w:rPr>
        <w:t>行政部门</w:t>
      </w:r>
      <w:r>
        <w:rPr>
          <w:rFonts w:hint="eastAsia" w:ascii="宋体" w:hAnsi="宋体" w:eastAsia="宋体" w:cs="宋体"/>
          <w:color w:val="auto"/>
          <w:szCs w:val="21"/>
          <w:highlight w:val="none"/>
        </w:rPr>
        <w:t>若有新规定出台，按新规定执行</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非依法必须招标的项目</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人可根据实际需要进行调整，采购代理机构须无条件服从</w:t>
      </w:r>
      <w:r>
        <w:rPr>
          <w:rFonts w:hint="eastAsia" w:ascii="宋体" w:hAnsi="宋体" w:eastAsia="宋体" w:cs="宋体"/>
          <w:szCs w:val="21"/>
          <w:highlight w:val="none"/>
          <w:lang w:eastAsia="zh-CN"/>
        </w:rPr>
        <w:t>。</w:t>
      </w:r>
    </w:p>
    <w:p w14:paraId="47B476D2">
      <w:pPr>
        <w:pStyle w:val="138"/>
        <w:spacing w:line="360" w:lineRule="auto"/>
        <w:ind w:firstLineChars="20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、投标报价及招标代理服务费支付方式</w:t>
      </w:r>
    </w:p>
    <w:p w14:paraId="4B53D288">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4.1中标人应在开展代理服务前与采购人（或其下属企业）签订书面《采购代理合同》（即单项采购代理合同）或《招标代理合同》（即单项招标代理合同），</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以中标金额计算，依次按以下第（1）（2）款计算得出服务费基价，服务费基价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按第（3）款计算折扣得出代理服务费</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具体如下。</w:t>
      </w:r>
    </w:p>
    <w:p w14:paraId="4C409880">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lang w:val="zh-CN"/>
        </w:rPr>
        <w:t>参照</w:t>
      </w:r>
      <w:r>
        <w:rPr>
          <w:rFonts w:hint="eastAsia" w:ascii="宋体" w:hAnsi="宋体" w:eastAsia="宋体" w:cs="宋体"/>
          <w:b/>
          <w:color w:val="000000"/>
          <w:szCs w:val="21"/>
          <w:highlight w:val="none"/>
          <w:lang w:val="en-US" w:eastAsia="zh-CN"/>
        </w:rPr>
        <w:t>以下标准按差额定率累进法计算：</w:t>
      </w:r>
    </w:p>
    <w:tbl>
      <w:tblPr>
        <w:tblStyle w:val="44"/>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23F9E2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FFEEBB"/>
            <w:tcMar>
              <w:top w:w="0" w:type="dxa"/>
              <w:left w:w="0" w:type="dxa"/>
              <w:bottom w:w="0" w:type="dxa"/>
              <w:right w:w="0" w:type="dxa"/>
            </w:tcMar>
            <w:vAlign w:val="center"/>
          </w:tcPr>
          <w:p w14:paraId="549744C8">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55589346">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服务类型</w:t>
            </w:r>
          </w:p>
        </w:tc>
      </w:tr>
      <w:tr w14:paraId="768D4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5E9A7B87">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12F049FB">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费率</w:t>
            </w:r>
          </w:p>
        </w:tc>
      </w:tr>
      <w:tr w14:paraId="64033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24E8FA69">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FFEEBB"/>
            <w:tcMar>
              <w:top w:w="0" w:type="dxa"/>
              <w:left w:w="0" w:type="dxa"/>
              <w:bottom w:w="0" w:type="dxa"/>
              <w:right w:w="0" w:type="dxa"/>
            </w:tcMar>
            <w:vAlign w:val="center"/>
          </w:tcPr>
          <w:p w14:paraId="0CAAAD22">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4A2CB86B">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6B7AA7D0">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工程招标</w:t>
            </w:r>
          </w:p>
        </w:tc>
      </w:tr>
      <w:tr w14:paraId="6772B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01FDF6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3137403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4974620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753B44D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431B4C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146DCD7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74042E4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72F101C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251EAEA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34BE2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2802003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58F5CC9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1114C5D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6837961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081B72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09A173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3BCDABB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3F3C09D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296611B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20EC49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43C349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6291B0C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07437E1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65B2841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51075B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98E770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149D623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22D9D97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2471C89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3BF69A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6418E2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7CDCF32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75B5949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44D1912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5750E19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en-US" w:eastAsia="zh-CN"/>
        </w:rPr>
        <w:t>（2）</w:t>
      </w:r>
      <w:r>
        <w:rPr>
          <w:rFonts w:hint="default" w:ascii="宋体" w:hAnsi="宋体" w:eastAsia="宋体" w:cs="宋体"/>
          <w:b/>
          <w:color w:val="000000"/>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6C5A3FF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（3）服务费基价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得出代理服务费。</w:t>
      </w:r>
      <w:r>
        <w:rPr>
          <w:rFonts w:hint="eastAsia" w:ascii="宋体" w:hAnsi="宋体" w:eastAsia="宋体" w:cs="宋体"/>
          <w:b/>
          <w:color w:val="000000"/>
          <w:szCs w:val="21"/>
          <w:highlight w:val="none"/>
          <w:lang w:val="zh-CN" w:eastAsia="zh-CN"/>
        </w:rPr>
        <w:t>具体为：</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10万元（不含）以下的，按80%执行；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10万元（含）—20万元（不含）的，按70%执行；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20万元（含）—30万元（不含）的，按60%执行；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30万元（含）以上的，按50%计取，且单个项目最高代理费为30万元封顶</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同时，</w:t>
      </w:r>
      <w:r>
        <w:rPr>
          <w:rFonts w:hint="eastAsia" w:ascii="宋体" w:hAnsi="宋体" w:eastAsia="宋体" w:cs="宋体"/>
          <w:b/>
          <w:color w:val="000000"/>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
          <w:color w:val="000000"/>
          <w:szCs w:val="21"/>
          <w:highlight w:val="none"/>
          <w:lang w:val="en-US" w:eastAsia="zh-CN"/>
        </w:rPr>
        <w:t>采购人</w:t>
      </w:r>
      <w:r>
        <w:rPr>
          <w:rFonts w:hint="eastAsia" w:ascii="宋体" w:hAnsi="宋体" w:eastAsia="宋体" w:cs="宋体"/>
          <w:b/>
          <w:color w:val="000000"/>
          <w:sz w:val="21"/>
          <w:szCs w:val="21"/>
          <w:highlight w:val="none"/>
          <w:lang w:val="en-US" w:eastAsia="zh-CN"/>
        </w:rPr>
        <w:t>或其</w:t>
      </w:r>
      <w:r>
        <w:rPr>
          <w:rFonts w:hint="eastAsia" w:ascii="宋体" w:hAnsi="宋体" w:eastAsia="宋体" w:cs="宋体"/>
          <w:b/>
          <w:color w:val="000000"/>
          <w:sz w:val="21"/>
          <w:szCs w:val="21"/>
          <w:highlight w:val="none"/>
        </w:rPr>
        <w:t>下属企业</w:t>
      </w:r>
      <w:r>
        <w:rPr>
          <w:rFonts w:hint="eastAsia" w:ascii="宋体" w:hAnsi="宋体" w:eastAsia="宋体" w:cs="宋体"/>
          <w:b/>
          <w:color w:val="000000"/>
          <w:szCs w:val="21"/>
          <w:highlight w:val="none"/>
          <w:lang w:val="zh-CN" w:eastAsia="zh-CN"/>
        </w:rPr>
        <w:t>与</w:t>
      </w:r>
      <w:r>
        <w:rPr>
          <w:rFonts w:hint="eastAsia" w:ascii="宋体" w:hAnsi="宋体" w:eastAsia="宋体" w:cs="宋体"/>
          <w:b/>
          <w:color w:val="000000"/>
          <w:szCs w:val="21"/>
          <w:highlight w:val="none"/>
          <w:lang w:val="en-US" w:eastAsia="zh-CN"/>
        </w:rPr>
        <w:t>代理机构</w:t>
      </w:r>
      <w:r>
        <w:rPr>
          <w:rFonts w:hint="eastAsia" w:ascii="宋体" w:hAnsi="宋体" w:eastAsia="宋体" w:cs="宋体"/>
          <w:b/>
          <w:color w:val="000000"/>
          <w:szCs w:val="21"/>
          <w:highlight w:val="none"/>
          <w:lang w:val="zh-CN" w:eastAsia="zh-CN"/>
        </w:rPr>
        <w:t>另行商定代理费用。</w:t>
      </w:r>
    </w:p>
    <w:p w14:paraId="27AB5D17">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代理服务费的具体付款方式按照单项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代理合同约定执行。</w:t>
      </w:r>
    </w:p>
    <w:p w14:paraId="5E836F83">
      <w:pPr>
        <w:pStyle w:val="138"/>
        <w:spacing w:line="360" w:lineRule="auto"/>
        <w:ind w:firstLineChars="20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、服务管理</w:t>
      </w:r>
    </w:p>
    <w:p w14:paraId="7DC2A885">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有权对中标人</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代理过程及行为进行规范、管理、考核评价及监督，负责项目的抽签轮派，</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任务通知的发出；由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及其下属企业委托中标人开展具体单项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代理业务，跟进</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工作的进展和协调处理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工作的相关事项。</w:t>
      </w:r>
    </w:p>
    <w:p w14:paraId="657D5519">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有权根据考核评价结果增加或暂停分配代理工作或追究违约责任或取消中标人协议服务资格。</w:t>
      </w:r>
    </w:p>
    <w:p w14:paraId="15CED74E">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有权根据需求情况，适时补充其他协议服务单位。</w:t>
      </w:r>
    </w:p>
    <w:p w14:paraId="102E31CA">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 采购人有权根据实际情况，单方面取消采购代理库或单一代理机构，且不作任何补偿。</w:t>
      </w:r>
    </w:p>
    <w:p w14:paraId="078BFF0A">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有权通过签订补充协议的形式对合同条款进行调整，包括但不限于：服务要求、项目分配及考核方式、违约处置等。若中标人不能接受当中的条款，有权放弃协议服务资格，向</w:t>
      </w:r>
      <w:r>
        <w:rPr>
          <w:rFonts w:hint="eastAsia" w:ascii="宋体" w:hAnsi="宋体" w:eastAsia="宋体" w:cs="宋体"/>
          <w:color w:val="auto"/>
          <w:sz w:val="21"/>
          <w:szCs w:val="21"/>
          <w:highlight w:val="none"/>
          <w:lang w:eastAsia="zh-CN"/>
        </w:rPr>
        <w:t>招标（采购）人</w:t>
      </w:r>
      <w:r>
        <w:rPr>
          <w:rFonts w:hint="eastAsia" w:ascii="宋体" w:hAnsi="宋体" w:eastAsia="宋体" w:cs="宋体"/>
          <w:color w:val="auto"/>
          <w:sz w:val="21"/>
          <w:szCs w:val="21"/>
          <w:highlight w:val="none"/>
        </w:rPr>
        <w:t>提出终止合同并申请退还履约担保。</w:t>
      </w:r>
    </w:p>
    <w:p w14:paraId="28572218">
      <w:pPr>
        <w:pStyle w:val="138"/>
        <w:spacing w:line="360" w:lineRule="auto"/>
        <w:ind w:firstLineChars="20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rPr>
        <w:t>、代理机构（中标人）服务要求</w:t>
      </w:r>
    </w:p>
    <w:p w14:paraId="15AC94C2">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 中标人应在开展</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代理服务前与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）签订书面《</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代理合同》（即单项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代理合同），并在其资格许可、</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）委托范围、代理合同约定的职责和权限内办理相关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事宜，提供相关代理服务。中标人不得无权代理、越权代理，也不得明知委托事项违法而进行代理。</w:t>
      </w:r>
    </w:p>
    <w:p w14:paraId="7074F923">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中标人应严格遵守相关法律、法规和政策，执行国家和行业的标准和规范，维护国家、社会公共利益和服务主体的合法权益。中标人在从事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代理服务过程中，应始终遵循公开、公平、公正和诚实信用的原则，若发现相关当事人有违反国家有关法律法规的行为，应及时向本项目招标监督部门报告。</w:t>
      </w:r>
    </w:p>
    <w:p w14:paraId="5EF02018">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 中标人应在依法维护社会公众利益的基础上，对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）负责，勤勉认真、尽职尽责地履行全部代理服务工作和承诺的义务，并恪守职业道德、廉洁自律。</w:t>
      </w:r>
    </w:p>
    <w:p w14:paraId="7F2A43E8">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.4 中标人在开展代理服务过程中，应向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）及时告知</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代理工作实施情况的相关信息，除非得到事先授权，否则在</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中形成的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工作计划、</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及其澄清和修改、中标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通知书等主要文件，以及须作出的可能影响</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结果的各类重要决策，均应按照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代理合同约定提前报告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）审核确认。</w:t>
      </w:r>
    </w:p>
    <w:p w14:paraId="0A629DC8">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.5 中标人应保守在代理服务过程中知悉的国家秘密、商业和技术秘密， 以及其他依据法律法规要求或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代理合同约定应当保密的信息。</w:t>
      </w:r>
    </w:p>
    <w:p w14:paraId="55A5B587">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.6 中标人应对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）委托的项目内容予以严格保密。在代理服务过程中，任何所涉及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）商业或技术秘密的文件，未经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）书面同意，中标人不能泄露给任何第三方；在完成代理项目后，未经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）书面同意，中标人不得留存属于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）商业或技术秘密等相关文件。</w:t>
      </w:r>
    </w:p>
    <w:p w14:paraId="01244861">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.7 中标人不得在所代理的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项目中投标或者代理投标，也不得为所代理的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项目的投标人（供应商）提供咨询。接受委托编制标底或最高投标限价的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代理机构不得参加受托编制标底或最高投标限价项目的投标，也不得为该项目的投标人（供应商）编制投标文件或者提供咨询。</w:t>
      </w:r>
    </w:p>
    <w:p w14:paraId="4351E570">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.8 中标人在单项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代理合同签署之日起7个工作日内完成</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初稿的编制，并保证</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的合法合规性、完整性、准确性。</w:t>
      </w:r>
    </w:p>
    <w:p w14:paraId="46C427E3">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.9 中标人应对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提供的用户需求书、招标控制价、图纸、清单等基础资料进行复核并提出合理化建议，并确保编制的</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提供的基础资料相匹配。</w:t>
      </w:r>
    </w:p>
    <w:p w14:paraId="24FB1788">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.10 中标人应用专业技术与技能为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）提供完成</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工作相关的咨询服务，向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）宣传有关招标采购的法律、行政法规和规章，解释合理的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程序。</w:t>
      </w:r>
    </w:p>
    <w:p w14:paraId="30E52B31">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.11 中标人在具体代理项目中应遵守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）相关招标采购制度。同时，中标人应严格执行《中华人民共和国招标投标法》及其实施条例等法律法规的相关规定，保证</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程序、结果合法有效。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过程中任何因违反法律、法规、规章及</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投标相关政策的责任，全部由中标人负责（非中标人责任除外），并由中标人承担因此而产生的一切经济损失和赔偿责任。</w:t>
      </w:r>
    </w:p>
    <w:p w14:paraId="2BAE3CD0">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.12中标人应在委托授权范围内组织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工作，为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）提供优质的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）书面同意，不得将本合同所确定的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代理服务转让至任何第三方，不得擅自就</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答疑、修改澄清及中标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结果等实质性内容对外作任何形式承诺或确定。中标人工作人员如与所代理的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项目潜在投标人（供应商）有任何利益关系应主动提出回避。</w:t>
      </w:r>
    </w:p>
    <w:p w14:paraId="12A77F4A">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.13 中标人须指定一名专人作为与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其下属企业</w:t>
      </w:r>
      <w:r>
        <w:rPr>
          <w:rFonts w:hint="eastAsia" w:ascii="宋体" w:hAnsi="宋体" w:eastAsia="宋体" w:cs="宋体"/>
          <w:color w:val="auto"/>
          <w:sz w:val="21"/>
          <w:szCs w:val="21"/>
          <w:highlight w:val="none"/>
        </w:rPr>
        <w:t>）业务沟通的联系人，该联系人必须是中标人的正式员工。</w:t>
      </w:r>
    </w:p>
    <w:p w14:paraId="54ED0E0B">
      <w:pPr>
        <w:pStyle w:val="138"/>
        <w:spacing w:line="360" w:lineRule="auto"/>
        <w:ind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.14中标人在协议服务期限内配置不少于</w:t>
      </w:r>
      <w:r>
        <w:rPr>
          <w:rFonts w:hint="eastAsia" w:ascii="宋体" w:hAnsi="宋体" w:eastAsia="宋体" w:cs="宋体"/>
          <w:highlight w:val="none"/>
          <w:lang w:val="en-US" w:eastAsia="zh-CN"/>
        </w:rPr>
        <w:t>5</w:t>
      </w:r>
      <w:r>
        <w:rPr>
          <w:rFonts w:hint="eastAsia" w:ascii="宋体" w:hAnsi="宋体" w:eastAsia="宋体" w:cs="宋体"/>
          <w:color w:val="auto"/>
          <w:sz w:val="21"/>
          <w:szCs w:val="21"/>
          <w:highlight w:val="none"/>
        </w:rPr>
        <w:t>名熟悉</w:t>
      </w:r>
      <w:r>
        <w:rPr>
          <w:rFonts w:hint="eastAsia" w:ascii="宋体" w:hAnsi="宋体" w:eastAsia="宋体" w:cs="宋体"/>
          <w:color w:val="auto"/>
          <w:sz w:val="21"/>
          <w:szCs w:val="21"/>
          <w:highlight w:val="none"/>
          <w:lang w:val="en-US" w:eastAsia="zh-CN"/>
        </w:rPr>
        <w:t>招标采购</w:t>
      </w:r>
      <w:r>
        <w:rPr>
          <w:rFonts w:hint="eastAsia" w:ascii="宋体" w:hAnsi="宋体" w:eastAsia="宋体" w:cs="宋体"/>
          <w:color w:val="auto"/>
          <w:sz w:val="21"/>
          <w:szCs w:val="21"/>
          <w:highlight w:val="none"/>
        </w:rPr>
        <w:t>法律法规、具备编制</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和组织</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等相应能力的专职从业人员。特定</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项目所指派的项目负责人（可兼任）、</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编制人、复核人应具有</w:t>
      </w:r>
      <w:r>
        <w:rPr>
          <w:rFonts w:hint="eastAsia" w:ascii="宋体" w:hAnsi="宋体" w:eastAsia="宋体" w:cs="宋体"/>
          <w:szCs w:val="21"/>
          <w:highlight w:val="none"/>
        </w:rPr>
        <w:t>中级（或以上）职称人员</w:t>
      </w:r>
      <w:r>
        <w:rPr>
          <w:rFonts w:hint="eastAsia" w:ascii="宋体" w:hAnsi="宋体" w:eastAsia="宋体" w:cs="宋体"/>
          <w:color w:val="auto"/>
          <w:sz w:val="21"/>
          <w:szCs w:val="21"/>
          <w:highlight w:val="none"/>
        </w:rPr>
        <w:t>担任；其中项目负责人可兼任编制人或复核人，</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编制人、复核人不得为同一人。特定</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项目所指派的项目负责人（可兼任）、</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编制人、复核人任意一人须参与该项目的开标、评标环节。同时，中标人不得安排本机构以外的人员协助开展相关工作。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行政监督部门如有其他或更高要求的，按其要求执行</w:t>
      </w:r>
      <w:r>
        <w:rPr>
          <w:rFonts w:hint="eastAsia" w:ascii="宋体" w:hAnsi="宋体" w:eastAsia="宋体" w:cs="宋体"/>
          <w:color w:val="auto"/>
          <w:sz w:val="21"/>
          <w:szCs w:val="21"/>
          <w:highlight w:val="none"/>
          <w:lang w:eastAsia="zh-CN"/>
        </w:rPr>
        <w:t>）</w:t>
      </w:r>
    </w:p>
    <w:p w14:paraId="2F4728B8">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.15中标人应按投标文件中承诺投入的人员为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下属企业）提供服务，且投入人员在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代理协议服务期限内要求驻莞工作，未经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书面同意不得任意更换或减少投入人员，否则该项更换无效。中标人如需更换人员，应提前7日以书面形式向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申请，更换人员的资历条件应不低于投标文件中承诺的同等条件，并应继续承担合同规定的责任和履行相应的义务。</w:t>
      </w:r>
    </w:p>
    <w:p w14:paraId="31A267CD">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有权根据中标人的服务情况，提出投入人员的更换或补充。中标人须在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通知后7日内完成人员的调整，调整的人员应能胜任对应的岗位工作。调整人员不能胜任工作的，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有权再次要求调整，直至调整满足</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要求为止。</w:t>
      </w:r>
    </w:p>
    <w:p w14:paraId="17DE8CD3">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.17中标人在招标工作开展过程中，</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要求驻场的，中标人应无条件配合。</w:t>
      </w:r>
    </w:p>
    <w:p w14:paraId="24BC1552">
      <w:pPr>
        <w:pStyle w:val="138"/>
        <w:spacing w:line="360" w:lineRule="auto"/>
        <w:ind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.18★投标人须承诺中标后在东莞有固定的营业场所和开展代理业务所需设施及办公条件，包括但不限于开、评标场所，现场录像、录音、投影设备等充足的办公设施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能满足《</w:t>
      </w:r>
      <w:r>
        <w:rPr>
          <w:rFonts w:hint="eastAsia" w:ascii="宋体" w:hAnsi="宋体" w:eastAsia="宋体" w:cs="宋体"/>
          <w:color w:val="auto"/>
          <w:szCs w:val="21"/>
          <w:highlight w:val="none"/>
        </w:rPr>
        <w:t>电子招标投标办法</w:t>
      </w:r>
      <w:r>
        <w:rPr>
          <w:rFonts w:hint="eastAsia" w:ascii="宋体" w:hAnsi="宋体" w:eastAsia="宋体" w:cs="宋体"/>
          <w:b w:val="0"/>
          <w:bCs w:val="0"/>
          <w:color w:val="auto"/>
          <w:sz w:val="21"/>
          <w:szCs w:val="21"/>
          <w:highlight w:val="none"/>
          <w:lang w:val="en-US" w:eastAsia="zh-CN"/>
        </w:rPr>
        <w:t>》对于</w:t>
      </w:r>
      <w:r>
        <w:rPr>
          <w:rFonts w:hint="eastAsia" w:ascii="宋体" w:hAnsi="宋体" w:eastAsia="宋体" w:cs="宋体"/>
          <w:color w:val="auto"/>
          <w:szCs w:val="21"/>
          <w:highlight w:val="none"/>
        </w:rPr>
        <w:t>电子招标投标活动</w:t>
      </w:r>
      <w:r>
        <w:rPr>
          <w:rFonts w:hint="eastAsia" w:ascii="宋体" w:hAnsi="宋体" w:eastAsia="宋体" w:cs="宋体"/>
          <w:color w:val="auto"/>
          <w:szCs w:val="21"/>
          <w:highlight w:val="none"/>
          <w:lang w:val="en-US" w:eastAsia="zh-CN"/>
        </w:rPr>
        <w:t>的设施要求</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有权在中标一个月内核查中标人办公室场所，若与承诺不一致的，</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有权暂停其承接项目的资格，并限期内整改，在限期内未按</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规定整改，</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有权取消其中标资格，并根据评标委员会推荐顺序确定其他中标人（须提供承诺函加盖</w:t>
      </w:r>
      <w:r>
        <w:rPr>
          <w:rFonts w:hint="eastAsia" w:ascii="宋体" w:hAnsi="宋体" w:eastAsia="宋体" w:cs="宋体"/>
          <w:b w:val="0"/>
          <w:bCs w:val="0"/>
          <w:color w:val="auto"/>
          <w:sz w:val="21"/>
          <w:szCs w:val="21"/>
          <w:highlight w:val="none"/>
          <w:lang w:eastAsia="zh-CN"/>
        </w:rPr>
        <w:t>投标人公章</w:t>
      </w:r>
      <w:r>
        <w:rPr>
          <w:rFonts w:hint="eastAsia" w:ascii="宋体" w:hAnsi="宋体" w:eastAsia="宋体" w:cs="宋体"/>
          <w:b w:val="0"/>
          <w:bCs w:val="0"/>
          <w:color w:val="auto"/>
          <w:sz w:val="21"/>
          <w:szCs w:val="21"/>
          <w:highlight w:val="none"/>
        </w:rPr>
        <w:t>）。</w:t>
      </w:r>
    </w:p>
    <w:p w14:paraId="2FD95375">
      <w:pPr>
        <w:pStyle w:val="138"/>
        <w:spacing w:line="360" w:lineRule="auto"/>
        <w:ind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6.19</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投标人</w:t>
      </w:r>
      <w:r>
        <w:rPr>
          <w:rFonts w:hint="eastAsia" w:ascii="宋体" w:hAnsi="宋体" w:eastAsia="宋体" w:cs="宋体"/>
          <w:b w:val="0"/>
          <w:bCs w:val="0"/>
          <w:color w:val="auto"/>
          <w:sz w:val="21"/>
          <w:szCs w:val="21"/>
          <w:highlight w:val="none"/>
          <w:lang w:val="en-US" w:eastAsia="zh-CN"/>
        </w:rPr>
        <w:t>参加采购代理库的投标，不得处于被限制使用东莞市公共资源交易系统办理招标代理业务的期间</w:t>
      </w:r>
      <w:r>
        <w:rPr>
          <w:rFonts w:hint="eastAsia" w:ascii="宋体" w:hAnsi="宋体" w:eastAsia="宋体" w:cs="宋体"/>
          <w:b w:val="0"/>
          <w:bCs w:val="0"/>
          <w:color w:val="auto"/>
          <w:sz w:val="21"/>
          <w:szCs w:val="21"/>
          <w:highlight w:val="none"/>
        </w:rPr>
        <w:t>（须提供承诺函加盖</w:t>
      </w:r>
      <w:r>
        <w:rPr>
          <w:rFonts w:hint="eastAsia" w:ascii="宋体" w:hAnsi="宋体" w:eastAsia="宋体" w:cs="宋体"/>
          <w:b w:val="0"/>
          <w:bCs w:val="0"/>
          <w:color w:val="auto"/>
          <w:sz w:val="21"/>
          <w:szCs w:val="21"/>
          <w:highlight w:val="none"/>
          <w:lang w:eastAsia="zh-CN"/>
        </w:rPr>
        <w:t>投标人公章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p>
    <w:p w14:paraId="03F81DBB">
      <w:pPr>
        <w:pStyle w:val="138"/>
        <w:spacing w:line="360" w:lineRule="auto"/>
        <w:ind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rPr>
        <w:t>、</w:t>
      </w:r>
      <w:r>
        <w:rPr>
          <w:rFonts w:hint="eastAsia" w:ascii="宋体" w:hAnsi="宋体" w:eastAsia="宋体" w:cs="宋体"/>
          <w:b w:val="0"/>
          <w:color w:val="auto"/>
          <w:sz w:val="21"/>
          <w:szCs w:val="21"/>
          <w:highlight w:val="none"/>
        </w:rPr>
        <w:t>项目分配方式及代理考核方式</w:t>
      </w:r>
    </w:p>
    <w:p w14:paraId="01C1123C">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在协议服务期限内，</w:t>
      </w:r>
      <w:bookmarkStart w:id="398" w:name="_Hlk86009386"/>
      <w:r>
        <w:rPr>
          <w:rFonts w:hint="eastAsia" w:ascii="宋体" w:hAnsi="宋体" w:eastAsia="宋体" w:cs="宋体"/>
          <w:color w:val="auto"/>
          <w:sz w:val="21"/>
          <w:szCs w:val="21"/>
          <w:highlight w:val="none"/>
        </w:rPr>
        <w:t>通过随机抽取的方式决定单项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代理业务的服务单位。每轮次抽取由当期具备参与资格的协议服务单位一同参与。同一轮次抽取周期内，已被抽取的协议服务单位将不再参与后续单项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代理业务的抽取，直到本周期结束开始下一轮次的抽取。</w:t>
      </w:r>
    </w:p>
    <w:p w14:paraId="25B6C79F">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.2 </w:t>
      </w:r>
      <w:bookmarkEnd w:id="398"/>
      <w:r>
        <w:rPr>
          <w:rFonts w:hint="eastAsia" w:ascii="宋体" w:hAnsi="宋体" w:eastAsia="宋体" w:cs="宋体"/>
          <w:color w:val="auto"/>
          <w:sz w:val="21"/>
          <w:szCs w:val="21"/>
          <w:highlight w:val="none"/>
        </w:rPr>
        <w:t>对于有特殊、复杂要求的项目，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有权在库内择优选择协议服务单位。</w:t>
      </w:r>
    </w:p>
    <w:p w14:paraId="6874D252">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有权根据需求情况，委托库外第三方服务单位承接业务。</w:t>
      </w:r>
    </w:p>
    <w:p w14:paraId="57ABDE3C">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协议服务期限内，各协议服务单位每完成一个</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代理项目后，由该项目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东莞市水务环境投资控股集团有限公司</w:t>
      </w:r>
      <w:r>
        <w:rPr>
          <w:rFonts w:hint="eastAsia" w:ascii="宋体" w:hAnsi="宋体" w:eastAsia="宋体" w:cs="宋体"/>
          <w:color w:val="auto"/>
          <w:sz w:val="21"/>
          <w:szCs w:val="21"/>
          <w:highlight w:val="none"/>
        </w:rPr>
        <w:t>或各下属企业）将对其进行单项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代理项目质量考核评价（详见附件《单项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代理项目质量考核表》，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东莞市水务环境投资控股集团有限公司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每季度对协议服务单位进行服务质量考核评价（详见附件《</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代理机构服务质量考核表》）。</w:t>
      </w:r>
    </w:p>
    <w:p w14:paraId="05F6DE2C">
      <w:pPr>
        <w:pStyle w:val="138"/>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中标人在协议服务期限内，无条件接受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根据考核结果制定的抽派规则（包括当不限于增加、减少、暂停、停止抽派代理业务等）。</w:t>
      </w:r>
      <w:r>
        <w:rPr>
          <w:rFonts w:hint="eastAsia" w:ascii="宋体" w:hAnsi="宋体" w:eastAsia="宋体" w:cs="宋体"/>
          <w:color w:val="auto"/>
          <w:sz w:val="21"/>
          <w:szCs w:val="21"/>
          <w:highlight w:val="none"/>
        </w:rPr>
        <w:t>每季度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三个月）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负责统计各协议服务单位的综合得分结果并进行排名。综合得分分为项目质量考核（详见附件《单项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代理项目质量考核表》）和服务质量考核（详见附件《</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代理机构服务质量考核表》）两个部分，</w:t>
      </w:r>
      <w:r>
        <w:rPr>
          <w:rFonts w:hint="eastAsia" w:ascii="宋体" w:hAnsi="宋体" w:eastAsia="宋体" w:cs="宋体"/>
          <w:color w:val="auto"/>
          <w:sz w:val="21"/>
          <w:szCs w:val="21"/>
          <w:highlight w:val="none"/>
          <w:lang w:val="en-US" w:eastAsia="zh-CN"/>
        </w:rPr>
        <w:t>各占</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%。按“优/良/中/合格/不合格”五个评价等级统计分值，分值按从高到低的原则进行排名，得分相同的排名并列。</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项目质量考核</w:t>
      </w:r>
      <w:r>
        <w:rPr>
          <w:rFonts w:hint="eastAsia" w:ascii="宋体" w:hAnsi="宋体" w:eastAsia="宋体" w:cs="宋体"/>
          <w:color w:val="auto"/>
          <w:sz w:val="21"/>
          <w:szCs w:val="21"/>
          <w:highlight w:val="none"/>
          <w:lang w:val="en-US" w:eastAsia="zh-CN"/>
        </w:rPr>
        <w:t>按项目进行考核评价，</w:t>
      </w:r>
      <w:r>
        <w:rPr>
          <w:rFonts w:hint="eastAsia" w:ascii="宋体" w:hAnsi="宋体" w:eastAsia="宋体" w:cs="宋体"/>
          <w:color w:val="auto"/>
          <w:sz w:val="21"/>
          <w:szCs w:val="21"/>
          <w:highlight w:val="none"/>
        </w:rPr>
        <w:t>服务质量考核</w:t>
      </w:r>
      <w:r>
        <w:rPr>
          <w:rFonts w:hint="eastAsia" w:ascii="宋体" w:hAnsi="宋体" w:eastAsia="宋体" w:cs="宋体"/>
          <w:color w:val="auto"/>
          <w:sz w:val="21"/>
          <w:szCs w:val="21"/>
          <w:highlight w:val="none"/>
          <w:lang w:val="en-US" w:eastAsia="zh-CN"/>
        </w:rPr>
        <w:t>按季度进行一次评价。当期有多个</w:t>
      </w:r>
      <w:r>
        <w:rPr>
          <w:rFonts w:hint="eastAsia" w:ascii="宋体" w:hAnsi="宋体" w:eastAsia="宋体" w:cs="宋体"/>
          <w:color w:val="auto"/>
          <w:sz w:val="21"/>
          <w:szCs w:val="21"/>
          <w:highlight w:val="none"/>
        </w:rPr>
        <w:t>项目质量考核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6"/>
          <w:sz w:val="21"/>
          <w:szCs w:val="21"/>
          <w:highlight w:val="none"/>
          <w:lang w:val="en-US" w:eastAsia="zh-CN"/>
        </w:rPr>
        <w:t>以算术平均值确定</w:t>
      </w:r>
      <w:r>
        <w:rPr>
          <w:rFonts w:hint="eastAsia" w:ascii="宋体" w:hAnsi="宋体" w:eastAsia="宋体" w:cs="宋体"/>
          <w:color w:val="auto"/>
          <w:sz w:val="21"/>
          <w:szCs w:val="21"/>
          <w:highlight w:val="none"/>
          <w:lang w:val="en-US" w:eastAsia="zh-CN"/>
        </w:rPr>
        <w:t>当期</w:t>
      </w:r>
      <w:r>
        <w:rPr>
          <w:rFonts w:hint="eastAsia" w:ascii="宋体" w:hAnsi="宋体" w:eastAsia="宋体" w:cs="宋体"/>
          <w:color w:val="auto"/>
          <w:sz w:val="21"/>
          <w:szCs w:val="21"/>
          <w:highlight w:val="none"/>
        </w:rPr>
        <w:t>项目质量考核</w:t>
      </w:r>
      <w:r>
        <w:rPr>
          <w:rFonts w:hint="eastAsia" w:ascii="宋体" w:hAnsi="宋体" w:eastAsia="宋体" w:cs="宋体"/>
          <w:color w:val="auto"/>
          <w:sz w:val="21"/>
          <w:szCs w:val="21"/>
          <w:highlight w:val="none"/>
          <w:lang w:val="en-US" w:eastAsia="zh-CN"/>
        </w:rPr>
        <w:t>汇总得分；当期没有</w:t>
      </w:r>
      <w:r>
        <w:rPr>
          <w:rFonts w:hint="eastAsia" w:ascii="宋体" w:hAnsi="宋体" w:eastAsia="宋体" w:cs="宋体"/>
          <w:color w:val="auto"/>
          <w:sz w:val="21"/>
          <w:szCs w:val="21"/>
          <w:highlight w:val="none"/>
        </w:rPr>
        <w:t>项目质量考核</w:t>
      </w:r>
      <w:r>
        <w:rPr>
          <w:rFonts w:hint="eastAsia" w:ascii="宋体" w:hAnsi="宋体" w:eastAsia="宋体" w:cs="宋体"/>
          <w:color w:val="auto"/>
          <w:sz w:val="21"/>
          <w:szCs w:val="21"/>
          <w:highlight w:val="none"/>
          <w:lang w:val="en-US" w:eastAsia="zh-CN"/>
        </w:rPr>
        <w:t>的，以服务质量考核得分作为当期最终考核评价得分。</w:t>
      </w:r>
    </w:p>
    <w:p w14:paraId="4F843F05">
      <w:pPr>
        <w:pStyle w:val="138"/>
        <w:spacing w:line="360" w:lineRule="auto"/>
        <w:ind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被举报确认违法违纪、违反廉洁从业的，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有权单方终止其协议服务资格并解除服务合同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没收履约保证金。</w:t>
      </w:r>
    </w:p>
    <w:p w14:paraId="1F44863B">
      <w:pPr>
        <w:rPr>
          <w:rFonts w:hint="default" w:ascii="宋体" w:hAnsi="宋体" w:eastAsia="宋体" w:cs="宋体"/>
          <w:color w:val="auto"/>
          <w:sz w:val="21"/>
          <w:szCs w:val="21"/>
          <w:highlight w:val="none"/>
          <w:lang w:val="zh-CN" w:eastAsia="zh-CN"/>
        </w:rPr>
      </w:pPr>
      <w:r>
        <w:rPr>
          <w:rFonts w:hint="default" w:ascii="宋体" w:hAnsi="宋体" w:eastAsia="宋体" w:cs="宋体"/>
          <w:color w:val="auto"/>
          <w:sz w:val="21"/>
          <w:szCs w:val="21"/>
          <w:highlight w:val="none"/>
          <w:lang w:val="zh-CN" w:eastAsia="zh-CN"/>
        </w:rPr>
        <w:br w:type="page"/>
      </w:r>
    </w:p>
    <w:p w14:paraId="1F94744A">
      <w:pPr>
        <w:pStyle w:val="138"/>
        <w:spacing w:line="360" w:lineRule="auto"/>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w:t>
      </w:r>
    </w:p>
    <w:p w14:paraId="77BFCCDC">
      <w:pPr>
        <w:spacing w:after="160" w:line="360" w:lineRule="auto"/>
        <w:jc w:val="center"/>
        <w:rPr>
          <w:rFonts w:hint="eastAsia" w:ascii="宋体" w:hAnsi="宋体" w:eastAsia="宋体" w:cs="宋体"/>
          <w:b/>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单项</w:t>
      </w:r>
      <w:r>
        <w:rPr>
          <w:rFonts w:hint="eastAsia" w:ascii="宋体" w:hAnsi="宋体" w:eastAsia="宋体" w:cs="宋体"/>
          <w:b/>
          <w:sz w:val="21"/>
          <w:szCs w:val="21"/>
          <w:highlight w:val="none"/>
        </w:rPr>
        <w:t>采购代理项目质量考核表</w:t>
      </w:r>
    </w:p>
    <w:p w14:paraId="38554B6D">
      <w:pPr>
        <w:spacing w:after="160"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采购代理机构：</w:t>
      </w:r>
    </w:p>
    <w:p w14:paraId="7B7FCD4F">
      <w:pPr>
        <w:spacing w:after="160"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项目名称：</w:t>
      </w:r>
    </w:p>
    <w:p w14:paraId="6C918C1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考核单位：            考核人：      ；     考核时间：   年   月   日</w:t>
      </w:r>
    </w:p>
    <w:tbl>
      <w:tblPr>
        <w:tblStyle w:val="44"/>
        <w:tblW w:w="4998" w:type="pct"/>
        <w:jc w:val="center"/>
        <w:tblLayout w:type="autofit"/>
        <w:tblCellMar>
          <w:top w:w="0" w:type="dxa"/>
          <w:left w:w="108" w:type="dxa"/>
          <w:bottom w:w="0" w:type="dxa"/>
          <w:right w:w="108" w:type="dxa"/>
        </w:tblCellMar>
      </w:tblPr>
      <w:tblGrid>
        <w:gridCol w:w="638"/>
        <w:gridCol w:w="1265"/>
        <w:gridCol w:w="4087"/>
        <w:gridCol w:w="1454"/>
        <w:gridCol w:w="1460"/>
        <w:gridCol w:w="1462"/>
      </w:tblGrid>
      <w:tr w14:paraId="44024DFA">
        <w:tblPrEx>
          <w:tblCellMar>
            <w:top w:w="0" w:type="dxa"/>
            <w:left w:w="108" w:type="dxa"/>
            <w:bottom w:w="0" w:type="dxa"/>
            <w:right w:w="108" w:type="dxa"/>
          </w:tblCellMar>
        </w:tblPrEx>
        <w:trPr>
          <w:trHeight w:val="23"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0F0F7E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610" w:type="pct"/>
            <w:tcBorders>
              <w:top w:val="single" w:color="auto" w:sz="4" w:space="0"/>
              <w:left w:val="nil"/>
              <w:bottom w:val="single" w:color="auto" w:sz="4" w:space="0"/>
              <w:right w:val="single" w:color="auto" w:sz="4" w:space="0"/>
            </w:tcBorders>
            <w:vAlign w:val="center"/>
          </w:tcPr>
          <w:p w14:paraId="400836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考核内容</w:t>
            </w:r>
          </w:p>
        </w:tc>
        <w:tc>
          <w:tcPr>
            <w:tcW w:w="1971" w:type="pct"/>
            <w:tcBorders>
              <w:top w:val="single" w:color="auto" w:sz="4" w:space="0"/>
              <w:left w:val="nil"/>
              <w:bottom w:val="single" w:color="auto" w:sz="4" w:space="0"/>
              <w:right w:val="single" w:color="auto" w:sz="4" w:space="0"/>
            </w:tcBorders>
            <w:vAlign w:val="center"/>
          </w:tcPr>
          <w:p w14:paraId="324FC39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考核标准</w:t>
            </w:r>
          </w:p>
        </w:tc>
        <w:tc>
          <w:tcPr>
            <w:tcW w:w="701" w:type="pct"/>
            <w:tcBorders>
              <w:top w:val="single" w:color="auto" w:sz="4" w:space="0"/>
              <w:left w:val="nil"/>
              <w:bottom w:val="single" w:color="auto" w:sz="4" w:space="0"/>
              <w:right w:val="single" w:color="auto" w:sz="4" w:space="0"/>
            </w:tcBorders>
            <w:vAlign w:val="center"/>
          </w:tcPr>
          <w:p w14:paraId="23C7BB1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权重</w:t>
            </w:r>
          </w:p>
        </w:tc>
        <w:tc>
          <w:tcPr>
            <w:tcW w:w="704" w:type="pct"/>
            <w:tcBorders>
              <w:top w:val="single" w:color="auto" w:sz="4" w:space="0"/>
              <w:left w:val="nil"/>
              <w:bottom w:val="single" w:color="auto" w:sz="4" w:space="0"/>
              <w:right w:val="single" w:color="auto" w:sz="4" w:space="0"/>
            </w:tcBorders>
            <w:vAlign w:val="center"/>
          </w:tcPr>
          <w:p w14:paraId="2872238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得分</w:t>
            </w:r>
          </w:p>
        </w:tc>
        <w:tc>
          <w:tcPr>
            <w:tcW w:w="704" w:type="pct"/>
            <w:tcBorders>
              <w:top w:val="single" w:color="auto" w:sz="4" w:space="0"/>
              <w:left w:val="nil"/>
              <w:bottom w:val="single" w:color="auto" w:sz="4" w:space="0"/>
              <w:right w:val="single" w:color="auto" w:sz="4" w:space="0"/>
            </w:tcBorders>
            <w:vAlign w:val="center"/>
          </w:tcPr>
          <w:p w14:paraId="3F81509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加权得分</w:t>
            </w:r>
          </w:p>
        </w:tc>
      </w:tr>
      <w:tr w14:paraId="72557516">
        <w:tblPrEx>
          <w:tblCellMar>
            <w:top w:w="0" w:type="dxa"/>
            <w:left w:w="108" w:type="dxa"/>
            <w:bottom w:w="0" w:type="dxa"/>
            <w:right w:w="108" w:type="dxa"/>
          </w:tblCellMar>
        </w:tblPrEx>
        <w:trPr>
          <w:trHeight w:val="23" w:hRule="atLeast"/>
          <w:jc w:val="center"/>
        </w:trPr>
        <w:tc>
          <w:tcPr>
            <w:tcW w:w="308" w:type="pct"/>
            <w:tcBorders>
              <w:top w:val="nil"/>
              <w:left w:val="single" w:color="auto" w:sz="4" w:space="0"/>
              <w:bottom w:val="single" w:color="auto" w:sz="4" w:space="0"/>
              <w:right w:val="single" w:color="auto" w:sz="4" w:space="0"/>
            </w:tcBorders>
            <w:vAlign w:val="center"/>
          </w:tcPr>
          <w:p w14:paraId="0D3D4E35">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10" w:type="pct"/>
            <w:tcBorders>
              <w:top w:val="nil"/>
              <w:left w:val="nil"/>
              <w:bottom w:val="single" w:color="auto" w:sz="4" w:space="0"/>
              <w:right w:val="single" w:color="auto" w:sz="4" w:space="0"/>
            </w:tcBorders>
            <w:vAlign w:val="center"/>
          </w:tcPr>
          <w:p w14:paraId="11C4C35A">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采购代理机构运作情况</w:t>
            </w:r>
          </w:p>
        </w:tc>
        <w:tc>
          <w:tcPr>
            <w:tcW w:w="1971" w:type="pct"/>
            <w:tcBorders>
              <w:top w:val="nil"/>
              <w:left w:val="nil"/>
              <w:bottom w:val="single" w:color="auto" w:sz="4" w:space="0"/>
              <w:right w:val="single" w:color="auto" w:sz="4" w:space="0"/>
            </w:tcBorders>
            <w:vAlign w:val="center"/>
          </w:tcPr>
          <w:p w14:paraId="64F24368">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代理机构采购文件编制人或复核人到位情况；代理机构主要负责人组织协调能力；代理机构人员业务能力、工作态度、主动性。</w:t>
            </w:r>
          </w:p>
        </w:tc>
        <w:tc>
          <w:tcPr>
            <w:tcW w:w="701" w:type="pct"/>
            <w:tcBorders>
              <w:top w:val="nil"/>
              <w:left w:val="nil"/>
              <w:bottom w:val="single" w:color="auto" w:sz="4" w:space="0"/>
              <w:right w:val="single" w:color="auto" w:sz="4" w:space="0"/>
            </w:tcBorders>
            <w:vAlign w:val="center"/>
          </w:tcPr>
          <w:p w14:paraId="2ACAC1F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15%</w:t>
            </w:r>
          </w:p>
        </w:tc>
        <w:tc>
          <w:tcPr>
            <w:tcW w:w="704" w:type="pct"/>
            <w:tcBorders>
              <w:top w:val="nil"/>
              <w:left w:val="nil"/>
              <w:bottom w:val="single" w:color="auto" w:sz="4" w:space="0"/>
              <w:right w:val="single" w:color="auto" w:sz="4" w:space="0"/>
            </w:tcBorders>
            <w:vAlign w:val="center"/>
          </w:tcPr>
          <w:p w14:paraId="68E635B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704" w:type="pct"/>
            <w:tcBorders>
              <w:top w:val="nil"/>
              <w:left w:val="nil"/>
              <w:bottom w:val="single" w:color="auto" w:sz="4" w:space="0"/>
              <w:right w:val="single" w:color="auto" w:sz="4" w:space="0"/>
            </w:tcBorders>
            <w:vAlign w:val="center"/>
          </w:tcPr>
          <w:p w14:paraId="75BA393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p>
        </w:tc>
      </w:tr>
      <w:tr w14:paraId="3AD322FC">
        <w:tblPrEx>
          <w:tblCellMar>
            <w:top w:w="0" w:type="dxa"/>
            <w:left w:w="108" w:type="dxa"/>
            <w:bottom w:w="0" w:type="dxa"/>
            <w:right w:w="108" w:type="dxa"/>
          </w:tblCellMar>
        </w:tblPrEx>
        <w:trPr>
          <w:trHeight w:val="23" w:hRule="atLeast"/>
          <w:jc w:val="center"/>
        </w:trPr>
        <w:tc>
          <w:tcPr>
            <w:tcW w:w="308" w:type="pct"/>
            <w:tcBorders>
              <w:top w:val="single" w:color="auto" w:sz="4" w:space="0"/>
              <w:left w:val="single" w:color="auto" w:sz="4" w:space="0"/>
              <w:right w:val="single" w:color="auto" w:sz="4" w:space="0"/>
            </w:tcBorders>
            <w:vAlign w:val="center"/>
          </w:tcPr>
          <w:p w14:paraId="6B471701">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10" w:type="pct"/>
            <w:tcBorders>
              <w:top w:val="single" w:color="auto" w:sz="4" w:space="0"/>
              <w:left w:val="nil"/>
              <w:bottom w:val="single" w:color="auto" w:sz="4" w:space="0"/>
              <w:right w:val="single" w:color="auto" w:sz="4" w:space="0"/>
            </w:tcBorders>
            <w:vAlign w:val="center"/>
          </w:tcPr>
          <w:p w14:paraId="048C7D2F">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采购文件编制情况</w:t>
            </w:r>
          </w:p>
        </w:tc>
        <w:tc>
          <w:tcPr>
            <w:tcW w:w="1971" w:type="pct"/>
            <w:tcBorders>
              <w:top w:val="single" w:color="auto" w:sz="4" w:space="0"/>
              <w:left w:val="nil"/>
              <w:bottom w:val="single" w:color="auto" w:sz="4" w:space="0"/>
              <w:right w:val="single" w:color="auto" w:sz="4" w:space="0"/>
            </w:tcBorders>
            <w:vAlign w:val="center"/>
          </w:tcPr>
          <w:p w14:paraId="4522198C">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提出合理化建议，配合项目组做好划分标段计划及拟定采购方案情况；收集与采购项目有关的技术、图纸、最新法律法规等资料，理解项目需求情况；根据采购需求编制采购文件，对资质等级、采购范围、费用包干等重点环节核实情况；根据项目采购人及监督部门（若有）要求，对采购文件内容不适当部分的修改，</w:t>
            </w:r>
            <w:r>
              <w:rPr>
                <w:rFonts w:hint="eastAsia" w:ascii="宋体" w:hAnsi="宋体" w:eastAsia="宋体" w:cs="宋体"/>
                <w:sz w:val="21"/>
                <w:szCs w:val="21"/>
                <w:highlight w:val="none"/>
                <w:lang w:val="en-US" w:eastAsia="zh-CN"/>
              </w:rPr>
              <w:t>发现并修改错漏情况</w:t>
            </w:r>
            <w:r>
              <w:rPr>
                <w:rFonts w:hint="eastAsia" w:ascii="宋体" w:hAnsi="宋体" w:eastAsia="宋体" w:cs="宋体"/>
                <w:sz w:val="21"/>
                <w:szCs w:val="21"/>
                <w:highlight w:val="none"/>
              </w:rPr>
              <w:t>；采购文件的传阅、答辩、定稿情况，项目合同的编制情况；招标公告、专家申请、开评标表格、评标报告、结果公示、中标通知书等招标过程文件的编制情况。</w:t>
            </w:r>
          </w:p>
        </w:tc>
        <w:tc>
          <w:tcPr>
            <w:tcW w:w="701" w:type="pct"/>
            <w:tcBorders>
              <w:top w:val="single" w:color="auto" w:sz="4" w:space="0"/>
              <w:left w:val="nil"/>
              <w:bottom w:val="single" w:color="auto" w:sz="4" w:space="0"/>
              <w:right w:val="single" w:color="auto" w:sz="4" w:space="0"/>
            </w:tcBorders>
            <w:vAlign w:val="center"/>
          </w:tcPr>
          <w:p w14:paraId="47718E7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30%</w:t>
            </w:r>
          </w:p>
        </w:tc>
        <w:tc>
          <w:tcPr>
            <w:tcW w:w="704" w:type="pct"/>
            <w:tcBorders>
              <w:top w:val="single" w:color="auto" w:sz="4" w:space="0"/>
              <w:left w:val="nil"/>
              <w:bottom w:val="single" w:color="auto" w:sz="4" w:space="0"/>
              <w:right w:val="single" w:color="auto" w:sz="4" w:space="0"/>
            </w:tcBorders>
            <w:vAlign w:val="center"/>
          </w:tcPr>
          <w:p w14:paraId="448164C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704" w:type="pct"/>
            <w:tcBorders>
              <w:top w:val="single" w:color="auto" w:sz="4" w:space="0"/>
              <w:left w:val="nil"/>
              <w:bottom w:val="single" w:color="auto" w:sz="4" w:space="0"/>
              <w:right w:val="single" w:color="auto" w:sz="4" w:space="0"/>
            </w:tcBorders>
            <w:vAlign w:val="center"/>
          </w:tcPr>
          <w:p w14:paraId="776E79A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p>
        </w:tc>
      </w:tr>
      <w:tr w14:paraId="7DA295C3">
        <w:tblPrEx>
          <w:tblCellMar>
            <w:top w:w="0" w:type="dxa"/>
            <w:left w:w="108" w:type="dxa"/>
            <w:bottom w:w="0" w:type="dxa"/>
            <w:right w:w="108" w:type="dxa"/>
          </w:tblCellMar>
        </w:tblPrEx>
        <w:trPr>
          <w:trHeight w:val="23"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2319EAE2">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10" w:type="pct"/>
            <w:tcBorders>
              <w:top w:val="single" w:color="auto" w:sz="4" w:space="0"/>
              <w:left w:val="nil"/>
              <w:bottom w:val="single" w:color="auto" w:sz="4" w:space="0"/>
              <w:right w:val="single" w:color="auto" w:sz="4" w:space="0"/>
            </w:tcBorders>
            <w:vAlign w:val="center"/>
          </w:tcPr>
          <w:p w14:paraId="73612E25">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采购程序组织情况</w:t>
            </w:r>
          </w:p>
        </w:tc>
        <w:tc>
          <w:tcPr>
            <w:tcW w:w="1971" w:type="pct"/>
            <w:tcBorders>
              <w:top w:val="single" w:color="auto" w:sz="4" w:space="0"/>
              <w:left w:val="nil"/>
              <w:bottom w:val="single" w:color="auto" w:sz="4" w:space="0"/>
              <w:right w:val="single" w:color="auto" w:sz="4" w:space="0"/>
            </w:tcBorders>
            <w:vAlign w:val="center"/>
          </w:tcPr>
          <w:p w14:paraId="4A8E0D97">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合法合规办理采购公告发布所需具备的各项手续情况；完成各采购进度控制节点工作情况；向采购人反馈潜在投标人（供应商）情况，开标评标等工作情况；项目合同签订的组织、协调、备案情况；现场应变能力，处理问题情况；代理机构人员语言举止及服务态度。</w:t>
            </w:r>
          </w:p>
        </w:tc>
        <w:tc>
          <w:tcPr>
            <w:tcW w:w="701" w:type="pct"/>
            <w:tcBorders>
              <w:top w:val="single" w:color="auto" w:sz="4" w:space="0"/>
              <w:left w:val="nil"/>
              <w:bottom w:val="single" w:color="auto" w:sz="4" w:space="0"/>
              <w:right w:val="single" w:color="auto" w:sz="4" w:space="0"/>
            </w:tcBorders>
            <w:vAlign w:val="center"/>
          </w:tcPr>
          <w:p w14:paraId="4823DC0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30%</w:t>
            </w:r>
          </w:p>
        </w:tc>
        <w:tc>
          <w:tcPr>
            <w:tcW w:w="704" w:type="pct"/>
            <w:tcBorders>
              <w:top w:val="single" w:color="auto" w:sz="4" w:space="0"/>
              <w:left w:val="nil"/>
              <w:bottom w:val="single" w:color="auto" w:sz="4" w:space="0"/>
              <w:right w:val="single" w:color="auto" w:sz="4" w:space="0"/>
            </w:tcBorders>
            <w:vAlign w:val="center"/>
          </w:tcPr>
          <w:p w14:paraId="6B4E5D6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704" w:type="pct"/>
            <w:tcBorders>
              <w:top w:val="single" w:color="auto" w:sz="4" w:space="0"/>
              <w:left w:val="nil"/>
              <w:bottom w:val="single" w:color="auto" w:sz="4" w:space="0"/>
              <w:right w:val="single" w:color="auto" w:sz="4" w:space="0"/>
            </w:tcBorders>
            <w:vAlign w:val="center"/>
          </w:tcPr>
          <w:p w14:paraId="4AB13C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p>
        </w:tc>
      </w:tr>
      <w:tr w14:paraId="74F3F6D5">
        <w:tblPrEx>
          <w:tblCellMar>
            <w:top w:w="0" w:type="dxa"/>
            <w:left w:w="108" w:type="dxa"/>
            <w:bottom w:w="0" w:type="dxa"/>
            <w:right w:w="108" w:type="dxa"/>
          </w:tblCellMar>
        </w:tblPrEx>
        <w:trPr>
          <w:trHeight w:val="23"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0507E325">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610" w:type="pct"/>
            <w:tcBorders>
              <w:top w:val="single" w:color="auto" w:sz="4" w:space="0"/>
              <w:left w:val="nil"/>
              <w:bottom w:val="single" w:color="auto" w:sz="4" w:space="0"/>
              <w:right w:val="single" w:color="auto" w:sz="4" w:space="0"/>
            </w:tcBorders>
            <w:vAlign w:val="center"/>
          </w:tcPr>
          <w:p w14:paraId="36863EE3">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异议、投诉处理情况</w:t>
            </w:r>
          </w:p>
        </w:tc>
        <w:tc>
          <w:tcPr>
            <w:tcW w:w="1971" w:type="pct"/>
            <w:tcBorders>
              <w:top w:val="single" w:color="auto" w:sz="4" w:space="0"/>
              <w:left w:val="nil"/>
              <w:bottom w:val="single" w:color="auto" w:sz="4" w:space="0"/>
              <w:right w:val="single" w:color="auto" w:sz="4" w:space="0"/>
            </w:tcBorders>
            <w:vAlign w:val="center"/>
          </w:tcPr>
          <w:p w14:paraId="04BCFC8C">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代理机构受理供应商异议或投诉情况：时效、运用法律法规熟悉程度、效果；协助采购人处理投诉情况。</w:t>
            </w:r>
          </w:p>
        </w:tc>
        <w:tc>
          <w:tcPr>
            <w:tcW w:w="701" w:type="pct"/>
            <w:tcBorders>
              <w:top w:val="single" w:color="auto" w:sz="4" w:space="0"/>
              <w:left w:val="nil"/>
              <w:bottom w:val="single" w:color="auto" w:sz="4" w:space="0"/>
              <w:right w:val="single" w:color="auto" w:sz="4" w:space="0"/>
            </w:tcBorders>
            <w:vAlign w:val="center"/>
          </w:tcPr>
          <w:p w14:paraId="3933E3B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w:t>
            </w:r>
          </w:p>
        </w:tc>
        <w:tc>
          <w:tcPr>
            <w:tcW w:w="704" w:type="pct"/>
            <w:tcBorders>
              <w:top w:val="single" w:color="auto" w:sz="4" w:space="0"/>
              <w:left w:val="nil"/>
              <w:bottom w:val="single" w:color="auto" w:sz="4" w:space="0"/>
              <w:right w:val="single" w:color="auto" w:sz="4" w:space="0"/>
            </w:tcBorders>
            <w:vAlign w:val="center"/>
          </w:tcPr>
          <w:p w14:paraId="3D039F1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704" w:type="pct"/>
            <w:tcBorders>
              <w:top w:val="single" w:color="auto" w:sz="4" w:space="0"/>
              <w:left w:val="nil"/>
              <w:bottom w:val="single" w:color="auto" w:sz="4" w:space="0"/>
              <w:right w:val="single" w:color="auto" w:sz="4" w:space="0"/>
            </w:tcBorders>
            <w:vAlign w:val="center"/>
          </w:tcPr>
          <w:p w14:paraId="5EAB49F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p>
        </w:tc>
      </w:tr>
      <w:tr w14:paraId="595A1088">
        <w:tblPrEx>
          <w:tblCellMar>
            <w:top w:w="0" w:type="dxa"/>
            <w:left w:w="108" w:type="dxa"/>
            <w:bottom w:w="0" w:type="dxa"/>
            <w:right w:w="108" w:type="dxa"/>
          </w:tblCellMar>
        </w:tblPrEx>
        <w:trPr>
          <w:trHeight w:val="23"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4948007E">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10" w:type="pct"/>
            <w:tcBorders>
              <w:top w:val="single" w:color="auto" w:sz="4" w:space="0"/>
              <w:left w:val="nil"/>
              <w:bottom w:val="single" w:color="auto" w:sz="4" w:space="0"/>
              <w:right w:val="single" w:color="auto" w:sz="4" w:space="0"/>
            </w:tcBorders>
            <w:vAlign w:val="center"/>
          </w:tcPr>
          <w:p w14:paraId="1DDC06A5">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资料管理情况</w:t>
            </w:r>
          </w:p>
        </w:tc>
        <w:tc>
          <w:tcPr>
            <w:tcW w:w="1971" w:type="pct"/>
            <w:tcBorders>
              <w:top w:val="single" w:color="auto" w:sz="4" w:space="0"/>
              <w:left w:val="nil"/>
              <w:bottom w:val="single" w:color="auto" w:sz="4" w:space="0"/>
              <w:right w:val="single" w:color="auto" w:sz="4" w:space="0"/>
            </w:tcBorders>
            <w:vAlign w:val="center"/>
          </w:tcPr>
          <w:p w14:paraId="733C8AC5">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代理机构发放中标（成交）通知书，草拟合同，采购资料制作、收集、移交、备案，采购全过程资料整理（含档案数字化）和存档保管等管理情况。</w:t>
            </w:r>
          </w:p>
        </w:tc>
        <w:tc>
          <w:tcPr>
            <w:tcW w:w="701" w:type="pct"/>
            <w:tcBorders>
              <w:top w:val="single" w:color="auto" w:sz="4" w:space="0"/>
              <w:left w:val="nil"/>
              <w:bottom w:val="single" w:color="auto" w:sz="4" w:space="0"/>
              <w:right w:val="single" w:color="auto" w:sz="4" w:space="0"/>
            </w:tcBorders>
            <w:vAlign w:val="center"/>
          </w:tcPr>
          <w:p w14:paraId="110C7C8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w:t>
            </w:r>
          </w:p>
        </w:tc>
        <w:tc>
          <w:tcPr>
            <w:tcW w:w="704" w:type="pct"/>
            <w:tcBorders>
              <w:top w:val="single" w:color="auto" w:sz="4" w:space="0"/>
              <w:left w:val="nil"/>
              <w:bottom w:val="single" w:color="auto" w:sz="4" w:space="0"/>
              <w:right w:val="single" w:color="auto" w:sz="4" w:space="0"/>
            </w:tcBorders>
            <w:vAlign w:val="center"/>
          </w:tcPr>
          <w:p w14:paraId="224600D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704" w:type="pct"/>
            <w:tcBorders>
              <w:top w:val="single" w:color="auto" w:sz="4" w:space="0"/>
              <w:left w:val="nil"/>
              <w:bottom w:val="single" w:color="auto" w:sz="4" w:space="0"/>
              <w:right w:val="single" w:color="auto" w:sz="4" w:space="0"/>
            </w:tcBorders>
            <w:vAlign w:val="center"/>
          </w:tcPr>
          <w:p w14:paraId="0A4BD30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p>
        </w:tc>
      </w:tr>
      <w:tr w14:paraId="62C926B8">
        <w:tblPrEx>
          <w:tblCellMar>
            <w:top w:w="0" w:type="dxa"/>
            <w:left w:w="108" w:type="dxa"/>
            <w:bottom w:w="0" w:type="dxa"/>
            <w:right w:w="108" w:type="dxa"/>
          </w:tblCellMar>
        </w:tblPrEx>
        <w:trPr>
          <w:trHeight w:val="23"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76FC6892">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610" w:type="pct"/>
            <w:tcBorders>
              <w:top w:val="single" w:color="auto" w:sz="4" w:space="0"/>
              <w:left w:val="nil"/>
              <w:bottom w:val="single" w:color="auto" w:sz="4" w:space="0"/>
              <w:right w:val="single" w:color="auto" w:sz="4" w:space="0"/>
            </w:tcBorders>
            <w:vAlign w:val="center"/>
          </w:tcPr>
          <w:p w14:paraId="582BD1BF">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后续配套服务情况</w:t>
            </w:r>
          </w:p>
        </w:tc>
        <w:tc>
          <w:tcPr>
            <w:tcW w:w="1971" w:type="pct"/>
            <w:tcBorders>
              <w:top w:val="single" w:color="auto" w:sz="4" w:space="0"/>
              <w:left w:val="nil"/>
              <w:bottom w:val="single" w:color="auto" w:sz="4" w:space="0"/>
              <w:right w:val="single" w:color="auto" w:sz="4" w:space="0"/>
            </w:tcBorders>
            <w:vAlign w:val="center"/>
          </w:tcPr>
          <w:p w14:paraId="555AD8E0">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代理机构人员后续配套服务情况。</w:t>
            </w:r>
          </w:p>
        </w:tc>
        <w:tc>
          <w:tcPr>
            <w:tcW w:w="701" w:type="pct"/>
            <w:tcBorders>
              <w:top w:val="single" w:color="auto" w:sz="4" w:space="0"/>
              <w:left w:val="nil"/>
              <w:bottom w:val="single" w:color="auto" w:sz="4" w:space="0"/>
              <w:right w:val="single" w:color="auto" w:sz="4" w:space="0"/>
            </w:tcBorders>
            <w:vAlign w:val="center"/>
          </w:tcPr>
          <w:p w14:paraId="0B473FB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5%</w:t>
            </w:r>
          </w:p>
        </w:tc>
        <w:tc>
          <w:tcPr>
            <w:tcW w:w="704" w:type="pct"/>
            <w:tcBorders>
              <w:top w:val="single" w:color="auto" w:sz="4" w:space="0"/>
              <w:left w:val="nil"/>
              <w:bottom w:val="single" w:color="auto" w:sz="4" w:space="0"/>
              <w:right w:val="single" w:color="auto" w:sz="4" w:space="0"/>
            </w:tcBorders>
            <w:vAlign w:val="center"/>
          </w:tcPr>
          <w:p w14:paraId="6959E25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704" w:type="pct"/>
            <w:tcBorders>
              <w:top w:val="single" w:color="auto" w:sz="4" w:space="0"/>
              <w:left w:val="nil"/>
              <w:bottom w:val="single" w:color="auto" w:sz="4" w:space="0"/>
              <w:right w:val="single" w:color="auto" w:sz="4" w:space="0"/>
            </w:tcBorders>
            <w:vAlign w:val="center"/>
          </w:tcPr>
          <w:p w14:paraId="6DF51E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p>
        </w:tc>
      </w:tr>
      <w:tr w14:paraId="4FFEA913">
        <w:tblPrEx>
          <w:tblCellMar>
            <w:top w:w="0" w:type="dxa"/>
            <w:left w:w="108" w:type="dxa"/>
            <w:bottom w:w="0" w:type="dxa"/>
            <w:right w:w="108" w:type="dxa"/>
          </w:tblCellMar>
        </w:tblPrEx>
        <w:trPr>
          <w:trHeight w:val="23" w:hRule="atLeast"/>
          <w:jc w:val="center"/>
        </w:trPr>
        <w:tc>
          <w:tcPr>
            <w:tcW w:w="918" w:type="pct"/>
            <w:gridSpan w:val="2"/>
            <w:tcBorders>
              <w:top w:val="single" w:color="auto" w:sz="4" w:space="0"/>
              <w:left w:val="single" w:color="auto" w:sz="4" w:space="0"/>
              <w:bottom w:val="single" w:color="auto" w:sz="4" w:space="0"/>
              <w:right w:val="single" w:color="auto" w:sz="4" w:space="0"/>
            </w:tcBorders>
            <w:vAlign w:val="center"/>
          </w:tcPr>
          <w:p w14:paraId="051D8D80">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c>
          <w:tcPr>
            <w:tcW w:w="4081" w:type="pct"/>
            <w:gridSpan w:val="4"/>
            <w:tcBorders>
              <w:top w:val="single" w:color="auto" w:sz="4" w:space="0"/>
              <w:left w:val="nil"/>
              <w:bottom w:val="single" w:color="auto" w:sz="4" w:space="0"/>
              <w:right w:val="single" w:color="auto" w:sz="4" w:space="0"/>
            </w:tcBorders>
            <w:vAlign w:val="center"/>
          </w:tcPr>
          <w:p w14:paraId="0A59CC4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1"/>
                <w:szCs w:val="21"/>
                <w:highlight w:val="none"/>
              </w:rPr>
            </w:pPr>
          </w:p>
        </w:tc>
      </w:tr>
      <w:tr w14:paraId="06806514">
        <w:tblPrEx>
          <w:tblCellMar>
            <w:top w:w="0" w:type="dxa"/>
            <w:left w:w="108" w:type="dxa"/>
            <w:bottom w:w="0" w:type="dxa"/>
            <w:right w:w="108" w:type="dxa"/>
          </w:tblCellMar>
        </w:tblPrEx>
        <w:trPr>
          <w:trHeight w:val="23" w:hRule="atLeast"/>
          <w:jc w:val="center"/>
        </w:trPr>
        <w:tc>
          <w:tcPr>
            <w:tcW w:w="918" w:type="pct"/>
            <w:gridSpan w:val="2"/>
            <w:tcBorders>
              <w:top w:val="single" w:color="auto" w:sz="4" w:space="0"/>
              <w:left w:val="single" w:color="auto" w:sz="4" w:space="0"/>
              <w:bottom w:val="single" w:color="auto" w:sz="4" w:space="0"/>
              <w:right w:val="single" w:color="auto" w:sz="4" w:space="0"/>
            </w:tcBorders>
            <w:vAlign w:val="center"/>
          </w:tcPr>
          <w:p w14:paraId="351C0D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扣分项</w:t>
            </w:r>
          </w:p>
        </w:tc>
        <w:tc>
          <w:tcPr>
            <w:tcW w:w="1971" w:type="pct"/>
            <w:tcBorders>
              <w:top w:val="single" w:color="auto" w:sz="4" w:space="0"/>
              <w:left w:val="nil"/>
              <w:bottom w:val="single" w:color="auto" w:sz="4" w:space="0"/>
              <w:right w:val="single" w:color="auto" w:sz="4" w:space="0"/>
            </w:tcBorders>
            <w:vAlign w:val="center"/>
          </w:tcPr>
          <w:p w14:paraId="2818500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项目内容</w:t>
            </w:r>
          </w:p>
        </w:tc>
        <w:tc>
          <w:tcPr>
            <w:tcW w:w="701" w:type="pct"/>
            <w:tcBorders>
              <w:top w:val="single" w:color="auto" w:sz="4" w:space="0"/>
              <w:left w:val="nil"/>
              <w:bottom w:val="single" w:color="auto" w:sz="4" w:space="0"/>
              <w:right w:val="single" w:color="auto" w:sz="4" w:space="0"/>
            </w:tcBorders>
            <w:vAlign w:val="center"/>
          </w:tcPr>
          <w:p w14:paraId="19658FF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1408" w:type="pct"/>
            <w:gridSpan w:val="2"/>
            <w:tcBorders>
              <w:top w:val="single" w:color="auto" w:sz="4" w:space="0"/>
              <w:left w:val="nil"/>
              <w:bottom w:val="single" w:color="auto" w:sz="4" w:space="0"/>
              <w:right w:val="single" w:color="auto" w:sz="4" w:space="0"/>
            </w:tcBorders>
            <w:vAlign w:val="center"/>
          </w:tcPr>
          <w:p w14:paraId="415C7DA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得分</w:t>
            </w:r>
          </w:p>
        </w:tc>
      </w:tr>
      <w:tr w14:paraId="458E2907">
        <w:tblPrEx>
          <w:tblCellMar>
            <w:top w:w="0" w:type="dxa"/>
            <w:left w:w="108" w:type="dxa"/>
            <w:bottom w:w="0" w:type="dxa"/>
            <w:right w:w="108" w:type="dxa"/>
          </w:tblCellMar>
        </w:tblPrEx>
        <w:trPr>
          <w:trHeight w:val="23" w:hRule="atLeast"/>
          <w:jc w:val="center"/>
        </w:trPr>
        <w:tc>
          <w:tcPr>
            <w:tcW w:w="918" w:type="pct"/>
            <w:gridSpan w:val="2"/>
            <w:tcBorders>
              <w:top w:val="single" w:color="auto" w:sz="4" w:space="0"/>
              <w:left w:val="single" w:color="auto" w:sz="4" w:space="0"/>
              <w:bottom w:val="single" w:color="auto" w:sz="4" w:space="0"/>
              <w:right w:val="single" w:color="auto" w:sz="4" w:space="0"/>
            </w:tcBorders>
            <w:vAlign w:val="center"/>
          </w:tcPr>
          <w:p w14:paraId="33D05564">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71" w:type="pct"/>
            <w:tcBorders>
              <w:top w:val="single" w:color="auto" w:sz="4" w:space="0"/>
              <w:left w:val="nil"/>
              <w:bottom w:val="single" w:color="auto" w:sz="4" w:space="0"/>
              <w:right w:val="single" w:color="auto" w:sz="4" w:space="0"/>
            </w:tcBorders>
            <w:vAlign w:val="center"/>
          </w:tcPr>
          <w:p w14:paraId="0D21C1F7">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采购人对代理机构提供的服务质量及效率不满意，并发出警告信。</w:t>
            </w:r>
          </w:p>
        </w:tc>
        <w:tc>
          <w:tcPr>
            <w:tcW w:w="701" w:type="pct"/>
            <w:tcBorders>
              <w:top w:val="single" w:color="auto" w:sz="4" w:space="0"/>
              <w:left w:val="nil"/>
              <w:bottom w:val="single" w:color="auto" w:sz="4" w:space="0"/>
              <w:right w:val="single" w:color="auto" w:sz="4" w:space="0"/>
            </w:tcBorders>
            <w:vAlign w:val="center"/>
          </w:tcPr>
          <w:p w14:paraId="38250E7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408" w:type="pct"/>
            <w:gridSpan w:val="2"/>
            <w:tcBorders>
              <w:top w:val="single" w:color="auto" w:sz="4" w:space="0"/>
              <w:left w:val="nil"/>
              <w:bottom w:val="single" w:color="auto" w:sz="4" w:space="0"/>
              <w:right w:val="single" w:color="auto" w:sz="4" w:space="0"/>
            </w:tcBorders>
            <w:vAlign w:val="center"/>
          </w:tcPr>
          <w:p w14:paraId="1B7760A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1"/>
                <w:szCs w:val="21"/>
                <w:highlight w:val="none"/>
              </w:rPr>
            </w:pPr>
          </w:p>
        </w:tc>
      </w:tr>
      <w:tr w14:paraId="6EE299AD">
        <w:tblPrEx>
          <w:tblCellMar>
            <w:top w:w="0" w:type="dxa"/>
            <w:left w:w="108" w:type="dxa"/>
            <w:bottom w:w="0" w:type="dxa"/>
            <w:right w:w="108" w:type="dxa"/>
          </w:tblCellMar>
        </w:tblPrEx>
        <w:trPr>
          <w:trHeight w:val="23" w:hRule="atLeast"/>
          <w:jc w:val="center"/>
        </w:trPr>
        <w:tc>
          <w:tcPr>
            <w:tcW w:w="918" w:type="pct"/>
            <w:gridSpan w:val="2"/>
            <w:tcBorders>
              <w:top w:val="single" w:color="auto" w:sz="4" w:space="0"/>
              <w:left w:val="single" w:color="auto" w:sz="4" w:space="0"/>
              <w:bottom w:val="single" w:color="auto" w:sz="4" w:space="0"/>
              <w:right w:val="single" w:color="auto" w:sz="4" w:space="0"/>
            </w:tcBorders>
            <w:vAlign w:val="center"/>
          </w:tcPr>
          <w:p w14:paraId="0836FE27">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971" w:type="pct"/>
            <w:tcBorders>
              <w:top w:val="single" w:color="auto" w:sz="4" w:space="0"/>
              <w:left w:val="nil"/>
              <w:bottom w:val="single" w:color="auto" w:sz="4" w:space="0"/>
              <w:right w:val="single" w:color="auto" w:sz="4" w:space="0"/>
            </w:tcBorders>
            <w:vAlign w:val="center"/>
          </w:tcPr>
          <w:p w14:paraId="3B8010E2">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代理机构人为原因导致招标过程出现明显错漏致使采购项目延期。</w:t>
            </w:r>
          </w:p>
        </w:tc>
        <w:tc>
          <w:tcPr>
            <w:tcW w:w="701" w:type="pct"/>
            <w:tcBorders>
              <w:top w:val="single" w:color="auto" w:sz="4" w:space="0"/>
              <w:left w:val="nil"/>
              <w:bottom w:val="single" w:color="auto" w:sz="4" w:space="0"/>
              <w:right w:val="single" w:color="auto" w:sz="4" w:space="0"/>
            </w:tcBorders>
            <w:vAlign w:val="center"/>
          </w:tcPr>
          <w:p w14:paraId="2B16484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408" w:type="pct"/>
            <w:gridSpan w:val="2"/>
            <w:tcBorders>
              <w:top w:val="single" w:color="auto" w:sz="4" w:space="0"/>
              <w:left w:val="nil"/>
              <w:bottom w:val="single" w:color="auto" w:sz="4" w:space="0"/>
              <w:right w:val="single" w:color="auto" w:sz="4" w:space="0"/>
            </w:tcBorders>
            <w:vAlign w:val="center"/>
          </w:tcPr>
          <w:p w14:paraId="2084BB1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1"/>
                <w:szCs w:val="21"/>
                <w:highlight w:val="none"/>
              </w:rPr>
            </w:pPr>
          </w:p>
        </w:tc>
      </w:tr>
      <w:tr w14:paraId="7729D889">
        <w:tblPrEx>
          <w:tblCellMar>
            <w:top w:w="0" w:type="dxa"/>
            <w:left w:w="108" w:type="dxa"/>
            <w:bottom w:w="0" w:type="dxa"/>
            <w:right w:w="108" w:type="dxa"/>
          </w:tblCellMar>
        </w:tblPrEx>
        <w:trPr>
          <w:trHeight w:val="23" w:hRule="atLeast"/>
          <w:jc w:val="center"/>
        </w:trPr>
        <w:tc>
          <w:tcPr>
            <w:tcW w:w="918" w:type="pct"/>
            <w:gridSpan w:val="2"/>
            <w:tcBorders>
              <w:top w:val="single" w:color="auto" w:sz="4" w:space="0"/>
              <w:left w:val="single" w:color="auto" w:sz="4" w:space="0"/>
              <w:bottom w:val="single" w:color="auto" w:sz="4" w:space="0"/>
              <w:right w:val="single" w:color="auto" w:sz="4" w:space="0"/>
            </w:tcBorders>
            <w:vAlign w:val="center"/>
          </w:tcPr>
          <w:p w14:paraId="1EB634E8">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71" w:type="pct"/>
            <w:tcBorders>
              <w:top w:val="single" w:color="auto" w:sz="4" w:space="0"/>
              <w:left w:val="nil"/>
              <w:bottom w:val="single" w:color="auto" w:sz="4" w:space="0"/>
              <w:right w:val="single" w:color="auto" w:sz="4" w:space="0"/>
            </w:tcBorders>
            <w:vAlign w:val="center"/>
          </w:tcPr>
          <w:p w14:paraId="2198A9BE">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未经采购人同意，擅自对已定稿的招标文件进行更改。</w:t>
            </w:r>
          </w:p>
        </w:tc>
        <w:tc>
          <w:tcPr>
            <w:tcW w:w="701" w:type="pct"/>
            <w:tcBorders>
              <w:top w:val="single" w:color="auto" w:sz="4" w:space="0"/>
              <w:left w:val="nil"/>
              <w:bottom w:val="single" w:color="auto" w:sz="4" w:space="0"/>
              <w:right w:val="single" w:color="auto" w:sz="4" w:space="0"/>
            </w:tcBorders>
            <w:vAlign w:val="center"/>
          </w:tcPr>
          <w:p w14:paraId="4926A69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408" w:type="pct"/>
            <w:gridSpan w:val="2"/>
            <w:tcBorders>
              <w:top w:val="single" w:color="auto" w:sz="4" w:space="0"/>
              <w:left w:val="nil"/>
              <w:bottom w:val="single" w:color="auto" w:sz="4" w:space="0"/>
              <w:right w:val="single" w:color="auto" w:sz="4" w:space="0"/>
            </w:tcBorders>
            <w:vAlign w:val="center"/>
          </w:tcPr>
          <w:p w14:paraId="0EBD3D6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1"/>
                <w:szCs w:val="21"/>
                <w:highlight w:val="none"/>
              </w:rPr>
            </w:pPr>
          </w:p>
        </w:tc>
      </w:tr>
      <w:tr w14:paraId="246701ED">
        <w:tblPrEx>
          <w:tblCellMar>
            <w:top w:w="0" w:type="dxa"/>
            <w:left w:w="108" w:type="dxa"/>
            <w:bottom w:w="0" w:type="dxa"/>
            <w:right w:w="108" w:type="dxa"/>
          </w:tblCellMar>
        </w:tblPrEx>
        <w:trPr>
          <w:trHeight w:val="23" w:hRule="atLeast"/>
          <w:jc w:val="center"/>
        </w:trPr>
        <w:tc>
          <w:tcPr>
            <w:tcW w:w="918" w:type="pct"/>
            <w:gridSpan w:val="2"/>
            <w:tcBorders>
              <w:top w:val="nil"/>
              <w:left w:val="single" w:color="auto" w:sz="4" w:space="0"/>
              <w:bottom w:val="single" w:color="auto" w:sz="4" w:space="0"/>
              <w:right w:val="single" w:color="auto" w:sz="4" w:space="0"/>
            </w:tcBorders>
            <w:vAlign w:val="center"/>
          </w:tcPr>
          <w:p w14:paraId="0C85CB4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综合得分</w:t>
            </w:r>
          </w:p>
        </w:tc>
        <w:tc>
          <w:tcPr>
            <w:tcW w:w="4081" w:type="pct"/>
            <w:gridSpan w:val="4"/>
            <w:tcBorders>
              <w:top w:val="nil"/>
              <w:left w:val="nil"/>
              <w:bottom w:val="single" w:color="auto" w:sz="4" w:space="0"/>
              <w:right w:val="single" w:color="auto" w:sz="4" w:space="0"/>
            </w:tcBorders>
            <w:vAlign w:val="center"/>
          </w:tcPr>
          <w:p w14:paraId="07639BC7">
            <w:pPr>
              <w:keepNext w:val="0"/>
              <w:keepLines w:val="0"/>
              <w:suppressLineNumbers w:val="0"/>
              <w:snapToGrid w:val="0"/>
              <w:spacing w:before="0" w:beforeAutospacing="0" w:after="160" w:afterAutospacing="0" w:line="360" w:lineRule="auto"/>
              <w:ind w:left="0" w:right="0"/>
              <w:jc w:val="center"/>
              <w:rPr>
                <w:rFonts w:hint="eastAsia" w:ascii="宋体" w:hAnsi="宋体" w:eastAsia="宋体" w:cs="宋体"/>
                <w:sz w:val="21"/>
                <w:szCs w:val="21"/>
                <w:highlight w:val="none"/>
              </w:rPr>
            </w:pPr>
          </w:p>
        </w:tc>
      </w:tr>
    </w:tbl>
    <w:p w14:paraId="779A7866">
      <w:pPr>
        <w:spacing w:line="360" w:lineRule="auto"/>
        <w:rPr>
          <w:rFonts w:hint="eastAsia" w:ascii="宋体" w:hAnsi="宋体" w:eastAsia="宋体" w:cs="宋体"/>
          <w:sz w:val="21"/>
          <w:szCs w:val="21"/>
          <w:highlight w:val="none"/>
          <w:lang w:bidi="en-US"/>
        </w:rPr>
      </w:pPr>
    </w:p>
    <w:p w14:paraId="779EA6A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说明：1、</w:t>
      </w:r>
      <w:r>
        <w:rPr>
          <w:rFonts w:hint="eastAsia" w:ascii="宋体" w:hAnsi="宋体" w:eastAsia="宋体" w:cs="宋体"/>
          <w:sz w:val="21"/>
          <w:szCs w:val="21"/>
          <w:highlight w:val="none"/>
        </w:rPr>
        <w:t>本考核表最终解释权归</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人有权调整相关考核方式。</w:t>
      </w:r>
    </w:p>
    <w:p w14:paraId="0028440E">
      <w:pPr>
        <w:pStyle w:val="16"/>
        <w:autoSpaceDE/>
        <w:autoSpaceDN/>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2、每项考核内容按优[100-90]分、良（90-80]分、中（80-70]分、合格（70-60]分、不合格（60-0]分，进行打分。</w:t>
      </w:r>
    </w:p>
    <w:p w14:paraId="111070D5">
      <w:pPr>
        <w:pStyle w:val="55"/>
        <w:spacing w:line="360" w:lineRule="auto"/>
        <w:ind w:firstLine="0" w:firstLineChars="0"/>
        <w:rPr>
          <w:rFonts w:hint="eastAsia" w:ascii="宋体" w:hAnsi="宋体" w:eastAsia="宋体" w:cs="宋体"/>
          <w:sz w:val="21"/>
          <w:szCs w:val="21"/>
          <w:highlight w:val="none"/>
        </w:rPr>
      </w:pPr>
    </w:p>
    <w:p w14:paraId="4298CF04">
      <w:pPr>
        <w:spacing w:after="160" w:line="360" w:lineRule="auto"/>
        <w:jc w:val="center"/>
        <w:rPr>
          <w:rFonts w:hint="eastAsia" w:ascii="宋体" w:hAnsi="宋体" w:eastAsia="宋体" w:cs="宋体"/>
          <w:b/>
          <w:bCs/>
          <w:sz w:val="21"/>
          <w:szCs w:val="21"/>
          <w:highlight w:val="none"/>
        </w:rPr>
      </w:pPr>
    </w:p>
    <w:p w14:paraId="17C0C486">
      <w:pPr>
        <w:spacing w:after="160" w:line="360" w:lineRule="auto"/>
        <w:jc w:val="center"/>
        <w:rPr>
          <w:rFonts w:hint="eastAsia" w:ascii="宋体" w:hAnsi="宋体" w:eastAsia="宋体" w:cs="宋体"/>
          <w:b/>
          <w:bCs/>
          <w:sz w:val="21"/>
          <w:szCs w:val="21"/>
          <w:highlight w:val="none"/>
        </w:rPr>
      </w:pPr>
    </w:p>
    <w:p w14:paraId="4511CDED">
      <w:pPr>
        <w:spacing w:after="160" w:line="360" w:lineRule="auto"/>
        <w:jc w:val="center"/>
        <w:rPr>
          <w:rFonts w:hint="eastAsia" w:ascii="宋体" w:hAnsi="宋体" w:eastAsia="宋体" w:cs="宋体"/>
          <w:b/>
          <w:bCs/>
          <w:sz w:val="21"/>
          <w:szCs w:val="21"/>
          <w:highlight w:val="none"/>
        </w:rPr>
      </w:pPr>
    </w:p>
    <w:p w14:paraId="1C6050E0">
      <w:pPr>
        <w:spacing w:after="160" w:line="360" w:lineRule="auto"/>
        <w:jc w:val="center"/>
        <w:rPr>
          <w:rFonts w:hint="eastAsia" w:ascii="宋体" w:hAnsi="宋体" w:eastAsia="宋体" w:cs="宋体"/>
          <w:b/>
          <w:bCs/>
          <w:sz w:val="21"/>
          <w:szCs w:val="21"/>
          <w:highlight w:val="none"/>
        </w:rPr>
      </w:pPr>
    </w:p>
    <w:p w14:paraId="57796019">
      <w:pPr>
        <w:spacing w:after="160" w:line="360" w:lineRule="auto"/>
        <w:jc w:val="center"/>
        <w:rPr>
          <w:rFonts w:hint="eastAsia" w:ascii="宋体" w:hAnsi="宋体" w:eastAsia="宋体" w:cs="宋体"/>
          <w:b/>
          <w:bCs/>
          <w:sz w:val="21"/>
          <w:szCs w:val="21"/>
          <w:highlight w:val="none"/>
        </w:rPr>
      </w:pPr>
    </w:p>
    <w:p w14:paraId="2226260C">
      <w:pPr>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14:paraId="4CA97B95">
      <w:pPr>
        <w:spacing w:after="16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采购代理机构服务质量考核表</w:t>
      </w:r>
    </w:p>
    <w:p w14:paraId="74A54F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采购代理机构：</w:t>
      </w:r>
    </w:p>
    <w:p w14:paraId="2C85AB9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考核单位：          </w:t>
      </w:r>
    </w:p>
    <w:p w14:paraId="49BA1E8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考核季度：第   季度； 考核时间：   年   月   日</w:t>
      </w:r>
    </w:p>
    <w:tbl>
      <w:tblPr>
        <w:tblStyle w:val="44"/>
        <w:tblW w:w="4998" w:type="pct"/>
        <w:tblInd w:w="0" w:type="dxa"/>
        <w:tblLayout w:type="autofit"/>
        <w:tblCellMar>
          <w:top w:w="0" w:type="dxa"/>
          <w:left w:w="108" w:type="dxa"/>
          <w:bottom w:w="0" w:type="dxa"/>
          <w:right w:w="108" w:type="dxa"/>
        </w:tblCellMar>
      </w:tblPr>
      <w:tblGrid>
        <w:gridCol w:w="570"/>
        <w:gridCol w:w="585"/>
        <w:gridCol w:w="1053"/>
        <w:gridCol w:w="5182"/>
        <w:gridCol w:w="958"/>
        <w:gridCol w:w="823"/>
        <w:gridCol w:w="1195"/>
      </w:tblGrid>
      <w:tr w14:paraId="4734291F">
        <w:tblPrEx>
          <w:tblCellMar>
            <w:top w:w="0" w:type="dxa"/>
            <w:left w:w="108" w:type="dxa"/>
            <w:bottom w:w="0" w:type="dxa"/>
            <w:right w:w="108" w:type="dxa"/>
          </w:tblCellMar>
        </w:tblPrEx>
        <w:trPr>
          <w:trHeight w:val="636"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B11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6952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考核内容</w:t>
            </w:r>
          </w:p>
        </w:tc>
        <w:tc>
          <w:tcPr>
            <w:tcW w:w="2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780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考核标准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8F9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权重</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65B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得分</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5F0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加权得分</w:t>
            </w:r>
          </w:p>
        </w:tc>
      </w:tr>
      <w:tr w14:paraId="31F383AF">
        <w:tblPrEx>
          <w:tblCellMar>
            <w:top w:w="0" w:type="dxa"/>
            <w:left w:w="108" w:type="dxa"/>
            <w:bottom w:w="0" w:type="dxa"/>
            <w:right w:w="108" w:type="dxa"/>
          </w:tblCellMar>
        </w:tblPrEx>
        <w:trPr>
          <w:trHeight w:val="1124"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CFC1">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ACC65">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采购代理机构运作情况</w:t>
            </w:r>
          </w:p>
        </w:tc>
        <w:tc>
          <w:tcPr>
            <w:tcW w:w="2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E873">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横向比较各代理机构采购文件编制人或复核人到位情况；采购代理机构主要负责人组织协调能力；采购代理人员业务能力、工作态度、主动性。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AB86">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996E">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F4A1">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p>
        </w:tc>
      </w:tr>
      <w:tr w14:paraId="5C7CE186">
        <w:tblPrEx>
          <w:tblCellMar>
            <w:top w:w="0" w:type="dxa"/>
            <w:left w:w="108" w:type="dxa"/>
            <w:bottom w:w="0" w:type="dxa"/>
            <w:right w:w="108" w:type="dxa"/>
          </w:tblCellMar>
        </w:tblPrEx>
        <w:trPr>
          <w:trHeight w:val="90"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FD0E5">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DA583">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项目质量</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DD8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采购文件编制情况</w:t>
            </w:r>
          </w:p>
        </w:tc>
        <w:tc>
          <w:tcPr>
            <w:tcW w:w="2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139E">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横向比较各代理机构合理化建议，配合项目组做好划分标段计划及拟定采购方案情况；收集与采购项目有关的技术、图纸、最新法律法规等资料，理解项目需求情况；根据采购需求编制采购文件，对资质等级、采购范围、费用包干等重点环节核实情况；根据项目采购人及行业主管部门（若有）要求，对采购文件内容不适当部分的修改，</w:t>
            </w:r>
            <w:r>
              <w:rPr>
                <w:rFonts w:hint="eastAsia" w:ascii="宋体" w:hAnsi="宋体" w:eastAsia="宋体" w:cs="宋体"/>
                <w:sz w:val="21"/>
                <w:szCs w:val="21"/>
                <w:highlight w:val="none"/>
                <w:lang w:val="en-US" w:eastAsia="zh-CN"/>
              </w:rPr>
              <w:t>发现并修改</w:t>
            </w:r>
            <w:r>
              <w:rPr>
                <w:rFonts w:hint="eastAsia" w:ascii="宋体" w:hAnsi="宋体" w:eastAsia="宋体" w:cs="宋体"/>
                <w:sz w:val="21"/>
                <w:szCs w:val="21"/>
                <w:highlight w:val="none"/>
              </w:rPr>
              <w:t>错漏情况；采购文件的传阅、答辩、定稿情况。</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EAF4">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60B8">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C7D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p>
        </w:tc>
      </w:tr>
      <w:tr w14:paraId="1589C546">
        <w:tblPrEx>
          <w:tblCellMar>
            <w:top w:w="0" w:type="dxa"/>
            <w:left w:w="108" w:type="dxa"/>
            <w:bottom w:w="0" w:type="dxa"/>
            <w:right w:w="108" w:type="dxa"/>
          </w:tblCellMar>
        </w:tblPrEx>
        <w:trPr>
          <w:trHeight w:val="141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BA55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A1D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D33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采购程序组织情况</w:t>
            </w:r>
          </w:p>
        </w:tc>
        <w:tc>
          <w:tcPr>
            <w:tcW w:w="2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37D9">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横向比较各代理机构组织开展招标活动情况；完成各采购进度控制节点工作情况；开标评标等工作情况；现场应变能力，处理问题情况；采购代理人员语言举止及服务态度。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7D0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9B9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91F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p>
        </w:tc>
      </w:tr>
      <w:tr w14:paraId="5EC35460">
        <w:tblPrEx>
          <w:tblCellMar>
            <w:top w:w="0" w:type="dxa"/>
            <w:left w:w="108" w:type="dxa"/>
            <w:bottom w:w="0" w:type="dxa"/>
            <w:right w:w="108" w:type="dxa"/>
          </w:tblCellMar>
        </w:tblPrEx>
        <w:trPr>
          <w:trHeight w:val="10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A67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0638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异议、投诉处理情况</w:t>
            </w:r>
          </w:p>
        </w:tc>
        <w:tc>
          <w:tcPr>
            <w:tcW w:w="2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71F8">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横向比较各代理机构受理供应商异议或投诉情况：时效、运用法律法规熟悉程度、效果；协助采购人处理投诉及其他事务情况。</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63BA">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6FF8">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C629">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p>
        </w:tc>
      </w:tr>
      <w:tr w14:paraId="24CB8FE8">
        <w:tblPrEx>
          <w:tblCellMar>
            <w:top w:w="0" w:type="dxa"/>
            <w:left w:w="108" w:type="dxa"/>
            <w:bottom w:w="0" w:type="dxa"/>
            <w:right w:w="108" w:type="dxa"/>
          </w:tblCellMar>
        </w:tblPrEx>
        <w:trPr>
          <w:trHeight w:val="65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1B91">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B7B38">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资料管理情况</w:t>
            </w:r>
          </w:p>
        </w:tc>
        <w:tc>
          <w:tcPr>
            <w:tcW w:w="2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0D8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横向比较各代理机构发对各采购项目资料收集、移交、备案、保管等管理情况。</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040A">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5D17">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744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p>
        </w:tc>
      </w:tr>
      <w:tr w14:paraId="126D5F24">
        <w:tblPrEx>
          <w:tblCellMar>
            <w:top w:w="0" w:type="dxa"/>
            <w:left w:w="108" w:type="dxa"/>
            <w:bottom w:w="0" w:type="dxa"/>
            <w:right w:w="108" w:type="dxa"/>
          </w:tblCellMar>
        </w:tblPrEx>
        <w:trPr>
          <w:trHeight w:val="140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9EF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2F89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后续配套及咨询服务情况</w:t>
            </w:r>
          </w:p>
        </w:tc>
        <w:tc>
          <w:tcPr>
            <w:tcW w:w="2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7711">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横向比较各代理机构采购代理人员应用专业技术与技能为</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人提供完成</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工作相关的咨询服务情况，包括向</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人宣传有关项目</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投标的法律、行政法规和规章，解释合理的</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程序等。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506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DFAB">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E1C2">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p>
        </w:tc>
      </w:tr>
      <w:tr w14:paraId="031E0516">
        <w:tblPrEx>
          <w:tblCellMar>
            <w:top w:w="0" w:type="dxa"/>
            <w:left w:w="108" w:type="dxa"/>
            <w:bottom w:w="0" w:type="dxa"/>
            <w:right w:w="108" w:type="dxa"/>
          </w:tblCellMar>
        </w:tblPrEx>
        <w:trPr>
          <w:trHeight w:val="455" w:hRule="atLeast"/>
        </w:trPr>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5DD2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综合得分</w:t>
            </w:r>
          </w:p>
        </w:tc>
        <w:tc>
          <w:tcPr>
            <w:tcW w:w="39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A81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p>
        </w:tc>
      </w:tr>
    </w:tbl>
    <w:p w14:paraId="5E3612A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说明：1、</w:t>
      </w:r>
      <w:r>
        <w:rPr>
          <w:rFonts w:hint="eastAsia" w:ascii="宋体" w:hAnsi="宋体" w:eastAsia="宋体" w:cs="宋体"/>
          <w:sz w:val="21"/>
          <w:szCs w:val="21"/>
          <w:highlight w:val="none"/>
        </w:rPr>
        <w:t>本考核表最终解释权归</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人有权调整相关考核方式。</w:t>
      </w:r>
    </w:p>
    <w:p w14:paraId="4E5E5EE5">
      <w:pPr>
        <w:pStyle w:val="16"/>
        <w:autoSpaceDE/>
        <w:autoSpaceDN/>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2、每项考核内容按优[100-90]分、良（90-80]分、中（80-70]分、合格（70-60]分、不合格（70-0]分，进行打分。</w:t>
      </w:r>
    </w:p>
    <w:p w14:paraId="0CAACAB9">
      <w:pPr>
        <w:spacing w:line="360" w:lineRule="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br w:type="page"/>
      </w:r>
    </w:p>
    <w:p w14:paraId="04A192DD">
      <w:pPr>
        <w:pStyle w:val="138"/>
        <w:keepNext w:val="0"/>
        <w:keepLines w:val="0"/>
        <w:pageBreakBefore w:val="0"/>
        <w:widowControl w:val="0"/>
        <w:kinsoku/>
        <w:wordWrap/>
        <w:overflowPunct/>
        <w:topLinePunct w:val="0"/>
        <w:autoSpaceDE/>
        <w:autoSpaceDN/>
        <w:bidi w:val="0"/>
        <w:adjustRightInd/>
        <w:snapToGrid/>
        <w:spacing w:before="164" w:beforeLines="50" w:after="164" w:afterLines="50" w:line="360" w:lineRule="auto"/>
        <w:ind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4"/>
          <w:highlight w:val="none"/>
          <w:lang w:val="en-US" w:eastAsia="zh-CN"/>
        </w:rPr>
        <w:t>标段二：招标代理协议服务</w:t>
      </w:r>
    </w:p>
    <w:p w14:paraId="0C09EF6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一、招标内容</w:t>
      </w:r>
    </w:p>
    <w:p w14:paraId="086EB4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东莞市水务环境投资控股集团有限公司</w:t>
      </w:r>
      <w:r>
        <w:rPr>
          <w:rFonts w:hint="eastAsia" w:ascii="宋体" w:hAnsi="宋体" w:eastAsia="宋体" w:cs="宋体"/>
          <w:color w:val="auto"/>
          <w:szCs w:val="21"/>
          <w:highlight w:val="none"/>
        </w:rPr>
        <w:t>根据工作需要，现通过公开招标选取</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家招标代理机构在协议服务期限内，提供</w:t>
      </w:r>
      <w:r>
        <w:rPr>
          <w:rFonts w:hint="eastAsia" w:ascii="宋体" w:hAnsi="宋体" w:eastAsia="宋体" w:cs="宋体"/>
          <w:color w:val="auto"/>
          <w:sz w:val="21"/>
          <w:szCs w:val="21"/>
          <w:highlight w:val="none"/>
          <w:lang w:val="en-US" w:eastAsia="zh-CN"/>
        </w:rPr>
        <w:t>东莞市水务环境投资控股集团有限公司</w:t>
      </w:r>
      <w:r>
        <w:rPr>
          <w:rFonts w:hint="eastAsia" w:ascii="宋体" w:hAnsi="宋体" w:eastAsia="宋体" w:cs="宋体"/>
          <w:color w:val="auto"/>
          <w:szCs w:val="21"/>
          <w:highlight w:val="none"/>
        </w:rPr>
        <w:t>（含下属企业）</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代理服务，包括工程及与工程相关的货物、服务</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或其他项目</w:t>
      </w:r>
      <w:r>
        <w:rPr>
          <w:rFonts w:hint="eastAsia" w:ascii="宋体" w:hAnsi="宋体" w:eastAsia="宋体" w:cs="宋体"/>
          <w:color w:val="auto"/>
          <w:sz w:val="21"/>
          <w:szCs w:val="21"/>
          <w:highlight w:val="none"/>
        </w:rPr>
        <w:t>，具体以</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人实际委托项目为准</w:t>
      </w:r>
      <w:r>
        <w:rPr>
          <w:rFonts w:hint="eastAsia" w:ascii="宋体" w:hAnsi="宋体" w:eastAsia="宋体" w:cs="宋体"/>
          <w:color w:val="auto"/>
          <w:szCs w:val="21"/>
          <w:highlight w:val="none"/>
        </w:rPr>
        <w:t>。</w:t>
      </w:r>
    </w:p>
    <w:p w14:paraId="5F42CEB5">
      <w:pPr>
        <w:spacing w:line="360" w:lineRule="auto"/>
        <w:ind w:firstLine="424" w:firstLineChars="20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color w:val="auto"/>
          <w:szCs w:val="21"/>
          <w:highlight w:val="none"/>
        </w:rPr>
        <w:t>协议服务期限</w:t>
      </w:r>
      <w:r>
        <w:rPr>
          <w:rFonts w:hint="eastAsia" w:ascii="宋体" w:hAnsi="宋体" w:eastAsia="宋体" w:cs="宋体"/>
          <w:b/>
          <w:bCs/>
          <w:color w:val="auto"/>
          <w:szCs w:val="21"/>
          <w:highlight w:val="none"/>
        </w:rPr>
        <w:t>及服务内容</w:t>
      </w:r>
    </w:p>
    <w:p w14:paraId="2660ADA9">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 本项目的协议服务期限：自合同签订之日起2年。</w:t>
      </w:r>
    </w:p>
    <w:p w14:paraId="07CA1DAF">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2.2 </w:t>
      </w:r>
      <w:r>
        <w:rPr>
          <w:rFonts w:hint="eastAsia" w:ascii="宋体" w:hAnsi="宋体" w:eastAsia="宋体" w:cs="宋体"/>
          <w:color w:val="auto"/>
          <w:szCs w:val="21"/>
          <w:highlight w:val="none"/>
          <w:lang w:val="en-US" w:eastAsia="zh-CN"/>
        </w:rPr>
        <w:t>东莞市水务环境投资控股集团有限公司</w:t>
      </w:r>
      <w:r>
        <w:rPr>
          <w:rFonts w:hint="eastAsia" w:ascii="宋体" w:hAnsi="宋体" w:eastAsia="宋体" w:cs="宋体"/>
          <w:color w:val="auto"/>
          <w:szCs w:val="21"/>
          <w:highlight w:val="none"/>
        </w:rPr>
        <w:t>（含下属企业）作为</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委托招标代理机构对招标项目实行全过程代理服务工作，包括但不限于：</w:t>
      </w:r>
    </w:p>
    <w:p w14:paraId="20FF1E42">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（1）对项目全过程进行统筹规划，对招标项目提出合理化建议、协助</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复核招标基本条件并开展招标需求调查；</w:t>
      </w:r>
    </w:p>
    <w:p w14:paraId="5C75DBCE">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（2）发布招标计划（如需）；</w:t>
      </w:r>
    </w:p>
    <w:p w14:paraId="574C5FD3">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）编制</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及合同；</w:t>
      </w:r>
    </w:p>
    <w:p w14:paraId="5B06DDAC">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）办理行业监督部门</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核备手续（如需），提出招标申请，预订开标、入围筛选（如需）、评标和定标（如需）场地；</w:t>
      </w:r>
    </w:p>
    <w:p w14:paraId="25547DD6">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w:t>
      </w:r>
      <w:r>
        <w:rPr>
          <w:rFonts w:hint="eastAsia" w:ascii="宋体" w:hAnsi="宋体" w:eastAsia="宋体" w:cs="宋体"/>
          <w:color w:val="auto"/>
          <w:szCs w:val="21"/>
          <w:highlight w:val="none"/>
        </w:rPr>
        <w:t>）发出投标邀请书或发布招标公告；</w:t>
      </w:r>
    </w:p>
    <w:p w14:paraId="21FEA969">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lang w:val="en-US" w:eastAsia="zh-CN"/>
        </w:rPr>
        <w:t>或发售招标文件</w:t>
      </w:r>
      <w:r>
        <w:rPr>
          <w:rFonts w:hint="eastAsia" w:ascii="宋体" w:hAnsi="宋体" w:eastAsia="宋体" w:cs="宋体"/>
          <w:color w:val="auto"/>
          <w:szCs w:val="21"/>
          <w:highlight w:val="none"/>
        </w:rPr>
        <w:t>；</w:t>
      </w:r>
    </w:p>
    <w:p w14:paraId="7A625576">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7</w:t>
      </w:r>
      <w:r>
        <w:rPr>
          <w:rFonts w:hint="eastAsia" w:ascii="宋体" w:hAnsi="宋体" w:eastAsia="宋体" w:cs="宋体"/>
          <w:color w:val="auto"/>
          <w:szCs w:val="21"/>
          <w:highlight w:val="none"/>
        </w:rPr>
        <w:t>）协助</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）审查投标人（供应商）资格，答疑和整理答疑回复，对</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进行必要的澄清与修改；</w:t>
      </w:r>
    </w:p>
    <w:p w14:paraId="1F3AA014">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8</w:t>
      </w:r>
      <w:r>
        <w:rPr>
          <w:rFonts w:hint="eastAsia" w:ascii="宋体" w:hAnsi="宋体" w:eastAsia="宋体" w:cs="宋体"/>
          <w:color w:val="auto"/>
          <w:szCs w:val="21"/>
          <w:highlight w:val="none"/>
        </w:rPr>
        <w:t>）申请评标及评标专家抽取（</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专家代表除外，非评审项目除外）；</w:t>
      </w:r>
    </w:p>
    <w:p w14:paraId="4F2DCD5C">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9</w:t>
      </w:r>
      <w:r>
        <w:rPr>
          <w:rFonts w:hint="eastAsia" w:ascii="宋体" w:hAnsi="宋体" w:eastAsia="宋体" w:cs="宋体"/>
          <w:color w:val="auto"/>
          <w:szCs w:val="21"/>
          <w:highlight w:val="none"/>
        </w:rPr>
        <w:t>）申请及办理公证（监督部门或</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有要求时）；</w:t>
      </w:r>
    </w:p>
    <w:p w14:paraId="1A32C742">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接收投标（响应）文件（如有），</w:t>
      </w:r>
      <w:r>
        <w:rPr>
          <w:rFonts w:hint="eastAsia" w:ascii="宋体" w:hAnsi="宋体" w:eastAsia="宋体" w:cs="宋体"/>
          <w:color w:val="auto"/>
          <w:szCs w:val="21"/>
          <w:highlight w:val="none"/>
        </w:rPr>
        <w:t>组织开标、入围筛选（如需）、评标和定标（如需）；</w:t>
      </w:r>
    </w:p>
    <w:p w14:paraId="701755FD">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11</w:t>
      </w:r>
      <w:r>
        <w:rPr>
          <w:rFonts w:hint="eastAsia" w:ascii="宋体" w:hAnsi="宋体" w:eastAsia="宋体" w:cs="宋体"/>
          <w:color w:val="auto"/>
          <w:szCs w:val="21"/>
          <w:highlight w:val="none"/>
        </w:rPr>
        <w:t>）结果公示；</w:t>
      </w:r>
    </w:p>
    <w:p w14:paraId="0E3CE625">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12</w:t>
      </w:r>
      <w:r>
        <w:rPr>
          <w:rFonts w:hint="eastAsia" w:ascii="宋体" w:hAnsi="宋体" w:eastAsia="宋体" w:cs="宋体"/>
          <w:color w:val="auto"/>
          <w:szCs w:val="21"/>
          <w:highlight w:val="none"/>
        </w:rPr>
        <w:t>）签发中标通知书；</w:t>
      </w:r>
    </w:p>
    <w:p w14:paraId="12840157">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13</w:t>
      </w:r>
      <w:r>
        <w:rPr>
          <w:rFonts w:hint="eastAsia" w:ascii="宋体" w:hAnsi="宋体" w:eastAsia="宋体" w:cs="宋体"/>
          <w:color w:val="auto"/>
          <w:szCs w:val="21"/>
          <w:highlight w:val="none"/>
        </w:rPr>
        <w:t>）协助签订合同及征询合同双方意见进行修订并装订；</w:t>
      </w:r>
    </w:p>
    <w:p w14:paraId="14485682">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14</w:t>
      </w:r>
      <w:r>
        <w:rPr>
          <w:rFonts w:hint="eastAsia" w:ascii="宋体" w:hAnsi="宋体" w:eastAsia="宋体" w:cs="宋体"/>
          <w:color w:val="auto"/>
          <w:szCs w:val="21"/>
          <w:highlight w:val="none"/>
        </w:rPr>
        <w:t>）合同公示；</w:t>
      </w:r>
    </w:p>
    <w:p w14:paraId="4102C4BA">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收取、</w:t>
      </w:r>
      <w:r>
        <w:rPr>
          <w:rFonts w:hint="eastAsia" w:ascii="宋体" w:hAnsi="宋体" w:eastAsia="宋体" w:cs="宋体"/>
          <w:color w:val="auto"/>
          <w:szCs w:val="21"/>
          <w:highlight w:val="none"/>
        </w:rPr>
        <w:t>退回投标保证金（如需）；</w:t>
      </w:r>
    </w:p>
    <w:p w14:paraId="1F6DEAF7">
      <w:pPr>
        <w:pStyle w:val="138"/>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16</w:t>
      </w:r>
      <w:r>
        <w:rPr>
          <w:rFonts w:hint="eastAsia" w:ascii="宋体" w:hAnsi="宋体" w:eastAsia="宋体" w:cs="宋体"/>
          <w:color w:val="auto"/>
          <w:szCs w:val="21"/>
          <w:highlight w:val="none"/>
        </w:rPr>
        <w:t>）编制招标投标情况报告及办理行业监督部门核备手续（如需）</w:t>
      </w:r>
      <w:r>
        <w:rPr>
          <w:rFonts w:hint="eastAsia" w:ascii="宋体" w:hAnsi="宋体" w:eastAsia="宋体" w:cs="宋体"/>
          <w:color w:val="auto"/>
          <w:szCs w:val="21"/>
          <w:highlight w:val="none"/>
          <w:lang w:eastAsia="zh-CN"/>
        </w:rPr>
        <w:t>；</w:t>
      </w:r>
    </w:p>
    <w:p w14:paraId="02A29139">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17</w:t>
      </w:r>
      <w:r>
        <w:rPr>
          <w:rFonts w:hint="eastAsia" w:ascii="宋体" w:hAnsi="宋体" w:eastAsia="宋体" w:cs="宋体"/>
          <w:color w:val="auto"/>
          <w:szCs w:val="21"/>
          <w:highlight w:val="none"/>
        </w:rPr>
        <w:t>）审核预中标单位投标文件的不平衡报价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138CB31">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18</w:t>
      </w:r>
      <w:r>
        <w:rPr>
          <w:rFonts w:hint="eastAsia" w:ascii="宋体" w:hAnsi="宋体" w:eastAsia="宋体" w:cs="宋体"/>
          <w:color w:val="auto"/>
          <w:szCs w:val="21"/>
          <w:highlight w:val="none"/>
        </w:rPr>
        <w:t>）招标资料收集及移交，招标全过程资料整理（含档案数字化）和存档保管；</w:t>
      </w:r>
    </w:p>
    <w:p w14:paraId="437FA7DF">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19</w:t>
      </w:r>
      <w:r>
        <w:rPr>
          <w:rFonts w:hint="eastAsia" w:ascii="宋体" w:hAnsi="宋体" w:eastAsia="宋体" w:cs="宋体"/>
          <w:color w:val="auto"/>
          <w:szCs w:val="21"/>
          <w:highlight w:val="none"/>
        </w:rPr>
        <w:t>）协助处理异议；</w:t>
      </w:r>
    </w:p>
    <w:p w14:paraId="4BF1794F">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20</w:t>
      </w:r>
      <w:r>
        <w:rPr>
          <w:rFonts w:hint="eastAsia" w:ascii="宋体" w:hAnsi="宋体" w:eastAsia="宋体" w:cs="宋体"/>
          <w:color w:val="auto"/>
          <w:szCs w:val="21"/>
          <w:highlight w:val="none"/>
        </w:rPr>
        <w:t>）协助处理投诉或其他相关事务；</w:t>
      </w:r>
    </w:p>
    <w:p w14:paraId="2CAFFD19">
      <w:pPr>
        <w:pStyle w:val="138"/>
        <w:spacing w:line="360" w:lineRule="auto"/>
        <w:rPr>
          <w:rFonts w:ascii="宋体" w:hAnsi="宋体" w:eastAsia="宋体" w:cs="宋体"/>
          <w:b/>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21</w:t>
      </w:r>
      <w:r>
        <w:rPr>
          <w:rFonts w:hint="eastAsia" w:ascii="宋体" w:hAnsi="宋体" w:eastAsia="宋体" w:cs="宋体"/>
          <w:color w:val="auto"/>
          <w:szCs w:val="21"/>
          <w:highlight w:val="none"/>
        </w:rPr>
        <w:t>）合同咨询及其他服务，包括处理招标工程后续工作、协助调解招标过程及招标合同实施过程中的争议，以及其他保证招标工作按时按质顺利进行的其他事项。</w:t>
      </w:r>
    </w:p>
    <w:p w14:paraId="0885D5E5">
      <w:pPr>
        <w:pStyle w:val="138"/>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2.3 中标人应本着诚实信用的原则，高效率的提供本用户需求书规定的各项服务。</w:t>
      </w:r>
    </w:p>
    <w:p w14:paraId="1C76A727">
      <w:pPr>
        <w:spacing w:line="360" w:lineRule="auto"/>
        <w:ind w:firstLine="422" w:firstLineChars="201"/>
        <w:rPr>
          <w:rFonts w:ascii="宋体" w:hAnsi="宋体" w:eastAsia="宋体" w:cs="宋体"/>
          <w:b/>
          <w:bCs/>
          <w:color w:val="auto"/>
          <w:szCs w:val="21"/>
          <w:highlight w:val="none"/>
        </w:rPr>
      </w:pPr>
      <w:r>
        <w:rPr>
          <w:rFonts w:hint="eastAsia" w:ascii="宋体" w:hAnsi="宋体" w:eastAsia="宋体" w:cs="宋体"/>
          <w:b w:val="0"/>
          <w:bCs w:val="0"/>
          <w:color w:val="auto"/>
          <w:szCs w:val="21"/>
          <w:highlight w:val="none"/>
          <w:lang w:val="en-US" w:eastAsia="zh-CN"/>
        </w:rPr>
        <w:t>三、</w:t>
      </w:r>
      <w:r>
        <w:rPr>
          <w:rFonts w:hint="eastAsia" w:ascii="宋体" w:hAnsi="宋体" w:eastAsia="宋体" w:cs="宋体"/>
          <w:b/>
          <w:bCs/>
          <w:color w:val="auto"/>
          <w:szCs w:val="21"/>
          <w:highlight w:val="none"/>
        </w:rPr>
        <w:t>招标代理服务规范要求</w:t>
      </w:r>
    </w:p>
    <w:p w14:paraId="602B5308">
      <w:pPr>
        <w:pStyle w:val="138"/>
        <w:spacing w:line="360" w:lineRule="auto"/>
        <w:ind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招标代理服务工作程序</w:t>
      </w:r>
    </w:p>
    <w:tbl>
      <w:tblPr>
        <w:tblStyle w:val="44"/>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40"/>
        <w:gridCol w:w="6830"/>
      </w:tblGrid>
      <w:tr w14:paraId="5413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exact"/>
        </w:trPr>
        <w:tc>
          <w:tcPr>
            <w:tcW w:w="1642" w:type="pct"/>
            <w:vAlign w:val="center"/>
          </w:tcPr>
          <w:p w14:paraId="0A3DB46D">
            <w:pPr>
              <w:pStyle w:val="222"/>
              <w:keepNext w:val="0"/>
              <w:keepLines w:val="0"/>
              <w:suppressLineNumbers w:val="0"/>
              <w:kinsoku w:val="0"/>
              <w:overflowPunct w:val="0"/>
              <w:spacing w:before="111" w:beforeAutospacing="0" w:after="0" w:afterAutospacing="0"/>
              <w:ind w:left="955" w:right="956"/>
              <w:jc w:val="center"/>
              <w:rPr>
                <w:rFonts w:hint="default" w:ascii="宋体" w:hAnsi="宋体" w:eastAsia="宋体"/>
                <w:color w:val="auto"/>
                <w:szCs w:val="21"/>
                <w:highlight w:val="none"/>
              </w:rPr>
            </w:pPr>
            <w:r>
              <w:rPr>
                <w:rFonts w:hint="eastAsia" w:ascii="宋体" w:hAnsi="宋体" w:eastAsia="宋体"/>
                <w:b/>
                <w:bCs/>
                <w:color w:val="auto"/>
                <w:szCs w:val="21"/>
                <w:highlight w:val="none"/>
              </w:rPr>
              <w:t>工作阶段</w:t>
            </w:r>
          </w:p>
        </w:tc>
        <w:tc>
          <w:tcPr>
            <w:tcW w:w="3357" w:type="pct"/>
            <w:vAlign w:val="center"/>
          </w:tcPr>
          <w:p w14:paraId="7D652B5B">
            <w:pPr>
              <w:pStyle w:val="222"/>
              <w:keepNext w:val="0"/>
              <w:keepLines w:val="0"/>
              <w:suppressLineNumbers w:val="0"/>
              <w:kinsoku w:val="0"/>
              <w:overflowPunct w:val="0"/>
              <w:spacing w:before="111"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b/>
                <w:bCs/>
                <w:color w:val="auto"/>
                <w:szCs w:val="21"/>
                <w:highlight w:val="none"/>
              </w:rPr>
              <w:t>工作内容</w:t>
            </w:r>
          </w:p>
        </w:tc>
      </w:tr>
      <w:tr w14:paraId="5D0A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restart"/>
            <w:vAlign w:val="center"/>
          </w:tcPr>
          <w:p w14:paraId="5EC21DFF">
            <w:pPr>
              <w:pStyle w:val="222"/>
              <w:keepNext w:val="0"/>
              <w:keepLines w:val="0"/>
              <w:suppressLineNumbers w:val="0"/>
              <w:kinsoku w:val="0"/>
              <w:overflowPunct w:val="0"/>
              <w:spacing w:before="187"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业务承接与招标准备阶段</w:t>
            </w:r>
          </w:p>
        </w:tc>
        <w:tc>
          <w:tcPr>
            <w:tcW w:w="3357" w:type="pct"/>
            <w:vAlign w:val="center"/>
          </w:tcPr>
          <w:p w14:paraId="560C14CF">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承接业务及签订招标代理合同</w:t>
            </w:r>
          </w:p>
        </w:tc>
      </w:tr>
      <w:tr w14:paraId="0AF9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475673D3">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p>
        </w:tc>
        <w:tc>
          <w:tcPr>
            <w:tcW w:w="3357" w:type="pct"/>
            <w:vAlign w:val="center"/>
          </w:tcPr>
          <w:p w14:paraId="1DEA6448">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组建招标代理项目组</w:t>
            </w:r>
          </w:p>
        </w:tc>
      </w:tr>
      <w:tr w14:paraId="1D86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41BA7A9F">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p>
        </w:tc>
        <w:tc>
          <w:tcPr>
            <w:tcW w:w="3357" w:type="pct"/>
            <w:vAlign w:val="center"/>
          </w:tcPr>
          <w:p w14:paraId="6DD2363B">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收集和分析基础信息</w:t>
            </w:r>
          </w:p>
        </w:tc>
      </w:tr>
      <w:tr w14:paraId="0D72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38E0AD79">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p>
        </w:tc>
        <w:tc>
          <w:tcPr>
            <w:tcW w:w="3357" w:type="pct"/>
            <w:vAlign w:val="center"/>
          </w:tcPr>
          <w:p w14:paraId="50913261">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落实招标基本条件</w:t>
            </w:r>
          </w:p>
        </w:tc>
      </w:tr>
      <w:tr w14:paraId="5BC1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35BF98EC">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p>
        </w:tc>
        <w:tc>
          <w:tcPr>
            <w:tcW w:w="3357" w:type="pct"/>
            <w:vAlign w:val="center"/>
          </w:tcPr>
          <w:p w14:paraId="3F97E919">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发布招标计划（如需）</w:t>
            </w:r>
          </w:p>
        </w:tc>
      </w:tr>
      <w:tr w14:paraId="4C64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trPr>
        <w:tc>
          <w:tcPr>
            <w:tcW w:w="1642" w:type="pct"/>
            <w:vMerge w:val="continue"/>
            <w:vAlign w:val="center"/>
          </w:tcPr>
          <w:p w14:paraId="2D92C1BA">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52258046">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对项目全过程进行统筹规划</w:t>
            </w:r>
          </w:p>
        </w:tc>
      </w:tr>
      <w:tr w14:paraId="0AC3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restart"/>
            <w:vAlign w:val="center"/>
          </w:tcPr>
          <w:p w14:paraId="0AAB7218">
            <w:pPr>
              <w:pStyle w:val="222"/>
              <w:keepNext w:val="0"/>
              <w:keepLines w:val="0"/>
              <w:suppressLineNumbers w:val="0"/>
              <w:kinsoku w:val="0"/>
              <w:overflowPunct w:val="0"/>
              <w:spacing w:before="1"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招标投标阶段</w:t>
            </w:r>
          </w:p>
        </w:tc>
        <w:tc>
          <w:tcPr>
            <w:tcW w:w="3357" w:type="pct"/>
            <w:vAlign w:val="center"/>
          </w:tcPr>
          <w:p w14:paraId="0316FC90">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编制招标文件及合同</w:t>
            </w:r>
          </w:p>
        </w:tc>
      </w:tr>
      <w:tr w14:paraId="188E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1948BCB4">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69DF5F25">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发出招标公告（或投标邀请书）</w:t>
            </w:r>
          </w:p>
        </w:tc>
      </w:tr>
      <w:tr w14:paraId="2845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2DD484C6">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p>
        </w:tc>
        <w:tc>
          <w:tcPr>
            <w:tcW w:w="3357" w:type="pct"/>
            <w:vAlign w:val="center"/>
          </w:tcPr>
          <w:p w14:paraId="192B5D54">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发</w:t>
            </w:r>
            <w:r>
              <w:rPr>
                <w:rFonts w:hint="eastAsia" w:ascii="宋体" w:hAnsi="宋体" w:eastAsia="宋体"/>
                <w:color w:val="auto"/>
                <w:szCs w:val="21"/>
                <w:highlight w:val="none"/>
                <w:lang w:val="en-US" w:eastAsia="zh-CN"/>
              </w:rPr>
              <w:t>布</w:t>
            </w:r>
            <w:r>
              <w:rPr>
                <w:rFonts w:hint="eastAsia" w:ascii="宋体" w:hAnsi="宋体" w:eastAsia="宋体"/>
                <w:color w:val="auto"/>
                <w:szCs w:val="21"/>
                <w:highlight w:val="none"/>
              </w:rPr>
              <w:t>招标文件</w:t>
            </w:r>
          </w:p>
        </w:tc>
      </w:tr>
      <w:tr w14:paraId="6E5D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trPr>
        <w:tc>
          <w:tcPr>
            <w:tcW w:w="1642" w:type="pct"/>
            <w:vMerge w:val="continue"/>
            <w:vAlign w:val="center"/>
          </w:tcPr>
          <w:p w14:paraId="6F40DBC3">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1F97B524">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组织潜在投标人（供应商）踏勘现场(如需)</w:t>
            </w:r>
          </w:p>
        </w:tc>
      </w:tr>
      <w:tr w14:paraId="6A78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74B0CCF5">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p>
        </w:tc>
        <w:tc>
          <w:tcPr>
            <w:tcW w:w="3357" w:type="pct"/>
            <w:vAlign w:val="center"/>
          </w:tcPr>
          <w:p w14:paraId="6227DA61">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招标文件答疑、澄清与修改（如需）</w:t>
            </w:r>
          </w:p>
        </w:tc>
      </w:tr>
      <w:tr w14:paraId="4C18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6969B473">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p>
        </w:tc>
        <w:tc>
          <w:tcPr>
            <w:tcW w:w="3357" w:type="pct"/>
            <w:vAlign w:val="center"/>
          </w:tcPr>
          <w:p w14:paraId="7B614A5F">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申请评标专家抽取</w:t>
            </w:r>
          </w:p>
        </w:tc>
      </w:tr>
      <w:tr w14:paraId="7610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692A946A">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p>
        </w:tc>
        <w:tc>
          <w:tcPr>
            <w:tcW w:w="3357" w:type="pct"/>
            <w:vAlign w:val="center"/>
          </w:tcPr>
          <w:p w14:paraId="351A0291">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申请及办理公证（监督部门或招标人有要求时）</w:t>
            </w:r>
          </w:p>
        </w:tc>
      </w:tr>
      <w:tr w14:paraId="3740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restart"/>
            <w:vAlign w:val="center"/>
          </w:tcPr>
          <w:p w14:paraId="07809728">
            <w:pPr>
              <w:pStyle w:val="222"/>
              <w:keepNext w:val="0"/>
              <w:keepLines w:val="0"/>
              <w:suppressLineNumbers w:val="0"/>
              <w:kinsoku w:val="0"/>
              <w:overflowPunct w:val="0"/>
              <w:spacing w:before="187"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开标、入围筛选、评标和与定标阶段</w:t>
            </w:r>
          </w:p>
        </w:tc>
        <w:tc>
          <w:tcPr>
            <w:tcW w:w="3357" w:type="pct"/>
            <w:vAlign w:val="center"/>
          </w:tcPr>
          <w:p w14:paraId="5CA21F9C">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组织开标</w:t>
            </w:r>
          </w:p>
        </w:tc>
      </w:tr>
      <w:tr w14:paraId="1D35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022935B5">
            <w:pPr>
              <w:pStyle w:val="222"/>
              <w:keepNext w:val="0"/>
              <w:keepLines w:val="0"/>
              <w:suppressLineNumbers w:val="0"/>
              <w:kinsoku w:val="0"/>
              <w:overflowPunct w:val="0"/>
              <w:spacing w:before="187" w:beforeAutospacing="0" w:after="0" w:afterAutospacing="0"/>
              <w:ind w:left="245" w:right="0"/>
              <w:jc w:val="center"/>
              <w:rPr>
                <w:rFonts w:hint="default" w:ascii="宋体" w:hAnsi="宋体" w:eastAsia="宋体"/>
                <w:color w:val="auto"/>
                <w:szCs w:val="21"/>
                <w:highlight w:val="none"/>
              </w:rPr>
            </w:pPr>
          </w:p>
        </w:tc>
        <w:tc>
          <w:tcPr>
            <w:tcW w:w="3357" w:type="pct"/>
            <w:vAlign w:val="center"/>
          </w:tcPr>
          <w:p w14:paraId="66FF6217">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组织入围筛选（如需）</w:t>
            </w:r>
          </w:p>
        </w:tc>
      </w:tr>
      <w:tr w14:paraId="14A5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trPr>
        <w:tc>
          <w:tcPr>
            <w:tcW w:w="1642" w:type="pct"/>
            <w:vMerge w:val="continue"/>
            <w:vAlign w:val="center"/>
          </w:tcPr>
          <w:p w14:paraId="0CDC7AD0">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4F261E59">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组织评标</w:t>
            </w:r>
          </w:p>
        </w:tc>
      </w:tr>
      <w:tr w14:paraId="6BFC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1F6A2286">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24EA76E5">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lang w:val="en-US" w:eastAsia="zh-CN"/>
              </w:rPr>
              <w:t>答辩、清标、</w:t>
            </w:r>
            <w:r>
              <w:rPr>
                <w:rFonts w:hint="eastAsia" w:ascii="宋体" w:hAnsi="宋体" w:eastAsia="宋体"/>
                <w:color w:val="auto"/>
                <w:szCs w:val="21"/>
                <w:highlight w:val="none"/>
              </w:rPr>
              <w:t>组织定标（如需）</w:t>
            </w:r>
          </w:p>
        </w:tc>
      </w:tr>
      <w:tr w14:paraId="59A4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6E3719C9">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61005721">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结果公示</w:t>
            </w:r>
          </w:p>
        </w:tc>
      </w:tr>
      <w:tr w14:paraId="59E9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continue"/>
            <w:vAlign w:val="center"/>
          </w:tcPr>
          <w:p w14:paraId="5231A48E">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0A731D47">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发出中标通知书</w:t>
            </w:r>
          </w:p>
        </w:tc>
      </w:tr>
      <w:tr w14:paraId="7C63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trPr>
        <w:tc>
          <w:tcPr>
            <w:tcW w:w="1642" w:type="pct"/>
            <w:vMerge w:val="restart"/>
            <w:vAlign w:val="center"/>
          </w:tcPr>
          <w:p w14:paraId="72C385C6">
            <w:pPr>
              <w:pStyle w:val="222"/>
              <w:keepNext w:val="0"/>
              <w:keepLines w:val="0"/>
              <w:suppressLineNumbers w:val="0"/>
              <w:kinsoku w:val="0"/>
              <w:overflowPunct w:val="0"/>
              <w:spacing w:before="132"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合同签订及后续服务阶段</w:t>
            </w:r>
          </w:p>
        </w:tc>
        <w:tc>
          <w:tcPr>
            <w:tcW w:w="3357" w:type="pct"/>
            <w:vAlign w:val="center"/>
          </w:tcPr>
          <w:p w14:paraId="30E9D67A">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协助签订合同</w:t>
            </w:r>
          </w:p>
        </w:tc>
      </w:tr>
      <w:tr w14:paraId="061B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trPr>
        <w:tc>
          <w:tcPr>
            <w:tcW w:w="1642" w:type="pct"/>
            <w:vMerge w:val="continue"/>
            <w:vAlign w:val="center"/>
          </w:tcPr>
          <w:p w14:paraId="24185228">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070D8BC3">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合同公示</w:t>
            </w:r>
          </w:p>
        </w:tc>
      </w:tr>
      <w:tr w14:paraId="067E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trPr>
        <w:tc>
          <w:tcPr>
            <w:tcW w:w="1642" w:type="pct"/>
            <w:vMerge w:val="continue"/>
            <w:vAlign w:val="center"/>
          </w:tcPr>
          <w:p w14:paraId="4E3341D4">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09DA4C11">
            <w:pPr>
              <w:pStyle w:val="222"/>
              <w:keepNext w:val="0"/>
              <w:keepLines w:val="0"/>
              <w:suppressLineNumbers w:val="0"/>
              <w:kinsoku w:val="0"/>
              <w:overflowPunct w:val="0"/>
              <w:spacing w:before="3" w:beforeAutospacing="0" w:after="0" w:afterAutospacing="0"/>
              <w:ind w:left="840" w:right="84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退还投标保证金</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如需</w:t>
            </w:r>
            <w:r>
              <w:rPr>
                <w:rFonts w:hint="eastAsia" w:ascii="宋体" w:hAnsi="宋体" w:eastAsia="宋体"/>
                <w:color w:val="auto"/>
                <w:szCs w:val="21"/>
                <w:highlight w:val="none"/>
                <w:lang w:eastAsia="zh-CN"/>
              </w:rPr>
              <w:t>）</w:t>
            </w:r>
          </w:p>
        </w:tc>
      </w:tr>
      <w:tr w14:paraId="2982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exact"/>
        </w:trPr>
        <w:tc>
          <w:tcPr>
            <w:tcW w:w="1642" w:type="pct"/>
            <w:vMerge w:val="continue"/>
            <w:vAlign w:val="center"/>
          </w:tcPr>
          <w:p w14:paraId="30F55D19">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4C6C45B1">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编制招标投标情况报告及办理行业监督部门核备手续（如需）</w:t>
            </w:r>
          </w:p>
        </w:tc>
      </w:tr>
      <w:tr w14:paraId="47C6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trPr>
        <w:tc>
          <w:tcPr>
            <w:tcW w:w="1642" w:type="pct"/>
            <w:vMerge w:val="continue"/>
            <w:vAlign w:val="center"/>
          </w:tcPr>
          <w:p w14:paraId="757873AE">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2F778DA2">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审核预中标单位投标文件的不平衡报价</w:t>
            </w:r>
          </w:p>
        </w:tc>
      </w:tr>
      <w:tr w14:paraId="6DA6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exact"/>
        </w:trPr>
        <w:tc>
          <w:tcPr>
            <w:tcW w:w="1642" w:type="pct"/>
            <w:vMerge w:val="continue"/>
            <w:vAlign w:val="center"/>
          </w:tcPr>
          <w:p w14:paraId="4392BF79">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3E12D7AC">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招标资料收集及移交，招标全过程资料整理（含档案数字化）和存档保管</w:t>
            </w:r>
          </w:p>
        </w:tc>
      </w:tr>
      <w:tr w14:paraId="6CEE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trPr>
        <w:tc>
          <w:tcPr>
            <w:tcW w:w="1642" w:type="pct"/>
            <w:vMerge w:val="continue"/>
            <w:vAlign w:val="center"/>
          </w:tcPr>
          <w:p w14:paraId="082D222C">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6CF7E1F6">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协助处理异议</w:t>
            </w:r>
          </w:p>
        </w:tc>
      </w:tr>
      <w:tr w14:paraId="7B7C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trPr>
        <w:tc>
          <w:tcPr>
            <w:tcW w:w="1642" w:type="pct"/>
            <w:vMerge w:val="continue"/>
            <w:vAlign w:val="center"/>
          </w:tcPr>
          <w:p w14:paraId="2E7B0018">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73E5A6E1">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协助处理投诉或其他相关事务</w:t>
            </w:r>
          </w:p>
        </w:tc>
      </w:tr>
      <w:tr w14:paraId="723F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trPr>
        <w:tc>
          <w:tcPr>
            <w:tcW w:w="1642" w:type="pct"/>
            <w:vMerge w:val="continue"/>
            <w:vAlign w:val="center"/>
          </w:tcPr>
          <w:p w14:paraId="7AF8F7CB">
            <w:pPr>
              <w:pStyle w:val="222"/>
              <w:keepNext w:val="0"/>
              <w:keepLines w:val="0"/>
              <w:suppressLineNumbers w:val="0"/>
              <w:kinsoku w:val="0"/>
              <w:overflowPunct w:val="0"/>
              <w:spacing w:before="3" w:beforeAutospacing="0" w:after="0" w:afterAutospacing="0"/>
              <w:ind w:left="839" w:right="840"/>
              <w:jc w:val="center"/>
              <w:rPr>
                <w:rFonts w:hint="default" w:ascii="宋体" w:hAnsi="宋体" w:eastAsia="宋体"/>
                <w:color w:val="auto"/>
                <w:szCs w:val="21"/>
                <w:highlight w:val="none"/>
              </w:rPr>
            </w:pPr>
          </w:p>
        </w:tc>
        <w:tc>
          <w:tcPr>
            <w:tcW w:w="3357" w:type="pct"/>
            <w:vAlign w:val="center"/>
          </w:tcPr>
          <w:p w14:paraId="0F56A94C">
            <w:pPr>
              <w:pStyle w:val="222"/>
              <w:keepNext w:val="0"/>
              <w:keepLines w:val="0"/>
              <w:suppressLineNumbers w:val="0"/>
              <w:kinsoku w:val="0"/>
              <w:overflowPunct w:val="0"/>
              <w:spacing w:before="3" w:beforeAutospacing="0" w:after="0" w:afterAutospacing="0"/>
              <w:ind w:left="840" w:right="840"/>
              <w:jc w:val="center"/>
              <w:rPr>
                <w:rFonts w:hint="default" w:ascii="宋体" w:hAnsi="宋体" w:eastAsia="宋体"/>
                <w:color w:val="auto"/>
                <w:szCs w:val="21"/>
                <w:highlight w:val="none"/>
              </w:rPr>
            </w:pPr>
            <w:r>
              <w:rPr>
                <w:rFonts w:hint="eastAsia" w:ascii="宋体" w:hAnsi="宋体" w:eastAsia="宋体"/>
                <w:color w:val="auto"/>
                <w:szCs w:val="21"/>
                <w:highlight w:val="none"/>
              </w:rPr>
              <w:t>合同咨询及其他服务</w:t>
            </w:r>
          </w:p>
        </w:tc>
      </w:tr>
    </w:tbl>
    <w:p w14:paraId="2E353E75">
      <w:pPr>
        <w:pStyle w:val="13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招标代理工作职责划分及法定时限要求</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3"/>
        <w:gridCol w:w="1848"/>
        <w:gridCol w:w="2492"/>
        <w:gridCol w:w="2118"/>
        <w:gridCol w:w="2909"/>
      </w:tblGrid>
      <w:tr w14:paraId="6637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exact"/>
        </w:trPr>
        <w:tc>
          <w:tcPr>
            <w:tcW w:w="390" w:type="pct"/>
            <w:vMerge w:val="restart"/>
            <w:vAlign w:val="center"/>
          </w:tcPr>
          <w:p w14:paraId="00A799BE">
            <w:pPr>
              <w:pStyle w:val="222"/>
              <w:keepNext w:val="0"/>
              <w:keepLines w:val="0"/>
              <w:suppressLineNumbers w:val="0"/>
              <w:kinsoku w:val="0"/>
              <w:overflowPunct w:val="0"/>
              <w:spacing w:before="0" w:beforeAutospacing="0" w:after="0" w:afterAutospacing="0" w:line="300" w:lineRule="exact"/>
              <w:ind w:left="166" w:right="150"/>
              <w:jc w:val="center"/>
              <w:rPr>
                <w:rFonts w:hint="default" w:ascii="宋体" w:hAnsi="宋体" w:eastAsia="宋体"/>
                <w:b/>
                <w:bCs/>
                <w:color w:val="auto"/>
                <w:szCs w:val="21"/>
                <w:highlight w:val="none"/>
              </w:rPr>
            </w:pPr>
            <w:r>
              <w:rPr>
                <w:rFonts w:hint="eastAsia" w:ascii="宋体" w:hAnsi="宋体" w:eastAsia="宋体"/>
                <w:b/>
                <w:bCs/>
                <w:color w:val="auto"/>
                <w:szCs w:val="21"/>
                <w:highlight w:val="none"/>
              </w:rPr>
              <w:t>工作</w:t>
            </w:r>
          </w:p>
          <w:p w14:paraId="6F0923B6">
            <w:pPr>
              <w:pStyle w:val="222"/>
              <w:keepNext w:val="0"/>
              <w:keepLines w:val="0"/>
              <w:suppressLineNumbers w:val="0"/>
              <w:kinsoku w:val="0"/>
              <w:overflowPunct w:val="0"/>
              <w:spacing w:before="0" w:beforeAutospacing="0" w:after="0" w:afterAutospacing="0" w:line="300" w:lineRule="exact"/>
              <w:ind w:left="166" w:right="150"/>
              <w:jc w:val="center"/>
              <w:rPr>
                <w:rFonts w:hint="default" w:ascii="宋体" w:hAnsi="宋体" w:eastAsia="宋体"/>
                <w:color w:val="auto"/>
                <w:szCs w:val="21"/>
                <w:highlight w:val="none"/>
              </w:rPr>
            </w:pPr>
            <w:r>
              <w:rPr>
                <w:rFonts w:hint="eastAsia" w:ascii="宋体" w:hAnsi="宋体" w:eastAsia="宋体"/>
                <w:b/>
                <w:bCs/>
                <w:color w:val="auto"/>
                <w:szCs w:val="21"/>
                <w:highlight w:val="none"/>
              </w:rPr>
              <w:t>阶段</w:t>
            </w:r>
          </w:p>
        </w:tc>
        <w:tc>
          <w:tcPr>
            <w:tcW w:w="909" w:type="pct"/>
            <w:vMerge w:val="restart"/>
            <w:vAlign w:val="center"/>
          </w:tcPr>
          <w:p w14:paraId="7D1AE9A4">
            <w:pPr>
              <w:pStyle w:val="222"/>
              <w:keepNext w:val="0"/>
              <w:keepLines w:val="0"/>
              <w:suppressLineNumbers w:val="0"/>
              <w:kinsoku w:val="0"/>
              <w:overflowPunct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b/>
                <w:bCs/>
                <w:color w:val="auto"/>
                <w:szCs w:val="21"/>
                <w:highlight w:val="none"/>
              </w:rPr>
              <w:t>工作程序</w:t>
            </w:r>
          </w:p>
        </w:tc>
        <w:tc>
          <w:tcPr>
            <w:tcW w:w="2268" w:type="pct"/>
            <w:gridSpan w:val="2"/>
            <w:vAlign w:val="center"/>
          </w:tcPr>
          <w:p w14:paraId="01FE4D6B">
            <w:pPr>
              <w:pStyle w:val="222"/>
              <w:keepNext w:val="0"/>
              <w:keepLines w:val="0"/>
              <w:suppressLineNumbers w:val="0"/>
              <w:kinsoku w:val="0"/>
              <w:overflowPunct w:val="0"/>
              <w:spacing w:before="0" w:beforeAutospacing="0" w:after="0" w:afterAutospacing="0" w:line="300" w:lineRule="exact"/>
              <w:ind w:left="1451" w:right="1452"/>
              <w:jc w:val="center"/>
              <w:rPr>
                <w:rFonts w:hint="default" w:ascii="宋体" w:hAnsi="宋体" w:eastAsia="宋体"/>
                <w:color w:val="auto"/>
                <w:szCs w:val="21"/>
                <w:highlight w:val="none"/>
              </w:rPr>
            </w:pPr>
            <w:r>
              <w:rPr>
                <w:rFonts w:hint="eastAsia" w:ascii="宋体" w:hAnsi="宋体" w:eastAsia="宋体"/>
                <w:b/>
                <w:bCs/>
                <w:color w:val="auto"/>
                <w:szCs w:val="21"/>
                <w:highlight w:val="none"/>
              </w:rPr>
              <w:t>职责划分</w:t>
            </w:r>
          </w:p>
        </w:tc>
        <w:tc>
          <w:tcPr>
            <w:tcW w:w="1431" w:type="pct"/>
            <w:vMerge w:val="restart"/>
            <w:vAlign w:val="center"/>
          </w:tcPr>
          <w:p w14:paraId="6F9164A3">
            <w:pPr>
              <w:pStyle w:val="222"/>
              <w:keepNext w:val="0"/>
              <w:keepLines w:val="0"/>
              <w:suppressLineNumbers w:val="0"/>
              <w:kinsoku w:val="0"/>
              <w:overflowPunct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b/>
                <w:bCs/>
                <w:color w:val="auto"/>
                <w:szCs w:val="21"/>
                <w:highlight w:val="none"/>
              </w:rPr>
              <w:t>法定时限要求</w:t>
            </w:r>
          </w:p>
        </w:tc>
      </w:tr>
      <w:tr w14:paraId="7FBF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exact"/>
        </w:trPr>
        <w:tc>
          <w:tcPr>
            <w:tcW w:w="390" w:type="pct"/>
            <w:vMerge w:val="continue"/>
            <w:vAlign w:val="center"/>
          </w:tcPr>
          <w:p w14:paraId="26B7CF47">
            <w:pPr>
              <w:pStyle w:val="222"/>
              <w:keepNext w:val="0"/>
              <w:keepLines w:val="0"/>
              <w:suppressLineNumbers w:val="0"/>
              <w:kinsoku w:val="0"/>
              <w:overflowPunct w:val="0"/>
              <w:spacing w:before="0" w:beforeAutospacing="0" w:after="0" w:afterAutospacing="0" w:line="300" w:lineRule="exact"/>
              <w:ind w:left="362" w:right="0"/>
              <w:jc w:val="center"/>
              <w:rPr>
                <w:rFonts w:hint="default" w:ascii="宋体" w:hAnsi="宋体" w:eastAsia="宋体"/>
                <w:color w:val="auto"/>
                <w:szCs w:val="21"/>
                <w:highlight w:val="none"/>
              </w:rPr>
            </w:pPr>
          </w:p>
        </w:tc>
        <w:tc>
          <w:tcPr>
            <w:tcW w:w="909" w:type="pct"/>
            <w:vMerge w:val="continue"/>
            <w:vAlign w:val="center"/>
          </w:tcPr>
          <w:p w14:paraId="70D41B2C">
            <w:pPr>
              <w:pStyle w:val="222"/>
              <w:keepNext w:val="0"/>
              <w:keepLines w:val="0"/>
              <w:suppressLineNumbers w:val="0"/>
              <w:kinsoku w:val="0"/>
              <w:overflowPunct w:val="0"/>
              <w:spacing w:before="0" w:beforeAutospacing="0" w:after="0" w:afterAutospacing="0" w:line="300" w:lineRule="exact"/>
              <w:ind w:left="362" w:right="0"/>
              <w:jc w:val="center"/>
              <w:rPr>
                <w:rFonts w:hint="default" w:ascii="宋体" w:hAnsi="宋体" w:eastAsia="宋体"/>
                <w:color w:val="auto"/>
                <w:szCs w:val="21"/>
                <w:highlight w:val="none"/>
              </w:rPr>
            </w:pPr>
          </w:p>
        </w:tc>
        <w:tc>
          <w:tcPr>
            <w:tcW w:w="1226" w:type="pct"/>
            <w:vAlign w:val="center"/>
          </w:tcPr>
          <w:p w14:paraId="6FAB464D">
            <w:pPr>
              <w:pStyle w:val="222"/>
              <w:keepNext w:val="0"/>
              <w:keepLines w:val="0"/>
              <w:suppressLineNumbers w:val="0"/>
              <w:kinsoku w:val="0"/>
              <w:overflowPunct w:val="0"/>
              <w:spacing w:before="102" w:beforeAutospacing="0" w:after="0" w:afterAutospacing="0" w:line="300" w:lineRule="exact"/>
              <w:ind w:left="51" w:right="53"/>
              <w:jc w:val="center"/>
              <w:rPr>
                <w:rFonts w:hint="default" w:ascii="宋体" w:hAnsi="宋体" w:eastAsia="宋体"/>
                <w:color w:val="auto"/>
                <w:szCs w:val="21"/>
                <w:highlight w:val="none"/>
              </w:rPr>
            </w:pPr>
            <w:r>
              <w:rPr>
                <w:rFonts w:hint="eastAsia" w:ascii="宋体" w:hAnsi="宋体" w:eastAsia="宋体"/>
                <w:b/>
                <w:bCs/>
                <w:color w:val="auto"/>
                <w:szCs w:val="21"/>
                <w:highlight w:val="none"/>
              </w:rPr>
              <w:t>招标代理机构</w:t>
            </w:r>
          </w:p>
        </w:tc>
        <w:tc>
          <w:tcPr>
            <w:tcW w:w="1041" w:type="pct"/>
            <w:vAlign w:val="center"/>
          </w:tcPr>
          <w:p w14:paraId="16740B93">
            <w:pPr>
              <w:pStyle w:val="222"/>
              <w:keepNext w:val="0"/>
              <w:keepLines w:val="0"/>
              <w:suppressLineNumbers w:val="0"/>
              <w:kinsoku w:val="0"/>
              <w:overflowPunct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b/>
                <w:bCs/>
                <w:color w:val="auto"/>
                <w:szCs w:val="21"/>
                <w:highlight w:val="none"/>
              </w:rPr>
              <w:t>招标人（或招标人下属企业）</w:t>
            </w:r>
          </w:p>
        </w:tc>
        <w:tc>
          <w:tcPr>
            <w:tcW w:w="1431" w:type="pct"/>
            <w:vMerge w:val="continue"/>
            <w:vAlign w:val="center"/>
          </w:tcPr>
          <w:p w14:paraId="5FB027CB">
            <w:pPr>
              <w:pStyle w:val="222"/>
              <w:keepNext w:val="0"/>
              <w:keepLines w:val="0"/>
              <w:suppressLineNumbers w:val="0"/>
              <w:kinsoku w:val="0"/>
              <w:overflowPunct w:val="0"/>
              <w:spacing w:before="102" w:beforeAutospacing="0" w:after="0" w:afterAutospacing="0" w:line="300" w:lineRule="exact"/>
              <w:ind w:left="639" w:right="639"/>
              <w:jc w:val="center"/>
              <w:rPr>
                <w:rFonts w:hint="default" w:ascii="宋体" w:hAnsi="宋体" w:eastAsia="宋体"/>
                <w:color w:val="auto"/>
                <w:szCs w:val="21"/>
                <w:highlight w:val="none"/>
              </w:rPr>
            </w:pPr>
          </w:p>
        </w:tc>
      </w:tr>
      <w:tr w14:paraId="7F3A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2" w:hRule="exact"/>
        </w:trPr>
        <w:tc>
          <w:tcPr>
            <w:tcW w:w="390" w:type="pct"/>
            <w:vMerge w:val="restart"/>
            <w:vAlign w:val="center"/>
          </w:tcPr>
          <w:p w14:paraId="668E1B34">
            <w:pPr>
              <w:pStyle w:val="222"/>
              <w:keepNext w:val="0"/>
              <w:keepLines w:val="0"/>
              <w:suppressLineNumbers w:val="0"/>
              <w:kinsoku w:val="0"/>
              <w:overflowPunct w:val="0"/>
              <w:spacing w:before="0" w:beforeAutospacing="0" w:after="0" w:afterAutospacing="0" w:line="360" w:lineRule="exact"/>
              <w:ind w:left="167" w:right="167"/>
              <w:jc w:val="center"/>
              <w:rPr>
                <w:rFonts w:hint="default" w:ascii="宋体" w:hAnsi="宋体" w:eastAsia="宋体"/>
                <w:color w:val="auto"/>
                <w:szCs w:val="21"/>
                <w:highlight w:val="none"/>
              </w:rPr>
            </w:pPr>
            <w:r>
              <w:rPr>
                <w:rFonts w:hint="eastAsia" w:ascii="宋体" w:hAnsi="宋体" w:eastAsia="宋体"/>
                <w:color w:val="auto"/>
                <w:szCs w:val="21"/>
                <w:highlight w:val="none"/>
              </w:rPr>
              <w:t>业务承接与招标准备阶段</w:t>
            </w:r>
          </w:p>
        </w:tc>
        <w:tc>
          <w:tcPr>
            <w:tcW w:w="909" w:type="pct"/>
            <w:vAlign w:val="center"/>
          </w:tcPr>
          <w:p w14:paraId="3277DBCD">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收集和分析基础信息</w:t>
            </w:r>
          </w:p>
        </w:tc>
        <w:tc>
          <w:tcPr>
            <w:tcW w:w="1226" w:type="pct"/>
            <w:vAlign w:val="center"/>
          </w:tcPr>
          <w:p w14:paraId="5DFEE810">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对招标人（或招标人下属企业）提供的相关基础资料和信息进行审查、提出合理化建议和提供咨询服务</w:t>
            </w:r>
          </w:p>
        </w:tc>
        <w:tc>
          <w:tcPr>
            <w:tcW w:w="1041" w:type="pct"/>
            <w:vAlign w:val="center"/>
          </w:tcPr>
          <w:p w14:paraId="10A6A538">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提供开展招标项目所需的相关基础资料和信息</w:t>
            </w:r>
          </w:p>
        </w:tc>
        <w:tc>
          <w:tcPr>
            <w:tcW w:w="1431" w:type="pct"/>
            <w:vAlign w:val="center"/>
          </w:tcPr>
          <w:p w14:paraId="31E91808">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p>
        </w:tc>
      </w:tr>
      <w:tr w14:paraId="762D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3" w:hRule="exact"/>
        </w:trPr>
        <w:tc>
          <w:tcPr>
            <w:tcW w:w="390" w:type="pct"/>
            <w:vMerge w:val="continue"/>
            <w:vAlign w:val="center"/>
          </w:tcPr>
          <w:p w14:paraId="275911CF">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6F3D3B31">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落实招标基本条件</w:t>
            </w:r>
          </w:p>
        </w:tc>
        <w:tc>
          <w:tcPr>
            <w:tcW w:w="1226" w:type="pct"/>
            <w:vAlign w:val="center"/>
          </w:tcPr>
          <w:p w14:paraId="6E11B49D">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协助招标人复核，保证招标项目具备法定的招标条件</w:t>
            </w:r>
          </w:p>
        </w:tc>
        <w:tc>
          <w:tcPr>
            <w:tcW w:w="1041" w:type="pct"/>
            <w:vAlign w:val="center"/>
          </w:tcPr>
          <w:p w14:paraId="71ABE8A2">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保证招标项目具备法定的招标条件</w:t>
            </w:r>
          </w:p>
        </w:tc>
        <w:tc>
          <w:tcPr>
            <w:tcW w:w="1431" w:type="pct"/>
            <w:vAlign w:val="center"/>
          </w:tcPr>
          <w:p w14:paraId="68BFEC1A">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p>
        </w:tc>
      </w:tr>
      <w:tr w14:paraId="54DC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3" w:hRule="exact"/>
        </w:trPr>
        <w:tc>
          <w:tcPr>
            <w:tcW w:w="390" w:type="pct"/>
            <w:vMerge w:val="continue"/>
            <w:vAlign w:val="center"/>
          </w:tcPr>
          <w:p w14:paraId="2B6033F1">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5B569F4E">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发布招标计划（如需）</w:t>
            </w:r>
          </w:p>
        </w:tc>
        <w:tc>
          <w:tcPr>
            <w:tcW w:w="1226" w:type="pct"/>
            <w:vAlign w:val="center"/>
          </w:tcPr>
          <w:p w14:paraId="0F8732BA">
            <w:pPr>
              <w:pStyle w:val="222"/>
              <w:keepNext w:val="0"/>
              <w:keepLines w:val="0"/>
              <w:suppressLineNumbers w:val="0"/>
              <w:kinsoku w:val="0"/>
              <w:overflowPunct w:val="0"/>
              <w:spacing w:before="0" w:beforeAutospacing="0" w:after="0" w:afterAutospacing="0"/>
              <w:ind w:left="7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办理发布招标计划所需的手续</w:t>
            </w:r>
          </w:p>
        </w:tc>
        <w:tc>
          <w:tcPr>
            <w:tcW w:w="1041" w:type="pct"/>
            <w:vAlign w:val="center"/>
          </w:tcPr>
          <w:p w14:paraId="1142375E">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对招标计划内容进行确认</w:t>
            </w:r>
          </w:p>
        </w:tc>
        <w:tc>
          <w:tcPr>
            <w:tcW w:w="1431" w:type="pct"/>
            <w:vAlign w:val="center"/>
          </w:tcPr>
          <w:p w14:paraId="2F507CD8">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发布时间应提前招标公告发布时间不少于30日</w:t>
            </w:r>
          </w:p>
        </w:tc>
      </w:tr>
      <w:tr w14:paraId="5114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exact"/>
        </w:trPr>
        <w:tc>
          <w:tcPr>
            <w:tcW w:w="390" w:type="pct"/>
            <w:vMerge w:val="continue"/>
            <w:vAlign w:val="center"/>
          </w:tcPr>
          <w:p w14:paraId="70E9BDB9">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65C84174">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对项目全过程进行统筹规划</w:t>
            </w:r>
          </w:p>
        </w:tc>
        <w:tc>
          <w:tcPr>
            <w:tcW w:w="1226" w:type="pct"/>
            <w:vAlign w:val="center"/>
          </w:tcPr>
          <w:p w14:paraId="753924E3">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招标方案初稿的拟订及修改</w:t>
            </w:r>
            <w:r>
              <w:rPr>
                <w:rFonts w:hint="eastAsia" w:ascii="宋体" w:hAnsi="宋体" w:eastAsia="宋体"/>
                <w:color w:val="auto"/>
                <w:highlight w:val="none"/>
              </w:rPr>
              <w:t>，</w:t>
            </w:r>
            <w:r>
              <w:rPr>
                <w:rFonts w:hint="eastAsia" w:ascii="宋体" w:hAnsi="宋体" w:eastAsia="宋体"/>
                <w:color w:val="auto"/>
                <w:szCs w:val="21"/>
                <w:highlight w:val="none"/>
              </w:rPr>
              <w:t>协助招标人（或招标人下属企业）开展招标需求调查等</w:t>
            </w:r>
          </w:p>
        </w:tc>
        <w:tc>
          <w:tcPr>
            <w:tcW w:w="1041" w:type="pct"/>
            <w:vAlign w:val="center"/>
          </w:tcPr>
          <w:p w14:paraId="3E3531F3">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招标方案的审查及决策</w:t>
            </w:r>
          </w:p>
        </w:tc>
        <w:tc>
          <w:tcPr>
            <w:tcW w:w="1431" w:type="pct"/>
            <w:vAlign w:val="center"/>
          </w:tcPr>
          <w:p w14:paraId="4E5BB8BB">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p>
        </w:tc>
      </w:tr>
      <w:tr w14:paraId="0840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exact"/>
        </w:trPr>
        <w:tc>
          <w:tcPr>
            <w:tcW w:w="390" w:type="pct"/>
            <w:vMerge w:val="restart"/>
            <w:vAlign w:val="center"/>
          </w:tcPr>
          <w:p w14:paraId="3B9B95E3">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招标投标阶段</w:t>
            </w:r>
          </w:p>
        </w:tc>
        <w:tc>
          <w:tcPr>
            <w:tcW w:w="909" w:type="pct"/>
            <w:vAlign w:val="center"/>
          </w:tcPr>
          <w:p w14:paraId="2A51AC23">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编制招标文件及合同</w:t>
            </w:r>
          </w:p>
        </w:tc>
        <w:tc>
          <w:tcPr>
            <w:tcW w:w="1226" w:type="pct"/>
            <w:vAlign w:val="center"/>
          </w:tcPr>
          <w:p w14:paraId="6B66E43D">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招标文件及合同的编制及修改</w:t>
            </w:r>
          </w:p>
        </w:tc>
        <w:tc>
          <w:tcPr>
            <w:tcW w:w="1041" w:type="pct"/>
            <w:vAlign w:val="center"/>
          </w:tcPr>
          <w:p w14:paraId="70A5D64C">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招标文件及合同的审查、决策及报批（备案）</w:t>
            </w:r>
          </w:p>
        </w:tc>
        <w:tc>
          <w:tcPr>
            <w:tcW w:w="1431" w:type="pct"/>
            <w:vAlign w:val="center"/>
          </w:tcPr>
          <w:p w14:paraId="04F263EA">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p>
        </w:tc>
      </w:tr>
      <w:tr w14:paraId="13D1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7" w:hRule="exact"/>
        </w:trPr>
        <w:tc>
          <w:tcPr>
            <w:tcW w:w="390" w:type="pct"/>
            <w:vMerge w:val="continue"/>
            <w:vAlign w:val="center"/>
          </w:tcPr>
          <w:p w14:paraId="68B4911F">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2CDEC7DA">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发布招标公告或投标邀请书</w:t>
            </w:r>
          </w:p>
        </w:tc>
        <w:tc>
          <w:tcPr>
            <w:tcW w:w="1226" w:type="pct"/>
            <w:vAlign w:val="center"/>
          </w:tcPr>
          <w:p w14:paraId="2E110A0D">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办理发布招标公告所需的手续</w:t>
            </w:r>
          </w:p>
          <w:p w14:paraId="16F8707C">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投标邀请书的发放</w:t>
            </w:r>
          </w:p>
        </w:tc>
        <w:tc>
          <w:tcPr>
            <w:tcW w:w="1041" w:type="pct"/>
            <w:vAlign w:val="center"/>
          </w:tcPr>
          <w:p w14:paraId="1F81F7F8">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对招标公告或投标邀请书内容进行确认</w:t>
            </w:r>
          </w:p>
        </w:tc>
        <w:tc>
          <w:tcPr>
            <w:tcW w:w="1431" w:type="pct"/>
            <w:vAlign w:val="center"/>
          </w:tcPr>
          <w:p w14:paraId="4D03417E">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依法必须进行招标的项目，自招标文件开始发出之日起至投标人提交投标文件截止之日止，综合评分法、评定分离招标的最短不得少于20日。简易法招标的，自招标公告发布之日起不少于5个工作日</w:t>
            </w:r>
          </w:p>
        </w:tc>
      </w:tr>
      <w:tr w14:paraId="3C7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exact"/>
        </w:trPr>
        <w:tc>
          <w:tcPr>
            <w:tcW w:w="390" w:type="pct"/>
            <w:vMerge w:val="continue"/>
            <w:vAlign w:val="center"/>
          </w:tcPr>
          <w:p w14:paraId="0D734D84">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2CBCD032">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发</w:t>
            </w:r>
            <w:r>
              <w:rPr>
                <w:rFonts w:hint="eastAsia" w:ascii="宋体" w:hAnsi="宋体" w:eastAsia="宋体"/>
                <w:color w:val="auto"/>
                <w:szCs w:val="21"/>
                <w:highlight w:val="none"/>
                <w:lang w:val="en-US" w:eastAsia="zh-CN"/>
              </w:rPr>
              <w:t>布</w:t>
            </w:r>
            <w:r>
              <w:rPr>
                <w:rFonts w:hint="eastAsia" w:ascii="宋体" w:hAnsi="宋体" w:eastAsia="宋体"/>
                <w:color w:val="auto"/>
                <w:szCs w:val="21"/>
                <w:highlight w:val="none"/>
              </w:rPr>
              <w:t>招标文件</w:t>
            </w:r>
          </w:p>
        </w:tc>
        <w:tc>
          <w:tcPr>
            <w:tcW w:w="1226" w:type="pct"/>
            <w:vAlign w:val="center"/>
          </w:tcPr>
          <w:p w14:paraId="6EAEE9FB">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发</w:t>
            </w:r>
            <w:r>
              <w:rPr>
                <w:rFonts w:hint="eastAsia" w:ascii="宋体" w:hAnsi="宋体" w:eastAsia="宋体"/>
                <w:color w:val="auto"/>
                <w:szCs w:val="21"/>
                <w:highlight w:val="none"/>
                <w:lang w:val="en-US" w:eastAsia="zh-CN"/>
              </w:rPr>
              <w:t>布</w:t>
            </w:r>
            <w:r>
              <w:rPr>
                <w:rFonts w:hint="eastAsia" w:ascii="宋体" w:hAnsi="宋体" w:eastAsia="宋体"/>
                <w:color w:val="auto"/>
                <w:szCs w:val="21"/>
                <w:highlight w:val="none"/>
              </w:rPr>
              <w:t>招标文件</w:t>
            </w:r>
          </w:p>
        </w:tc>
        <w:tc>
          <w:tcPr>
            <w:tcW w:w="1041" w:type="pct"/>
            <w:vAlign w:val="center"/>
          </w:tcPr>
          <w:p w14:paraId="75C82FA6">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c>
          <w:tcPr>
            <w:tcW w:w="1431" w:type="pct"/>
            <w:vAlign w:val="center"/>
          </w:tcPr>
          <w:p w14:paraId="2A86A8C8">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r>
      <w:tr w14:paraId="0640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exact"/>
        </w:trPr>
        <w:tc>
          <w:tcPr>
            <w:tcW w:w="390" w:type="pct"/>
            <w:vMerge w:val="continue"/>
            <w:vAlign w:val="center"/>
          </w:tcPr>
          <w:p w14:paraId="2DB5CE7B">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241BE205">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组织潜在投标人（供应商）踏勘现场（如需）</w:t>
            </w:r>
          </w:p>
        </w:tc>
        <w:tc>
          <w:tcPr>
            <w:tcW w:w="1226" w:type="pct"/>
            <w:vAlign w:val="center"/>
          </w:tcPr>
          <w:p w14:paraId="3DBB5110">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组织潜在投标人（供应商）踏勘项目现场</w:t>
            </w:r>
          </w:p>
        </w:tc>
        <w:tc>
          <w:tcPr>
            <w:tcW w:w="1041" w:type="pct"/>
            <w:vAlign w:val="center"/>
          </w:tcPr>
          <w:p w14:paraId="1AC008D4">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提供现场踏勘条件</w:t>
            </w:r>
          </w:p>
        </w:tc>
        <w:tc>
          <w:tcPr>
            <w:tcW w:w="1431" w:type="pct"/>
            <w:vAlign w:val="center"/>
          </w:tcPr>
          <w:p w14:paraId="654057FE">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r>
      <w:tr w14:paraId="7BD8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exact"/>
        </w:trPr>
        <w:tc>
          <w:tcPr>
            <w:tcW w:w="390" w:type="pct"/>
            <w:vMerge w:val="continue"/>
            <w:vAlign w:val="center"/>
          </w:tcPr>
          <w:p w14:paraId="1EFAE587">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1C2759F6">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招标文件答疑、澄清与修改（如需）</w:t>
            </w:r>
          </w:p>
        </w:tc>
        <w:tc>
          <w:tcPr>
            <w:tcW w:w="1226" w:type="pct"/>
            <w:vAlign w:val="center"/>
          </w:tcPr>
          <w:p w14:paraId="4CC4EBD0">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招标文件答疑、澄清或修改的编制及完善</w:t>
            </w:r>
          </w:p>
        </w:tc>
        <w:tc>
          <w:tcPr>
            <w:tcW w:w="1041" w:type="pct"/>
            <w:vAlign w:val="center"/>
          </w:tcPr>
          <w:p w14:paraId="3B59B19C">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招标文件答疑、澄清或修改的审查、决策及报批（备案）</w:t>
            </w:r>
          </w:p>
          <w:p w14:paraId="7363451B">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协调设计单位代表或其他单位对相关问题进行答疑、澄清或说明</w:t>
            </w:r>
          </w:p>
        </w:tc>
        <w:tc>
          <w:tcPr>
            <w:tcW w:w="1431" w:type="pct"/>
            <w:vAlign w:val="center"/>
          </w:tcPr>
          <w:p w14:paraId="4B64F56C">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招标文件的答疑、澄清或者修改的内容可能影响投标文件编制的，招标代理机构应当在投标截止时间至少15日前发出</w:t>
            </w:r>
          </w:p>
        </w:tc>
      </w:tr>
      <w:tr w14:paraId="02F6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1" w:hRule="exact"/>
        </w:trPr>
        <w:tc>
          <w:tcPr>
            <w:tcW w:w="390" w:type="pct"/>
            <w:vMerge w:val="continue"/>
            <w:vAlign w:val="center"/>
          </w:tcPr>
          <w:p w14:paraId="145F3671">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214DD071">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申请评审专家抽取</w:t>
            </w:r>
          </w:p>
        </w:tc>
        <w:tc>
          <w:tcPr>
            <w:tcW w:w="1226" w:type="pct"/>
            <w:vAlign w:val="center"/>
          </w:tcPr>
          <w:p w14:paraId="209A55B8">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通过东莞市公共资源交易E网通管理平台建设工程交易系统或其他平台发起专家抽取申请</w:t>
            </w:r>
          </w:p>
        </w:tc>
        <w:tc>
          <w:tcPr>
            <w:tcW w:w="1041" w:type="pct"/>
            <w:vAlign w:val="center"/>
          </w:tcPr>
          <w:p w14:paraId="048CC288">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监督评审专家申请、抽取流程</w:t>
            </w:r>
          </w:p>
        </w:tc>
        <w:tc>
          <w:tcPr>
            <w:tcW w:w="1431" w:type="pct"/>
            <w:vAlign w:val="center"/>
          </w:tcPr>
          <w:p w14:paraId="4C34C67D">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r>
      <w:tr w14:paraId="2502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exact"/>
        </w:trPr>
        <w:tc>
          <w:tcPr>
            <w:tcW w:w="390" w:type="pct"/>
            <w:vMerge w:val="continue"/>
            <w:vAlign w:val="center"/>
          </w:tcPr>
          <w:p w14:paraId="7A0774BA">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71F6C132">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申请及办理公证（监督部门或招标人有要求时）</w:t>
            </w:r>
          </w:p>
        </w:tc>
        <w:tc>
          <w:tcPr>
            <w:tcW w:w="1226" w:type="pct"/>
            <w:vAlign w:val="center"/>
          </w:tcPr>
          <w:p w14:paraId="60A53969">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完成申请及办理公证的相关资料</w:t>
            </w:r>
          </w:p>
        </w:tc>
        <w:tc>
          <w:tcPr>
            <w:tcW w:w="1041" w:type="pct"/>
            <w:vAlign w:val="center"/>
          </w:tcPr>
          <w:p w14:paraId="3CC93728">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提供办理公证所需材料</w:t>
            </w:r>
          </w:p>
        </w:tc>
        <w:tc>
          <w:tcPr>
            <w:tcW w:w="1431" w:type="pct"/>
            <w:vAlign w:val="center"/>
          </w:tcPr>
          <w:p w14:paraId="5F9B29FF">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r>
      <w:tr w14:paraId="6A0C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7" w:hRule="exact"/>
        </w:trPr>
        <w:tc>
          <w:tcPr>
            <w:tcW w:w="390" w:type="pct"/>
            <w:vMerge w:val="restart"/>
            <w:vAlign w:val="center"/>
          </w:tcPr>
          <w:p w14:paraId="3CE158D6">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开标、入围筛选、评标和定标阶段</w:t>
            </w:r>
          </w:p>
        </w:tc>
        <w:tc>
          <w:tcPr>
            <w:tcW w:w="909" w:type="pct"/>
            <w:vAlign w:val="center"/>
          </w:tcPr>
          <w:p w14:paraId="228FDE64">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组织开标</w:t>
            </w:r>
          </w:p>
        </w:tc>
        <w:tc>
          <w:tcPr>
            <w:tcW w:w="1226" w:type="pct"/>
            <w:vAlign w:val="center"/>
          </w:tcPr>
          <w:p w14:paraId="58661C31">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完成开标准备工作及开标活动的具体实施</w:t>
            </w:r>
          </w:p>
        </w:tc>
        <w:tc>
          <w:tcPr>
            <w:tcW w:w="1041" w:type="pct"/>
            <w:vAlign w:val="center"/>
          </w:tcPr>
          <w:p w14:paraId="6726DD4D">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c>
          <w:tcPr>
            <w:tcW w:w="1431" w:type="pct"/>
            <w:vAlign w:val="center"/>
          </w:tcPr>
          <w:p w14:paraId="5CBF9DD2">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在招标文件确定的提交投标文件截止时间的同一时间组织开标</w:t>
            </w:r>
          </w:p>
        </w:tc>
      </w:tr>
      <w:tr w14:paraId="0F34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exact"/>
        </w:trPr>
        <w:tc>
          <w:tcPr>
            <w:tcW w:w="390" w:type="pct"/>
            <w:vMerge w:val="continue"/>
            <w:vAlign w:val="center"/>
          </w:tcPr>
          <w:p w14:paraId="335C465F">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4BD64116">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组织入围筛选（如需）</w:t>
            </w:r>
          </w:p>
        </w:tc>
        <w:tc>
          <w:tcPr>
            <w:tcW w:w="1226" w:type="pct"/>
            <w:vAlign w:val="center"/>
          </w:tcPr>
          <w:p w14:paraId="09E3BC98">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提供入围筛选工作的各项保障条件，协助筛选委员会完成入围筛选</w:t>
            </w:r>
          </w:p>
        </w:tc>
        <w:tc>
          <w:tcPr>
            <w:tcW w:w="1041" w:type="pct"/>
            <w:vAlign w:val="center"/>
          </w:tcPr>
          <w:p w14:paraId="77BC6E0C">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抽取、通知筛选委员会备选人员并组建筛选委员会</w:t>
            </w:r>
          </w:p>
        </w:tc>
        <w:tc>
          <w:tcPr>
            <w:tcW w:w="1431" w:type="pct"/>
            <w:vAlign w:val="center"/>
          </w:tcPr>
          <w:p w14:paraId="0D0B0C7A">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r>
      <w:tr w14:paraId="4C26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exact"/>
        </w:trPr>
        <w:tc>
          <w:tcPr>
            <w:tcW w:w="390" w:type="pct"/>
            <w:vMerge w:val="continue"/>
            <w:vAlign w:val="center"/>
          </w:tcPr>
          <w:p w14:paraId="4C726821">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656DD897">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组织评标</w:t>
            </w:r>
          </w:p>
        </w:tc>
        <w:tc>
          <w:tcPr>
            <w:tcW w:w="1226" w:type="pct"/>
            <w:vAlign w:val="center"/>
          </w:tcPr>
          <w:p w14:paraId="17014687">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提供评标工作的各项保障条件，协助评标委员会完成评标</w:t>
            </w:r>
          </w:p>
        </w:tc>
        <w:tc>
          <w:tcPr>
            <w:tcW w:w="1041" w:type="pct"/>
            <w:vAlign w:val="center"/>
          </w:tcPr>
          <w:p w14:paraId="7CF98207">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抽取、通知专家并组建评标委员会</w:t>
            </w:r>
          </w:p>
        </w:tc>
        <w:tc>
          <w:tcPr>
            <w:tcW w:w="1431" w:type="pct"/>
            <w:vAlign w:val="center"/>
          </w:tcPr>
          <w:p w14:paraId="34A604BE">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p>
        </w:tc>
      </w:tr>
      <w:tr w14:paraId="609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4" w:hRule="exact"/>
        </w:trPr>
        <w:tc>
          <w:tcPr>
            <w:tcW w:w="390" w:type="pct"/>
            <w:vMerge w:val="continue"/>
            <w:vAlign w:val="center"/>
          </w:tcPr>
          <w:p w14:paraId="4DAF5EC6">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2D60FF4B">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组织定标（如需）</w:t>
            </w:r>
          </w:p>
        </w:tc>
        <w:tc>
          <w:tcPr>
            <w:tcW w:w="1226" w:type="pct"/>
            <w:vAlign w:val="center"/>
          </w:tcPr>
          <w:p w14:paraId="452A1606">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提供定标工作的各项保障条件，协助定标委员会完成清标（如需）或定标</w:t>
            </w:r>
          </w:p>
        </w:tc>
        <w:tc>
          <w:tcPr>
            <w:tcW w:w="1041" w:type="pct"/>
            <w:vAlign w:val="center"/>
          </w:tcPr>
          <w:p w14:paraId="5C005216">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抽取、通知定标委员会备选人员并组建定标委员会；确定中标人</w:t>
            </w:r>
          </w:p>
        </w:tc>
        <w:tc>
          <w:tcPr>
            <w:tcW w:w="1431" w:type="pct"/>
            <w:vAlign w:val="center"/>
          </w:tcPr>
          <w:p w14:paraId="36430F41">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r>
      <w:tr w14:paraId="64D6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9" w:hRule="exact"/>
        </w:trPr>
        <w:tc>
          <w:tcPr>
            <w:tcW w:w="390" w:type="pct"/>
            <w:vMerge w:val="continue"/>
            <w:vAlign w:val="center"/>
          </w:tcPr>
          <w:p w14:paraId="4EE074A4">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67812007">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结果公示</w:t>
            </w:r>
          </w:p>
        </w:tc>
        <w:tc>
          <w:tcPr>
            <w:tcW w:w="1226" w:type="pct"/>
            <w:vAlign w:val="center"/>
          </w:tcPr>
          <w:p w14:paraId="5AB8F76D">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办理【包括但不限于开标结果公示（如需）、入围筛选结果公示（如需）、评标结果公示（如需）、中标候选人公示、中标结果公示】结果公示的相关事宜</w:t>
            </w:r>
          </w:p>
        </w:tc>
        <w:tc>
          <w:tcPr>
            <w:tcW w:w="1041" w:type="pct"/>
            <w:vAlign w:val="center"/>
          </w:tcPr>
          <w:p w14:paraId="3CB06A2D">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对公示内容进行确认</w:t>
            </w:r>
          </w:p>
        </w:tc>
        <w:tc>
          <w:tcPr>
            <w:tcW w:w="1431" w:type="pct"/>
            <w:vAlign w:val="center"/>
          </w:tcPr>
          <w:p w14:paraId="6F155E09">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依法必须进行招标的项目，自收到评标报告之日起3日内公示中标候选人，公示期不得少于3日（节假日顺延，即公示最后一日应为工作日）</w:t>
            </w:r>
          </w:p>
        </w:tc>
      </w:tr>
      <w:tr w14:paraId="666F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8" w:hRule="exact"/>
        </w:trPr>
        <w:tc>
          <w:tcPr>
            <w:tcW w:w="390" w:type="pct"/>
            <w:vMerge w:val="continue"/>
            <w:vAlign w:val="center"/>
          </w:tcPr>
          <w:p w14:paraId="506A2414">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60404D64">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发出中标通知书</w:t>
            </w:r>
          </w:p>
        </w:tc>
        <w:tc>
          <w:tcPr>
            <w:tcW w:w="1226" w:type="pct"/>
            <w:vAlign w:val="center"/>
          </w:tcPr>
          <w:p w14:paraId="0D2D7747">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中标通知书及中标公告/中标结果通知书的拟订</w:t>
            </w:r>
          </w:p>
        </w:tc>
        <w:tc>
          <w:tcPr>
            <w:tcW w:w="1041" w:type="pct"/>
            <w:vAlign w:val="center"/>
          </w:tcPr>
          <w:p w14:paraId="06D0DA04">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对中标通知书及中标公告/中标结果通知书进行确认和发放</w:t>
            </w:r>
          </w:p>
        </w:tc>
        <w:tc>
          <w:tcPr>
            <w:tcW w:w="1431" w:type="pct"/>
            <w:vAlign w:val="center"/>
          </w:tcPr>
          <w:p w14:paraId="3B51CD8F">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p>
        </w:tc>
      </w:tr>
      <w:tr w14:paraId="1E0C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5" w:hRule="exact"/>
        </w:trPr>
        <w:tc>
          <w:tcPr>
            <w:tcW w:w="390" w:type="pct"/>
            <w:vMerge w:val="restart"/>
            <w:vAlign w:val="center"/>
          </w:tcPr>
          <w:p w14:paraId="3A7C8D26">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合同签订及后续服务阶段</w:t>
            </w:r>
          </w:p>
        </w:tc>
        <w:tc>
          <w:tcPr>
            <w:tcW w:w="909" w:type="pct"/>
            <w:vAlign w:val="center"/>
          </w:tcPr>
          <w:p w14:paraId="46E60B37">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协助签订合同</w:t>
            </w:r>
          </w:p>
        </w:tc>
        <w:tc>
          <w:tcPr>
            <w:tcW w:w="1226" w:type="pct"/>
            <w:vAlign w:val="center"/>
          </w:tcPr>
          <w:p w14:paraId="2D116C3D">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协助招标人（或招标人下属企业）与中标人签订合同</w:t>
            </w:r>
          </w:p>
        </w:tc>
        <w:tc>
          <w:tcPr>
            <w:tcW w:w="1041" w:type="pct"/>
            <w:vAlign w:val="center"/>
          </w:tcPr>
          <w:p w14:paraId="6D345567">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与中标人签订合同</w:t>
            </w:r>
          </w:p>
        </w:tc>
        <w:tc>
          <w:tcPr>
            <w:tcW w:w="1431" w:type="pct"/>
            <w:vAlign w:val="center"/>
          </w:tcPr>
          <w:p w14:paraId="6A45333C">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自中标通知书发出之日起30日内签订合同</w:t>
            </w:r>
          </w:p>
        </w:tc>
      </w:tr>
      <w:tr w14:paraId="1211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2" w:hRule="exact"/>
        </w:trPr>
        <w:tc>
          <w:tcPr>
            <w:tcW w:w="390" w:type="pct"/>
            <w:vMerge w:val="continue"/>
            <w:vAlign w:val="center"/>
          </w:tcPr>
          <w:p w14:paraId="773466A4">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292364F7">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合同公示</w:t>
            </w:r>
          </w:p>
        </w:tc>
        <w:tc>
          <w:tcPr>
            <w:tcW w:w="1226" w:type="pct"/>
            <w:vAlign w:val="center"/>
          </w:tcPr>
          <w:p w14:paraId="29E640E1">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办理合同公示的相关事宜</w:t>
            </w:r>
          </w:p>
        </w:tc>
        <w:tc>
          <w:tcPr>
            <w:tcW w:w="1041" w:type="pct"/>
            <w:vAlign w:val="center"/>
          </w:tcPr>
          <w:p w14:paraId="640973FC">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对公示内容进行确认</w:t>
            </w:r>
          </w:p>
        </w:tc>
        <w:tc>
          <w:tcPr>
            <w:tcW w:w="1431" w:type="pct"/>
            <w:vAlign w:val="center"/>
          </w:tcPr>
          <w:p w14:paraId="7F3126A6">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r>
      <w:tr w14:paraId="614B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2" w:hRule="exact"/>
        </w:trPr>
        <w:tc>
          <w:tcPr>
            <w:tcW w:w="390" w:type="pct"/>
            <w:vMerge w:val="continue"/>
            <w:vAlign w:val="center"/>
          </w:tcPr>
          <w:p w14:paraId="2889BB02">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175F3342">
            <w:pPr>
              <w:pStyle w:val="222"/>
              <w:keepNext w:val="0"/>
              <w:keepLines w:val="0"/>
              <w:suppressLineNumbers w:val="0"/>
              <w:kinsoku w:val="0"/>
              <w:overflowPunct w:val="0"/>
              <w:spacing w:before="53" w:beforeAutospacing="0" w:after="0" w:afterAutospacing="0" w:line="360" w:lineRule="exact"/>
              <w:ind w:left="71" w:right="52"/>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退还投标保证金</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如需</w:t>
            </w:r>
            <w:r>
              <w:rPr>
                <w:rFonts w:hint="eastAsia" w:ascii="宋体" w:hAnsi="宋体" w:eastAsia="宋体"/>
                <w:color w:val="auto"/>
                <w:szCs w:val="21"/>
                <w:highlight w:val="none"/>
                <w:lang w:eastAsia="zh-CN"/>
              </w:rPr>
              <w:t>）</w:t>
            </w:r>
          </w:p>
        </w:tc>
        <w:tc>
          <w:tcPr>
            <w:tcW w:w="1226" w:type="pct"/>
            <w:vAlign w:val="center"/>
          </w:tcPr>
          <w:p w14:paraId="1D2A137F">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投标保证金及其利息（如有）的返还</w:t>
            </w:r>
          </w:p>
        </w:tc>
        <w:tc>
          <w:tcPr>
            <w:tcW w:w="1041" w:type="pct"/>
            <w:vAlign w:val="center"/>
          </w:tcPr>
          <w:p w14:paraId="4B34A65D">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c>
          <w:tcPr>
            <w:tcW w:w="1431" w:type="pct"/>
            <w:vAlign w:val="center"/>
          </w:tcPr>
          <w:p w14:paraId="4D47C57E">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最迟应当在书面合同签订后5日内向中标人和未中标的投标人退还投标保证金</w:t>
            </w:r>
          </w:p>
        </w:tc>
      </w:tr>
      <w:tr w14:paraId="3D28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3" w:hRule="exact"/>
        </w:trPr>
        <w:tc>
          <w:tcPr>
            <w:tcW w:w="390" w:type="pct"/>
            <w:vMerge w:val="continue"/>
            <w:vAlign w:val="center"/>
          </w:tcPr>
          <w:p w14:paraId="0D934F13">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62995D9F">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编制招标投标情况报告及办理行业监督部门核备手续</w:t>
            </w:r>
          </w:p>
        </w:tc>
        <w:tc>
          <w:tcPr>
            <w:tcW w:w="1226" w:type="pct"/>
            <w:vAlign w:val="center"/>
          </w:tcPr>
          <w:p w14:paraId="62C8BF44">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编制招标投标情况的书面报告及办理行业监督部门核备手续</w:t>
            </w:r>
          </w:p>
        </w:tc>
        <w:tc>
          <w:tcPr>
            <w:tcW w:w="1041" w:type="pct"/>
            <w:vAlign w:val="center"/>
          </w:tcPr>
          <w:p w14:paraId="068DA745">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招标投标情况的书面报告的确认</w:t>
            </w:r>
          </w:p>
        </w:tc>
        <w:tc>
          <w:tcPr>
            <w:tcW w:w="1431" w:type="pct"/>
            <w:vAlign w:val="center"/>
          </w:tcPr>
          <w:p w14:paraId="77903BEB">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依法必须进行招标的项目，自确定中标人之日起15日内提交招标投标情况的书面报告</w:t>
            </w:r>
          </w:p>
        </w:tc>
      </w:tr>
      <w:tr w14:paraId="1DB7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1" w:hRule="exact"/>
        </w:trPr>
        <w:tc>
          <w:tcPr>
            <w:tcW w:w="390" w:type="pct"/>
            <w:vMerge w:val="continue"/>
            <w:vAlign w:val="center"/>
          </w:tcPr>
          <w:p w14:paraId="5773AFD9">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52B216FC">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审核预中标单位投标文件的不平衡报价</w:t>
            </w:r>
          </w:p>
        </w:tc>
        <w:tc>
          <w:tcPr>
            <w:tcW w:w="1226" w:type="pct"/>
            <w:vAlign w:val="center"/>
          </w:tcPr>
          <w:p w14:paraId="0ACE2CD6">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审核预中标单位投标文件的不平衡报价</w:t>
            </w:r>
          </w:p>
        </w:tc>
        <w:tc>
          <w:tcPr>
            <w:tcW w:w="1041" w:type="pct"/>
            <w:vAlign w:val="center"/>
          </w:tcPr>
          <w:p w14:paraId="11792C65">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c>
          <w:tcPr>
            <w:tcW w:w="1431" w:type="pct"/>
            <w:vAlign w:val="center"/>
          </w:tcPr>
          <w:p w14:paraId="68717F92">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p>
        </w:tc>
      </w:tr>
      <w:tr w14:paraId="3ADE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1" w:hRule="exact"/>
        </w:trPr>
        <w:tc>
          <w:tcPr>
            <w:tcW w:w="390" w:type="pct"/>
            <w:vMerge w:val="continue"/>
            <w:vAlign w:val="center"/>
          </w:tcPr>
          <w:p w14:paraId="5E0EA871">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584127FA">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招标资料收集及移交，招标全过程资料整理（含档案数字化）和存档保管</w:t>
            </w:r>
          </w:p>
        </w:tc>
        <w:tc>
          <w:tcPr>
            <w:tcW w:w="1226" w:type="pct"/>
            <w:vAlign w:val="center"/>
          </w:tcPr>
          <w:p w14:paraId="442291C0">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负责收集、整理招投标活动中形成的相关文件和资料，同时形成电子档案，在保管年限内妥善保存档案</w:t>
            </w:r>
          </w:p>
        </w:tc>
        <w:tc>
          <w:tcPr>
            <w:tcW w:w="1041" w:type="pct"/>
            <w:vAlign w:val="center"/>
          </w:tcPr>
          <w:p w14:paraId="70AEBFD6">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p>
        </w:tc>
        <w:tc>
          <w:tcPr>
            <w:tcW w:w="1431" w:type="pct"/>
            <w:vAlign w:val="center"/>
          </w:tcPr>
          <w:p w14:paraId="3E01532D">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p>
        </w:tc>
      </w:tr>
      <w:tr w14:paraId="1660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5" w:hRule="exact"/>
        </w:trPr>
        <w:tc>
          <w:tcPr>
            <w:tcW w:w="390" w:type="pct"/>
            <w:vMerge w:val="continue"/>
            <w:vAlign w:val="center"/>
          </w:tcPr>
          <w:p w14:paraId="185969E9">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464B0548">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协助处理异议</w:t>
            </w:r>
          </w:p>
        </w:tc>
        <w:tc>
          <w:tcPr>
            <w:tcW w:w="1226" w:type="pct"/>
            <w:vAlign w:val="center"/>
          </w:tcPr>
          <w:p w14:paraId="0B1ED7CE">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协助处理异议，对异议进行分析并提出处理建议</w:t>
            </w:r>
          </w:p>
        </w:tc>
        <w:tc>
          <w:tcPr>
            <w:tcW w:w="1041" w:type="pct"/>
            <w:vAlign w:val="center"/>
          </w:tcPr>
          <w:p w14:paraId="601364D8">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处理异议</w:t>
            </w:r>
          </w:p>
        </w:tc>
        <w:tc>
          <w:tcPr>
            <w:tcW w:w="1431" w:type="pct"/>
            <w:vAlign w:val="center"/>
          </w:tcPr>
          <w:p w14:paraId="7FAB3F99">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对招标文件、评标结果提出的异议，自收到异议之日起3日内作出答复；对开标提出的异议，应当在开标现场当场作出答复</w:t>
            </w:r>
          </w:p>
        </w:tc>
      </w:tr>
      <w:tr w14:paraId="2A57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0" w:hRule="exact"/>
        </w:trPr>
        <w:tc>
          <w:tcPr>
            <w:tcW w:w="390" w:type="pct"/>
            <w:vMerge w:val="continue"/>
            <w:vAlign w:val="center"/>
          </w:tcPr>
          <w:p w14:paraId="045A0CB0">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35B52545">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协助处理投诉或其他相关事务</w:t>
            </w:r>
          </w:p>
        </w:tc>
        <w:tc>
          <w:tcPr>
            <w:tcW w:w="1226" w:type="pct"/>
            <w:vAlign w:val="center"/>
          </w:tcPr>
          <w:p w14:paraId="6AA09ADF">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配合监督部门依法组织开展的调查取证及相关处理工作</w:t>
            </w:r>
          </w:p>
        </w:tc>
        <w:tc>
          <w:tcPr>
            <w:tcW w:w="1041" w:type="pct"/>
            <w:vAlign w:val="center"/>
          </w:tcPr>
          <w:p w14:paraId="7B7F0D97">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配合监督部门依法组织开展的调查取证及相关处理工作</w:t>
            </w:r>
          </w:p>
        </w:tc>
        <w:tc>
          <w:tcPr>
            <w:tcW w:w="1431" w:type="pct"/>
            <w:vAlign w:val="center"/>
          </w:tcPr>
          <w:p w14:paraId="04BCA28E">
            <w:pPr>
              <w:keepNext w:val="0"/>
              <w:keepLines w:val="0"/>
              <w:suppressLineNumbers w:val="0"/>
              <w:spacing w:before="53" w:beforeAutospacing="0" w:after="0" w:afterAutospacing="0" w:line="360" w:lineRule="exact"/>
              <w:ind w:left="71" w:right="52"/>
              <w:jc w:val="center"/>
              <w:rPr>
                <w:rFonts w:hint="default" w:ascii="宋体" w:hAnsi="宋体" w:eastAsia="宋体" w:cs="宋体"/>
                <w:color w:val="auto"/>
                <w:szCs w:val="21"/>
                <w:highlight w:val="none"/>
              </w:rPr>
            </w:pPr>
          </w:p>
        </w:tc>
      </w:tr>
      <w:tr w14:paraId="4255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exact"/>
        </w:trPr>
        <w:tc>
          <w:tcPr>
            <w:tcW w:w="390" w:type="pct"/>
            <w:vMerge w:val="continue"/>
            <w:vAlign w:val="center"/>
          </w:tcPr>
          <w:p w14:paraId="24F2A689">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909" w:type="pct"/>
            <w:vAlign w:val="center"/>
          </w:tcPr>
          <w:p w14:paraId="120C5849">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合同咨询及其他服务</w:t>
            </w:r>
          </w:p>
        </w:tc>
        <w:tc>
          <w:tcPr>
            <w:tcW w:w="1226" w:type="pct"/>
            <w:vAlign w:val="center"/>
          </w:tcPr>
          <w:p w14:paraId="1DEA899E">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按招标代理合同约定执行</w:t>
            </w:r>
          </w:p>
        </w:tc>
        <w:tc>
          <w:tcPr>
            <w:tcW w:w="1041" w:type="pct"/>
            <w:vAlign w:val="center"/>
          </w:tcPr>
          <w:p w14:paraId="0481C4D4">
            <w:pPr>
              <w:pStyle w:val="222"/>
              <w:keepNext w:val="0"/>
              <w:keepLines w:val="0"/>
              <w:suppressLineNumbers w:val="0"/>
              <w:kinsoku w:val="0"/>
              <w:overflowPunct w:val="0"/>
              <w:spacing w:before="53" w:beforeAutospacing="0" w:after="0" w:afterAutospacing="0" w:line="360" w:lineRule="exact"/>
              <w:ind w:left="71" w:right="52"/>
              <w:jc w:val="center"/>
              <w:rPr>
                <w:rFonts w:hint="default" w:ascii="宋体" w:hAnsi="宋体" w:eastAsia="宋体"/>
                <w:color w:val="auto"/>
                <w:szCs w:val="21"/>
                <w:highlight w:val="none"/>
              </w:rPr>
            </w:pPr>
            <w:r>
              <w:rPr>
                <w:rFonts w:hint="eastAsia" w:ascii="宋体" w:hAnsi="宋体" w:eastAsia="宋体"/>
                <w:color w:val="auto"/>
                <w:szCs w:val="21"/>
                <w:highlight w:val="none"/>
              </w:rPr>
              <w:t>按招标代理合同约定执行</w:t>
            </w:r>
          </w:p>
        </w:tc>
        <w:tc>
          <w:tcPr>
            <w:tcW w:w="1431" w:type="pct"/>
            <w:vAlign w:val="center"/>
          </w:tcPr>
          <w:p w14:paraId="3C117308">
            <w:pPr>
              <w:keepNext w:val="0"/>
              <w:keepLines w:val="0"/>
              <w:suppressLineNumbers w:val="0"/>
              <w:spacing w:before="53" w:beforeAutospacing="0" w:after="0" w:afterAutospacing="0" w:line="360" w:lineRule="exact"/>
              <w:ind w:left="0" w:right="52"/>
              <w:jc w:val="center"/>
              <w:rPr>
                <w:rFonts w:hint="default" w:ascii="宋体" w:hAnsi="宋体" w:eastAsia="宋体" w:cs="宋体"/>
                <w:color w:val="auto"/>
                <w:szCs w:val="21"/>
                <w:highlight w:val="none"/>
              </w:rPr>
            </w:pPr>
          </w:p>
        </w:tc>
      </w:tr>
    </w:tbl>
    <w:p w14:paraId="6BD4B0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6B27B121">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招标人（或招标人下属企业）和招标代理机构双方职责的划分最终以招标代理合同约定为准。</w:t>
      </w:r>
    </w:p>
    <w:p w14:paraId="1BE60C39">
      <w:pPr>
        <w:numPr>
          <w:ilvl w:val="0"/>
          <w:numId w:val="0"/>
        </w:numPr>
        <w:spacing w:line="360" w:lineRule="auto"/>
        <w:ind w:firstLine="420" w:firstLineChars="200"/>
        <w:rPr>
          <w:rFonts w:hint="eastAsia" w:ascii="宋体" w:hAnsi="宋体" w:eastAsia="宋体" w:cs="宋体"/>
          <w:color w:val="auto"/>
          <w:szCs w:val="21"/>
          <w:highlight w:val="none"/>
          <w:lang w:val="en-US" w:eastAsia="zh-CN"/>
        </w:rPr>
      </w:pPr>
      <w:r>
        <w:rPr>
          <w:rFonts w:hint="default"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rPr>
        <w:t>、本表规定的法定时限若有新的法规政策以新的时限为准，</w:t>
      </w:r>
      <w:r>
        <w:rPr>
          <w:rFonts w:hint="eastAsia" w:ascii="宋体" w:hAnsi="宋体" w:eastAsia="宋体" w:cs="宋体"/>
          <w:color w:val="auto"/>
          <w:szCs w:val="21"/>
          <w:highlight w:val="none"/>
          <w:lang w:eastAsia="zh-CN"/>
        </w:rPr>
        <w:t>如</w:t>
      </w:r>
      <w:r>
        <w:rPr>
          <w:rFonts w:hint="eastAsia" w:ascii="宋体" w:hAnsi="宋体" w:eastAsia="宋体" w:cs="宋体"/>
          <w:color w:val="auto"/>
          <w:szCs w:val="21"/>
          <w:highlight w:val="none"/>
          <w:lang w:val="en-US" w:eastAsia="zh-CN"/>
        </w:rPr>
        <w:t>行政部门</w:t>
      </w:r>
      <w:r>
        <w:rPr>
          <w:rFonts w:hint="eastAsia" w:ascii="宋体" w:hAnsi="宋体" w:eastAsia="宋体" w:cs="宋体"/>
          <w:color w:val="auto"/>
          <w:szCs w:val="21"/>
          <w:highlight w:val="none"/>
        </w:rPr>
        <w:t>若有新规定出台，按新规定执行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非依法必须招标的项目招标人（或招标人下属企业）可根据实际需要进行调整，招标代理机构须无条件服从</w:t>
      </w:r>
      <w:r>
        <w:rPr>
          <w:rFonts w:hint="eastAsia" w:ascii="宋体" w:hAnsi="宋体" w:eastAsia="宋体" w:cs="宋体"/>
          <w:color w:val="auto"/>
          <w:szCs w:val="21"/>
          <w:highlight w:val="none"/>
          <w:lang w:eastAsia="zh-CN"/>
        </w:rPr>
        <w:t>。</w:t>
      </w:r>
    </w:p>
    <w:p w14:paraId="42557358">
      <w:pPr>
        <w:pStyle w:val="138"/>
        <w:spacing w:line="360" w:lineRule="auto"/>
        <w:ind w:firstLineChars="201"/>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四</w:t>
      </w:r>
      <w:r>
        <w:rPr>
          <w:rFonts w:hint="eastAsia" w:ascii="宋体" w:hAnsi="宋体" w:eastAsia="宋体" w:cs="宋体"/>
          <w:b w:val="0"/>
          <w:bCs w:val="0"/>
          <w:color w:val="auto"/>
          <w:szCs w:val="21"/>
          <w:highlight w:val="none"/>
        </w:rPr>
        <w:t>、投标报价及招标代理服务费支付方式</w:t>
      </w:r>
    </w:p>
    <w:p w14:paraId="1F88BABF">
      <w:pPr>
        <w:tabs>
          <w:tab w:val="left" w:pos="567"/>
        </w:tabs>
        <w:autoSpaceDE w:val="0"/>
        <w:autoSpaceDN w:val="0"/>
        <w:adjustRightInd w:val="0"/>
        <w:spacing w:line="360" w:lineRule="auto"/>
        <w:ind w:left="0" w:leftChars="0" w:firstLine="422" w:firstLineChars="200"/>
        <w:rPr>
          <w:rFonts w:hint="default"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4.1中标人应在开展代理服务前与招标人（或其下属企业）签订书面《采购代理合同》（即单项采购代理合同）或《招标代理合同》（即单项招标代理合同），</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以中标金额计算，依次按以下第（1）（2）款计算得出服务费基价，服务费基价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按第（3）款计算折扣得出代理服务费</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具体如下。</w:t>
      </w:r>
    </w:p>
    <w:p w14:paraId="6218B756">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lang w:val="zh-CN"/>
        </w:rPr>
        <w:t>参照</w:t>
      </w:r>
      <w:r>
        <w:rPr>
          <w:rFonts w:hint="eastAsia" w:ascii="宋体" w:hAnsi="宋体" w:eastAsia="宋体" w:cs="宋体"/>
          <w:b/>
          <w:color w:val="000000"/>
          <w:szCs w:val="21"/>
          <w:highlight w:val="none"/>
          <w:lang w:val="en-US" w:eastAsia="zh-CN"/>
        </w:rPr>
        <w:t>以下标准按差额定率累进法计算：</w:t>
      </w:r>
    </w:p>
    <w:tbl>
      <w:tblPr>
        <w:tblStyle w:val="44"/>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15CD0D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restart"/>
            <w:shd w:val="clear" w:color="auto" w:fill="FFEEBB"/>
            <w:tcMar>
              <w:top w:w="0" w:type="dxa"/>
              <w:left w:w="0" w:type="dxa"/>
              <w:bottom w:w="0" w:type="dxa"/>
              <w:right w:w="0" w:type="dxa"/>
            </w:tcMar>
            <w:vAlign w:val="center"/>
          </w:tcPr>
          <w:p w14:paraId="2E0FF569">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22A2E527">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服务类型</w:t>
            </w:r>
          </w:p>
        </w:tc>
      </w:tr>
      <w:tr w14:paraId="36A98B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66F653CF">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71FF79F6">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费率</w:t>
            </w:r>
          </w:p>
        </w:tc>
      </w:tr>
      <w:tr w14:paraId="120BFB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41BBEEFB">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FFEEBB"/>
            <w:tcMar>
              <w:top w:w="0" w:type="dxa"/>
              <w:left w:w="0" w:type="dxa"/>
              <w:bottom w:w="0" w:type="dxa"/>
              <w:right w:w="0" w:type="dxa"/>
            </w:tcMar>
            <w:vAlign w:val="center"/>
          </w:tcPr>
          <w:p w14:paraId="7281B38B">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3BCE1CFC">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5EDDE14D">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工程招标</w:t>
            </w:r>
          </w:p>
        </w:tc>
      </w:tr>
      <w:tr w14:paraId="6613A6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966C26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643BD99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605B8F0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4C47172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057AD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D5D252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3F7E880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629D812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78604B0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733556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C2A3B9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1301BE2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2EE49F5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013CA49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374301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031FE3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211F5F0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53FC4AB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10E9E57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5F0E5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1410680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40EEC6F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2100C25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6549FDE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7CB3DA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5A8FC8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187CF19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30EA1CA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4D50A02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776685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206AD68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240B47B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52AE647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70827A6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0A43823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en-US" w:eastAsia="zh-CN"/>
        </w:rPr>
        <w:t>（2）</w:t>
      </w:r>
      <w:r>
        <w:rPr>
          <w:rFonts w:hint="default" w:ascii="宋体" w:hAnsi="宋体" w:eastAsia="宋体" w:cs="宋体"/>
          <w:b/>
          <w:color w:val="000000"/>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4A093BC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（3）服务费基价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得出代理服务费。</w:t>
      </w:r>
      <w:r>
        <w:rPr>
          <w:rFonts w:hint="eastAsia" w:ascii="宋体" w:hAnsi="宋体" w:eastAsia="宋体" w:cs="宋体"/>
          <w:b/>
          <w:color w:val="000000"/>
          <w:szCs w:val="21"/>
          <w:highlight w:val="none"/>
          <w:lang w:val="zh-CN" w:eastAsia="zh-CN"/>
        </w:rPr>
        <w:t>具体为：</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10万元（不含）以下的，按80%执行；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10万元（含）—20万元（不含）的，按70%执行；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20万元（含）—30万元（不含）的，按60%执行；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30万元（含）以上的，按50%计取，且单个项目最高代理费为30万元封顶</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同时，</w:t>
      </w:r>
      <w:r>
        <w:rPr>
          <w:rFonts w:hint="eastAsia" w:ascii="宋体" w:hAnsi="宋体" w:eastAsia="宋体" w:cs="宋体"/>
          <w:b/>
          <w:color w:val="000000"/>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
          <w:color w:val="000000"/>
          <w:szCs w:val="21"/>
          <w:highlight w:val="none"/>
          <w:lang w:val="en-US" w:eastAsia="zh-CN"/>
        </w:rPr>
        <w:t>招标人</w:t>
      </w:r>
      <w:r>
        <w:rPr>
          <w:rFonts w:hint="eastAsia" w:ascii="宋体" w:hAnsi="宋体" w:eastAsia="宋体" w:cs="宋体"/>
          <w:b/>
          <w:color w:val="000000"/>
          <w:sz w:val="21"/>
          <w:szCs w:val="21"/>
          <w:highlight w:val="none"/>
          <w:lang w:val="en-US" w:eastAsia="zh-CN"/>
        </w:rPr>
        <w:t>或其</w:t>
      </w:r>
      <w:r>
        <w:rPr>
          <w:rFonts w:hint="eastAsia" w:ascii="宋体" w:hAnsi="宋体" w:eastAsia="宋体" w:cs="宋体"/>
          <w:b/>
          <w:color w:val="000000"/>
          <w:sz w:val="21"/>
          <w:szCs w:val="21"/>
          <w:highlight w:val="none"/>
        </w:rPr>
        <w:t>下属企业</w:t>
      </w:r>
      <w:r>
        <w:rPr>
          <w:rFonts w:hint="eastAsia" w:ascii="宋体" w:hAnsi="宋体" w:eastAsia="宋体" w:cs="宋体"/>
          <w:b/>
          <w:color w:val="000000"/>
          <w:szCs w:val="21"/>
          <w:highlight w:val="none"/>
          <w:lang w:val="zh-CN" w:eastAsia="zh-CN"/>
        </w:rPr>
        <w:t>与</w:t>
      </w:r>
      <w:r>
        <w:rPr>
          <w:rFonts w:hint="eastAsia" w:ascii="宋体" w:hAnsi="宋体" w:eastAsia="宋体" w:cs="宋体"/>
          <w:b/>
          <w:color w:val="000000"/>
          <w:szCs w:val="21"/>
          <w:highlight w:val="none"/>
          <w:lang w:val="en-US" w:eastAsia="zh-CN"/>
        </w:rPr>
        <w:t>代理机构</w:t>
      </w:r>
      <w:r>
        <w:rPr>
          <w:rFonts w:hint="eastAsia" w:ascii="宋体" w:hAnsi="宋体" w:eastAsia="宋体" w:cs="宋体"/>
          <w:b/>
          <w:color w:val="000000"/>
          <w:szCs w:val="21"/>
          <w:highlight w:val="none"/>
          <w:lang w:val="zh-CN" w:eastAsia="zh-CN"/>
        </w:rPr>
        <w:t>另行商定代理费用。</w:t>
      </w:r>
    </w:p>
    <w:p w14:paraId="5F1791DF">
      <w:pPr>
        <w:pStyle w:val="138"/>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val="en-US" w:eastAsia="zh-CN"/>
        </w:rPr>
      </w:pPr>
    </w:p>
    <w:p w14:paraId="224FCFEB">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代理服务费的具体付款方式按照单项招标代理合同约定执行。</w:t>
      </w:r>
    </w:p>
    <w:p w14:paraId="5558CB29">
      <w:pPr>
        <w:pStyle w:val="138"/>
        <w:spacing w:line="360" w:lineRule="auto"/>
        <w:ind w:firstLineChars="201"/>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五</w:t>
      </w:r>
      <w:r>
        <w:rPr>
          <w:rFonts w:hint="eastAsia" w:ascii="宋体" w:hAnsi="宋体" w:eastAsia="宋体" w:cs="宋体"/>
          <w:b w:val="0"/>
          <w:bCs w:val="0"/>
          <w:color w:val="auto"/>
          <w:szCs w:val="21"/>
          <w:highlight w:val="none"/>
        </w:rPr>
        <w:t>、服务管理</w:t>
      </w:r>
    </w:p>
    <w:p w14:paraId="6A419439">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有权对中标人招标代理过程及行为进行规范、管理、考核评价及监督，负责项目的抽签轮派，招标任务通知的发出；由</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及其下属企业委托中标人开展具体单项招标代理业务，跟进招标工作的进展和协调处理招标工作的相关事项。</w:t>
      </w:r>
    </w:p>
    <w:p w14:paraId="3E24CC51">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有权根据考核评价结果增加或暂停分配代理工作或追究违约责任或取消中标人协议服务资格。</w:t>
      </w:r>
    </w:p>
    <w:p w14:paraId="17376ACC">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有权根据需求情况，适时补充其他协议服务单位。</w:t>
      </w:r>
    </w:p>
    <w:p w14:paraId="71B02806">
      <w:pPr>
        <w:pStyle w:val="138"/>
        <w:spacing w:line="360" w:lineRule="auto"/>
        <w:ind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5.4招标人有权根据实际情况，单方面取消招标代理库或单一代理机构，且不作任何补偿。</w:t>
      </w:r>
    </w:p>
    <w:p w14:paraId="0056569A">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有权通过签订补充协议的形式对合同条款进行调整，包括但不限于：服务要求、项目分配及考核方式、违约处置等。若中标人不能接受当中的条款，有权放弃协议服务资格，向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提出终止合同并申请退还履约担保。</w:t>
      </w:r>
    </w:p>
    <w:p w14:paraId="7DA38175">
      <w:pPr>
        <w:pStyle w:val="138"/>
        <w:spacing w:line="360" w:lineRule="auto"/>
        <w:ind w:firstLineChars="201"/>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六</w:t>
      </w:r>
      <w:r>
        <w:rPr>
          <w:rFonts w:hint="eastAsia" w:ascii="宋体" w:hAnsi="宋体" w:eastAsia="宋体" w:cs="宋体"/>
          <w:b w:val="0"/>
          <w:bCs w:val="0"/>
          <w:color w:val="auto"/>
          <w:szCs w:val="21"/>
          <w:highlight w:val="none"/>
        </w:rPr>
        <w:t>、代理机构（中标人）服务要求</w:t>
      </w:r>
    </w:p>
    <w:p w14:paraId="48E311D7">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中标人应在开展</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代理服务前与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）签订书面《</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代理合同》（即单项</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代理合同），并在其资格许可、</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）委托范围、</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代理合同约定的职责和权限内办理相关招标事宜，提供相关代理服务。中标人不得无权代理、越权代理，也不得明知委托事项违法而进行代理。</w:t>
      </w:r>
    </w:p>
    <w:p w14:paraId="26134520">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中标人应严格遵守相关法律、法规和政策，执行国家和行业的标准和规范，维护国家、社会公共利益和服务主体的合法权益。中标人在从事</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代理服务过程中，应始终遵循公开、公平、公正和诚实信用的原则，若发现相关当事人有违反国家有关法律法规的行为，应及时向本项目招标监督部门报告。</w:t>
      </w:r>
    </w:p>
    <w:p w14:paraId="2D139E7F">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 中标人应在依法维护社会公众利益的基础上，对</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）负责，勤勉认真、尽职尽责地履行全部代理服务工作和承诺的义务，并恪守职业道德、廉洁自律。</w:t>
      </w:r>
    </w:p>
    <w:p w14:paraId="06E63255">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中标人在开展代理服务过程中，应向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）及时告知</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代理工作实施情况的相关信息，除非得到事先授权，否则在</w:t>
      </w:r>
      <w:r>
        <w:rPr>
          <w:rFonts w:hint="eastAsia" w:ascii="宋体" w:hAnsi="宋体" w:eastAsia="宋体" w:cs="宋体"/>
          <w:color w:val="auto"/>
          <w:szCs w:val="21"/>
          <w:highlight w:val="none"/>
          <w:lang w:eastAsia="zh-CN"/>
        </w:rPr>
        <w:t>招标活动</w:t>
      </w:r>
      <w:r>
        <w:rPr>
          <w:rFonts w:hint="eastAsia" w:ascii="宋体" w:hAnsi="宋体" w:eastAsia="宋体" w:cs="宋体"/>
          <w:color w:val="auto"/>
          <w:szCs w:val="21"/>
          <w:highlight w:val="none"/>
        </w:rPr>
        <w:t>中形成的招标工作计划、招标公告、</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及其澄清和修改、中标通知书等主要文件，以及须作出的可能影响招标结果的各类重要决策，均应按照</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代理合同约定提前报告</w:t>
      </w:r>
      <w:r>
        <w:rPr>
          <w:rFonts w:hint="eastAsia" w:ascii="宋体" w:hAnsi="宋体" w:eastAsia="宋体" w:cs="宋体"/>
          <w:color w:val="auto"/>
          <w:szCs w:val="21"/>
          <w:highlight w:val="none"/>
          <w:lang w:eastAsia="zh-CN"/>
        </w:rPr>
        <w:t>招标（采购）人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）审核确认。</w:t>
      </w:r>
    </w:p>
    <w:p w14:paraId="09689B51">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.5 中标人应保守在代理服务过程中知悉的国家秘密、商业和技术秘密， 以及其他依据法律法规要求或招标代理合同约定应当保密的信息。</w:t>
      </w:r>
    </w:p>
    <w:p w14:paraId="15811BF3">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.6 中标人应对</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）委托的项目内容予以严格保密。在代理服务过程中，任何所涉及</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）商业或技术秘密的文件，未经</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）书面同意，中标人不能泄露给任何第三方；在完成代理项目后，未经</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）书面同意，中标人不得留存属于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）商业或技术秘密等相关文件。</w:t>
      </w:r>
    </w:p>
    <w:p w14:paraId="0F6D998F">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.7 中标人不得在所代理的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项目中投标或者代理投标，也不得为所代理的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项目的投标人（供应商）提供咨询。接受委托编制标底或最高投标限价的代理机构不得参加受托编制标底或最高投标限价项目的投标，也不得为该项目的投标人（供应商）编制投标文件或者提供咨询。</w:t>
      </w:r>
    </w:p>
    <w:p w14:paraId="3E57006B">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.8 中标人在单项</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代理合同签署之日起7个工作日内完成</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初稿的编制，并保证</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的合法合规性、完整性、准确性。</w:t>
      </w:r>
    </w:p>
    <w:p w14:paraId="0177AF15">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.9 中标人应对</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提供的用户需求书、招标控制价、图纸、清单等基础资料进行复核并提出合理化建议，并确保编制的</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提供的基础资料相匹配。</w:t>
      </w:r>
    </w:p>
    <w:p w14:paraId="4EC068A7">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.10 中标人应用专业技术与技能为</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）提供完成招标工作相关的咨询服务，向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）宣传有关招标采购的法律、行政法规和规章，解释合理的招标程序。</w:t>
      </w:r>
    </w:p>
    <w:p w14:paraId="712EB2B3">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 中标人在具体代理项目中应遵守</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相关招标采购制度。同时，中标人应严格执行《中华人民共和国招标投标法》及其实施条例等法律法规的相关规定，保证招标程序、结果合法有效。招标过程中任何因违反法律、法规、规章及招标投标相关政策的责任，全部由中标人负责（非中标人责任除外），并由中标人承担因此而产生的一切经济损失和赔偿责任。</w:t>
      </w:r>
    </w:p>
    <w:p w14:paraId="14CDDF6F">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.12中标人应在委托授权范围内组织招标项目的招标工作，为</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）提供优质的招标代理服务。未经</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书面同意，不得将本合同所确定的招标代理服务转让至任何第三方，不得擅自就招标答疑、修改澄清及中标结果等实质性内容对外作任何形式承诺或确定。中标人工作人员如与所代理的招标项目潜在投标人（供应商）有任何利益关系应主动提出回避。</w:t>
      </w:r>
    </w:p>
    <w:p w14:paraId="06FB8B75">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.13 中标人须指定一名专人作为与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）业务沟通的联系人，该联系人必须是中标人的正式员工。</w:t>
      </w:r>
    </w:p>
    <w:p w14:paraId="732BB086">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.14中标人在协议服务期限内配置不少于</w:t>
      </w:r>
      <w:r>
        <w:rPr>
          <w:rFonts w:hint="eastAsia" w:ascii="宋体" w:hAnsi="宋体" w:eastAsia="宋体" w:cs="宋体"/>
          <w:highlight w:val="none"/>
          <w:lang w:val="en-US" w:eastAsia="zh-CN"/>
        </w:rPr>
        <w:t>5</w:t>
      </w:r>
      <w:r>
        <w:rPr>
          <w:rFonts w:hint="eastAsia" w:ascii="宋体" w:hAnsi="宋体" w:eastAsia="宋体" w:cs="宋体"/>
          <w:color w:val="auto"/>
          <w:szCs w:val="21"/>
          <w:highlight w:val="none"/>
        </w:rPr>
        <w:t>名熟悉</w:t>
      </w:r>
      <w:r>
        <w:rPr>
          <w:rFonts w:hint="eastAsia" w:ascii="宋体" w:hAnsi="宋体" w:eastAsia="宋体" w:cs="宋体"/>
          <w:color w:val="auto"/>
          <w:szCs w:val="21"/>
          <w:highlight w:val="none"/>
          <w:lang w:val="en-US" w:eastAsia="zh-CN"/>
        </w:rPr>
        <w:t>招标投标</w:t>
      </w:r>
      <w:r>
        <w:rPr>
          <w:rFonts w:hint="eastAsia" w:ascii="宋体" w:hAnsi="宋体" w:eastAsia="宋体" w:cs="宋体"/>
          <w:color w:val="auto"/>
          <w:szCs w:val="21"/>
          <w:highlight w:val="none"/>
        </w:rPr>
        <w:t>法律法规、具备编制</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和组织</w:t>
      </w:r>
      <w:r>
        <w:rPr>
          <w:rFonts w:hint="eastAsia" w:ascii="宋体" w:hAnsi="宋体" w:eastAsia="宋体" w:cs="宋体"/>
          <w:color w:val="auto"/>
          <w:szCs w:val="21"/>
          <w:highlight w:val="none"/>
          <w:lang w:eastAsia="zh-CN"/>
        </w:rPr>
        <w:t>招标活动</w:t>
      </w:r>
      <w:r>
        <w:rPr>
          <w:rFonts w:hint="eastAsia" w:ascii="宋体" w:hAnsi="宋体" w:eastAsia="宋体" w:cs="宋体"/>
          <w:color w:val="auto"/>
          <w:szCs w:val="21"/>
          <w:highlight w:val="none"/>
        </w:rPr>
        <w:t>等相应能力的专职从业人员。特定招标项目所指派的项目负责人（可兼任）、</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编制人、复核人应具有工程类中级（或以上）工程师技术职称或具有工程类注册执业资格证的人员担任；其中项目负责人可兼任编制人或复核人，</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编制人、复核人不得为同一人。特定招标项目所指派的项目负责人（可兼任）、</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编制人、复核人任意一人须参与该项目的开标、入围筛选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、评标、定标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环节。同时，中标人不得安排本机构以外的人员协助开展相关工作。</w:t>
      </w:r>
    </w:p>
    <w:p w14:paraId="2E31C7E2">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.15中标人应按投标文件中承诺投入的人员为</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其</w:t>
      </w:r>
      <w:r>
        <w:rPr>
          <w:rFonts w:hint="eastAsia" w:ascii="宋体" w:hAnsi="宋体" w:eastAsia="宋体" w:cs="宋体"/>
          <w:color w:val="auto"/>
          <w:szCs w:val="21"/>
          <w:highlight w:val="none"/>
        </w:rPr>
        <w:t>下属企业）提供服务，且投入人员在招标代理协议服务期限内要求驻莞工作，未经</w:t>
      </w:r>
      <w:r>
        <w:rPr>
          <w:rFonts w:hint="eastAsia" w:ascii="宋体" w:hAnsi="宋体" w:eastAsia="宋体" w:cs="宋体"/>
          <w:color w:val="auto"/>
          <w:szCs w:val="21"/>
          <w:highlight w:val="none"/>
          <w:lang w:eastAsia="zh-CN"/>
        </w:rPr>
        <w:t>招标（采购）人</w:t>
      </w:r>
      <w:r>
        <w:rPr>
          <w:rFonts w:hint="eastAsia" w:ascii="宋体" w:hAnsi="宋体" w:eastAsia="宋体" w:cs="宋体"/>
          <w:color w:val="auto"/>
          <w:szCs w:val="21"/>
          <w:highlight w:val="none"/>
        </w:rPr>
        <w:t>书面同意不得任意更换或减少投入人员，否则该项更换无效。中标人如需更换人员，应提前7日以书面形式向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申请，更换人员的资历条件应不低于投标文件中承诺的同等条件，并应继续承担合同规定的责任和履行相应的义务。</w:t>
      </w:r>
    </w:p>
    <w:p w14:paraId="1CD7201E">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有权根据中标人的服务情况，提出投入人员的更换或补充。中标人须在</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通知后7日内完成人员的调整，调整的人员应能胜任对应的岗位工作。调整人员不能胜任工作的，</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有权再次要求调整，直至调整满足</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要求为止。</w:t>
      </w:r>
    </w:p>
    <w:p w14:paraId="5FAB0D65">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.17中标人在招标工作开展过程中，</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要求驻场的，中标人应无条件配合。</w:t>
      </w:r>
    </w:p>
    <w:p w14:paraId="3AC50068">
      <w:pPr>
        <w:pStyle w:val="138"/>
        <w:spacing w:line="360" w:lineRule="auto"/>
        <w:ind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.18★投标人须承诺中标后在东莞有固定的营业场所和开展代理业务所需设施及办公条件，包括但不限于开、评标场所，现场录像、录音、投影设备等充足的办公设施</w:t>
      </w:r>
      <w:r>
        <w:rPr>
          <w:rFonts w:hint="eastAsia"/>
          <w:highlight w:val="none"/>
          <w:lang w:eastAsia="zh-CN"/>
        </w:rPr>
        <w:t>，</w:t>
      </w:r>
      <w:r>
        <w:rPr>
          <w:rFonts w:hint="eastAsia" w:ascii="宋体" w:hAnsi="宋体" w:eastAsia="宋体" w:cs="宋体"/>
          <w:b w:val="0"/>
          <w:bCs w:val="0"/>
          <w:color w:val="auto"/>
          <w:sz w:val="21"/>
          <w:szCs w:val="21"/>
          <w:highlight w:val="none"/>
          <w:lang w:val="en-US" w:eastAsia="zh-CN"/>
        </w:rPr>
        <w:t>能满足《</w:t>
      </w:r>
      <w:r>
        <w:rPr>
          <w:rFonts w:hint="eastAsia" w:ascii="宋体" w:hAnsi="宋体" w:eastAsia="宋体" w:cs="宋体"/>
          <w:color w:val="auto"/>
          <w:szCs w:val="21"/>
          <w:highlight w:val="none"/>
        </w:rPr>
        <w:t>电子招标投标办法</w:t>
      </w:r>
      <w:r>
        <w:rPr>
          <w:rFonts w:hint="eastAsia" w:ascii="宋体" w:hAnsi="宋体" w:eastAsia="宋体" w:cs="宋体"/>
          <w:b w:val="0"/>
          <w:bCs w:val="0"/>
          <w:color w:val="auto"/>
          <w:sz w:val="21"/>
          <w:szCs w:val="21"/>
          <w:highlight w:val="none"/>
          <w:lang w:val="en-US" w:eastAsia="zh-CN"/>
        </w:rPr>
        <w:t>》对于</w:t>
      </w:r>
      <w:r>
        <w:rPr>
          <w:rFonts w:hint="eastAsia" w:ascii="宋体" w:hAnsi="宋体" w:eastAsia="宋体" w:cs="宋体"/>
          <w:color w:val="auto"/>
          <w:szCs w:val="21"/>
          <w:highlight w:val="none"/>
        </w:rPr>
        <w:t>电子招标投标活动</w:t>
      </w:r>
      <w:r>
        <w:rPr>
          <w:rFonts w:hint="eastAsia" w:ascii="宋体" w:hAnsi="宋体" w:eastAsia="宋体" w:cs="宋体"/>
          <w:color w:val="auto"/>
          <w:szCs w:val="21"/>
          <w:highlight w:val="none"/>
          <w:lang w:val="en-US" w:eastAsia="zh-CN"/>
        </w:rPr>
        <w:t>的设施要求</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eastAsia="zh-CN"/>
        </w:rPr>
        <w:t>招标人</w:t>
      </w:r>
      <w:r>
        <w:rPr>
          <w:rFonts w:hint="eastAsia" w:ascii="宋体" w:hAnsi="宋体" w:eastAsia="宋体" w:cs="宋体"/>
          <w:b w:val="0"/>
          <w:bCs w:val="0"/>
          <w:color w:val="auto"/>
          <w:szCs w:val="21"/>
          <w:highlight w:val="none"/>
        </w:rPr>
        <w:t>有权在中标一个月内核查中标人办公室场所，若与承诺不一致的，</w:t>
      </w:r>
      <w:r>
        <w:rPr>
          <w:rFonts w:hint="eastAsia" w:ascii="宋体" w:hAnsi="宋体" w:eastAsia="宋体" w:cs="宋体"/>
          <w:b w:val="0"/>
          <w:bCs w:val="0"/>
          <w:color w:val="auto"/>
          <w:szCs w:val="21"/>
          <w:highlight w:val="none"/>
          <w:lang w:eastAsia="zh-CN"/>
        </w:rPr>
        <w:t>招标人</w:t>
      </w:r>
      <w:r>
        <w:rPr>
          <w:rFonts w:hint="eastAsia" w:ascii="宋体" w:hAnsi="宋体" w:eastAsia="宋体" w:cs="宋体"/>
          <w:b w:val="0"/>
          <w:bCs w:val="0"/>
          <w:color w:val="auto"/>
          <w:szCs w:val="21"/>
          <w:highlight w:val="none"/>
        </w:rPr>
        <w:t>有权暂停其承接项目的资格，并限期内整改，在限期内未按</w:t>
      </w:r>
      <w:r>
        <w:rPr>
          <w:rFonts w:hint="eastAsia" w:ascii="宋体" w:hAnsi="宋体" w:eastAsia="宋体" w:cs="宋体"/>
          <w:b w:val="0"/>
          <w:bCs w:val="0"/>
          <w:color w:val="auto"/>
          <w:szCs w:val="21"/>
          <w:highlight w:val="none"/>
          <w:lang w:eastAsia="zh-CN"/>
        </w:rPr>
        <w:t>招标人</w:t>
      </w:r>
      <w:r>
        <w:rPr>
          <w:rFonts w:hint="eastAsia" w:ascii="宋体" w:hAnsi="宋体" w:eastAsia="宋体" w:cs="宋体"/>
          <w:b w:val="0"/>
          <w:bCs w:val="0"/>
          <w:color w:val="auto"/>
          <w:szCs w:val="21"/>
          <w:highlight w:val="none"/>
        </w:rPr>
        <w:t>规定整改，</w:t>
      </w:r>
      <w:r>
        <w:rPr>
          <w:rFonts w:hint="eastAsia" w:ascii="宋体" w:hAnsi="宋体" w:eastAsia="宋体" w:cs="宋体"/>
          <w:b w:val="0"/>
          <w:bCs w:val="0"/>
          <w:color w:val="auto"/>
          <w:szCs w:val="21"/>
          <w:highlight w:val="none"/>
          <w:lang w:eastAsia="zh-CN"/>
        </w:rPr>
        <w:t>招标人</w:t>
      </w:r>
      <w:r>
        <w:rPr>
          <w:rFonts w:hint="eastAsia" w:ascii="宋体" w:hAnsi="宋体" w:eastAsia="宋体" w:cs="宋体"/>
          <w:b w:val="0"/>
          <w:bCs w:val="0"/>
          <w:color w:val="auto"/>
          <w:szCs w:val="21"/>
          <w:highlight w:val="none"/>
        </w:rPr>
        <w:t>有权取消其中标资格，并根据评标委员会推荐顺序确定其他中标人（须提供承诺函加盖</w:t>
      </w:r>
      <w:r>
        <w:rPr>
          <w:rFonts w:hint="eastAsia" w:ascii="宋体" w:hAnsi="宋体" w:eastAsia="宋体" w:cs="宋体"/>
          <w:b w:val="0"/>
          <w:bCs w:val="0"/>
          <w:color w:val="auto"/>
          <w:szCs w:val="21"/>
          <w:highlight w:val="none"/>
          <w:lang w:eastAsia="zh-CN"/>
        </w:rPr>
        <w:t>投标人公章</w:t>
      </w:r>
      <w:r>
        <w:rPr>
          <w:rFonts w:hint="eastAsia" w:ascii="宋体" w:hAnsi="宋体" w:eastAsia="宋体" w:cs="宋体"/>
          <w:b w:val="0"/>
          <w:bCs w:val="0"/>
          <w:color w:val="auto"/>
          <w:szCs w:val="21"/>
          <w:highlight w:val="none"/>
        </w:rPr>
        <w:t>）。</w:t>
      </w:r>
    </w:p>
    <w:p w14:paraId="66981451">
      <w:pPr>
        <w:pStyle w:val="138"/>
        <w:wordWrap w:val="0"/>
        <w:spacing w:line="360" w:lineRule="auto"/>
        <w:ind w:firstLineChars="200"/>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rPr>
        <w:t>.1</w:t>
      </w:r>
      <w:r>
        <w:rPr>
          <w:rFonts w:hint="eastAsia" w:ascii="宋体" w:hAnsi="宋体" w:eastAsia="宋体" w:cs="宋体"/>
          <w:b w:val="0"/>
          <w:bCs w:val="0"/>
          <w:color w:val="auto"/>
          <w:szCs w:val="21"/>
          <w:highlight w:val="none"/>
        </w:rPr>
        <w:t>9</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rPr>
        <w:t>投标人</w:t>
      </w:r>
      <w:r>
        <w:rPr>
          <w:rFonts w:hint="eastAsia" w:ascii="宋体" w:hAnsi="宋体" w:eastAsia="宋体" w:cs="宋体"/>
          <w:b w:val="0"/>
          <w:bCs w:val="0"/>
          <w:color w:val="auto"/>
          <w:szCs w:val="21"/>
          <w:highlight w:val="none"/>
          <w:lang w:val="en-US" w:eastAsia="zh-CN"/>
        </w:rPr>
        <w:t>参加招标代理库的投标，</w:t>
      </w:r>
      <w:r>
        <w:rPr>
          <w:rFonts w:hint="eastAsia" w:ascii="宋体" w:hAnsi="宋体" w:eastAsia="宋体" w:cs="宋体"/>
          <w:b w:val="0"/>
          <w:bCs w:val="0"/>
          <w:color w:val="auto"/>
          <w:szCs w:val="21"/>
          <w:highlight w:val="none"/>
          <w:lang w:val="zh-CN"/>
        </w:rPr>
        <w:t>需在全国公共资源交易平台</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广东省</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东莞市</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网址</w:t>
      </w:r>
      <w:r>
        <w:rPr>
          <w:rFonts w:hint="eastAsia" w:ascii="宋体" w:hAnsi="宋体" w:eastAsia="宋体" w:cs="宋体"/>
          <w:b w:val="0"/>
          <w:bCs w:val="0"/>
          <w:color w:val="auto"/>
          <w:szCs w:val="21"/>
          <w:highlight w:val="none"/>
          <w:lang w:val="en-US"/>
        </w:rPr>
        <w:t>：https://ygp.gdzwfw.gov.cn/ggzy-portal/index.html#/441900/index）</w:t>
      </w:r>
      <w:r>
        <w:rPr>
          <w:rFonts w:hint="eastAsia" w:ascii="宋体" w:hAnsi="宋体" w:eastAsia="宋体" w:cs="宋体"/>
          <w:b w:val="0"/>
          <w:bCs w:val="0"/>
          <w:color w:val="auto"/>
          <w:szCs w:val="21"/>
          <w:highlight w:val="none"/>
          <w:lang w:val="zh-CN"/>
        </w:rPr>
        <w:t>完成企业库建档</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企业类型必须为</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建设工程类</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招标代理机构</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并录入代理人员信息</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包括项目负责人、招标文件编制人、复核人及一般代理人员</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。如果投标人在提交投标文件截止时间未能完成企业库建档，需提供单独的承诺书，承诺中标后一个月内在全国公共资源交易平台（广东省·东莞市）完成企业库建档工作（须提供承诺函加盖投标人公章）。</w:t>
      </w:r>
    </w:p>
    <w:p w14:paraId="33289476">
      <w:pPr>
        <w:pStyle w:val="138"/>
        <w:spacing w:line="360" w:lineRule="auto"/>
        <w:ind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.20★投标人</w:t>
      </w:r>
      <w:r>
        <w:rPr>
          <w:rFonts w:hint="eastAsia" w:ascii="宋体" w:hAnsi="宋体" w:eastAsia="宋体" w:cs="宋体"/>
          <w:b w:val="0"/>
          <w:bCs w:val="0"/>
          <w:color w:val="auto"/>
          <w:szCs w:val="21"/>
          <w:highlight w:val="none"/>
          <w:lang w:val="en-US" w:eastAsia="zh-CN"/>
        </w:rPr>
        <w:t>参加招标代理库的投标，</w:t>
      </w:r>
      <w:r>
        <w:rPr>
          <w:rFonts w:hint="eastAsia" w:ascii="宋体" w:hAnsi="宋体" w:eastAsia="宋体" w:cs="宋体"/>
          <w:b w:val="0"/>
          <w:bCs w:val="0"/>
          <w:color w:val="auto"/>
          <w:szCs w:val="21"/>
          <w:highlight w:val="none"/>
        </w:rPr>
        <w:t>需在东莞市住房和城乡建设局（网址：http://zjj.dg.gov.cn/）完成企业信息档案登记（企业类型必须为：招标代理机构），并且处于“可用状态”</w:t>
      </w:r>
      <w:r>
        <w:rPr>
          <w:rFonts w:hint="eastAsia" w:ascii="宋体" w:hAnsi="宋体" w:eastAsia="宋体" w:cs="宋体"/>
          <w:b w:val="0"/>
          <w:bCs w:val="0"/>
          <w:color w:val="auto"/>
          <w:szCs w:val="21"/>
          <w:highlight w:val="none"/>
          <w:lang w:val="en-US" w:eastAsia="zh-CN"/>
        </w:rPr>
        <w:t>或“正常状态”</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须提供截图并加盖投标人公章</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。如果投标人在提交投标文件截止时间未能完成企业信息档案登记，需提供单独的承诺书，承诺中标后一个月内在东莞市住房和城乡建设局完成企业信息登记工作（须提供承诺函加盖</w:t>
      </w:r>
      <w:r>
        <w:rPr>
          <w:rFonts w:hint="eastAsia" w:ascii="宋体" w:hAnsi="宋体" w:eastAsia="宋体" w:cs="宋体"/>
          <w:b w:val="0"/>
          <w:bCs w:val="0"/>
          <w:color w:val="auto"/>
          <w:szCs w:val="21"/>
          <w:highlight w:val="none"/>
          <w:lang w:eastAsia="zh-CN"/>
        </w:rPr>
        <w:t>投标人公章</w:t>
      </w:r>
      <w:r>
        <w:rPr>
          <w:rFonts w:hint="eastAsia" w:ascii="宋体" w:hAnsi="宋体" w:eastAsia="宋体" w:cs="宋体"/>
          <w:b w:val="0"/>
          <w:bCs w:val="0"/>
          <w:color w:val="auto"/>
          <w:szCs w:val="21"/>
          <w:highlight w:val="none"/>
        </w:rPr>
        <w:t>）。</w:t>
      </w:r>
    </w:p>
    <w:p w14:paraId="77BCC97C">
      <w:pPr>
        <w:pStyle w:val="138"/>
        <w:spacing w:line="360" w:lineRule="auto"/>
        <w:ind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.21★投标人</w:t>
      </w:r>
      <w:r>
        <w:rPr>
          <w:rFonts w:hint="eastAsia" w:ascii="宋体" w:hAnsi="宋体" w:eastAsia="宋体" w:cs="宋体"/>
          <w:b w:val="0"/>
          <w:bCs w:val="0"/>
          <w:color w:val="auto"/>
          <w:szCs w:val="21"/>
          <w:highlight w:val="none"/>
          <w:lang w:val="en-US" w:eastAsia="zh-CN"/>
        </w:rPr>
        <w:t>参加招标代理库的投标，</w:t>
      </w:r>
      <w:r>
        <w:rPr>
          <w:rFonts w:hint="eastAsia" w:ascii="宋体" w:hAnsi="宋体" w:eastAsia="宋体" w:cs="宋体"/>
          <w:b w:val="0"/>
          <w:bCs w:val="0"/>
          <w:color w:val="auto"/>
          <w:szCs w:val="21"/>
          <w:highlight w:val="none"/>
        </w:rPr>
        <w:t>需在东莞市水务局</w:t>
      </w:r>
      <w:r>
        <w:rPr>
          <w:rFonts w:hint="eastAsia" w:ascii="宋体" w:hAnsi="宋体" w:eastAsia="宋体" w:cs="宋体"/>
          <w:b w:val="0"/>
          <w:bCs w:val="0"/>
          <w:color w:val="auto"/>
          <w:szCs w:val="21"/>
          <w:highlight w:val="none"/>
          <w:lang w:val="en-US" w:eastAsia="zh-CN"/>
        </w:rPr>
        <w:t>-公共服务目录</w:t>
      </w:r>
      <w:r>
        <w:rPr>
          <w:rFonts w:hint="eastAsia" w:ascii="宋体" w:hAnsi="宋体" w:eastAsia="宋体" w:cs="宋体"/>
          <w:b w:val="0"/>
          <w:bCs w:val="0"/>
          <w:color w:val="auto"/>
          <w:szCs w:val="21"/>
          <w:highlight w:val="none"/>
        </w:rPr>
        <w:t>（网址：http://dgwater.dg.gov.cn/）水务工程参建企业信用管理系统完成企业</w:t>
      </w:r>
      <w:r>
        <w:rPr>
          <w:rFonts w:hint="eastAsia" w:ascii="宋体" w:hAnsi="宋体" w:eastAsia="宋体" w:cs="宋体"/>
          <w:b w:val="0"/>
          <w:bCs w:val="0"/>
          <w:color w:val="auto"/>
          <w:szCs w:val="21"/>
          <w:highlight w:val="none"/>
          <w:lang w:val="en-US" w:eastAsia="zh-CN"/>
        </w:rPr>
        <w:t>登记信息</w:t>
      </w:r>
      <w:r>
        <w:rPr>
          <w:rFonts w:hint="eastAsia" w:ascii="宋体" w:hAnsi="宋体" w:eastAsia="宋体" w:cs="宋体"/>
          <w:b w:val="0"/>
          <w:bCs w:val="0"/>
          <w:color w:val="auto"/>
          <w:szCs w:val="21"/>
          <w:highlight w:val="none"/>
        </w:rPr>
        <w:t>（企业</w:t>
      </w:r>
      <w:r>
        <w:rPr>
          <w:rFonts w:hint="eastAsia" w:ascii="宋体" w:hAnsi="宋体" w:eastAsia="宋体" w:cs="宋体"/>
          <w:b w:val="0"/>
          <w:bCs w:val="0"/>
          <w:color w:val="auto"/>
          <w:szCs w:val="21"/>
          <w:highlight w:val="none"/>
          <w:lang w:val="en-US" w:eastAsia="zh-CN"/>
        </w:rPr>
        <w:t>类别</w:t>
      </w:r>
      <w:r>
        <w:rPr>
          <w:rFonts w:hint="eastAsia" w:ascii="宋体" w:hAnsi="宋体" w:eastAsia="宋体" w:cs="宋体"/>
          <w:b w:val="0"/>
          <w:bCs w:val="0"/>
          <w:color w:val="auto"/>
          <w:szCs w:val="21"/>
          <w:highlight w:val="none"/>
        </w:rPr>
        <w:t>必须为：招标代理）</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须提供截图并加盖投标人公章</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。如果投标人在提交投标文件截止时间未能完成企业信息档案登记，需提供单独的承诺书，承诺中标后一个月内在东莞市水务局完成企业信息登记工作（须提供承诺函加盖</w:t>
      </w:r>
      <w:r>
        <w:rPr>
          <w:rFonts w:hint="eastAsia" w:ascii="宋体" w:hAnsi="宋体" w:eastAsia="宋体" w:cs="宋体"/>
          <w:b w:val="0"/>
          <w:bCs w:val="0"/>
          <w:color w:val="auto"/>
          <w:szCs w:val="21"/>
          <w:highlight w:val="none"/>
          <w:lang w:eastAsia="zh-CN"/>
        </w:rPr>
        <w:t>投标人公章</w:t>
      </w:r>
      <w:r>
        <w:rPr>
          <w:rFonts w:hint="eastAsia" w:ascii="宋体" w:hAnsi="宋体" w:eastAsia="宋体" w:cs="宋体"/>
          <w:b w:val="0"/>
          <w:bCs w:val="0"/>
          <w:color w:val="auto"/>
          <w:szCs w:val="21"/>
          <w:highlight w:val="none"/>
        </w:rPr>
        <w:t>）。</w:t>
      </w:r>
    </w:p>
    <w:p w14:paraId="267F7494">
      <w:pPr>
        <w:pStyle w:val="138"/>
        <w:spacing w:line="360" w:lineRule="auto"/>
        <w:ind w:firstLineChars="20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t>6.22</w:t>
      </w:r>
      <w:r>
        <w:rPr>
          <w:rFonts w:hint="eastAsia" w:ascii="宋体" w:hAnsi="宋体" w:eastAsia="宋体" w:cs="宋体"/>
          <w:b w:val="0"/>
          <w:bCs w:val="0"/>
          <w:color w:val="auto"/>
          <w:szCs w:val="21"/>
          <w:highlight w:val="none"/>
        </w:rPr>
        <w:t>★投标人</w:t>
      </w:r>
      <w:r>
        <w:rPr>
          <w:rFonts w:hint="eastAsia" w:ascii="宋体" w:hAnsi="宋体" w:eastAsia="宋体" w:cs="宋体"/>
          <w:b w:val="0"/>
          <w:bCs w:val="0"/>
          <w:color w:val="auto"/>
          <w:szCs w:val="21"/>
          <w:highlight w:val="none"/>
          <w:lang w:val="en-US" w:eastAsia="zh-CN"/>
        </w:rPr>
        <w:t>参加招标代理库的投标，需按照《</w:t>
      </w:r>
      <w:r>
        <w:rPr>
          <w:rFonts w:hint="eastAsia" w:ascii="宋体" w:hAnsi="宋体" w:eastAsia="宋体" w:cs="宋体"/>
          <w:b w:val="0"/>
          <w:bCs w:val="0"/>
          <w:i w:val="0"/>
          <w:iCs w:val="0"/>
          <w:color w:val="auto"/>
          <w:spacing w:val="0"/>
          <w:sz w:val="21"/>
          <w:szCs w:val="21"/>
          <w:highlight w:val="none"/>
        </w:rPr>
        <w:t>工程建设项目招标代理机构管理暂行办法</w:t>
      </w:r>
      <w:r>
        <w:rPr>
          <w:rFonts w:hint="eastAsia" w:ascii="宋体" w:hAnsi="宋体" w:eastAsia="宋体" w:cs="宋体"/>
          <w:b w:val="0"/>
          <w:bCs w:val="0"/>
          <w:color w:val="auto"/>
          <w:szCs w:val="21"/>
          <w:highlight w:val="none"/>
          <w:lang w:val="en-US" w:eastAsia="zh-CN"/>
        </w:rPr>
        <w:t>》有关规定办理登记手续，</w:t>
      </w:r>
      <w:r>
        <w:rPr>
          <w:rFonts w:hint="eastAsia" w:ascii="宋体" w:hAnsi="宋体" w:eastAsia="宋体" w:cs="宋体"/>
          <w:b w:val="0"/>
          <w:bCs w:val="0"/>
          <w:color w:val="auto"/>
          <w:szCs w:val="21"/>
          <w:highlight w:val="none"/>
        </w:rPr>
        <w:t>如果投标人在提交投标文件截止时间未能完成企业信息登记，需提供单独的承诺书，承诺中标后一个月内完成企业信息登记工作</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非投标人原因导致无法完成</w:t>
      </w:r>
      <w:r>
        <w:rPr>
          <w:rFonts w:hint="eastAsia" w:ascii="宋体" w:hAnsi="宋体" w:eastAsia="宋体" w:cs="宋体"/>
          <w:b w:val="0"/>
          <w:bCs w:val="0"/>
          <w:color w:val="auto"/>
          <w:szCs w:val="21"/>
          <w:highlight w:val="none"/>
        </w:rPr>
        <w:t>企业信息</w:t>
      </w:r>
      <w:r>
        <w:rPr>
          <w:rFonts w:hint="eastAsia" w:ascii="宋体" w:hAnsi="宋体" w:eastAsia="宋体" w:cs="宋体"/>
          <w:b w:val="0"/>
          <w:bCs w:val="0"/>
          <w:color w:val="auto"/>
          <w:szCs w:val="21"/>
          <w:highlight w:val="none"/>
          <w:lang w:val="en-US" w:eastAsia="zh-CN"/>
        </w:rPr>
        <w:t>登记的除外。</w:t>
      </w:r>
      <w:r>
        <w:rPr>
          <w:rFonts w:hint="eastAsia" w:ascii="宋体" w:hAnsi="宋体" w:eastAsia="宋体" w:cs="宋体"/>
          <w:b w:val="0"/>
          <w:bCs w:val="0"/>
          <w:color w:val="auto"/>
          <w:szCs w:val="21"/>
          <w:highlight w:val="none"/>
        </w:rPr>
        <w:t>（须提供承诺函加盖</w:t>
      </w:r>
      <w:r>
        <w:rPr>
          <w:rFonts w:hint="eastAsia" w:ascii="宋体" w:hAnsi="宋体" w:eastAsia="宋体" w:cs="宋体"/>
          <w:b w:val="0"/>
          <w:bCs w:val="0"/>
          <w:color w:val="auto"/>
          <w:szCs w:val="21"/>
          <w:highlight w:val="none"/>
          <w:lang w:eastAsia="zh-CN"/>
        </w:rPr>
        <w:t>投标人公章</w:t>
      </w:r>
      <w:r>
        <w:rPr>
          <w:rFonts w:hint="eastAsia" w:ascii="宋体" w:hAnsi="宋体" w:eastAsia="宋体" w:cs="宋体"/>
          <w:b w:val="0"/>
          <w:bCs w:val="0"/>
          <w:color w:val="auto"/>
          <w:szCs w:val="21"/>
          <w:highlight w:val="none"/>
        </w:rPr>
        <w:t>）。</w:t>
      </w:r>
    </w:p>
    <w:p w14:paraId="5DD05A4C">
      <w:pPr>
        <w:pStyle w:val="138"/>
        <w:spacing w:line="360" w:lineRule="auto"/>
        <w:ind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1"/>
          <w:szCs w:val="21"/>
          <w:highlight w:val="none"/>
          <w:lang w:val="en-US" w:eastAsia="zh-CN"/>
        </w:rPr>
        <w:t>6.23</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投标人</w:t>
      </w:r>
      <w:r>
        <w:rPr>
          <w:rFonts w:hint="eastAsia" w:ascii="宋体" w:hAnsi="宋体" w:eastAsia="宋体" w:cs="宋体"/>
          <w:b w:val="0"/>
          <w:bCs w:val="0"/>
          <w:color w:val="auto"/>
          <w:sz w:val="21"/>
          <w:szCs w:val="21"/>
          <w:highlight w:val="none"/>
          <w:lang w:val="en-US" w:eastAsia="zh-CN"/>
        </w:rPr>
        <w:t>参加招标代理库的投标，不得处于被限制使用东莞市公共资源交易系统办理招标代理业务的期间</w:t>
      </w:r>
      <w:r>
        <w:rPr>
          <w:rFonts w:hint="eastAsia" w:ascii="宋体" w:hAnsi="宋体" w:eastAsia="宋体" w:cs="宋体"/>
          <w:b w:val="0"/>
          <w:bCs w:val="0"/>
          <w:color w:val="auto"/>
          <w:sz w:val="21"/>
          <w:szCs w:val="21"/>
          <w:highlight w:val="none"/>
        </w:rPr>
        <w:t>（须提供承诺函加盖</w:t>
      </w:r>
      <w:r>
        <w:rPr>
          <w:rFonts w:hint="eastAsia" w:ascii="宋体" w:hAnsi="宋体" w:eastAsia="宋体" w:cs="宋体"/>
          <w:b w:val="0"/>
          <w:bCs w:val="0"/>
          <w:color w:val="auto"/>
          <w:sz w:val="21"/>
          <w:szCs w:val="21"/>
          <w:highlight w:val="none"/>
          <w:lang w:eastAsia="zh-CN"/>
        </w:rPr>
        <w:t>投标人公章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p>
    <w:p w14:paraId="18E25D0E">
      <w:pPr>
        <w:pStyle w:val="138"/>
        <w:spacing w:line="360" w:lineRule="auto"/>
        <w:ind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七</w:t>
      </w:r>
      <w:r>
        <w:rPr>
          <w:rFonts w:hint="eastAsia" w:ascii="宋体" w:hAnsi="宋体" w:eastAsia="宋体" w:cs="宋体"/>
          <w:b w:val="0"/>
          <w:bCs w:val="0"/>
          <w:color w:val="auto"/>
          <w:szCs w:val="21"/>
          <w:highlight w:val="none"/>
        </w:rPr>
        <w:t>、</w:t>
      </w:r>
      <w:r>
        <w:rPr>
          <w:rFonts w:hint="eastAsia" w:ascii="宋体" w:hAnsi="宋体" w:eastAsia="宋体" w:cs="宋体"/>
          <w:b w:val="0"/>
          <w:color w:val="auto"/>
          <w:szCs w:val="21"/>
          <w:highlight w:val="none"/>
        </w:rPr>
        <w:t>项目分配方式及代理考核方式</w:t>
      </w:r>
    </w:p>
    <w:p w14:paraId="32B4AB78">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在协议服务期限内，通过随机抽取的方式决定单项招标代理业务的服务单位。每轮次抽取由当期具备参与资格的协议服务单位一同参与。同一轮次抽取周期内，已被抽取的协议服务单位将不再参与后续单项招标代理业务的抽取，直到本周期结束开始下一轮次的抽取。</w:t>
      </w:r>
    </w:p>
    <w:p w14:paraId="10280F21">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对于有特殊、复杂要求的项目，</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有权在库内择优选择协议服务单位。</w:t>
      </w:r>
    </w:p>
    <w:p w14:paraId="6FA971CB">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有权根据需求情况，委托库外第三方服务单位承接业务。</w:t>
      </w:r>
    </w:p>
    <w:p w14:paraId="6CC2BB40">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 协议服务期限内，各协议服务单位每完成一个招标代理项目后，由该项目</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东莞市水务环境投资控股集团有限公司</w:t>
      </w:r>
      <w:r>
        <w:rPr>
          <w:rFonts w:hint="eastAsia" w:ascii="宋体" w:hAnsi="宋体" w:eastAsia="宋体" w:cs="宋体"/>
          <w:color w:val="auto"/>
          <w:szCs w:val="21"/>
          <w:highlight w:val="none"/>
        </w:rPr>
        <w:t>或各下属企业）将对其进行单项</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代理项目质量考核评价（详见附件《单项</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代理项目质量考核表》，</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 w:val="21"/>
          <w:szCs w:val="21"/>
          <w:highlight w:val="none"/>
          <w:lang w:val="en-US" w:eastAsia="zh-CN"/>
        </w:rPr>
        <w:t>东莞市水务环境投资控股集团有限公司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每季度对协议服务单位进行服务质量考核评价（详见附件《招标代理机构服务质量考核表》）。</w:t>
      </w:r>
    </w:p>
    <w:p w14:paraId="483D6A33">
      <w:pPr>
        <w:pStyle w:val="138"/>
        <w:spacing w:line="360" w:lineRule="auto"/>
        <w:ind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lang w:val="en-US" w:eastAsia="zh-CN"/>
        </w:rPr>
        <w:t>中标人在协议服务期限内，无条件接受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根据考核结果制定的抽派规则（包括当不限于增加、减少、暂停、停止抽派代理业务等）。</w:t>
      </w:r>
      <w:r>
        <w:rPr>
          <w:rFonts w:hint="eastAsia" w:ascii="宋体" w:hAnsi="宋体" w:eastAsia="宋体" w:cs="宋体"/>
          <w:color w:val="auto"/>
          <w:szCs w:val="21"/>
          <w:highlight w:val="none"/>
        </w:rPr>
        <w:t>每季度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三个月）</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负责统计各协议服务单位的综合得分结果并进行排名。综合得分分为项目质量考核（详见附件《单项招标代理项目质量考核表》）和服务质量考核（详见附件《招标代理机构服务质量考核表》）两个部分，</w:t>
      </w:r>
      <w:r>
        <w:rPr>
          <w:rFonts w:hint="eastAsia" w:ascii="宋体" w:hAnsi="宋体" w:eastAsia="宋体" w:cs="宋体"/>
          <w:color w:val="auto"/>
          <w:szCs w:val="21"/>
          <w:highlight w:val="none"/>
          <w:lang w:val="en-US" w:eastAsia="zh-CN"/>
        </w:rPr>
        <w:t>各占</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%。按“优/良/中/合格/不合格”五个评价等级统计分值，分值按从高到低的原则进行排名，得分相同的排名并列。</w:t>
      </w:r>
      <w:r>
        <w:rPr>
          <w:rFonts w:hint="eastAsia" w:ascii="宋体" w:hAnsi="宋体" w:eastAsia="宋体" w:cs="宋体"/>
          <w:color w:val="auto"/>
          <w:szCs w:val="21"/>
          <w:highlight w:val="none"/>
          <w:lang w:val="en-US" w:eastAsia="zh-CN"/>
        </w:rPr>
        <w:t>其中</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按项目进行考核评价，</w:t>
      </w:r>
      <w:r>
        <w:rPr>
          <w:rFonts w:hint="eastAsia" w:ascii="宋体" w:hAnsi="宋体" w:eastAsia="宋体" w:cs="宋体"/>
          <w:color w:val="auto"/>
          <w:szCs w:val="21"/>
          <w:highlight w:val="none"/>
        </w:rPr>
        <w:t>服务质量考核</w:t>
      </w:r>
      <w:r>
        <w:rPr>
          <w:rFonts w:hint="eastAsia" w:ascii="宋体" w:hAnsi="宋体" w:eastAsia="宋体" w:cs="宋体"/>
          <w:color w:val="auto"/>
          <w:szCs w:val="21"/>
          <w:highlight w:val="none"/>
          <w:lang w:val="en-US" w:eastAsia="zh-CN"/>
        </w:rPr>
        <w:t>按季度进行一次评价。当期有多个</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pacing w:val="-6"/>
          <w:szCs w:val="32"/>
          <w:highlight w:val="none"/>
          <w:lang w:val="en-US" w:eastAsia="zh-CN"/>
        </w:rPr>
        <w:t>以算术平均值确定</w:t>
      </w:r>
      <w:r>
        <w:rPr>
          <w:rFonts w:hint="eastAsia" w:ascii="宋体" w:hAnsi="宋体" w:eastAsia="宋体" w:cs="宋体"/>
          <w:color w:val="auto"/>
          <w:szCs w:val="21"/>
          <w:highlight w:val="none"/>
          <w:lang w:val="en-US" w:eastAsia="zh-CN"/>
        </w:rPr>
        <w:t>当期</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汇总得分；当期没有</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的，以服务质量考核得分作为当期最终考核评价得分。</w:t>
      </w:r>
    </w:p>
    <w:p w14:paraId="6EE586D8">
      <w:pPr>
        <w:pStyle w:val="138"/>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Cs w:val="21"/>
          <w:highlight w:val="none"/>
        </w:rPr>
        <w:t>被举报确认违法违纪、违反廉洁从业的，</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有权单方终止其协议服务资格并解除服务合同</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没收履约保证金。</w:t>
      </w:r>
    </w:p>
    <w:p w14:paraId="59B71171">
      <w:pPr>
        <w:pStyle w:val="138"/>
        <w:spacing w:line="360" w:lineRule="auto"/>
        <w:ind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589C1E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Cs w:val="21"/>
          <w:highlight w:val="none"/>
          <w:lang w:val="en-US" w:eastAsia="zh-CN"/>
        </w:rPr>
      </w:pPr>
      <w:r>
        <w:rPr>
          <w:rFonts w:hint="eastAsia" w:ascii="宋体" w:hAnsi="宋体" w:eastAsia="宋体" w:cs="宋体"/>
          <w:b/>
          <w:bCs/>
          <w:highlight w:val="none"/>
          <w:lang w:val="en-US" w:eastAsia="zh-CN"/>
        </w:rPr>
        <w:t>附件：</w:t>
      </w:r>
    </w:p>
    <w:p w14:paraId="1442E3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lang w:eastAsia="zh-CN"/>
        </w:rPr>
      </w:pP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1</w:t>
      </w:r>
      <w:r>
        <w:rPr>
          <w:rFonts w:hint="eastAsia" w:ascii="宋体" w:hAnsi="宋体" w:eastAsia="宋体" w:cs="宋体"/>
          <w:b/>
          <w:bCs/>
          <w:color w:val="000000"/>
          <w:szCs w:val="21"/>
          <w:highlight w:val="none"/>
          <w:lang w:eastAsia="zh-CN"/>
        </w:rPr>
        <w:t>）单项招标代理项目质量考核表</w:t>
      </w:r>
    </w:p>
    <w:p w14:paraId="042CD39A">
      <w:pPr>
        <w:pStyle w:val="138"/>
        <w:spacing w:after="160" w:line="400" w:lineRule="exact"/>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lang w:val="en-US" w:eastAsia="zh-CN"/>
        </w:rPr>
        <w:t>招标</w:t>
      </w:r>
      <w:r>
        <w:rPr>
          <w:rFonts w:hint="eastAsia" w:ascii="宋体" w:hAnsi="宋体" w:eastAsia="宋体" w:cs="宋体"/>
          <w:bCs w:val="0"/>
          <w:color w:val="auto"/>
          <w:szCs w:val="21"/>
          <w:highlight w:val="none"/>
        </w:rPr>
        <w:t>代理机构：</w:t>
      </w:r>
    </w:p>
    <w:p w14:paraId="10A76717">
      <w:pPr>
        <w:pStyle w:val="138"/>
        <w:spacing w:after="160" w:line="400" w:lineRule="exact"/>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项目名称：</w:t>
      </w:r>
    </w:p>
    <w:p w14:paraId="25DD6753">
      <w:pPr>
        <w:pStyle w:val="138"/>
        <w:spacing w:after="160" w:line="400" w:lineRule="exact"/>
        <w:rPr>
          <w:rFonts w:hint="default"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招标编号：</w:t>
      </w:r>
    </w:p>
    <w:tbl>
      <w:tblPr>
        <w:tblStyle w:val="44"/>
        <w:tblW w:w="4998" w:type="pct"/>
        <w:tblInd w:w="0" w:type="dxa"/>
        <w:tblLayout w:type="autofit"/>
        <w:tblCellMar>
          <w:top w:w="0" w:type="dxa"/>
          <w:left w:w="108" w:type="dxa"/>
          <w:bottom w:w="0" w:type="dxa"/>
          <w:right w:w="108" w:type="dxa"/>
        </w:tblCellMar>
      </w:tblPr>
      <w:tblGrid>
        <w:gridCol w:w="647"/>
        <w:gridCol w:w="1758"/>
        <w:gridCol w:w="3388"/>
        <w:gridCol w:w="1292"/>
        <w:gridCol w:w="1051"/>
        <w:gridCol w:w="929"/>
        <w:gridCol w:w="1301"/>
      </w:tblGrid>
      <w:tr w14:paraId="54431FA1">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5ACF2485">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bookmarkStart w:id="399" w:name="_Hlk86669198"/>
            <w:r>
              <w:rPr>
                <w:rFonts w:hint="eastAsia" w:ascii="宋体" w:hAnsi="宋体" w:eastAsia="宋体" w:cs="宋体"/>
                <w:b w:val="0"/>
                <w:color w:val="auto"/>
                <w:szCs w:val="21"/>
                <w:highlight w:val="none"/>
              </w:rPr>
              <w:t>序号</w:t>
            </w:r>
          </w:p>
        </w:tc>
        <w:tc>
          <w:tcPr>
            <w:tcW w:w="847" w:type="pct"/>
            <w:tcBorders>
              <w:top w:val="single" w:color="auto" w:sz="4" w:space="0"/>
              <w:left w:val="nil"/>
              <w:bottom w:val="single" w:color="auto" w:sz="4" w:space="0"/>
              <w:right w:val="single" w:color="auto" w:sz="4" w:space="0"/>
            </w:tcBorders>
            <w:noWrap w:val="0"/>
            <w:vAlign w:val="center"/>
          </w:tcPr>
          <w:p w14:paraId="58687817">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考核内容</w:t>
            </w:r>
          </w:p>
        </w:tc>
        <w:tc>
          <w:tcPr>
            <w:tcW w:w="2257" w:type="pct"/>
            <w:gridSpan w:val="2"/>
            <w:tcBorders>
              <w:top w:val="single" w:color="auto" w:sz="4" w:space="0"/>
              <w:left w:val="nil"/>
              <w:bottom w:val="single" w:color="auto" w:sz="4" w:space="0"/>
              <w:right w:val="single" w:color="auto" w:sz="4" w:space="0"/>
            </w:tcBorders>
            <w:noWrap w:val="0"/>
            <w:vAlign w:val="center"/>
          </w:tcPr>
          <w:p w14:paraId="6C6401FC">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考核标准</w:t>
            </w:r>
          </w:p>
        </w:tc>
        <w:tc>
          <w:tcPr>
            <w:tcW w:w="507" w:type="pct"/>
            <w:tcBorders>
              <w:top w:val="single" w:color="auto" w:sz="4" w:space="0"/>
              <w:left w:val="nil"/>
              <w:bottom w:val="single" w:color="auto" w:sz="4" w:space="0"/>
              <w:right w:val="single" w:color="auto" w:sz="4" w:space="0"/>
            </w:tcBorders>
            <w:noWrap w:val="0"/>
            <w:vAlign w:val="center"/>
          </w:tcPr>
          <w:p w14:paraId="14332325">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权重</w:t>
            </w:r>
          </w:p>
        </w:tc>
        <w:tc>
          <w:tcPr>
            <w:tcW w:w="448" w:type="pct"/>
            <w:tcBorders>
              <w:top w:val="single" w:color="auto" w:sz="4" w:space="0"/>
              <w:left w:val="nil"/>
              <w:bottom w:val="single" w:color="auto" w:sz="4" w:space="0"/>
              <w:right w:val="single" w:color="auto" w:sz="4" w:space="0"/>
            </w:tcBorders>
            <w:noWrap w:val="0"/>
            <w:vAlign w:val="center"/>
          </w:tcPr>
          <w:p w14:paraId="1BA71F74">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得分</w:t>
            </w:r>
          </w:p>
        </w:tc>
        <w:tc>
          <w:tcPr>
            <w:tcW w:w="625" w:type="pct"/>
            <w:tcBorders>
              <w:top w:val="single" w:color="auto" w:sz="4" w:space="0"/>
              <w:left w:val="nil"/>
              <w:bottom w:val="single" w:color="auto" w:sz="4" w:space="0"/>
              <w:right w:val="single" w:color="auto" w:sz="4" w:space="0"/>
            </w:tcBorders>
            <w:noWrap w:val="0"/>
            <w:vAlign w:val="center"/>
          </w:tcPr>
          <w:p w14:paraId="59CC3C33">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加权得分</w:t>
            </w:r>
          </w:p>
        </w:tc>
      </w:tr>
      <w:tr w14:paraId="186252B4">
        <w:tblPrEx>
          <w:tblCellMar>
            <w:top w:w="0" w:type="dxa"/>
            <w:left w:w="108" w:type="dxa"/>
            <w:bottom w:w="0" w:type="dxa"/>
            <w:right w:w="108" w:type="dxa"/>
          </w:tblCellMar>
        </w:tblPrEx>
        <w:trPr>
          <w:trHeight w:val="454" w:hRule="atLeast"/>
        </w:trPr>
        <w:tc>
          <w:tcPr>
            <w:tcW w:w="312" w:type="pct"/>
            <w:tcBorders>
              <w:top w:val="nil"/>
              <w:left w:val="single" w:color="auto" w:sz="4" w:space="0"/>
              <w:bottom w:val="single" w:color="auto" w:sz="4" w:space="0"/>
              <w:right w:val="single" w:color="auto" w:sz="4" w:space="0"/>
            </w:tcBorders>
            <w:noWrap w:val="0"/>
            <w:vAlign w:val="center"/>
          </w:tcPr>
          <w:p w14:paraId="5755A142">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58" w:type="dxa"/>
            <w:tcBorders>
              <w:top w:val="nil"/>
              <w:left w:val="nil"/>
              <w:bottom w:val="single" w:color="auto" w:sz="4" w:space="0"/>
              <w:right w:val="single" w:color="auto" w:sz="4" w:space="0"/>
            </w:tcBorders>
            <w:noWrap w:val="0"/>
            <w:vAlign w:val="center"/>
          </w:tcPr>
          <w:p w14:paraId="4BAF85F7">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招标代理机构运作情况</w:t>
            </w:r>
          </w:p>
        </w:tc>
        <w:tc>
          <w:tcPr>
            <w:tcW w:w="4680" w:type="dxa"/>
            <w:gridSpan w:val="2"/>
            <w:tcBorders>
              <w:top w:val="nil"/>
              <w:left w:val="nil"/>
              <w:bottom w:val="single" w:color="auto" w:sz="4" w:space="0"/>
              <w:right w:val="single" w:color="auto" w:sz="4" w:space="0"/>
            </w:tcBorders>
            <w:noWrap w:val="0"/>
            <w:vAlign w:val="center"/>
          </w:tcPr>
          <w:p w14:paraId="68BEAEC0">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编制人或复核人到位情况；代理机构主要负责人组织协调能力；代理机构人员业务能力、工作态度、主动性。</w:t>
            </w:r>
          </w:p>
        </w:tc>
        <w:tc>
          <w:tcPr>
            <w:tcW w:w="507" w:type="pct"/>
            <w:tcBorders>
              <w:top w:val="nil"/>
              <w:left w:val="nil"/>
              <w:bottom w:val="single" w:color="auto" w:sz="4" w:space="0"/>
              <w:right w:val="single" w:color="auto" w:sz="4" w:space="0"/>
            </w:tcBorders>
            <w:noWrap w:val="0"/>
            <w:vAlign w:val="center"/>
          </w:tcPr>
          <w:p w14:paraId="7CC7AF9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48" w:type="pct"/>
            <w:tcBorders>
              <w:top w:val="nil"/>
              <w:left w:val="nil"/>
              <w:bottom w:val="single" w:color="auto" w:sz="4" w:space="0"/>
              <w:right w:val="single" w:color="auto" w:sz="4" w:space="0"/>
            </w:tcBorders>
            <w:noWrap w:val="0"/>
            <w:vAlign w:val="top"/>
          </w:tcPr>
          <w:p w14:paraId="22356098">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nil"/>
              <w:left w:val="nil"/>
              <w:bottom w:val="single" w:color="auto" w:sz="4" w:space="0"/>
              <w:right w:val="single" w:color="auto" w:sz="4" w:space="0"/>
            </w:tcBorders>
            <w:noWrap w:val="0"/>
            <w:vAlign w:val="top"/>
          </w:tcPr>
          <w:p w14:paraId="1019C95A">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730EAAD3">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right w:val="single" w:color="auto" w:sz="4" w:space="0"/>
            </w:tcBorders>
            <w:noWrap w:val="0"/>
            <w:vAlign w:val="center"/>
          </w:tcPr>
          <w:p w14:paraId="34DFFFC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47" w:type="pct"/>
            <w:tcBorders>
              <w:top w:val="single" w:color="auto" w:sz="4" w:space="0"/>
              <w:left w:val="nil"/>
              <w:bottom w:val="single" w:color="auto" w:sz="4" w:space="0"/>
              <w:right w:val="single" w:color="auto" w:sz="4" w:space="0"/>
            </w:tcBorders>
            <w:noWrap w:val="0"/>
            <w:vAlign w:val="center"/>
          </w:tcPr>
          <w:p w14:paraId="1DCCA7B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编制情况</w:t>
            </w:r>
          </w:p>
        </w:tc>
        <w:tc>
          <w:tcPr>
            <w:tcW w:w="2257" w:type="pct"/>
            <w:gridSpan w:val="2"/>
            <w:tcBorders>
              <w:top w:val="single" w:color="auto" w:sz="4" w:space="0"/>
              <w:left w:val="nil"/>
              <w:bottom w:val="single" w:color="auto" w:sz="4" w:space="0"/>
              <w:right w:val="single" w:color="auto" w:sz="4" w:space="0"/>
            </w:tcBorders>
            <w:noWrap w:val="0"/>
            <w:vAlign w:val="center"/>
          </w:tcPr>
          <w:p w14:paraId="6A394DCC">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代理机构提出合理化建议，配合项目组做好划分标段计划及拟定招标方案情况；收集与招标项目有关的技术、图纸、最新法律法规等资料，理解项目需求情况；根据工程需求编制</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，对资质等级、工程范围、费用包干等重点环节核实情况；根据项目</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及监督部门（如有）要求，对</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内容不适当部分的修改，</w:t>
            </w:r>
            <w:r>
              <w:rPr>
                <w:rFonts w:hint="eastAsia" w:ascii="宋体" w:hAnsi="宋体" w:eastAsia="宋体" w:cs="宋体"/>
                <w:highlight w:val="none"/>
                <w:lang w:val="en-US" w:eastAsia="zh-CN"/>
              </w:rPr>
              <w:t>发现并修改</w:t>
            </w:r>
            <w:r>
              <w:rPr>
                <w:rFonts w:hint="eastAsia" w:ascii="宋体" w:hAnsi="宋体" w:eastAsia="宋体" w:cs="宋体"/>
                <w:color w:val="auto"/>
                <w:szCs w:val="21"/>
                <w:highlight w:val="none"/>
              </w:rPr>
              <w:t>错漏情况；</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的传阅、答辩、定稿情况，项目合同的编制情况；招标公告、专家申请、开评标表格、评标报告、结果公示、中标通知书等招标过程文件的编制情况。</w:t>
            </w:r>
          </w:p>
        </w:tc>
        <w:tc>
          <w:tcPr>
            <w:tcW w:w="507" w:type="pct"/>
            <w:tcBorders>
              <w:top w:val="single" w:color="auto" w:sz="4" w:space="0"/>
              <w:left w:val="nil"/>
              <w:bottom w:val="single" w:color="auto" w:sz="4" w:space="0"/>
              <w:right w:val="single" w:color="auto" w:sz="4" w:space="0"/>
            </w:tcBorders>
            <w:noWrap w:val="0"/>
            <w:vAlign w:val="center"/>
          </w:tcPr>
          <w:p w14:paraId="0CB57D7D">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448" w:type="pct"/>
            <w:tcBorders>
              <w:top w:val="single" w:color="auto" w:sz="4" w:space="0"/>
              <w:left w:val="nil"/>
              <w:bottom w:val="single" w:color="auto" w:sz="4" w:space="0"/>
              <w:right w:val="single" w:color="auto" w:sz="4" w:space="0"/>
            </w:tcBorders>
            <w:noWrap w:val="0"/>
            <w:vAlign w:val="top"/>
          </w:tcPr>
          <w:p w14:paraId="248A76AE">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4B5018D9">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041EC48F">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63B70BEA">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47" w:type="pct"/>
            <w:tcBorders>
              <w:top w:val="single" w:color="auto" w:sz="4" w:space="0"/>
              <w:left w:val="nil"/>
              <w:bottom w:val="single" w:color="auto" w:sz="4" w:space="0"/>
              <w:right w:val="single" w:color="auto" w:sz="4" w:space="0"/>
            </w:tcBorders>
            <w:noWrap w:val="0"/>
            <w:vAlign w:val="center"/>
          </w:tcPr>
          <w:p w14:paraId="66AE62A6">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招标程序组织情况</w:t>
            </w:r>
          </w:p>
        </w:tc>
        <w:tc>
          <w:tcPr>
            <w:tcW w:w="4680" w:type="dxa"/>
            <w:gridSpan w:val="2"/>
            <w:tcBorders>
              <w:top w:val="single" w:color="auto" w:sz="4" w:space="0"/>
              <w:left w:val="nil"/>
              <w:bottom w:val="single" w:color="auto" w:sz="4" w:space="0"/>
              <w:right w:val="single" w:color="auto" w:sz="4" w:space="0"/>
            </w:tcBorders>
            <w:noWrap w:val="0"/>
            <w:vAlign w:val="center"/>
          </w:tcPr>
          <w:p w14:paraId="2E003855">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代理机构合法合规办理招标公告发布所需具备的各项手续情况；完成各招标进度控制节点工作情况；向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反馈潜在投标人（供应商）情况，开标评标等工作情况；项目合同签订的组织、协调、备案情况。现场应变能力，处理问题情况；代理机构人员语言举止及服务态度。</w:t>
            </w:r>
          </w:p>
        </w:tc>
        <w:tc>
          <w:tcPr>
            <w:tcW w:w="507" w:type="pct"/>
            <w:tcBorders>
              <w:top w:val="single" w:color="auto" w:sz="4" w:space="0"/>
              <w:left w:val="nil"/>
              <w:bottom w:val="single" w:color="auto" w:sz="4" w:space="0"/>
              <w:right w:val="single" w:color="auto" w:sz="4" w:space="0"/>
            </w:tcBorders>
            <w:noWrap w:val="0"/>
            <w:vAlign w:val="center"/>
          </w:tcPr>
          <w:p w14:paraId="0CE9E854">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448" w:type="pct"/>
            <w:tcBorders>
              <w:top w:val="single" w:color="auto" w:sz="4" w:space="0"/>
              <w:left w:val="nil"/>
              <w:bottom w:val="single" w:color="auto" w:sz="4" w:space="0"/>
              <w:right w:val="single" w:color="auto" w:sz="4" w:space="0"/>
            </w:tcBorders>
            <w:noWrap w:val="0"/>
            <w:vAlign w:val="top"/>
          </w:tcPr>
          <w:p w14:paraId="6CEE53F3">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328D2E34">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27506850">
        <w:tblPrEx>
          <w:tblCellMar>
            <w:top w:w="0" w:type="dxa"/>
            <w:left w:w="108" w:type="dxa"/>
            <w:bottom w:w="0" w:type="dxa"/>
            <w:right w:w="108" w:type="dxa"/>
          </w:tblCellMar>
        </w:tblPrEx>
        <w:trPr>
          <w:trHeight w:val="331"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168E018D">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47" w:type="pct"/>
            <w:tcBorders>
              <w:top w:val="single" w:color="auto" w:sz="4" w:space="0"/>
              <w:left w:val="nil"/>
              <w:bottom w:val="single" w:color="auto" w:sz="4" w:space="0"/>
              <w:right w:val="single" w:color="auto" w:sz="4" w:space="0"/>
            </w:tcBorders>
            <w:noWrap w:val="0"/>
            <w:vAlign w:val="center"/>
          </w:tcPr>
          <w:p w14:paraId="138E68D7">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异议、投诉处理情况</w:t>
            </w:r>
          </w:p>
        </w:tc>
        <w:tc>
          <w:tcPr>
            <w:tcW w:w="4680" w:type="dxa"/>
            <w:gridSpan w:val="2"/>
            <w:tcBorders>
              <w:top w:val="single" w:color="auto" w:sz="4" w:space="0"/>
              <w:left w:val="nil"/>
              <w:bottom w:val="single" w:color="auto" w:sz="4" w:space="0"/>
              <w:right w:val="single" w:color="auto" w:sz="4" w:space="0"/>
            </w:tcBorders>
            <w:noWrap w:val="0"/>
            <w:vAlign w:val="center"/>
          </w:tcPr>
          <w:p w14:paraId="53E4ABEA">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代理机构受理供应商异议或投诉情况：时效、运用法律法规熟悉程度、效果；协助</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处理投诉情况。</w:t>
            </w:r>
          </w:p>
        </w:tc>
        <w:tc>
          <w:tcPr>
            <w:tcW w:w="507" w:type="pct"/>
            <w:tcBorders>
              <w:top w:val="single" w:color="auto" w:sz="4" w:space="0"/>
              <w:left w:val="nil"/>
              <w:bottom w:val="single" w:color="auto" w:sz="4" w:space="0"/>
              <w:right w:val="single" w:color="auto" w:sz="4" w:space="0"/>
            </w:tcBorders>
            <w:noWrap w:val="0"/>
            <w:vAlign w:val="center"/>
          </w:tcPr>
          <w:p w14:paraId="3F8AF215">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48" w:type="pct"/>
            <w:tcBorders>
              <w:top w:val="single" w:color="auto" w:sz="4" w:space="0"/>
              <w:left w:val="nil"/>
              <w:bottom w:val="single" w:color="auto" w:sz="4" w:space="0"/>
              <w:right w:val="single" w:color="auto" w:sz="4" w:space="0"/>
            </w:tcBorders>
            <w:noWrap w:val="0"/>
            <w:vAlign w:val="top"/>
          </w:tcPr>
          <w:p w14:paraId="518C1C27">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45789251">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3D30F1E7">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57C391B9">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47" w:type="pct"/>
            <w:tcBorders>
              <w:top w:val="single" w:color="auto" w:sz="4" w:space="0"/>
              <w:left w:val="nil"/>
              <w:bottom w:val="single" w:color="auto" w:sz="4" w:space="0"/>
              <w:right w:val="single" w:color="auto" w:sz="4" w:space="0"/>
            </w:tcBorders>
            <w:noWrap w:val="0"/>
            <w:vAlign w:val="center"/>
          </w:tcPr>
          <w:p w14:paraId="132DAF55">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资料管理情况</w:t>
            </w:r>
          </w:p>
        </w:tc>
        <w:tc>
          <w:tcPr>
            <w:tcW w:w="4680" w:type="dxa"/>
            <w:gridSpan w:val="2"/>
            <w:tcBorders>
              <w:top w:val="single" w:color="auto" w:sz="4" w:space="0"/>
              <w:left w:val="nil"/>
              <w:bottom w:val="single" w:color="auto" w:sz="4" w:space="0"/>
              <w:right w:val="single" w:color="auto" w:sz="4" w:space="0"/>
            </w:tcBorders>
            <w:noWrap w:val="0"/>
            <w:vAlign w:val="center"/>
          </w:tcPr>
          <w:p w14:paraId="5075C289">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代理机构发放中标通知书，草拟合同，审核严重不平衡报价，编写招标情况报告情况；招标资料制作、收集、移交、备案，招标全过程资料整理（含档案数字化）和存档保管等管理情况。</w:t>
            </w:r>
          </w:p>
        </w:tc>
        <w:tc>
          <w:tcPr>
            <w:tcW w:w="507" w:type="pct"/>
            <w:tcBorders>
              <w:top w:val="single" w:color="auto" w:sz="4" w:space="0"/>
              <w:left w:val="nil"/>
              <w:bottom w:val="single" w:color="auto" w:sz="4" w:space="0"/>
              <w:right w:val="single" w:color="auto" w:sz="4" w:space="0"/>
            </w:tcBorders>
            <w:noWrap w:val="0"/>
            <w:vAlign w:val="center"/>
          </w:tcPr>
          <w:p w14:paraId="2DDA5F12">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48" w:type="pct"/>
            <w:tcBorders>
              <w:top w:val="single" w:color="auto" w:sz="4" w:space="0"/>
              <w:left w:val="nil"/>
              <w:bottom w:val="single" w:color="auto" w:sz="4" w:space="0"/>
              <w:right w:val="single" w:color="auto" w:sz="4" w:space="0"/>
            </w:tcBorders>
            <w:noWrap w:val="0"/>
            <w:vAlign w:val="top"/>
          </w:tcPr>
          <w:p w14:paraId="0FDA8E93">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7C6BF298">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1D09413D">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61497B7E">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47" w:type="pct"/>
            <w:tcBorders>
              <w:top w:val="single" w:color="auto" w:sz="4" w:space="0"/>
              <w:left w:val="nil"/>
              <w:bottom w:val="single" w:color="auto" w:sz="4" w:space="0"/>
              <w:right w:val="single" w:color="auto" w:sz="4" w:space="0"/>
            </w:tcBorders>
            <w:noWrap w:val="0"/>
            <w:vAlign w:val="center"/>
          </w:tcPr>
          <w:p w14:paraId="67BDBC7D">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后续配套服务情况</w:t>
            </w:r>
          </w:p>
        </w:tc>
        <w:tc>
          <w:tcPr>
            <w:tcW w:w="4680" w:type="dxa"/>
            <w:gridSpan w:val="2"/>
            <w:tcBorders>
              <w:top w:val="single" w:color="auto" w:sz="4" w:space="0"/>
              <w:left w:val="nil"/>
              <w:bottom w:val="single" w:color="auto" w:sz="4" w:space="0"/>
              <w:right w:val="single" w:color="auto" w:sz="4" w:space="0"/>
            </w:tcBorders>
            <w:noWrap w:val="0"/>
            <w:vAlign w:val="center"/>
          </w:tcPr>
          <w:p w14:paraId="49B4AFFB">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代理机构人员后续配套服务情况。</w:t>
            </w:r>
          </w:p>
        </w:tc>
        <w:tc>
          <w:tcPr>
            <w:tcW w:w="507" w:type="pct"/>
            <w:tcBorders>
              <w:top w:val="single" w:color="auto" w:sz="4" w:space="0"/>
              <w:left w:val="nil"/>
              <w:bottom w:val="single" w:color="auto" w:sz="4" w:space="0"/>
              <w:right w:val="single" w:color="auto" w:sz="4" w:space="0"/>
            </w:tcBorders>
            <w:noWrap w:val="0"/>
            <w:vAlign w:val="center"/>
          </w:tcPr>
          <w:p w14:paraId="338ADFEA">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48" w:type="pct"/>
            <w:tcBorders>
              <w:top w:val="single" w:color="auto" w:sz="4" w:space="0"/>
              <w:left w:val="nil"/>
              <w:bottom w:val="single" w:color="auto" w:sz="4" w:space="0"/>
              <w:right w:val="single" w:color="auto" w:sz="4" w:space="0"/>
            </w:tcBorders>
            <w:noWrap w:val="0"/>
            <w:vAlign w:val="top"/>
          </w:tcPr>
          <w:p w14:paraId="0E59442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5D054760">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0984D0E3">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53959226">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c>
          <w:tcPr>
            <w:tcW w:w="3839" w:type="pct"/>
            <w:gridSpan w:val="5"/>
            <w:tcBorders>
              <w:top w:val="nil"/>
              <w:left w:val="nil"/>
              <w:bottom w:val="single" w:color="auto" w:sz="4" w:space="0"/>
              <w:right w:val="single" w:color="auto" w:sz="4" w:space="0"/>
            </w:tcBorders>
            <w:noWrap w:val="0"/>
            <w:vAlign w:val="center"/>
          </w:tcPr>
          <w:p w14:paraId="4583F373">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76A084EC">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3484938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扣分项</w:t>
            </w:r>
          </w:p>
        </w:tc>
        <w:tc>
          <w:tcPr>
            <w:tcW w:w="1634" w:type="pct"/>
            <w:tcBorders>
              <w:top w:val="nil"/>
              <w:left w:val="nil"/>
              <w:bottom w:val="single" w:color="auto" w:sz="4" w:space="0"/>
              <w:right w:val="single" w:color="auto" w:sz="4" w:space="0"/>
            </w:tcBorders>
            <w:noWrap w:val="0"/>
            <w:vAlign w:val="center"/>
          </w:tcPr>
          <w:p w14:paraId="7097BEA5">
            <w:pPr>
              <w:pStyle w:val="138"/>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22" w:type="pct"/>
            <w:tcBorders>
              <w:top w:val="nil"/>
              <w:left w:val="nil"/>
              <w:bottom w:val="single" w:color="auto" w:sz="4" w:space="0"/>
              <w:right w:val="single" w:color="auto" w:sz="4" w:space="0"/>
            </w:tcBorders>
            <w:noWrap w:val="0"/>
            <w:vAlign w:val="center"/>
          </w:tcPr>
          <w:p w14:paraId="3B362670">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分值</w:t>
            </w:r>
          </w:p>
        </w:tc>
        <w:tc>
          <w:tcPr>
            <w:tcW w:w="1582" w:type="pct"/>
            <w:gridSpan w:val="3"/>
            <w:tcBorders>
              <w:top w:val="nil"/>
              <w:left w:val="nil"/>
              <w:bottom w:val="single" w:color="auto" w:sz="4" w:space="0"/>
              <w:right w:val="single" w:color="auto" w:sz="4" w:space="0"/>
            </w:tcBorders>
            <w:noWrap w:val="0"/>
            <w:vAlign w:val="center"/>
          </w:tcPr>
          <w:p w14:paraId="0302E3D3">
            <w:pPr>
              <w:pStyle w:val="138"/>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4B4B9B25">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5E78D4C9">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34" w:type="pct"/>
            <w:tcBorders>
              <w:top w:val="nil"/>
              <w:left w:val="nil"/>
              <w:bottom w:val="single" w:color="auto" w:sz="4" w:space="0"/>
              <w:right w:val="single" w:color="auto" w:sz="4" w:space="0"/>
            </w:tcBorders>
            <w:noWrap w:val="0"/>
            <w:vAlign w:val="center"/>
          </w:tcPr>
          <w:p w14:paraId="324C6316">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对代理机构提供的服务质量及效率不满意，并发出警告信。</w:t>
            </w:r>
          </w:p>
        </w:tc>
        <w:tc>
          <w:tcPr>
            <w:tcW w:w="622" w:type="pct"/>
            <w:tcBorders>
              <w:top w:val="nil"/>
              <w:left w:val="nil"/>
              <w:bottom w:val="single" w:color="auto" w:sz="4" w:space="0"/>
              <w:right w:val="single" w:color="auto" w:sz="4" w:space="0"/>
            </w:tcBorders>
            <w:noWrap w:val="0"/>
            <w:vAlign w:val="center"/>
          </w:tcPr>
          <w:p w14:paraId="563F131D">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10</w:t>
            </w:r>
          </w:p>
        </w:tc>
        <w:tc>
          <w:tcPr>
            <w:tcW w:w="1582" w:type="pct"/>
            <w:gridSpan w:val="3"/>
            <w:tcBorders>
              <w:top w:val="nil"/>
              <w:left w:val="nil"/>
              <w:bottom w:val="single" w:color="auto" w:sz="4" w:space="0"/>
              <w:right w:val="single" w:color="auto" w:sz="4" w:space="0"/>
            </w:tcBorders>
            <w:noWrap w:val="0"/>
            <w:vAlign w:val="center"/>
          </w:tcPr>
          <w:p w14:paraId="2D78B1D6">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395B86C0">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3C481426">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34" w:type="pct"/>
            <w:tcBorders>
              <w:top w:val="nil"/>
              <w:left w:val="nil"/>
              <w:bottom w:val="single" w:color="auto" w:sz="4" w:space="0"/>
              <w:right w:val="single" w:color="auto" w:sz="4" w:space="0"/>
            </w:tcBorders>
            <w:noWrap w:val="0"/>
            <w:vAlign w:val="center"/>
          </w:tcPr>
          <w:p w14:paraId="55B75955">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代理机构人为原因导致招标过程出现明显错漏致使</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项目延期。</w:t>
            </w:r>
          </w:p>
        </w:tc>
        <w:tc>
          <w:tcPr>
            <w:tcW w:w="622" w:type="pct"/>
            <w:tcBorders>
              <w:top w:val="nil"/>
              <w:left w:val="nil"/>
              <w:bottom w:val="single" w:color="auto" w:sz="4" w:space="0"/>
              <w:right w:val="single" w:color="auto" w:sz="4" w:space="0"/>
            </w:tcBorders>
            <w:noWrap w:val="0"/>
            <w:vAlign w:val="center"/>
          </w:tcPr>
          <w:p w14:paraId="431DFEA2">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10</w:t>
            </w:r>
          </w:p>
        </w:tc>
        <w:tc>
          <w:tcPr>
            <w:tcW w:w="1582" w:type="pct"/>
            <w:gridSpan w:val="3"/>
            <w:tcBorders>
              <w:top w:val="nil"/>
              <w:left w:val="nil"/>
              <w:bottom w:val="single" w:color="auto" w:sz="4" w:space="0"/>
              <w:right w:val="single" w:color="auto" w:sz="4" w:space="0"/>
            </w:tcBorders>
            <w:noWrap w:val="0"/>
            <w:vAlign w:val="center"/>
          </w:tcPr>
          <w:p w14:paraId="3C2DB26C">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45920CA5">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2F12E298">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34" w:type="pct"/>
            <w:tcBorders>
              <w:top w:val="nil"/>
              <w:left w:val="nil"/>
              <w:bottom w:val="single" w:color="auto" w:sz="4" w:space="0"/>
              <w:right w:val="single" w:color="auto" w:sz="4" w:space="0"/>
            </w:tcBorders>
            <w:noWrap w:val="0"/>
            <w:vAlign w:val="center"/>
          </w:tcPr>
          <w:p w14:paraId="3537BFA3">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未经同意，擅自对已定稿的</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进行更改。</w:t>
            </w:r>
          </w:p>
        </w:tc>
        <w:tc>
          <w:tcPr>
            <w:tcW w:w="622" w:type="pct"/>
            <w:tcBorders>
              <w:top w:val="nil"/>
              <w:left w:val="nil"/>
              <w:bottom w:val="single" w:color="auto" w:sz="4" w:space="0"/>
              <w:right w:val="single" w:color="auto" w:sz="4" w:space="0"/>
            </w:tcBorders>
            <w:noWrap w:val="0"/>
            <w:vAlign w:val="center"/>
          </w:tcPr>
          <w:p w14:paraId="3F5B3CF3">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10</w:t>
            </w:r>
          </w:p>
        </w:tc>
        <w:tc>
          <w:tcPr>
            <w:tcW w:w="1582" w:type="pct"/>
            <w:gridSpan w:val="3"/>
            <w:tcBorders>
              <w:top w:val="nil"/>
              <w:left w:val="nil"/>
              <w:bottom w:val="single" w:color="auto" w:sz="4" w:space="0"/>
              <w:right w:val="single" w:color="auto" w:sz="4" w:space="0"/>
            </w:tcBorders>
            <w:noWrap w:val="0"/>
            <w:vAlign w:val="center"/>
          </w:tcPr>
          <w:p w14:paraId="7A8088C2">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28E3A552">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132A147C">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综合得分</w:t>
            </w:r>
          </w:p>
        </w:tc>
        <w:tc>
          <w:tcPr>
            <w:tcW w:w="3839" w:type="pct"/>
            <w:gridSpan w:val="5"/>
            <w:tcBorders>
              <w:top w:val="nil"/>
              <w:left w:val="nil"/>
              <w:bottom w:val="single" w:color="auto" w:sz="4" w:space="0"/>
              <w:right w:val="single" w:color="auto" w:sz="4" w:space="0"/>
            </w:tcBorders>
            <w:noWrap w:val="0"/>
            <w:vAlign w:val="center"/>
          </w:tcPr>
          <w:p w14:paraId="11F129EA">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bookmarkEnd w:id="399"/>
    </w:tbl>
    <w:p w14:paraId="2FFA460B">
      <w:pPr>
        <w:pStyle w:val="13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val="0"/>
          <w:color w:val="auto"/>
          <w:szCs w:val="21"/>
          <w:highlight w:val="none"/>
          <w:lang w:eastAsia="zh-CN"/>
        </w:rPr>
      </w:pPr>
      <w:r>
        <w:rPr>
          <w:rFonts w:hint="eastAsia" w:ascii="宋体" w:hAnsi="宋体" w:eastAsia="宋体" w:cs="宋体"/>
          <w:bCs w:val="0"/>
          <w:color w:val="auto"/>
          <w:szCs w:val="21"/>
          <w:highlight w:val="none"/>
          <w:lang w:eastAsia="zh-CN"/>
        </w:rPr>
        <w:t>说明：1、本考核表最终解释权归招标人，招标人有权调整相关考核方式。</w:t>
      </w:r>
    </w:p>
    <w:p w14:paraId="23E4EFB8">
      <w:pPr>
        <w:pStyle w:val="13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val="0"/>
          <w:color w:val="auto"/>
          <w:szCs w:val="21"/>
          <w:highlight w:val="none"/>
          <w:lang w:eastAsia="zh-CN"/>
        </w:rPr>
      </w:pPr>
      <w:r>
        <w:rPr>
          <w:rFonts w:hint="eastAsia" w:ascii="宋体" w:hAnsi="宋体" w:eastAsia="宋体" w:cs="宋体"/>
          <w:bCs w:val="0"/>
          <w:color w:val="auto"/>
          <w:szCs w:val="21"/>
          <w:highlight w:val="none"/>
          <w:lang w:eastAsia="zh-CN"/>
        </w:rPr>
        <w:t xml:space="preserve">      2、每项考核内容按优[100-90]分、良（90-80]分、中（80-70]分、合格（70-60]分、不合格（60-0]分，进行打分。</w:t>
      </w:r>
    </w:p>
    <w:p w14:paraId="51306F06">
      <w:pPr>
        <w:pStyle w:val="13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val="0"/>
          <w:color w:val="auto"/>
          <w:szCs w:val="21"/>
          <w:highlight w:val="none"/>
          <w:lang w:eastAsia="zh-CN"/>
        </w:rPr>
      </w:pPr>
    </w:p>
    <w:p w14:paraId="2343FF80">
      <w:pPr>
        <w:pStyle w:val="138"/>
        <w:spacing w:after="160" w:line="400" w:lineRule="exact"/>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Cs w:val="0"/>
          <w:color w:val="auto"/>
          <w:szCs w:val="21"/>
          <w:highlight w:val="none"/>
          <w:lang w:eastAsia="zh-CN"/>
        </w:rPr>
        <w:br w:type="page"/>
      </w:r>
      <w:r>
        <w:rPr>
          <w:rFonts w:hint="eastAsia" w:ascii="宋体" w:hAnsi="宋体" w:eastAsia="宋体" w:cs="宋体"/>
          <w:b/>
          <w:bCs/>
          <w:color w:val="auto"/>
          <w:szCs w:val="21"/>
          <w:highlight w:val="none"/>
        </w:rPr>
        <w:t>（2）招标代理机构服务质量考核表</w:t>
      </w:r>
    </w:p>
    <w:p w14:paraId="329D22AF">
      <w:pPr>
        <w:pStyle w:val="13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招标代理机构：</w:t>
      </w:r>
    </w:p>
    <w:p w14:paraId="2C101DA3">
      <w:pPr>
        <w:pStyle w:val="13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 xml:space="preserve">考核单位：     </w:t>
      </w:r>
    </w:p>
    <w:p w14:paraId="7750CB3A">
      <w:pPr>
        <w:pStyle w:val="13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考核季度：第   季度； 考核时间：   年   月   日</w:t>
      </w:r>
    </w:p>
    <w:tbl>
      <w:tblPr>
        <w:tblStyle w:val="44"/>
        <w:tblW w:w="4998" w:type="pct"/>
        <w:jc w:val="center"/>
        <w:tblLayout w:type="autofit"/>
        <w:tblCellMar>
          <w:top w:w="0" w:type="dxa"/>
          <w:left w:w="108" w:type="dxa"/>
          <w:bottom w:w="0" w:type="dxa"/>
          <w:right w:w="108" w:type="dxa"/>
        </w:tblCellMar>
      </w:tblPr>
      <w:tblGrid>
        <w:gridCol w:w="823"/>
        <w:gridCol w:w="941"/>
        <w:gridCol w:w="943"/>
        <w:gridCol w:w="5163"/>
        <w:gridCol w:w="1058"/>
        <w:gridCol w:w="649"/>
        <w:gridCol w:w="789"/>
      </w:tblGrid>
      <w:tr w14:paraId="167EF8AC">
        <w:tblPrEx>
          <w:tblCellMar>
            <w:top w:w="0" w:type="dxa"/>
            <w:left w:w="108" w:type="dxa"/>
            <w:bottom w:w="0" w:type="dxa"/>
            <w:right w:w="108" w:type="dxa"/>
          </w:tblCellMar>
        </w:tblPrEx>
        <w:trPr>
          <w:trHeight w:val="780"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A768E12">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序号</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14:paraId="49376A2F">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考核内容</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47AFDF0B">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考核标准</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0A209CC">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权重</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6C9BB1C3">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得分</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8EC1FDB">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加权得分</w:t>
            </w:r>
          </w:p>
        </w:tc>
      </w:tr>
      <w:tr w14:paraId="64B0835F">
        <w:tblPrEx>
          <w:tblCellMar>
            <w:top w:w="0" w:type="dxa"/>
            <w:left w:w="108" w:type="dxa"/>
            <w:bottom w:w="0" w:type="dxa"/>
            <w:right w:w="108" w:type="dxa"/>
          </w:tblCellMar>
        </w:tblPrEx>
        <w:trPr>
          <w:trHeight w:val="1348"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03DE73F1">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1</w:t>
            </w:r>
          </w:p>
        </w:tc>
        <w:tc>
          <w:tcPr>
            <w:tcW w:w="1884" w:type="dxa"/>
            <w:gridSpan w:val="2"/>
            <w:tcBorders>
              <w:top w:val="single" w:color="000000" w:sz="4" w:space="0"/>
              <w:left w:val="single" w:color="000000" w:sz="4" w:space="0"/>
              <w:bottom w:val="single" w:color="000000" w:sz="4" w:space="0"/>
              <w:right w:val="single" w:color="000000" w:sz="4" w:space="0"/>
            </w:tcBorders>
            <w:noWrap w:val="0"/>
            <w:vAlign w:val="center"/>
          </w:tcPr>
          <w:p w14:paraId="67C0A585">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招标代理机构运作情况</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14:paraId="3141BB2F">
            <w:pPr>
              <w:pStyle w:val="138"/>
              <w:keepNext w:val="0"/>
              <w:keepLines w:val="0"/>
              <w:widowControl/>
              <w:suppressLineNumbers w:val="0"/>
              <w:spacing w:before="0" w:beforeAutospacing="0" w:after="0" w:afterAutospacing="0" w:line="400" w:lineRule="exact"/>
              <w:ind w:left="0" w:right="0"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w:t>
            </w: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编制人或复核人到位情况；代理机构主要负责人组织协调能力；代理机构人员业务能力、工作态度、主动性。</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740CA45">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15%</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38D449D0">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58DF411">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4399C9A6">
        <w:tblPrEx>
          <w:tblCellMar>
            <w:top w:w="0" w:type="dxa"/>
            <w:left w:w="108" w:type="dxa"/>
            <w:bottom w:w="0" w:type="dxa"/>
            <w:right w:w="108" w:type="dxa"/>
          </w:tblCellMar>
        </w:tblPrEx>
        <w:trPr>
          <w:trHeight w:val="2154"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14:paraId="620781DE">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2</w:t>
            </w:r>
          </w:p>
        </w:tc>
        <w:tc>
          <w:tcPr>
            <w:tcW w:w="454" w:type="pct"/>
            <w:vMerge w:val="restart"/>
            <w:tcBorders>
              <w:top w:val="single" w:color="000000" w:sz="4" w:space="0"/>
              <w:left w:val="single" w:color="000000" w:sz="4" w:space="0"/>
              <w:bottom w:val="single" w:color="000000" w:sz="4" w:space="0"/>
              <w:right w:val="single" w:color="000000" w:sz="4" w:space="0"/>
            </w:tcBorders>
            <w:noWrap w:val="0"/>
            <w:vAlign w:val="center"/>
          </w:tcPr>
          <w:p w14:paraId="1B42E022">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项目质量</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43582DA">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编制情况</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7BB51A01">
            <w:pPr>
              <w:pStyle w:val="138"/>
              <w:keepNext w:val="0"/>
              <w:keepLines w:val="0"/>
              <w:widowControl/>
              <w:suppressLineNumbers w:val="0"/>
              <w:spacing w:before="0" w:beforeAutospacing="0" w:after="0" w:afterAutospacing="0" w:line="400" w:lineRule="exact"/>
              <w:ind w:left="0" w:leftChars="0" w:right="0"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横向比较各代理机构提出合理化建议，配合项目组做好划分标段计划及拟定招标方案情况；收集与招标项目有关的技术、图纸、最新法律法规等资料，理解项目需求情况；根据招标需求编制</w:t>
            </w: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，对资质等级、招标范围、费用包干等重点环节核实情况；根据项目</w:t>
            </w:r>
            <w:r>
              <w:rPr>
                <w:rFonts w:hint="eastAsia" w:ascii="宋体" w:hAnsi="宋体" w:eastAsia="宋体" w:cs="宋体"/>
                <w:color w:val="auto"/>
                <w:kern w:val="2"/>
                <w:szCs w:val="21"/>
                <w:highlight w:val="none"/>
                <w:lang w:eastAsia="zh-CN" w:bidi="ar"/>
              </w:rPr>
              <w:t>招标人</w:t>
            </w:r>
            <w:r>
              <w:rPr>
                <w:rFonts w:hint="eastAsia" w:ascii="宋体" w:hAnsi="宋体" w:eastAsia="宋体" w:cs="宋体"/>
                <w:color w:val="auto"/>
                <w:kern w:val="2"/>
                <w:szCs w:val="21"/>
                <w:highlight w:val="none"/>
                <w:lang w:bidi="ar"/>
              </w:rPr>
              <w:t>及监督部门（如有）要求，对</w:t>
            </w: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内容不适当部分的修改，</w:t>
            </w:r>
            <w:r>
              <w:rPr>
                <w:rFonts w:hint="eastAsia" w:ascii="宋体" w:hAnsi="宋体" w:eastAsia="宋体" w:cs="宋体"/>
                <w:highlight w:val="none"/>
                <w:lang w:val="en-US" w:eastAsia="zh-CN"/>
              </w:rPr>
              <w:t>发现并修改</w:t>
            </w:r>
            <w:r>
              <w:rPr>
                <w:rFonts w:hint="eastAsia" w:ascii="宋体" w:hAnsi="宋体" w:eastAsia="宋体" w:cs="宋体"/>
                <w:color w:val="auto"/>
                <w:kern w:val="2"/>
                <w:szCs w:val="21"/>
                <w:highlight w:val="none"/>
                <w:lang w:bidi="ar"/>
              </w:rPr>
              <w:t>错漏情况；</w:t>
            </w: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的传阅、答辩、定稿情况。</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7DC42E8">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30%</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36922459">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B512DEE">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3E48ED80">
        <w:tblPrEx>
          <w:tblCellMar>
            <w:top w:w="0" w:type="dxa"/>
            <w:left w:w="108" w:type="dxa"/>
            <w:bottom w:w="0" w:type="dxa"/>
            <w:right w:w="108" w:type="dxa"/>
          </w:tblCellMar>
        </w:tblPrEx>
        <w:trPr>
          <w:trHeight w:val="1528"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379BCC">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E671E7">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7414F01B">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招标程序组织情况</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20866866">
            <w:pPr>
              <w:pStyle w:val="138"/>
              <w:keepNext w:val="0"/>
              <w:keepLines w:val="0"/>
              <w:widowControl/>
              <w:suppressLineNumbers w:val="0"/>
              <w:spacing w:before="0" w:beforeAutospacing="0" w:after="0" w:afterAutospacing="0" w:line="400" w:lineRule="exact"/>
              <w:ind w:left="0" w:leftChars="0" w:right="0"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横向比较各代理机构组织开展</w:t>
            </w:r>
            <w:r>
              <w:rPr>
                <w:rFonts w:hint="eastAsia" w:ascii="宋体" w:hAnsi="宋体" w:eastAsia="宋体" w:cs="宋体"/>
                <w:color w:val="auto"/>
                <w:kern w:val="2"/>
                <w:szCs w:val="21"/>
                <w:highlight w:val="none"/>
                <w:lang w:eastAsia="zh-CN" w:bidi="ar"/>
              </w:rPr>
              <w:t>招标活动</w:t>
            </w:r>
            <w:r>
              <w:rPr>
                <w:rFonts w:hint="eastAsia" w:ascii="宋体" w:hAnsi="宋体" w:eastAsia="宋体" w:cs="宋体"/>
                <w:color w:val="auto"/>
                <w:kern w:val="2"/>
                <w:szCs w:val="21"/>
                <w:highlight w:val="none"/>
                <w:lang w:bidi="ar"/>
              </w:rPr>
              <w:t>情况；完成各招标进度控制节点工作情况；开标评标等工作情况；现场应变能力，处理问题情况；代理机构人员语言举止及服务态度。</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4725008">
            <w:pPr>
              <w:pStyle w:val="138"/>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25%</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749EBF7E">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A296C3E">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4AB39414">
        <w:tblPrEx>
          <w:tblCellMar>
            <w:top w:w="0" w:type="dxa"/>
            <w:left w:w="108" w:type="dxa"/>
            <w:bottom w:w="0" w:type="dxa"/>
            <w:right w:w="108" w:type="dxa"/>
          </w:tblCellMar>
        </w:tblPrEx>
        <w:trPr>
          <w:trHeight w:val="1110"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6B541317">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3</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14:paraId="4727E3AE">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异议、投诉处理情况</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14:paraId="03B7CC68">
            <w:pPr>
              <w:pStyle w:val="138"/>
              <w:keepNext w:val="0"/>
              <w:keepLines w:val="0"/>
              <w:widowControl/>
              <w:suppressLineNumbers w:val="0"/>
              <w:spacing w:before="0" w:beforeAutospacing="0" w:after="0" w:afterAutospacing="0" w:line="400" w:lineRule="exact"/>
              <w:ind w:left="0" w:leftChars="0" w:right="0"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横向比较各代理机构组织开展</w:t>
            </w:r>
            <w:r>
              <w:rPr>
                <w:rFonts w:hint="eastAsia" w:ascii="宋体" w:hAnsi="宋体" w:eastAsia="宋体" w:cs="宋体"/>
                <w:color w:val="auto"/>
                <w:kern w:val="2"/>
                <w:szCs w:val="21"/>
                <w:highlight w:val="none"/>
                <w:lang w:eastAsia="zh-CN" w:bidi="ar"/>
              </w:rPr>
              <w:t>招标活动</w:t>
            </w:r>
            <w:r>
              <w:rPr>
                <w:rFonts w:hint="eastAsia" w:ascii="宋体" w:hAnsi="宋体" w:eastAsia="宋体" w:cs="宋体"/>
                <w:color w:val="auto"/>
                <w:kern w:val="2"/>
                <w:szCs w:val="21"/>
                <w:highlight w:val="none"/>
                <w:lang w:bidi="ar"/>
              </w:rPr>
              <w:t>情况；完成各招标进度控制节点工作情况；开标评标等工作情况；现场应变能力，处理问题情况；代理机构人员语言举止及服务态度。</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6BAA9CF">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10%</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680D3320">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134A378">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61810EFA">
        <w:tblPrEx>
          <w:tblCellMar>
            <w:top w:w="0" w:type="dxa"/>
            <w:left w:w="108" w:type="dxa"/>
            <w:bottom w:w="0" w:type="dxa"/>
            <w:right w:w="108" w:type="dxa"/>
          </w:tblCellMar>
        </w:tblPrEx>
        <w:trPr>
          <w:trHeight w:val="1110"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18449576">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4</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14:paraId="1BE97BC1">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资料管理情况</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14:paraId="047402AC">
            <w:pPr>
              <w:pStyle w:val="138"/>
              <w:keepNext w:val="0"/>
              <w:keepLines w:val="0"/>
              <w:widowControl/>
              <w:suppressLineNumbers w:val="0"/>
              <w:spacing w:before="0" w:beforeAutospacing="0" w:after="0" w:afterAutospacing="0" w:line="400" w:lineRule="exact"/>
              <w:ind w:left="0" w:leftChars="0" w:right="0"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横向比较各代理机构受理供应商异议或投诉情况：时效、运用法律法规熟悉程度、效果；协助</w:t>
            </w:r>
            <w:r>
              <w:rPr>
                <w:rFonts w:hint="eastAsia" w:ascii="宋体" w:hAnsi="宋体" w:eastAsia="宋体" w:cs="宋体"/>
                <w:color w:val="auto"/>
                <w:kern w:val="2"/>
                <w:szCs w:val="21"/>
                <w:highlight w:val="none"/>
                <w:lang w:eastAsia="zh-CN" w:bidi="ar"/>
              </w:rPr>
              <w:t>招标人</w:t>
            </w:r>
            <w:r>
              <w:rPr>
                <w:rFonts w:hint="eastAsia" w:ascii="宋体" w:hAnsi="宋体" w:eastAsia="宋体" w:cs="宋体"/>
                <w:color w:val="auto"/>
                <w:kern w:val="2"/>
                <w:szCs w:val="21"/>
                <w:highlight w:val="none"/>
                <w:lang w:bidi="ar"/>
              </w:rPr>
              <w:t>处理投诉及其他事务情况。</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03E2A06">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5%</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0C524AD6">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D5BE788">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725E5CAB">
        <w:tblPrEx>
          <w:tblCellMar>
            <w:top w:w="0" w:type="dxa"/>
            <w:left w:w="108" w:type="dxa"/>
            <w:bottom w:w="0" w:type="dxa"/>
            <w:right w:w="108" w:type="dxa"/>
          </w:tblCellMar>
        </w:tblPrEx>
        <w:trPr>
          <w:trHeight w:val="90"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5A7C5B6A">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5</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14:paraId="570FD270">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后续配套及咨询服务情况</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14:paraId="2E443ED1">
            <w:pPr>
              <w:pStyle w:val="138"/>
              <w:keepNext w:val="0"/>
              <w:keepLines w:val="0"/>
              <w:widowControl/>
              <w:suppressLineNumbers w:val="0"/>
              <w:spacing w:before="0" w:beforeAutospacing="0" w:after="0" w:afterAutospacing="0" w:line="400" w:lineRule="exact"/>
              <w:ind w:left="0" w:right="0"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横向比较各代理机构发对各招标项目资料收集、移交、备案、保管等管理情况。</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DF24545">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15%</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2532AC22">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ECDD251">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1A780676">
        <w:tblPrEx>
          <w:tblCellMar>
            <w:top w:w="0" w:type="dxa"/>
            <w:left w:w="108" w:type="dxa"/>
            <w:bottom w:w="0" w:type="dxa"/>
            <w:right w:w="108" w:type="dxa"/>
          </w:tblCellMar>
        </w:tblPrEx>
        <w:trPr>
          <w:trHeight w:val="564" w:hRule="atLeast"/>
          <w:jc w:val="center"/>
        </w:trPr>
        <w:tc>
          <w:tcPr>
            <w:tcW w:w="1306" w:type="pct"/>
            <w:gridSpan w:val="3"/>
            <w:tcBorders>
              <w:top w:val="single" w:color="000000" w:sz="4" w:space="0"/>
              <w:left w:val="single" w:color="000000" w:sz="4" w:space="0"/>
              <w:bottom w:val="single" w:color="000000" w:sz="4" w:space="0"/>
              <w:right w:val="single" w:color="000000" w:sz="4" w:space="0"/>
            </w:tcBorders>
            <w:noWrap w:val="0"/>
            <w:vAlign w:val="center"/>
          </w:tcPr>
          <w:p w14:paraId="55AC608C">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综合得分</w:t>
            </w:r>
          </w:p>
        </w:tc>
        <w:tc>
          <w:tcPr>
            <w:tcW w:w="3693" w:type="pct"/>
            <w:gridSpan w:val="4"/>
            <w:tcBorders>
              <w:top w:val="single" w:color="000000" w:sz="4" w:space="0"/>
              <w:left w:val="single" w:color="000000" w:sz="4" w:space="0"/>
              <w:bottom w:val="single" w:color="000000" w:sz="4" w:space="0"/>
              <w:right w:val="single" w:color="000000" w:sz="4" w:space="0"/>
            </w:tcBorders>
            <w:noWrap w:val="0"/>
            <w:vAlign w:val="center"/>
          </w:tcPr>
          <w:p w14:paraId="1F1F202D">
            <w:pPr>
              <w:pStyle w:val="138"/>
              <w:keepNext w:val="0"/>
              <w:keepLines w:val="0"/>
              <w:widowControl/>
              <w:suppressLineNumbers w:val="0"/>
              <w:spacing w:before="0" w:beforeAutospacing="0" w:after="0" w:afterAutospacing="0" w:line="400" w:lineRule="exact"/>
              <w:ind w:left="0" w:right="0"/>
              <w:jc w:val="both"/>
              <w:textAlignment w:val="center"/>
              <w:rPr>
                <w:rFonts w:hint="eastAsia" w:ascii="宋体" w:hAnsi="宋体" w:eastAsia="宋体" w:cs="宋体"/>
                <w:color w:val="auto"/>
                <w:szCs w:val="21"/>
                <w:highlight w:val="none"/>
              </w:rPr>
            </w:pPr>
          </w:p>
        </w:tc>
      </w:tr>
    </w:tbl>
    <w:p w14:paraId="3E9484D0">
      <w:pPr>
        <w:pStyle w:val="13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en-US"/>
        </w:rPr>
        <w:t>说明：1、</w:t>
      </w:r>
      <w:r>
        <w:rPr>
          <w:rFonts w:hint="eastAsia" w:ascii="宋体" w:hAnsi="宋体" w:eastAsia="宋体" w:cs="宋体"/>
          <w:color w:val="auto"/>
          <w:szCs w:val="21"/>
          <w:highlight w:val="none"/>
        </w:rPr>
        <w:t>本考核表最终解释权归</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有权调整相关考核方式。</w:t>
      </w:r>
    </w:p>
    <w:p w14:paraId="4BD753DD">
      <w:pPr>
        <w:pStyle w:val="13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val="0"/>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bCs w:val="0"/>
          <w:color w:val="auto"/>
          <w:szCs w:val="21"/>
          <w:highlight w:val="none"/>
          <w:lang w:eastAsia="zh-CN"/>
        </w:rPr>
        <w:t>、每项考核内容按优[100-90]分、良（90-80]分、中（80-70]分、合格（70-60]分、不合格（60-0]分，进行打分。</w:t>
      </w:r>
    </w:p>
    <w:p w14:paraId="3B407013">
      <w:pPr>
        <w:pStyle w:val="13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val="0"/>
          <w:color w:val="auto"/>
          <w:szCs w:val="21"/>
          <w:highlight w:val="none"/>
          <w:lang w:eastAsia="zh-CN"/>
        </w:rPr>
      </w:pPr>
    </w:p>
    <w:p w14:paraId="24D3169E">
      <w:pPr>
        <w:pageBreakBefore/>
        <w:tabs>
          <w:tab w:val="left" w:pos="1080"/>
        </w:tabs>
        <w:autoSpaceDE w:val="0"/>
        <w:autoSpaceDN w:val="0"/>
        <w:adjustRightInd w:val="0"/>
        <w:spacing w:beforeLines="0" w:afterLines="0" w:line="360" w:lineRule="auto"/>
        <w:ind w:left="357" w:leftChars="-100" w:hanging="567"/>
        <w:jc w:val="center"/>
        <w:outlineLvl w:val="0"/>
        <w:rPr>
          <w:rFonts w:hint="default" w:ascii="宋体" w:hAnsi="宋体" w:eastAsia="宋体" w:cs="宋体"/>
          <w:b/>
          <w:color w:val="auto"/>
          <w:kern w:val="44"/>
          <w:sz w:val="32"/>
          <w:szCs w:val="32"/>
          <w:highlight w:val="none"/>
          <w:lang w:val="zh-CN"/>
        </w:rPr>
      </w:pPr>
      <w:bookmarkStart w:id="400" w:name="_Toc27364"/>
      <w:r>
        <w:rPr>
          <w:rFonts w:hint="default" w:ascii="宋体" w:hAnsi="宋体" w:eastAsia="宋体" w:cs="宋体"/>
          <w:b/>
          <w:color w:val="auto"/>
          <w:kern w:val="44"/>
          <w:sz w:val="32"/>
          <w:szCs w:val="32"/>
          <w:highlight w:val="none"/>
        </w:rPr>
        <w:t>第</w:t>
      </w:r>
      <w:r>
        <w:rPr>
          <w:rFonts w:hint="default" w:ascii="宋体" w:hAnsi="宋体" w:eastAsia="宋体" w:cs="宋体"/>
          <w:b/>
          <w:color w:val="auto"/>
          <w:kern w:val="44"/>
          <w:sz w:val="32"/>
          <w:szCs w:val="32"/>
          <w:highlight w:val="none"/>
          <w:lang w:val="zh-CN"/>
        </w:rPr>
        <w:t>四篇 合同条款格式</w:t>
      </w:r>
      <w:bookmarkEnd w:id="400"/>
    </w:p>
    <w:p w14:paraId="7600CCB8">
      <w:pPr>
        <w:autoSpaceDE w:val="0"/>
        <w:autoSpaceDN w:val="0"/>
        <w:adjustRightInd w:val="0"/>
        <w:snapToGrid w:val="0"/>
        <w:spacing w:beforeLines="0" w:afterLines="0" w:line="360" w:lineRule="auto"/>
        <w:jc w:val="both"/>
        <w:rPr>
          <w:rFonts w:hint="eastAsia" w:ascii="宋体" w:hAnsi="宋体" w:eastAsiaTheme="minorEastAsia"/>
          <w:b/>
          <w:bCs/>
          <w:color w:val="auto"/>
          <w:kern w:val="0"/>
          <w:sz w:val="24"/>
          <w:szCs w:val="24"/>
          <w:highlight w:val="none"/>
          <w:lang w:val="en-US" w:eastAsia="zh-CN"/>
        </w:rPr>
      </w:pPr>
      <w:r>
        <w:rPr>
          <w:rFonts w:hint="eastAsia" w:ascii="宋体" w:hAnsi="宋体" w:eastAsia="宋体"/>
          <w:b/>
          <w:bCs/>
          <w:color w:val="auto"/>
          <w:kern w:val="0"/>
          <w:sz w:val="24"/>
          <w:szCs w:val="24"/>
          <w:highlight w:val="none"/>
          <w:lang w:val="en-US" w:eastAsia="zh-CN"/>
        </w:rPr>
        <w:t>4-1 采购代理协议服务合同</w:t>
      </w:r>
      <w:r>
        <w:rPr>
          <w:rFonts w:hint="eastAsia" w:ascii="宋体" w:hAnsi="宋体" w:eastAsia="宋体"/>
          <w:b/>
          <w:bCs/>
          <w:color w:val="auto"/>
          <w:kern w:val="0"/>
          <w:sz w:val="24"/>
          <w:szCs w:val="24"/>
          <w:highlight w:val="none"/>
          <w:lang w:eastAsia="zh-CN"/>
        </w:rPr>
        <w:t>（</w:t>
      </w:r>
      <w:r>
        <w:rPr>
          <w:rFonts w:hint="eastAsia" w:ascii="宋体" w:hAnsi="宋体" w:eastAsia="宋体"/>
          <w:b/>
          <w:bCs/>
          <w:color w:val="auto"/>
          <w:kern w:val="0"/>
          <w:sz w:val="24"/>
          <w:szCs w:val="24"/>
          <w:highlight w:val="none"/>
          <w:lang w:val="en-US" w:eastAsia="zh-CN"/>
        </w:rPr>
        <w:t>标段一</w:t>
      </w:r>
      <w:r>
        <w:rPr>
          <w:rFonts w:hint="eastAsia" w:ascii="宋体" w:hAnsi="宋体" w:eastAsia="宋体"/>
          <w:b/>
          <w:bCs/>
          <w:color w:val="auto"/>
          <w:kern w:val="0"/>
          <w:sz w:val="24"/>
          <w:szCs w:val="24"/>
          <w:highlight w:val="none"/>
          <w:lang w:eastAsia="zh-CN"/>
        </w:rPr>
        <w:t>）</w:t>
      </w:r>
    </w:p>
    <w:p w14:paraId="280F58FC">
      <w:pPr>
        <w:jc w:val="center"/>
        <w:rPr>
          <w:rFonts w:ascii="宋体" w:hAnsi="宋体" w:eastAsia="宋体" w:cs="宋体"/>
          <w:b/>
          <w:sz w:val="32"/>
          <w:highlight w:val="none"/>
        </w:rPr>
      </w:pPr>
    </w:p>
    <w:p w14:paraId="6772E770">
      <w:pPr>
        <w:jc w:val="center"/>
        <w:rPr>
          <w:rFonts w:ascii="宋体" w:hAnsi="宋体" w:eastAsia="宋体" w:cs="宋体"/>
          <w:b/>
          <w:sz w:val="32"/>
          <w:highlight w:val="none"/>
        </w:rPr>
      </w:pPr>
    </w:p>
    <w:p w14:paraId="3CBCBCF8">
      <w:pPr>
        <w:jc w:val="center"/>
        <w:rPr>
          <w:rFonts w:ascii="宋体" w:hAnsi="宋体" w:eastAsia="宋体" w:cs="宋体"/>
          <w:b/>
          <w:sz w:val="32"/>
          <w:highlight w:val="none"/>
        </w:rPr>
      </w:pPr>
    </w:p>
    <w:p w14:paraId="344A7C89">
      <w:pPr>
        <w:spacing w:line="360" w:lineRule="auto"/>
        <w:jc w:val="center"/>
        <w:rPr>
          <w:rFonts w:ascii="宋体" w:hAnsi="宋体" w:eastAsia="宋体" w:cs="宋体"/>
          <w:b/>
          <w:sz w:val="72"/>
          <w:szCs w:val="72"/>
          <w:highlight w:val="none"/>
        </w:rPr>
      </w:pPr>
      <w:r>
        <w:rPr>
          <w:rFonts w:hint="eastAsia" w:ascii="宋体" w:hAnsi="宋体" w:eastAsia="宋体" w:cs="宋体"/>
          <w:b/>
          <w:sz w:val="72"/>
          <w:szCs w:val="72"/>
          <w:highlight w:val="none"/>
          <w:lang w:eastAsia="zh-CN"/>
        </w:rPr>
        <w:t>东莞市水务环境投资控股集团有限公司</w:t>
      </w:r>
      <w:r>
        <w:rPr>
          <w:rFonts w:hint="eastAsia" w:ascii="宋体" w:hAnsi="宋体" w:eastAsia="宋体" w:cs="宋体"/>
          <w:b/>
          <w:sz w:val="72"/>
          <w:szCs w:val="72"/>
          <w:highlight w:val="none"/>
        </w:rPr>
        <w:t>采购代理协议服务合同</w:t>
      </w:r>
    </w:p>
    <w:p w14:paraId="316886EC">
      <w:pPr>
        <w:jc w:val="center"/>
        <w:rPr>
          <w:rFonts w:ascii="宋体" w:hAnsi="宋体" w:eastAsia="宋体" w:cs="宋体"/>
          <w:b/>
          <w:sz w:val="32"/>
          <w:highlight w:val="none"/>
        </w:rPr>
      </w:pPr>
    </w:p>
    <w:p w14:paraId="6D18FD71">
      <w:pPr>
        <w:jc w:val="center"/>
        <w:rPr>
          <w:rFonts w:ascii="宋体" w:hAnsi="宋体" w:eastAsia="宋体" w:cs="宋体"/>
          <w:b/>
          <w:sz w:val="32"/>
          <w:highlight w:val="none"/>
        </w:rPr>
      </w:pPr>
    </w:p>
    <w:p w14:paraId="1CA4F477">
      <w:pPr>
        <w:jc w:val="center"/>
        <w:rPr>
          <w:rFonts w:ascii="宋体" w:hAnsi="宋体" w:eastAsia="宋体" w:cs="宋体"/>
          <w:b/>
          <w:sz w:val="32"/>
          <w:highlight w:val="none"/>
        </w:rPr>
      </w:pPr>
    </w:p>
    <w:p w14:paraId="47F6213C">
      <w:pPr>
        <w:jc w:val="center"/>
        <w:rPr>
          <w:rFonts w:ascii="宋体" w:hAnsi="宋体" w:eastAsia="宋体" w:cs="宋体"/>
          <w:b/>
          <w:sz w:val="32"/>
          <w:highlight w:val="none"/>
        </w:rPr>
      </w:pPr>
    </w:p>
    <w:p w14:paraId="380CF816">
      <w:pPr>
        <w:jc w:val="center"/>
        <w:rPr>
          <w:rFonts w:ascii="宋体" w:hAnsi="宋体" w:eastAsia="宋体" w:cs="宋体"/>
          <w:b/>
          <w:sz w:val="32"/>
          <w:highlight w:val="none"/>
        </w:rPr>
      </w:pPr>
    </w:p>
    <w:p w14:paraId="35B55776">
      <w:pPr>
        <w:ind w:firstLine="2249" w:firstLineChars="700"/>
        <w:rPr>
          <w:rFonts w:ascii="宋体" w:hAnsi="宋体" w:eastAsia="宋体" w:cs="宋体"/>
          <w:b/>
          <w:sz w:val="32"/>
          <w:szCs w:val="32"/>
          <w:highlight w:val="none"/>
          <w:u w:val="single"/>
        </w:rPr>
      </w:pPr>
      <w:r>
        <w:rPr>
          <w:rFonts w:hint="eastAsia" w:ascii="宋体" w:hAnsi="宋体" w:eastAsia="宋体" w:cs="宋体"/>
          <w:b/>
          <w:sz w:val="32"/>
          <w:szCs w:val="32"/>
          <w:highlight w:val="none"/>
        </w:rPr>
        <w:t>甲方：</w:t>
      </w:r>
      <w:r>
        <w:rPr>
          <w:rFonts w:hint="eastAsia" w:ascii="宋体" w:hAnsi="宋体" w:eastAsia="宋体" w:cs="宋体"/>
          <w:b/>
          <w:sz w:val="32"/>
          <w:szCs w:val="32"/>
          <w:highlight w:val="none"/>
          <w:u w:val="single"/>
          <w:lang w:eastAsia="zh-CN"/>
        </w:rPr>
        <w:t>东莞市水务环境投资控股集团有限公司</w:t>
      </w:r>
      <w:r>
        <w:rPr>
          <w:rFonts w:hint="eastAsia" w:ascii="宋体" w:hAnsi="宋体" w:eastAsia="宋体" w:cs="宋体"/>
          <w:b/>
          <w:sz w:val="32"/>
          <w:szCs w:val="32"/>
          <w:highlight w:val="none"/>
          <w:u w:val="single"/>
        </w:rPr>
        <w:t xml:space="preserve"> </w:t>
      </w:r>
    </w:p>
    <w:p w14:paraId="4EE5B237">
      <w:pPr>
        <w:pStyle w:val="19"/>
        <w:rPr>
          <w:rFonts w:hAnsi="宋体" w:cs="宋体"/>
          <w:sz w:val="32"/>
          <w:szCs w:val="32"/>
          <w:highlight w:val="none"/>
        </w:rPr>
      </w:pPr>
    </w:p>
    <w:p w14:paraId="0EA36730">
      <w:pPr>
        <w:pStyle w:val="19"/>
        <w:rPr>
          <w:rFonts w:hAnsi="宋体" w:cs="宋体"/>
          <w:sz w:val="32"/>
          <w:szCs w:val="32"/>
          <w:highlight w:val="none"/>
        </w:rPr>
      </w:pPr>
    </w:p>
    <w:p w14:paraId="43FFFD36">
      <w:pPr>
        <w:ind w:firstLine="2249" w:firstLineChars="700"/>
        <w:rPr>
          <w:rFonts w:hint="default" w:ascii="宋体" w:hAnsi="宋体" w:eastAsia="宋体" w:cs="宋体"/>
          <w:b/>
          <w:sz w:val="32"/>
          <w:szCs w:val="32"/>
          <w:highlight w:val="none"/>
          <w:u w:val="single"/>
          <w:lang w:val="en-US" w:eastAsia="zh-CN"/>
        </w:rPr>
      </w:pPr>
      <w:r>
        <w:rPr>
          <w:rFonts w:hint="eastAsia" w:ascii="宋体" w:hAnsi="宋体" w:eastAsia="宋体" w:cs="宋体"/>
          <w:b/>
          <w:sz w:val="32"/>
          <w:szCs w:val="32"/>
          <w:highlight w:val="none"/>
        </w:rPr>
        <w:t>乙方：</w:t>
      </w:r>
      <w:r>
        <w:rPr>
          <w:rFonts w:hint="eastAsia" w:ascii="宋体" w:hAnsi="宋体" w:eastAsia="宋体" w:cs="宋体"/>
          <w:b/>
          <w:bCs w:val="0"/>
          <w:sz w:val="32"/>
          <w:szCs w:val="32"/>
          <w:highlight w:val="none"/>
          <w:u w:val="single"/>
          <w:lang w:val="en-US" w:eastAsia="zh-CN"/>
        </w:rPr>
        <w:t xml:space="preserve">                                   </w:t>
      </w:r>
    </w:p>
    <w:p w14:paraId="774D67EF">
      <w:pPr>
        <w:pStyle w:val="55"/>
        <w:ind w:firstLine="643"/>
        <w:rPr>
          <w:rFonts w:ascii="宋体" w:hAnsi="宋体" w:eastAsia="宋体" w:cs="宋体"/>
          <w:b/>
          <w:sz w:val="32"/>
          <w:szCs w:val="32"/>
          <w:highlight w:val="none"/>
        </w:rPr>
      </w:pPr>
    </w:p>
    <w:p w14:paraId="1BDD45D4">
      <w:pPr>
        <w:pStyle w:val="55"/>
        <w:ind w:firstLine="643"/>
        <w:rPr>
          <w:rFonts w:ascii="宋体" w:hAnsi="宋体" w:eastAsia="宋体" w:cs="宋体"/>
          <w:b/>
          <w:sz w:val="32"/>
          <w:szCs w:val="32"/>
          <w:highlight w:val="none"/>
        </w:rPr>
      </w:pPr>
    </w:p>
    <w:p w14:paraId="48AAD4CD">
      <w:pPr>
        <w:pStyle w:val="55"/>
        <w:ind w:firstLine="2249" w:firstLineChars="700"/>
        <w:rPr>
          <w:rFonts w:ascii="宋体" w:hAnsi="宋体" w:eastAsia="宋体" w:cs="宋体"/>
          <w:b/>
          <w:sz w:val="32"/>
          <w:szCs w:val="32"/>
          <w:highlight w:val="none"/>
          <w:u w:val="single"/>
          <w:lang w:val="en-US"/>
        </w:rPr>
      </w:pPr>
      <w:r>
        <w:rPr>
          <w:rFonts w:hint="eastAsia" w:ascii="宋体" w:hAnsi="宋体" w:eastAsia="宋体" w:cs="宋体"/>
          <w:b/>
          <w:sz w:val="32"/>
          <w:szCs w:val="32"/>
          <w:highlight w:val="none"/>
        </w:rPr>
        <w:t>签订时间：</w:t>
      </w:r>
      <w:r>
        <w:rPr>
          <w:rFonts w:hint="eastAsia" w:ascii="宋体" w:hAnsi="宋体" w:eastAsia="宋体" w:cs="宋体"/>
          <w:b/>
          <w:sz w:val="32"/>
          <w:szCs w:val="32"/>
          <w:highlight w:val="none"/>
          <w:u w:val="single"/>
        </w:rPr>
        <w:t xml:space="preserve">     年</w:t>
      </w:r>
      <w:r>
        <w:rPr>
          <w:rFonts w:hint="eastAsia" w:ascii="宋体" w:hAnsi="宋体" w:eastAsia="宋体" w:cs="宋体"/>
          <w:b/>
          <w:sz w:val="32"/>
          <w:szCs w:val="32"/>
          <w:highlight w:val="none"/>
          <w:u w:val="single"/>
          <w:lang w:val="en-US"/>
        </w:rPr>
        <w:t xml:space="preserve">    月    日</w:t>
      </w:r>
    </w:p>
    <w:p w14:paraId="6001C7A1">
      <w:pPr>
        <w:ind w:left="2127" w:leftChars="566" w:hanging="938" w:hangingChars="292"/>
        <w:rPr>
          <w:rFonts w:ascii="宋体" w:hAnsi="宋体" w:eastAsia="宋体" w:cs="宋体"/>
          <w:b/>
          <w:sz w:val="32"/>
          <w:szCs w:val="32"/>
          <w:highlight w:val="none"/>
        </w:rPr>
      </w:pPr>
    </w:p>
    <w:p w14:paraId="1B303196">
      <w:pPr>
        <w:rPr>
          <w:rFonts w:ascii="宋体" w:hAnsi="宋体" w:eastAsia="宋体" w:cs="宋体"/>
          <w:b/>
          <w:sz w:val="32"/>
          <w:highlight w:val="none"/>
        </w:rPr>
      </w:pPr>
    </w:p>
    <w:p w14:paraId="5D3675C3">
      <w:pPr>
        <w:pStyle w:val="19"/>
        <w:rPr>
          <w:rFonts w:hAnsi="宋体" w:cs="宋体"/>
          <w:sz w:val="32"/>
          <w:highlight w:val="none"/>
        </w:rPr>
      </w:pPr>
    </w:p>
    <w:p w14:paraId="06142A96">
      <w:pPr>
        <w:pStyle w:val="19"/>
        <w:rPr>
          <w:rFonts w:hAnsi="宋体" w:cs="宋体"/>
          <w:sz w:val="32"/>
          <w:highlight w:val="none"/>
        </w:rPr>
      </w:pPr>
    </w:p>
    <w:p w14:paraId="379EDBD2">
      <w:pPr>
        <w:spacing w:after="0" w:line="24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5FA81221">
      <w:pPr>
        <w:spacing w:after="60" w:line="480" w:lineRule="auto"/>
        <w:rPr>
          <w:rFonts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u w:val="single"/>
          <w:lang w:eastAsia="zh-CN"/>
        </w:rPr>
        <w:t>东莞市水务环境投资控股集团有限公司</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ECD9DE7">
      <w:pPr>
        <w:spacing w:after="60" w:line="480" w:lineRule="auto"/>
        <w:rPr>
          <w:rFonts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 xml:space="preserve">  </w:t>
      </w:r>
    </w:p>
    <w:p w14:paraId="6A7A1B17">
      <w:pPr>
        <w:spacing w:after="60"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eastAsia="zh-CN"/>
        </w:rPr>
        <w:t>东莞市水务环境投资控股集团有限公司</w:t>
      </w:r>
      <w:r>
        <w:rPr>
          <w:rFonts w:hint="eastAsia" w:ascii="宋体" w:hAnsi="宋体" w:eastAsia="宋体" w:cs="宋体"/>
          <w:szCs w:val="21"/>
          <w:highlight w:val="none"/>
        </w:rPr>
        <w:t>（含下属企业）采购代理协议服务招、投标文件及本次招标的中标通知书，依据《中华人民共和国民法典》，结合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东莞市水务环境投资控股集团有限公司</w:t>
      </w:r>
      <w:r>
        <w:rPr>
          <w:rFonts w:hint="eastAsia" w:ascii="宋体" w:hAnsi="宋体" w:eastAsia="宋体" w:cs="宋体"/>
          <w:szCs w:val="21"/>
          <w:highlight w:val="none"/>
          <w:u w:val="single"/>
          <w:lang w:val="en-US" w:eastAsia="zh-CN"/>
        </w:rPr>
        <w:t>招标</w:t>
      </w:r>
      <w:r>
        <w:rPr>
          <w:rFonts w:hint="eastAsia" w:ascii="宋体" w:hAnsi="宋体" w:eastAsia="宋体" w:cs="宋体"/>
          <w:szCs w:val="21"/>
          <w:highlight w:val="none"/>
          <w:u w:val="single"/>
        </w:rPr>
        <w:t xml:space="preserve">采购代理协议服务 </w:t>
      </w:r>
      <w:r>
        <w:rPr>
          <w:rFonts w:hint="eastAsia" w:ascii="宋体" w:hAnsi="宋体" w:eastAsia="宋体" w:cs="宋体"/>
          <w:szCs w:val="21"/>
          <w:highlight w:val="none"/>
        </w:rPr>
        <w:t>项目</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标段一</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招标结果，经双方协商，签订本协议。</w:t>
      </w:r>
    </w:p>
    <w:p w14:paraId="1A7606E4">
      <w:pPr>
        <w:autoSpaceDE w:val="0"/>
        <w:autoSpaceDN w:val="0"/>
        <w:adjustRightInd w:val="0"/>
        <w:spacing w:after="60" w:line="480" w:lineRule="auto"/>
        <w:ind w:firstLine="422" w:firstLineChars="200"/>
        <w:rPr>
          <w:rFonts w:ascii="宋体" w:hAnsi="宋体" w:eastAsia="宋体" w:cs="宋体"/>
          <w:szCs w:val="21"/>
          <w:highlight w:val="none"/>
        </w:rPr>
      </w:pPr>
      <w:bookmarkStart w:id="401" w:name="_Hlk97148463"/>
      <w:r>
        <w:rPr>
          <w:rFonts w:hint="eastAsia" w:ascii="宋体" w:hAnsi="宋体" w:eastAsia="宋体" w:cs="宋体"/>
          <w:b/>
          <w:szCs w:val="21"/>
          <w:highlight w:val="none"/>
        </w:rPr>
        <w:t>第一条 采购代理服务内容</w:t>
      </w:r>
    </w:p>
    <w:p w14:paraId="59AC1E84">
      <w:pPr>
        <w:spacing w:after="60"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 甲方（含下属企业）作为采购人委托乙方代理采购项目全过程服务工作，包括但不限于：采购文件的编制、组织开评标、资料整理备案、发出中标（成交）通知书等，如采购人有需要，须协助采购人起草合同、负责办理所有相关手续并承担相关费用。具体服务内容详见招标文件《用户需求书》。</w:t>
      </w:r>
    </w:p>
    <w:p w14:paraId="210459FB">
      <w:pPr>
        <w:autoSpaceDE w:val="0"/>
        <w:autoSpaceDN w:val="0"/>
        <w:adjustRightInd w:val="0"/>
        <w:spacing w:after="60"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第二条 协议服务期限</w:t>
      </w:r>
    </w:p>
    <w:p w14:paraId="76071A49">
      <w:pPr>
        <w:spacing w:line="480" w:lineRule="auto"/>
        <w:ind w:firstLine="420" w:firstLineChars="200"/>
        <w:rPr>
          <w:rFonts w:ascii="宋体" w:hAnsi="宋体" w:eastAsia="宋体" w:cs="宋体"/>
          <w:color w:val="auto"/>
          <w:szCs w:val="21"/>
          <w:highlight w:val="none"/>
        </w:rPr>
      </w:pPr>
      <w:r>
        <w:rPr>
          <w:rFonts w:hint="eastAsia" w:ascii="宋体" w:hAnsi="宋体" w:eastAsia="宋体" w:cs="宋体"/>
          <w:szCs w:val="21"/>
          <w:highlight w:val="none"/>
        </w:rPr>
        <w:t>2.1 本项目的协议服务期限为</w:t>
      </w:r>
      <w:r>
        <w:rPr>
          <w:rFonts w:hint="eastAsia" w:ascii="宋体" w:hAnsi="宋体" w:eastAsia="宋体" w:cs="宋体"/>
          <w:color w:val="auto"/>
          <w:szCs w:val="21"/>
          <w:highlight w:val="none"/>
        </w:rPr>
        <w:t>2年，从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u w:val="single"/>
        </w:rPr>
        <w:t xml:space="preserve">202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日。协议服务期满后，按甲方实际需要，经双方协商同意后，可签订补充协议延长服务期。</w:t>
      </w:r>
    </w:p>
    <w:p w14:paraId="4CD962D3">
      <w:pPr>
        <w:autoSpaceDE w:val="0"/>
        <w:autoSpaceDN w:val="0"/>
        <w:adjustRightInd w:val="0"/>
        <w:spacing w:after="60" w:line="48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第三条  服务管理</w:t>
      </w:r>
    </w:p>
    <w:p w14:paraId="2F26CCBD">
      <w:pPr>
        <w:spacing w:line="480" w:lineRule="auto"/>
        <w:ind w:firstLine="420" w:firstLineChars="200"/>
        <w:rPr>
          <w:rFonts w:hint="eastAsia" w:ascii="宋体" w:hAnsi="宋体" w:eastAsia="宋体" w:cs="宋体"/>
          <w:szCs w:val="21"/>
          <w:highlight w:val="none"/>
        </w:rPr>
      </w:pPr>
      <w:r>
        <w:rPr>
          <w:rFonts w:hint="eastAsia" w:ascii="宋体" w:hAnsi="宋体" w:eastAsia="宋体" w:cs="宋体"/>
          <w:color w:val="auto"/>
          <w:szCs w:val="21"/>
          <w:highlight w:val="none"/>
        </w:rPr>
        <w:t>3.1 甲方有权对乙方采购代理过程及行为进行规范、管理、考核评价及监督，负</w:t>
      </w:r>
      <w:r>
        <w:rPr>
          <w:rFonts w:hint="eastAsia" w:ascii="宋体" w:hAnsi="宋体" w:eastAsia="宋体" w:cs="宋体"/>
          <w:szCs w:val="21"/>
          <w:highlight w:val="none"/>
        </w:rPr>
        <w:t>责项目的抽签轮派，采购任务通知的发出；由甲方及其下属企业委托乙方开展具体</w:t>
      </w:r>
      <w:bookmarkStart w:id="402" w:name="_Hlk97056897"/>
      <w:r>
        <w:rPr>
          <w:rFonts w:hint="eastAsia" w:ascii="宋体" w:hAnsi="宋体" w:eastAsia="宋体" w:cs="宋体"/>
          <w:szCs w:val="21"/>
          <w:highlight w:val="none"/>
        </w:rPr>
        <w:t>单项采购代理业务</w:t>
      </w:r>
      <w:bookmarkEnd w:id="402"/>
      <w:r>
        <w:rPr>
          <w:rFonts w:hint="eastAsia" w:ascii="宋体" w:hAnsi="宋体" w:eastAsia="宋体" w:cs="宋体"/>
          <w:szCs w:val="21"/>
          <w:highlight w:val="none"/>
        </w:rPr>
        <w:t>，跟进采购工作的进展和协调处理采购工作的相关事项。</w:t>
      </w:r>
    </w:p>
    <w:p w14:paraId="1ED39DFB">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3.2 甲方有权根据考核评价结果增加或暂停分配代理工作或追究违约责任或取消乙方协议服务资格。</w:t>
      </w:r>
    </w:p>
    <w:p w14:paraId="1F7EC9D6">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3.3</w:t>
      </w:r>
      <w:r>
        <w:rPr>
          <w:rFonts w:hint="eastAsia" w:ascii="宋体" w:hAnsi="宋体" w:eastAsia="宋体" w:cs="宋体"/>
          <w:highlight w:val="none"/>
        </w:rPr>
        <w:t xml:space="preserve"> </w:t>
      </w:r>
      <w:r>
        <w:rPr>
          <w:rFonts w:hint="eastAsia" w:ascii="宋体" w:hAnsi="宋体" w:eastAsia="宋体" w:cs="宋体"/>
          <w:szCs w:val="21"/>
          <w:highlight w:val="none"/>
        </w:rPr>
        <w:t>甲方有权根据需求情况，适时补充其他协议服务单位。</w:t>
      </w:r>
    </w:p>
    <w:p w14:paraId="77ACC284">
      <w:pPr>
        <w:spacing w:line="48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3.4 </w:t>
      </w:r>
      <w:r>
        <w:rPr>
          <w:rFonts w:hint="eastAsia" w:ascii="宋体" w:hAnsi="宋体" w:eastAsia="宋体" w:cs="宋体"/>
          <w:szCs w:val="21"/>
          <w:highlight w:val="none"/>
          <w:lang w:val="en-US" w:eastAsia="zh-CN"/>
        </w:rPr>
        <w:t>甲方有权根据实际情况，单方面取消招标采购代理库或单一代理机构，且不作任何补偿。</w:t>
      </w:r>
    </w:p>
    <w:p w14:paraId="50514769">
      <w:pPr>
        <w:spacing w:line="480" w:lineRule="auto"/>
        <w:ind w:firstLine="420" w:firstLineChars="200"/>
        <w:rPr>
          <w:rFonts w:ascii="宋体" w:hAnsi="宋体" w:eastAsia="宋体" w:cs="宋体"/>
          <w:highlight w:val="none"/>
        </w:rPr>
      </w:pPr>
      <w:r>
        <w:rPr>
          <w:rFonts w:hint="eastAsia" w:ascii="宋体" w:hAnsi="宋体" w:eastAsia="宋体" w:cs="宋体"/>
          <w:szCs w:val="21"/>
          <w:highlight w:val="none"/>
          <w:lang w:val="en-US" w:eastAsia="zh-CN"/>
        </w:rPr>
        <w:t xml:space="preserve">3.5 </w:t>
      </w:r>
      <w:r>
        <w:rPr>
          <w:rFonts w:hint="eastAsia" w:ascii="宋体" w:hAnsi="宋体" w:eastAsia="宋体" w:cs="宋体"/>
          <w:szCs w:val="21"/>
          <w:highlight w:val="none"/>
        </w:rPr>
        <w:t>甲方有权通过签订补充协议的形式对本合同条款进行调整，包括但不限于：服务要求、项目分配及考核方式、违约处置等。若乙方不能接受当中的条款，有权放弃协议服务资格，向甲方提出终止合同并申请退还履约担保。</w:t>
      </w:r>
    </w:p>
    <w:p w14:paraId="218BDB13">
      <w:pPr>
        <w:autoSpaceDE w:val="0"/>
        <w:autoSpaceDN w:val="0"/>
        <w:adjustRightInd w:val="0"/>
        <w:spacing w:after="60"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第四条 服务要求</w:t>
      </w:r>
    </w:p>
    <w:p w14:paraId="544C1325">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w:t>
      </w:r>
      <w:r>
        <w:rPr>
          <w:rFonts w:hint="eastAsia" w:ascii="宋体" w:hAnsi="宋体" w:eastAsia="宋体" w:cs="宋体"/>
          <w:szCs w:val="21"/>
          <w:highlight w:val="none"/>
        </w:rPr>
        <w:tab/>
      </w:r>
      <w:r>
        <w:rPr>
          <w:rFonts w:hint="eastAsia" w:ascii="宋体" w:hAnsi="宋体" w:eastAsia="宋体" w:cs="宋体"/>
          <w:szCs w:val="21"/>
          <w:highlight w:val="none"/>
        </w:rPr>
        <w:t>乙方应在开展</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代理服务前与</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签订书面《采购代理合同》（即单项采购代理合同），并在其资格许可、</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委托范围、采购代理合同约定的职责和权限内办理相关采购事宜，提供相关代理服务。乙方不得无权代理、越权代理，也不得明知委托事项违法而进行代理。</w:t>
      </w:r>
    </w:p>
    <w:p w14:paraId="684E6CB1">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4.2</w:t>
      </w:r>
      <w:r>
        <w:rPr>
          <w:rFonts w:hint="eastAsia" w:ascii="宋体" w:hAnsi="宋体" w:eastAsia="宋体" w:cs="宋体"/>
          <w:szCs w:val="21"/>
          <w:highlight w:val="none"/>
        </w:rPr>
        <w:tab/>
      </w:r>
      <w:r>
        <w:rPr>
          <w:rFonts w:hint="eastAsia" w:ascii="宋体" w:hAnsi="宋体" w:eastAsia="宋体" w:cs="宋体"/>
          <w:szCs w:val="21"/>
          <w:highlight w:val="none"/>
        </w:rPr>
        <w:t>乙方应严格遵守相关法律、法规和政策，执行国家和行业的标准和规范，维护国家、社会公共利益和服务主体的合法权益。乙方在从事采购代理服务过程中，应始终遵循公开、公平、公正和诚实信用的原则，若发现相关当事人有违反国家有关法律法规的行为，应及时向本项目采购监督部门报告。</w:t>
      </w:r>
    </w:p>
    <w:p w14:paraId="189EC801">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4.3</w:t>
      </w:r>
      <w:r>
        <w:rPr>
          <w:rFonts w:hint="eastAsia" w:ascii="宋体" w:hAnsi="宋体" w:eastAsia="宋体" w:cs="宋体"/>
          <w:szCs w:val="21"/>
          <w:highlight w:val="none"/>
        </w:rPr>
        <w:tab/>
      </w:r>
      <w:r>
        <w:rPr>
          <w:rFonts w:hint="eastAsia" w:ascii="宋体" w:hAnsi="宋体" w:eastAsia="宋体" w:cs="宋体"/>
          <w:szCs w:val="21"/>
          <w:highlight w:val="none"/>
        </w:rPr>
        <w:t>乙方应在依法维护社会公众利益的基础上，对</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负责，勤勉认真、尽职尽责地履行全部代理服务工作和承诺的义务，并恪守职业道德、廉洁自律。</w:t>
      </w:r>
    </w:p>
    <w:p w14:paraId="44CF33D7">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4.4</w:t>
      </w:r>
      <w:r>
        <w:rPr>
          <w:rFonts w:hint="eastAsia" w:ascii="宋体" w:hAnsi="宋体" w:eastAsia="宋体" w:cs="宋体"/>
          <w:szCs w:val="21"/>
          <w:highlight w:val="none"/>
        </w:rPr>
        <w:tab/>
      </w:r>
      <w:r>
        <w:rPr>
          <w:rFonts w:hint="eastAsia" w:ascii="宋体" w:hAnsi="宋体" w:eastAsia="宋体" w:cs="宋体"/>
          <w:szCs w:val="21"/>
          <w:highlight w:val="none"/>
        </w:rPr>
        <w:t>乙方在开展代理服务过程中，应向</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及时告知采购代理工作实施情况的相关信息，除非得到事先授权，否则在采购活动中形成的采购工作计划、采购公告、采购文件及其澄清和修改、中标（成交）通知书等主要文件，以及须作出的可能影响采购结果的各类重要决策，均应按照采购代理合同约定提前报告</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审核确认。</w:t>
      </w:r>
    </w:p>
    <w:p w14:paraId="11FDB4A0">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4.5</w:t>
      </w:r>
      <w:r>
        <w:rPr>
          <w:rFonts w:hint="eastAsia" w:ascii="宋体" w:hAnsi="宋体" w:eastAsia="宋体" w:cs="宋体"/>
          <w:szCs w:val="21"/>
          <w:highlight w:val="none"/>
        </w:rPr>
        <w:tab/>
      </w:r>
      <w:r>
        <w:rPr>
          <w:rFonts w:hint="eastAsia" w:ascii="宋体" w:hAnsi="宋体" w:eastAsia="宋体" w:cs="宋体"/>
          <w:szCs w:val="21"/>
          <w:highlight w:val="none"/>
        </w:rPr>
        <w:t>乙方应保守在代理服务过程中知悉的国家秘密、商业和技术秘密，以及其他依据法律法规要求或采购代理合同约定应当保密的信息。</w:t>
      </w:r>
    </w:p>
    <w:p w14:paraId="0300944B">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4.6乙方应对</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委托的项目内容予以严格保密。在代理服务过程中，任何所涉及</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商业或技术秘密的文件，未经</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书面同意，乙方不得泄露给任何第三方；在完成代理项目后，未经</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书面同意，乙方不得留存属于</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商业或技术秘密等相关文件。</w:t>
      </w:r>
    </w:p>
    <w:p w14:paraId="66211843">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4.7</w:t>
      </w:r>
      <w:r>
        <w:rPr>
          <w:rFonts w:hint="eastAsia" w:ascii="宋体" w:hAnsi="宋体" w:eastAsia="宋体" w:cs="宋体"/>
          <w:szCs w:val="21"/>
          <w:highlight w:val="none"/>
        </w:rPr>
        <w:tab/>
      </w:r>
      <w:r>
        <w:rPr>
          <w:rFonts w:hint="eastAsia" w:ascii="宋体" w:hAnsi="宋体" w:eastAsia="宋体" w:cs="宋体"/>
          <w:szCs w:val="21"/>
          <w:highlight w:val="none"/>
        </w:rPr>
        <w:t>乙方不得在所代理的采购项目中投标或者代理投标，也不得为所代理的采购项目的投标人（供应商）提供咨询。接受委托编制标底或最高投标限价的采购代理机构不得参加受托编制标底或最高投标限价项目的投标，也不得为该项目的投标人（供应商）编制投标文件或者提供咨询。</w:t>
      </w:r>
    </w:p>
    <w:p w14:paraId="029A14CF">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4.8</w:t>
      </w:r>
      <w:r>
        <w:rPr>
          <w:rFonts w:hint="eastAsia" w:ascii="宋体" w:hAnsi="宋体" w:eastAsia="宋体" w:cs="宋体"/>
          <w:szCs w:val="21"/>
          <w:highlight w:val="none"/>
        </w:rPr>
        <w:tab/>
      </w:r>
      <w:r>
        <w:rPr>
          <w:rFonts w:hint="eastAsia" w:ascii="宋体" w:hAnsi="宋体" w:eastAsia="宋体" w:cs="宋体"/>
          <w:szCs w:val="21"/>
          <w:highlight w:val="none"/>
        </w:rPr>
        <w:t>乙方在单项采购代理合同签署之日起7个工作日内完成采购文件初稿的编制，并保证采购文件的合法合规性、完整性、准确性。</w:t>
      </w:r>
    </w:p>
    <w:p w14:paraId="72A84099">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4.9乙方应对甲方提供的用户需求书、招标控制价、图纸、清单等基础资料进行复核并提出合理化建议,并确保编制的采购文件与甲方提供的基础资料相匹配。</w:t>
      </w:r>
    </w:p>
    <w:p w14:paraId="33690A04">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4.10乙方应用专业技术与技能为</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提供完成采购工作相关的咨询服务，向</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宣传有关项目招标采购的法律、行政法规和规章，解释合理的采购程序。</w:t>
      </w:r>
    </w:p>
    <w:p w14:paraId="63226F9C">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4.11乙方在具体代理项目中应遵守</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相关招标采购制度。同时，乙方应严格执行《中华人民共和国招标投标法》及其实施条例等法律法规的相关规定，保证采购程序、结果合法有效。采购过程中任何因违反法律、法规、规章及采购投标相关政策的责任，全部由乙方负责（非乙方责任除外），并由乙方承担因此而产生的一切经济损失和赔偿责任。</w:t>
      </w:r>
    </w:p>
    <w:p w14:paraId="2029650D">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4.12 乙方应在委托授权范围内组织采购项目的采购工作，为</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提供优质的采购代理服务。未经</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书面同意，不得将本合同所确定的采购代理服务转让至任何第三方，不得擅自就采购答疑、修改澄清及中标（成交）结果等实质性内容对外作任何形式承诺或确定。乙方工作人员如与所代理的采购项目潜在投标人（供应商）有任何利益关系应主动提出回避。</w:t>
      </w:r>
    </w:p>
    <w:p w14:paraId="3A0BB099">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4.13乙方须指定一名专人作为与</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业务沟通的联系人，该联系人必须是乙方的正式员工。</w:t>
      </w:r>
    </w:p>
    <w:p w14:paraId="2C21FD8A">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4.14 乙方在协议服务期限内配置不少于</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名熟悉招标采购法律法规、具备编制采购文件和组织采购活动等相应能力的专职从业人员。特定采购项目所指派的项目负责人（可兼任）、采购文件编制人、复核人应具有中级（或以上）职称人员担任；其中项目负责人可兼任编制人或复核人，采购文件编制人、复核人不得为同一人。特定采购项目所指派的项目负责人（可兼任）、采购文件编制人、复核人任意一人须参与该项目的开标、评标环节。同时，乙方不得安排本机构以外的人员协助开展相关工作。</w:t>
      </w:r>
    </w:p>
    <w:p w14:paraId="3EC75331">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4.15 乙方应按投标文件中承诺投入的人员（详见附件《投入本项目人员表》）为</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提供服务，且投入人员在采购代理协议服务期限内要求驻莞工作</w:t>
      </w:r>
      <w:r>
        <w:rPr>
          <w:rFonts w:hint="eastAsia" w:ascii="宋体" w:hAnsi="宋体" w:eastAsia="宋体" w:cs="宋体"/>
          <w:highlight w:val="none"/>
        </w:rPr>
        <w:t>，</w:t>
      </w:r>
      <w:r>
        <w:rPr>
          <w:rFonts w:hint="eastAsia" w:ascii="宋体" w:hAnsi="宋体" w:eastAsia="宋体" w:cs="宋体"/>
          <w:szCs w:val="21"/>
          <w:highlight w:val="none"/>
        </w:rPr>
        <w:t>未经甲方书面同意不得任意更换或减少投入人员，否则该项更换无效。乙方如需更换人员，应提前</w:t>
      </w:r>
      <w:r>
        <w:rPr>
          <w:rFonts w:hint="eastAsia" w:ascii="宋体" w:hAnsi="宋体" w:eastAsia="宋体" w:cs="宋体"/>
          <w:highlight w:val="none"/>
        </w:rPr>
        <w:t>至少</w:t>
      </w:r>
      <w:r>
        <w:rPr>
          <w:rFonts w:hint="eastAsia" w:ascii="宋体" w:hAnsi="宋体" w:eastAsia="宋体" w:cs="宋体"/>
          <w:szCs w:val="21"/>
          <w:highlight w:val="none"/>
        </w:rPr>
        <w:t>7日内以书面形式向甲方申请，更换人员的资历条件应不低于投标文件中承诺的同等条件，并应继续承担合同规定的责任和履行相应的义务。</w:t>
      </w:r>
    </w:p>
    <w:p w14:paraId="6D6761B4">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4.16 甲方有权根据乙方的服务情况，提出投入人员的更换或补充。乙方须在甲方通知后7日内完成人员的调整，调整的人员应能胜任对应的岗位工作。调整人员不能胜任工作的，甲方有权再次要求调整，直至调整满足甲方要求为止。</w:t>
      </w:r>
    </w:p>
    <w:p w14:paraId="549C74A8">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4.17乙方在采购工作开展过程中，甲方要求驻场的，乙方应无条件配合。</w:t>
      </w:r>
    </w:p>
    <w:p w14:paraId="6D9969AA">
      <w:pPr>
        <w:pStyle w:val="72"/>
        <w:spacing w:after="160" w:line="480" w:lineRule="auto"/>
        <w:ind w:firstLine="433"/>
        <w:rPr>
          <w:rFonts w:ascii="宋体" w:eastAsia="宋体" w:cs="宋体"/>
          <w:sz w:val="21"/>
          <w:szCs w:val="21"/>
          <w:highlight w:val="none"/>
        </w:rPr>
      </w:pPr>
      <w:r>
        <w:rPr>
          <w:rFonts w:hint="eastAsia" w:ascii="宋体" w:eastAsia="宋体" w:cs="宋体"/>
          <w:sz w:val="21"/>
          <w:szCs w:val="21"/>
          <w:highlight w:val="none"/>
        </w:rPr>
        <w:t>4.18 其他服务要求详见招标文件《用户需求书》。</w:t>
      </w:r>
    </w:p>
    <w:p w14:paraId="3DD68F9D">
      <w:pPr>
        <w:autoSpaceDE w:val="0"/>
        <w:autoSpaceDN w:val="0"/>
        <w:adjustRightInd w:val="0"/>
        <w:spacing w:after="60"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第五条  采购项目分配方式及采购代理考核方式</w:t>
      </w:r>
    </w:p>
    <w:p w14:paraId="388399FD">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5.1 甲方在协议服务期限内，通过随机抽取的方式决定单项采购代理业务的服务单位。每轮次抽取由当期具备参与资格的协议服务单位一同参与。同一轮次抽取周期内，已被抽取的协议服务单位将不再参与后续单项采购代理业务的抽取，直到本周期结束开始下一轮次的抽取。</w:t>
      </w:r>
    </w:p>
    <w:p w14:paraId="6DFCB134">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5.2 对于有特殊、复杂要求的项目，甲方有权在库内择优选择协议服务单位。</w:t>
      </w:r>
    </w:p>
    <w:p w14:paraId="6D78C8DD">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5.3甲方有权根据需求情况，委托库外第三方服务单位承接业务。</w:t>
      </w:r>
    </w:p>
    <w:p w14:paraId="76494610">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 协议服务期限内，各协议服务单位每完成一个采购代理项目后，由该项目采购人（甲方或各下属企业）将对其进行单项采购代理项目质量考核评价（详见附件《单项采购代理项目质量考核表》），甲方每季度对各协议服务单位进行服务质量考核评价（详见附件《采购代理机构服务质量考核表》）。</w:t>
      </w:r>
    </w:p>
    <w:p w14:paraId="2292CFE2">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 </w:t>
      </w:r>
      <w:r>
        <w:rPr>
          <w:rFonts w:hint="eastAsia" w:ascii="宋体" w:hAnsi="宋体" w:eastAsia="宋体" w:cs="宋体"/>
          <w:color w:val="auto"/>
          <w:sz w:val="21"/>
          <w:szCs w:val="21"/>
          <w:highlight w:val="none"/>
          <w:lang w:val="en-US" w:eastAsia="zh-CN"/>
        </w:rPr>
        <w:t>乙方在协议服务期限内，无条件接受甲方根据考核结果制定的抽派规则（包括当不限于增加、减少、暂停、停止抽派代理业务等）。</w:t>
      </w:r>
      <w:r>
        <w:rPr>
          <w:rFonts w:hint="eastAsia" w:ascii="宋体" w:hAnsi="宋体" w:eastAsia="宋体" w:cs="宋体"/>
          <w:szCs w:val="21"/>
          <w:highlight w:val="none"/>
        </w:rPr>
        <w:t>每季度</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三个月）</w:t>
      </w:r>
      <w:r>
        <w:rPr>
          <w:rFonts w:hint="eastAsia" w:ascii="宋体" w:hAnsi="宋体" w:eastAsia="宋体" w:cs="宋体"/>
          <w:szCs w:val="21"/>
          <w:highlight w:val="none"/>
        </w:rPr>
        <w:t>甲方负责统计各协议服务单位的综合得分结果并进行排名。综合得分分为项目质量考核（详见附件《单项采购代理项目质量考核表》）和服务质量考核（详见附件《采购代理机构服务质量考核表》）两个部分，</w:t>
      </w:r>
      <w:r>
        <w:rPr>
          <w:rFonts w:hint="eastAsia" w:ascii="宋体" w:hAnsi="宋体" w:eastAsia="宋体" w:cs="宋体"/>
          <w:szCs w:val="21"/>
          <w:highlight w:val="none"/>
          <w:lang w:val="en-US" w:eastAsia="zh-CN"/>
        </w:rPr>
        <w:t>各占50%</w:t>
      </w:r>
      <w:r>
        <w:rPr>
          <w:rFonts w:hint="eastAsia" w:ascii="宋体" w:hAnsi="宋体" w:eastAsia="宋体" w:cs="宋体"/>
          <w:szCs w:val="21"/>
          <w:highlight w:val="none"/>
        </w:rPr>
        <w:t>。按“优/良/中/合格/不合格”五个评价等级统计分值，分值按从高到低的原则进行排名，得分相同的排名并列。</w:t>
      </w:r>
      <w:r>
        <w:rPr>
          <w:rFonts w:hint="eastAsia" w:ascii="宋体" w:hAnsi="宋体" w:eastAsia="宋体" w:cs="宋体"/>
          <w:color w:val="auto"/>
          <w:szCs w:val="21"/>
          <w:highlight w:val="none"/>
          <w:lang w:val="en-US" w:eastAsia="zh-CN"/>
        </w:rPr>
        <w:t>其中</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按项目进行考核评价，</w:t>
      </w:r>
      <w:r>
        <w:rPr>
          <w:rFonts w:hint="eastAsia" w:ascii="宋体" w:hAnsi="宋体" w:eastAsia="宋体" w:cs="宋体"/>
          <w:color w:val="auto"/>
          <w:szCs w:val="21"/>
          <w:highlight w:val="none"/>
        </w:rPr>
        <w:t>服务质量考核</w:t>
      </w:r>
      <w:r>
        <w:rPr>
          <w:rFonts w:hint="eastAsia" w:ascii="宋体" w:hAnsi="宋体" w:eastAsia="宋体" w:cs="宋体"/>
          <w:color w:val="auto"/>
          <w:szCs w:val="21"/>
          <w:highlight w:val="none"/>
          <w:lang w:val="en-US" w:eastAsia="zh-CN"/>
        </w:rPr>
        <w:t>按季度进行一次评价。当期有多个</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pacing w:val="-6"/>
          <w:szCs w:val="32"/>
          <w:highlight w:val="none"/>
          <w:lang w:val="en-US" w:eastAsia="zh-CN"/>
        </w:rPr>
        <w:t>以算术平均值确定</w:t>
      </w:r>
      <w:r>
        <w:rPr>
          <w:rFonts w:hint="eastAsia" w:ascii="宋体" w:hAnsi="宋体" w:eastAsia="宋体" w:cs="宋体"/>
          <w:color w:val="auto"/>
          <w:szCs w:val="21"/>
          <w:highlight w:val="none"/>
          <w:lang w:val="en-US" w:eastAsia="zh-CN"/>
        </w:rPr>
        <w:t>当期</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汇总得分；当期没有</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的，以服务质量考核得分作为当期最终考核评价得分。</w:t>
      </w:r>
    </w:p>
    <w:p w14:paraId="3B0B7FE6">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lang w:val="en-US" w:eastAsia="zh-CN"/>
        </w:rPr>
        <w:t xml:space="preserve">5.6 </w:t>
      </w:r>
      <w:r>
        <w:rPr>
          <w:rFonts w:hint="eastAsia" w:ascii="宋体" w:hAnsi="宋体" w:eastAsia="宋体" w:cs="宋体"/>
          <w:color w:val="auto"/>
          <w:sz w:val="21"/>
          <w:szCs w:val="21"/>
          <w:highlight w:val="none"/>
          <w:lang w:val="en-US" w:eastAsia="zh-CN"/>
        </w:rPr>
        <w:t>乙方</w:t>
      </w:r>
      <w:r>
        <w:rPr>
          <w:rFonts w:hint="eastAsia" w:ascii="宋体" w:hAnsi="宋体" w:eastAsia="宋体" w:cs="宋体"/>
          <w:szCs w:val="21"/>
          <w:highlight w:val="none"/>
        </w:rPr>
        <w:t>被举报确认违法违纪、违反廉洁从业的，</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有权单方终止其协议服务资格并解除服务合同，</w:t>
      </w:r>
      <w:r>
        <w:rPr>
          <w:rFonts w:hint="eastAsia" w:ascii="宋体" w:hAnsi="宋体" w:eastAsia="宋体" w:cs="宋体"/>
          <w:szCs w:val="21"/>
          <w:highlight w:val="none"/>
          <w:lang w:val="en-US" w:eastAsia="zh-CN"/>
        </w:rPr>
        <w:t>并</w:t>
      </w:r>
      <w:r>
        <w:rPr>
          <w:rFonts w:hint="eastAsia" w:ascii="宋体" w:hAnsi="宋体" w:eastAsia="宋体" w:cs="宋体"/>
          <w:szCs w:val="21"/>
          <w:highlight w:val="none"/>
        </w:rPr>
        <w:t>有权没收履约保证金。</w:t>
      </w:r>
    </w:p>
    <w:p w14:paraId="7449F75F">
      <w:pPr>
        <w:tabs>
          <w:tab w:val="left" w:pos="540"/>
        </w:tabs>
        <w:spacing w:after="160" w:line="480" w:lineRule="auto"/>
        <w:rPr>
          <w:rFonts w:ascii="宋体" w:hAnsi="宋体" w:eastAsia="宋体" w:cs="宋体"/>
          <w:b/>
          <w:szCs w:val="21"/>
          <w:highlight w:val="none"/>
        </w:rPr>
      </w:pPr>
      <w:r>
        <w:rPr>
          <w:rFonts w:hint="eastAsia" w:ascii="宋体" w:hAnsi="宋体" w:eastAsia="宋体" w:cs="宋体"/>
          <w:szCs w:val="21"/>
          <w:highlight w:val="none"/>
        </w:rPr>
        <w:t xml:space="preserve">    </w:t>
      </w:r>
      <w:r>
        <w:rPr>
          <w:rFonts w:hint="eastAsia" w:ascii="宋体" w:hAnsi="宋体" w:eastAsia="宋体" w:cs="宋体"/>
          <w:b/>
          <w:szCs w:val="21"/>
          <w:highlight w:val="none"/>
        </w:rPr>
        <w:t>第六条 代理服务费</w:t>
      </w:r>
    </w:p>
    <w:p w14:paraId="5895DF63">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6.1乙方应在开展代理服务前与甲方（或其下属企业）签订书面《采购代理合同》（即单项采购代理合同），</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以中标金额计算，依次按以下第（1）（2）款计算得出服务费基价，服务费基价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按第（3）款计算折扣得出代理服务费</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具体如下。</w:t>
      </w:r>
    </w:p>
    <w:p w14:paraId="191BE843">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lang w:val="zh-CN"/>
        </w:rPr>
        <w:t>参照</w:t>
      </w:r>
      <w:r>
        <w:rPr>
          <w:rFonts w:hint="eastAsia" w:ascii="宋体" w:hAnsi="宋体" w:eastAsia="宋体" w:cs="宋体"/>
          <w:b/>
          <w:color w:val="000000"/>
          <w:szCs w:val="21"/>
          <w:highlight w:val="none"/>
          <w:lang w:val="en-US" w:eastAsia="zh-CN"/>
        </w:rPr>
        <w:t>以下标准按差额定率累进法计算：</w:t>
      </w:r>
    </w:p>
    <w:tbl>
      <w:tblPr>
        <w:tblStyle w:val="44"/>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19827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FFEEBB"/>
            <w:tcMar>
              <w:top w:w="0" w:type="dxa"/>
              <w:left w:w="0" w:type="dxa"/>
              <w:bottom w:w="0" w:type="dxa"/>
              <w:right w:w="0" w:type="dxa"/>
            </w:tcMar>
            <w:vAlign w:val="center"/>
          </w:tcPr>
          <w:p w14:paraId="5BEA49AB">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76F8C974">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服务类型</w:t>
            </w:r>
          </w:p>
        </w:tc>
      </w:tr>
      <w:tr w14:paraId="10034C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69895184">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24A0391B">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费率</w:t>
            </w:r>
          </w:p>
        </w:tc>
      </w:tr>
      <w:tr w14:paraId="12E41F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20BA36C3">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FFEEBB"/>
            <w:tcMar>
              <w:top w:w="0" w:type="dxa"/>
              <w:left w:w="0" w:type="dxa"/>
              <w:bottom w:w="0" w:type="dxa"/>
              <w:right w:w="0" w:type="dxa"/>
            </w:tcMar>
            <w:vAlign w:val="center"/>
          </w:tcPr>
          <w:p w14:paraId="25EF08AF">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31CE8C61">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24AD733F">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工程招标</w:t>
            </w:r>
          </w:p>
        </w:tc>
      </w:tr>
      <w:tr w14:paraId="2F1A0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44E450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1DA88A6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2247721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564C0C2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60AFD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4B1F19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448D143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4ED61D8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5F31293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7CF1B4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234D6A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35E0DC1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16DA951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4FA8CB2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1E15A4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024330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40554AA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5DA68A7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06E2292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784543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C3A077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46B53ED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187D00C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7DFB4FC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02E31D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12ED25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5F55CDD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5EB5456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1E9BE76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5E941A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EBC2E5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74E674A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24AEB2C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26C711F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61573B6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en-US" w:eastAsia="zh-CN"/>
        </w:rPr>
        <w:t>（2）</w:t>
      </w:r>
      <w:r>
        <w:rPr>
          <w:rFonts w:hint="default" w:ascii="宋体" w:hAnsi="宋体" w:eastAsia="宋体" w:cs="宋体"/>
          <w:b/>
          <w:color w:val="000000"/>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797F970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（3）服务费基价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得出代理服务费。</w:t>
      </w:r>
      <w:r>
        <w:rPr>
          <w:rFonts w:hint="eastAsia" w:ascii="宋体" w:hAnsi="宋体" w:eastAsia="宋体" w:cs="宋体"/>
          <w:b/>
          <w:color w:val="000000"/>
          <w:szCs w:val="21"/>
          <w:highlight w:val="none"/>
          <w:lang w:val="zh-CN" w:eastAsia="zh-CN"/>
        </w:rPr>
        <w:t>具体为：</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10万元（不含）以下的，按80%执行；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10万元（含）—20万元（不含）的，按70%执行；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20万元（含）—30万元（不含）的，按60%执行；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30万元（含）以上的，按50%计取，且单个项目最高代理费为30万元封顶</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同时，</w:t>
      </w:r>
      <w:r>
        <w:rPr>
          <w:rFonts w:hint="eastAsia" w:ascii="宋体" w:hAnsi="宋体" w:eastAsia="宋体" w:cs="宋体"/>
          <w:b/>
          <w:color w:val="000000"/>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
          <w:color w:val="000000"/>
          <w:szCs w:val="21"/>
          <w:highlight w:val="none"/>
          <w:lang w:val="en-US" w:eastAsia="zh-CN"/>
        </w:rPr>
        <w:t>甲方</w:t>
      </w:r>
      <w:r>
        <w:rPr>
          <w:rFonts w:hint="eastAsia" w:ascii="宋体" w:hAnsi="宋体" w:eastAsia="宋体" w:cs="宋体"/>
          <w:b/>
          <w:color w:val="000000"/>
          <w:sz w:val="21"/>
          <w:szCs w:val="21"/>
          <w:highlight w:val="none"/>
          <w:lang w:val="en-US" w:eastAsia="zh-CN"/>
        </w:rPr>
        <w:t>或其</w:t>
      </w:r>
      <w:r>
        <w:rPr>
          <w:rFonts w:hint="eastAsia" w:ascii="宋体" w:hAnsi="宋体" w:eastAsia="宋体" w:cs="宋体"/>
          <w:b/>
          <w:color w:val="000000"/>
          <w:sz w:val="21"/>
          <w:szCs w:val="21"/>
          <w:highlight w:val="none"/>
        </w:rPr>
        <w:t>下属企业</w:t>
      </w:r>
      <w:r>
        <w:rPr>
          <w:rFonts w:hint="eastAsia" w:ascii="宋体" w:hAnsi="宋体" w:eastAsia="宋体" w:cs="宋体"/>
          <w:b/>
          <w:color w:val="000000"/>
          <w:szCs w:val="21"/>
          <w:highlight w:val="none"/>
          <w:lang w:val="zh-CN" w:eastAsia="zh-CN"/>
        </w:rPr>
        <w:t>与</w:t>
      </w:r>
      <w:r>
        <w:rPr>
          <w:rFonts w:hint="eastAsia" w:ascii="宋体" w:hAnsi="宋体" w:eastAsia="宋体" w:cs="宋体"/>
          <w:b/>
          <w:color w:val="000000"/>
          <w:szCs w:val="21"/>
          <w:highlight w:val="none"/>
          <w:lang w:val="en-US" w:eastAsia="zh-CN"/>
        </w:rPr>
        <w:t>乙方</w:t>
      </w:r>
      <w:r>
        <w:rPr>
          <w:rFonts w:hint="eastAsia" w:ascii="宋体" w:hAnsi="宋体" w:eastAsia="宋体" w:cs="宋体"/>
          <w:b/>
          <w:color w:val="000000"/>
          <w:szCs w:val="21"/>
          <w:highlight w:val="none"/>
          <w:lang w:val="zh-CN" w:eastAsia="zh-CN"/>
        </w:rPr>
        <w:t>另行商定代理费用。</w:t>
      </w:r>
    </w:p>
    <w:p w14:paraId="15ECCA94">
      <w:pPr>
        <w:tabs>
          <w:tab w:val="left" w:pos="540"/>
        </w:tabs>
        <w:autoSpaceDE w:val="0"/>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上述代理服务费包括但不限于以下费用：</w:t>
      </w:r>
    </w:p>
    <w:p w14:paraId="67CBAE31">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为开展本协议服务范围内的采购代理服务所需的资料查阅与调查费、现场勘查费、设备使用费、人工费、人员社会保险、人身意外保险、第三方责任险、驻场服务所需的差旅费、食宿费、交通费、通讯费、配合费等费用；</w:t>
      </w:r>
    </w:p>
    <w:p w14:paraId="753E7EBF">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highlight w:val="none"/>
        </w:rPr>
        <w:t>为开展</w:t>
      </w:r>
      <w:r>
        <w:rPr>
          <w:rFonts w:hint="eastAsia" w:ascii="宋体" w:hAnsi="宋体" w:eastAsia="宋体" w:cs="宋体"/>
          <w:szCs w:val="21"/>
          <w:highlight w:val="none"/>
        </w:rPr>
        <w:t>本协议服务</w:t>
      </w:r>
      <w:r>
        <w:rPr>
          <w:rFonts w:hint="eastAsia" w:ascii="宋体" w:hAnsi="宋体" w:eastAsia="宋体" w:cs="宋体"/>
          <w:highlight w:val="none"/>
        </w:rPr>
        <w:t>范围内的采购代理服务所需发生（如有时）</w:t>
      </w:r>
      <w:r>
        <w:rPr>
          <w:rFonts w:hint="eastAsia" w:ascii="宋体" w:hAnsi="宋体" w:eastAsia="宋体" w:cs="宋体"/>
          <w:szCs w:val="21"/>
          <w:highlight w:val="none"/>
        </w:rPr>
        <w:t>的公证费、会务费、专家评审费（采购人代表及工作人员除外）、公告费、评审期间产生的差旅和食宿费、保险、档案整理（含档案数字化）及保管费、合同印刷及装订费等相关费用；</w:t>
      </w:r>
    </w:p>
    <w:p w14:paraId="440310F8">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（3）合理利润、税费等；</w:t>
      </w:r>
    </w:p>
    <w:p w14:paraId="79795BB4">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（4）法律法规、行业公认、完成合同实施过程中由乙方承担的其他直接及间接费用。</w:t>
      </w:r>
    </w:p>
    <w:p w14:paraId="0027D20B">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6.2 代理服务费的具体付款方式按照单项采购代理合同约定执行。</w:t>
      </w:r>
    </w:p>
    <w:p w14:paraId="123B3ECA">
      <w:pPr>
        <w:autoSpaceDE w:val="0"/>
        <w:autoSpaceDN w:val="0"/>
        <w:adjustRightInd w:val="0"/>
        <w:spacing w:after="60" w:line="480" w:lineRule="auto"/>
        <w:ind w:firstLine="422" w:firstLineChars="200"/>
        <w:rPr>
          <w:rFonts w:ascii="宋体" w:hAnsi="宋体" w:eastAsia="宋体" w:cs="宋体"/>
          <w:szCs w:val="21"/>
          <w:highlight w:val="none"/>
        </w:rPr>
      </w:pPr>
      <w:r>
        <w:rPr>
          <w:rFonts w:hint="eastAsia" w:ascii="宋体" w:hAnsi="宋体" w:eastAsia="宋体" w:cs="宋体"/>
          <w:b/>
          <w:szCs w:val="21"/>
          <w:highlight w:val="none"/>
        </w:rPr>
        <w:t>第七条 履约担保</w:t>
      </w:r>
    </w:p>
    <w:p w14:paraId="434CF0FA">
      <w:pPr>
        <w:tabs>
          <w:tab w:val="left" w:pos="540"/>
        </w:tabs>
        <w:spacing w:line="480" w:lineRule="auto"/>
        <w:ind w:firstLine="420" w:firstLineChars="200"/>
        <w:rPr>
          <w:rFonts w:ascii="宋体" w:hAnsi="宋体" w:eastAsia="宋体" w:cs="宋体"/>
          <w:color w:val="auto"/>
          <w:szCs w:val="21"/>
          <w:highlight w:val="none"/>
        </w:rPr>
      </w:pPr>
      <w:r>
        <w:rPr>
          <w:rFonts w:hint="eastAsia" w:ascii="宋体" w:hAnsi="宋体" w:eastAsia="宋体" w:cs="宋体"/>
          <w:szCs w:val="21"/>
          <w:highlight w:val="none"/>
        </w:rPr>
        <w:t>7.1 乙方应当根据招标文件的规定在签订本合同前向甲方提供履约担保，本项目履约担保的金额为贰拾万</w:t>
      </w:r>
      <w:r>
        <w:rPr>
          <w:rFonts w:hint="eastAsia" w:ascii="宋体" w:hAnsi="宋体" w:eastAsia="宋体" w:cs="宋体"/>
          <w:color w:val="auto"/>
          <w:szCs w:val="21"/>
          <w:highlight w:val="none"/>
        </w:rPr>
        <w:t>元整(200,000.00元)。履约担保形式及金额由乙方从以下方式中任选一种：</w:t>
      </w:r>
    </w:p>
    <w:p w14:paraId="59515994">
      <w:pPr>
        <w:tabs>
          <w:tab w:val="left" w:pos="540"/>
        </w:tabs>
        <w:spacing w:line="48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履约保证金（银行转账形式）；</w:t>
      </w:r>
    </w:p>
    <w:p w14:paraId="568D272F">
      <w:pPr>
        <w:tabs>
          <w:tab w:val="left" w:pos="540"/>
        </w:tabs>
        <w:spacing w:line="480" w:lineRule="auto"/>
        <w:ind w:firstLine="420" w:firstLineChars="200"/>
        <w:rPr>
          <w:rFonts w:ascii="宋体" w:hAnsi="宋体" w:eastAsia="宋体" w:cs="宋体"/>
          <w:color w:val="auto"/>
          <w:szCs w:val="21"/>
          <w:highlight w:val="none"/>
          <w:u w:val="single"/>
        </w:rPr>
      </w:pPr>
      <w:bookmarkStart w:id="403" w:name="_Hlk32915973"/>
      <w:r>
        <w:rPr>
          <w:rFonts w:hint="eastAsia" w:ascii="宋体" w:hAnsi="宋体" w:eastAsia="宋体" w:cs="宋体"/>
          <w:color w:val="auto"/>
          <w:szCs w:val="21"/>
          <w:highlight w:val="none"/>
          <w:u w:val="single"/>
        </w:rPr>
        <w:t>□不可撤销银行履约保函</w:t>
      </w:r>
      <w:bookmarkEnd w:id="403"/>
      <w:r>
        <w:rPr>
          <w:rFonts w:hint="eastAsia" w:ascii="宋体" w:hAnsi="宋体" w:eastAsia="宋体" w:cs="宋体"/>
          <w:color w:val="auto"/>
          <w:szCs w:val="21"/>
          <w:highlight w:val="none"/>
          <w:u w:val="single"/>
        </w:rPr>
        <w:t>；</w:t>
      </w:r>
    </w:p>
    <w:p w14:paraId="78E94F95">
      <w:pPr>
        <w:tabs>
          <w:tab w:val="left" w:pos="540"/>
        </w:tabs>
        <w:spacing w:line="48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□履约保证保险；</w:t>
      </w:r>
    </w:p>
    <w:p w14:paraId="1B35BCE5">
      <w:pPr>
        <w:tabs>
          <w:tab w:val="left" w:pos="540"/>
        </w:tabs>
        <w:spacing w:line="48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□担保公司履约担保书。</w:t>
      </w:r>
    </w:p>
    <w:p w14:paraId="7C3CD753">
      <w:pPr>
        <w:tabs>
          <w:tab w:val="left" w:pos="540"/>
        </w:tabs>
        <w:spacing w:line="48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 履约担保用于补偿甲方因乙方不能完成其合同义务而蒙受的损失或其他合同约定的事项。如发生下列任一情况时，甲方有权依合同追究违约责任外，同时有权提取履约担保并进行相应处理：</w:t>
      </w:r>
    </w:p>
    <w:p w14:paraId="744B4C80">
      <w:pPr>
        <w:tabs>
          <w:tab w:val="left" w:pos="540"/>
        </w:tabs>
        <w:spacing w:line="48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7B6EDFF9">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color w:val="auto"/>
          <w:szCs w:val="21"/>
          <w:highlight w:val="none"/>
        </w:rPr>
        <w:t>（2）在合同履行期间，乙方怠于</w:t>
      </w:r>
      <w:r>
        <w:rPr>
          <w:rFonts w:hint="eastAsia" w:ascii="宋体" w:hAnsi="宋体" w:eastAsia="宋体" w:cs="宋体"/>
          <w:szCs w:val="21"/>
          <w:highlight w:val="none"/>
        </w:rPr>
        <w:t>履行合同义务，经甲方通知或要求承担违约金后仍拒不改正的，甲方可依法没收或适当扣除其履约担保。</w:t>
      </w:r>
    </w:p>
    <w:p w14:paraId="16B86BA5">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在合同履行期间，因乙方服务质量问题造成损害、侵权损失（包括但不限于甲方经济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77963EF5">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（4）在合同履行期间，乙方违约产生的违约金、赔偿、罚款或其他应付费用等款项，甲方有权直接从未付款项中直接扣除或启用履约担保予以支付。</w:t>
      </w:r>
    </w:p>
    <w:p w14:paraId="701464AF">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（5）合同期内，乙方不能及时完成合同某项义务的，甲方有权提取履约担保用于处理该项工作。</w:t>
      </w:r>
    </w:p>
    <w:p w14:paraId="6C6AF87F">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（6）其他根据本合同约定或法律规定，甲方可启用履约担保的情形。</w:t>
      </w:r>
    </w:p>
    <w:p w14:paraId="6320917F">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7.3 在乙方完成本合同下全部义务，且在合同期限届满并完成本合同及单项</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代理合同相关服务义务后，甲方在扣除相应的费用（若有）后将履约担保余额无息退还乙方。</w:t>
      </w:r>
    </w:p>
    <w:p w14:paraId="35AE6FA9">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7.4 如乙方提供不可撤销银行履约保函或履约保证保险或担保公司履约担保书作为履约担保的，不可撤销银行履约保函或履约保证保险或担保公司履约担保书应</w:t>
      </w:r>
      <w:r>
        <w:rPr>
          <w:rFonts w:hint="eastAsia" w:ascii="宋体" w:hAnsi="宋体" w:eastAsia="宋体" w:cs="Times New Roman"/>
          <w:kern w:val="0"/>
          <w:szCs w:val="21"/>
          <w:highlight w:val="none"/>
        </w:rPr>
        <w:t>在合同期限届满并完成本合同及单项采购代理合同相关服务义务后28日内保持有效</w:t>
      </w:r>
      <w:r>
        <w:rPr>
          <w:rFonts w:hint="eastAsia" w:ascii="宋体" w:hAnsi="宋体" w:eastAsia="宋体" w:cs="宋体"/>
          <w:kern w:val="0"/>
          <w:szCs w:val="21"/>
          <w:highlight w:val="none"/>
        </w:rPr>
        <w:t>。</w:t>
      </w:r>
    </w:p>
    <w:p w14:paraId="34D7EC41">
      <w:pPr>
        <w:tabs>
          <w:tab w:val="left" w:pos="540"/>
        </w:tabs>
        <w:spacing w:line="480" w:lineRule="auto"/>
        <w:ind w:firstLine="420" w:firstLineChars="200"/>
        <w:rPr>
          <w:rFonts w:ascii="Arial" w:hAnsi="Arial"/>
          <w:szCs w:val="20"/>
          <w:highlight w:val="none"/>
        </w:rPr>
      </w:pPr>
      <w:r>
        <w:rPr>
          <w:rFonts w:hint="eastAsia" w:ascii="宋体" w:hAnsi="宋体" w:eastAsia="宋体" w:cs="宋体"/>
          <w:szCs w:val="21"/>
          <w:highlight w:val="none"/>
        </w:rPr>
        <w:t>7.5 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bookmarkEnd w:id="401"/>
    <w:p w14:paraId="3489D658">
      <w:pPr>
        <w:spacing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第八条 违约责任</w:t>
      </w:r>
    </w:p>
    <w:p w14:paraId="4A9F2A7F">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8.1 乙方未按照国家及行业相关法规及规范、甲方（含下属企业）的采购规章制度进行采购代理工作的，甲方有权单方终止其协议服务资格并解除服务合同且没收其履约担保。</w:t>
      </w:r>
    </w:p>
    <w:p w14:paraId="3CF61661">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8.2 乙方未遵守廉洁从业相关规定的，甲方有权单方终止其协议服务资格并解除服务合同且没收其履约担保。</w:t>
      </w:r>
    </w:p>
    <w:p w14:paraId="72CC2B9F">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8.3 乙方违反规定泄露应当保密的与采购活动有关的情况和资料或在所代理的采购项目中投标，代理投标或者向该项目投标人（供应商）提供投标（响应）咨询的，</w:t>
      </w:r>
      <w:bookmarkStart w:id="404" w:name="_Hlk97140671"/>
      <w:r>
        <w:rPr>
          <w:rFonts w:hint="eastAsia" w:ascii="宋体" w:hAnsi="宋体" w:eastAsia="宋体" w:cs="宋体"/>
          <w:szCs w:val="21"/>
          <w:highlight w:val="none"/>
        </w:rPr>
        <w:t>甲方有权单方终止其协议服务资格并解除服务合同且没收其履约担保。</w:t>
      </w:r>
      <w:bookmarkEnd w:id="404"/>
    </w:p>
    <w:p w14:paraId="16D556E9">
      <w:pPr>
        <w:spacing w:line="48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8.4 </w:t>
      </w:r>
      <w:bookmarkStart w:id="405" w:name="_Hlk97140919"/>
      <w:r>
        <w:rPr>
          <w:rFonts w:hint="eastAsia" w:ascii="宋体" w:hAnsi="宋体" w:eastAsia="宋体" w:cs="宋体"/>
          <w:szCs w:val="21"/>
          <w:highlight w:val="none"/>
        </w:rPr>
        <w:t>乙方被举报确认违法违纪、违反廉洁从业的，甲方有权单方终止其协议服务资格并解除服务合同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并</w:t>
      </w:r>
      <w:r>
        <w:rPr>
          <w:rFonts w:hint="eastAsia" w:ascii="宋体" w:hAnsi="宋体" w:eastAsia="宋体" w:cs="宋体"/>
          <w:szCs w:val="21"/>
          <w:highlight w:val="none"/>
        </w:rPr>
        <w:t>有权没收履约保证金</w:t>
      </w:r>
      <w:r>
        <w:rPr>
          <w:rFonts w:hint="eastAsia" w:ascii="宋体" w:hAnsi="宋体" w:eastAsia="宋体" w:cs="宋体"/>
          <w:szCs w:val="21"/>
          <w:highlight w:val="none"/>
          <w:lang w:eastAsia="zh-CN"/>
        </w:rPr>
        <w:t>。</w:t>
      </w:r>
    </w:p>
    <w:p w14:paraId="43B43953">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8.5 在合同履行过程中，不论何种原因导致履约担保金额不符合本合同要求的，乙方应当在5日内予以补足。逾期不予补足的，甲方有权按需补足的金额要求乙方支付违约金，并要求限期补足。如乙方仍不予补足的，甲方有权单方终止其协议服务资格并解除服务合同，违约金可直接从未付合同款或履约担保中扣除。</w:t>
      </w:r>
    </w:p>
    <w:p w14:paraId="5C1EEFEA">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乙方未经甲方书面同意</w:t>
      </w:r>
      <w:r>
        <w:rPr>
          <w:rFonts w:hint="eastAsia" w:ascii="宋体" w:hAnsi="宋体" w:eastAsia="宋体" w:cs="宋体"/>
          <w:szCs w:val="21"/>
          <w:highlight w:val="none"/>
          <w:lang w:val="en-US" w:eastAsia="zh-CN"/>
        </w:rPr>
        <w:t>不得</w:t>
      </w:r>
      <w:r>
        <w:rPr>
          <w:rFonts w:hint="eastAsia" w:ascii="宋体" w:hAnsi="宋体" w:eastAsia="宋体" w:cs="宋体"/>
          <w:szCs w:val="21"/>
          <w:highlight w:val="none"/>
        </w:rPr>
        <w:t>擅自更换或减少投入人员，</w:t>
      </w:r>
      <w:bookmarkStart w:id="406" w:name="_Hlk97141039"/>
      <w:r>
        <w:rPr>
          <w:rFonts w:hint="eastAsia" w:ascii="宋体" w:hAnsi="宋体" w:eastAsia="宋体" w:cs="宋体"/>
          <w:szCs w:val="21"/>
          <w:highlight w:val="none"/>
        </w:rPr>
        <w:t>乙方投入人员在采购代理协议服务期限内</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驻莞工作的</w:t>
      </w:r>
      <w:bookmarkEnd w:id="405"/>
      <w:bookmarkEnd w:id="406"/>
      <w:r>
        <w:rPr>
          <w:rFonts w:hint="eastAsia" w:ascii="宋体" w:hAnsi="宋体" w:eastAsia="宋体" w:cs="宋体"/>
          <w:szCs w:val="21"/>
          <w:highlight w:val="none"/>
        </w:rPr>
        <w:t>；</w:t>
      </w:r>
    </w:p>
    <w:p w14:paraId="781D745B">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乙方</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按甲方要求更换或补充人员，更换、补充的人员能胜任工作；</w:t>
      </w:r>
    </w:p>
    <w:p w14:paraId="169DB4D9">
      <w:pPr>
        <w:spacing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第九条</w:t>
      </w:r>
      <w:r>
        <w:rPr>
          <w:rFonts w:hint="eastAsia" w:ascii="宋体" w:hAnsi="宋体" w:eastAsia="宋体" w:cs="宋体"/>
          <w:szCs w:val="21"/>
          <w:highlight w:val="none"/>
        </w:rPr>
        <w:t xml:space="preserve"> </w:t>
      </w:r>
      <w:r>
        <w:rPr>
          <w:rFonts w:hint="eastAsia" w:ascii="宋体" w:hAnsi="宋体" w:eastAsia="宋体" w:cs="宋体"/>
          <w:b/>
          <w:szCs w:val="21"/>
          <w:highlight w:val="none"/>
        </w:rPr>
        <w:t>合同争议</w:t>
      </w:r>
    </w:p>
    <w:p w14:paraId="0160922F">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9.1</w:t>
      </w:r>
      <w:r>
        <w:rPr>
          <w:rFonts w:hint="eastAsia" w:ascii="宋体" w:hAnsi="宋体" w:eastAsia="宋体" w:cs="宋体"/>
          <w:bCs/>
          <w:szCs w:val="21"/>
          <w:highlight w:val="none"/>
        </w:rPr>
        <w:t xml:space="preserve"> </w:t>
      </w:r>
      <w:r>
        <w:rPr>
          <w:rFonts w:hint="eastAsia" w:ascii="宋体" w:hAnsi="宋体" w:eastAsia="宋体" w:cs="宋体"/>
          <w:szCs w:val="21"/>
          <w:highlight w:val="none"/>
        </w:rPr>
        <w:t>甲乙双方因履行合同发生争议时，应提供友好协商解决。协商不能解决时，任何一方均有权向甲方所在地有管辖权的人民法院提起诉讼。</w:t>
      </w:r>
    </w:p>
    <w:p w14:paraId="177F64B5">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9.2</w:t>
      </w:r>
      <w:r>
        <w:rPr>
          <w:rFonts w:hint="eastAsia" w:ascii="宋体" w:hAnsi="宋体" w:eastAsia="宋体" w:cs="宋体"/>
          <w:bCs/>
          <w:szCs w:val="21"/>
          <w:highlight w:val="none"/>
        </w:rPr>
        <w:t xml:space="preserve"> </w:t>
      </w:r>
      <w:r>
        <w:rPr>
          <w:rFonts w:hint="eastAsia" w:ascii="宋体" w:hAnsi="宋体" w:eastAsia="宋体" w:cs="宋体"/>
          <w:szCs w:val="21"/>
          <w:highlight w:val="none"/>
        </w:rPr>
        <w:t>在法院审理期间，除与争议有关的部分外，双方应继续履行合同规定的其他各自义务。</w:t>
      </w:r>
    </w:p>
    <w:p w14:paraId="0DA4D5E1">
      <w:pPr>
        <w:spacing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第十条</w:t>
      </w:r>
      <w:r>
        <w:rPr>
          <w:rFonts w:hint="eastAsia" w:ascii="宋体" w:hAnsi="宋体" w:eastAsia="宋体" w:cs="宋体"/>
          <w:szCs w:val="21"/>
          <w:highlight w:val="none"/>
        </w:rPr>
        <w:t xml:space="preserve"> </w:t>
      </w:r>
      <w:r>
        <w:rPr>
          <w:rFonts w:hint="eastAsia" w:ascii="宋体" w:hAnsi="宋体" w:eastAsia="宋体" w:cs="宋体"/>
          <w:b/>
          <w:szCs w:val="21"/>
          <w:highlight w:val="none"/>
        </w:rPr>
        <w:t>合同的变更与解除</w:t>
      </w:r>
    </w:p>
    <w:p w14:paraId="01D939C7">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10.1</w:t>
      </w:r>
      <w:r>
        <w:rPr>
          <w:rFonts w:hint="eastAsia" w:ascii="宋体" w:hAnsi="宋体" w:eastAsia="宋体" w:cs="宋体"/>
          <w:bCs/>
          <w:szCs w:val="21"/>
          <w:highlight w:val="none"/>
        </w:rPr>
        <w:t xml:space="preserve"> </w:t>
      </w:r>
      <w:r>
        <w:rPr>
          <w:rFonts w:hint="eastAsia" w:ascii="宋体" w:hAnsi="宋体" w:eastAsia="宋体" w:cs="宋体"/>
          <w:szCs w:val="21"/>
          <w:highlight w:val="none"/>
        </w:rPr>
        <w:t>甲方与乙方协商一致，可以解除合同。</w:t>
      </w:r>
    </w:p>
    <w:p w14:paraId="73CCB152">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10.2</w:t>
      </w:r>
      <w:r>
        <w:rPr>
          <w:rFonts w:hint="eastAsia" w:ascii="宋体" w:hAnsi="宋体" w:eastAsia="宋体" w:cs="宋体"/>
          <w:bCs/>
          <w:szCs w:val="21"/>
          <w:highlight w:val="none"/>
        </w:rPr>
        <w:t xml:space="preserve"> </w:t>
      </w:r>
      <w:r>
        <w:rPr>
          <w:rFonts w:hint="eastAsia" w:ascii="宋体" w:hAnsi="宋体" w:eastAsia="宋体" w:cs="宋体"/>
          <w:szCs w:val="21"/>
          <w:highlight w:val="none"/>
        </w:rPr>
        <w:t>当事人一方要求变更或解除合同时，应在一个月前以书面形式通知对方。对变更或解除合同有争议的，按本合同第九条关于争议的约定处理。</w:t>
      </w:r>
    </w:p>
    <w:p w14:paraId="157836A5">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10.3</w:t>
      </w:r>
      <w:r>
        <w:rPr>
          <w:rFonts w:hint="eastAsia" w:ascii="宋体" w:hAnsi="宋体" w:eastAsia="宋体" w:cs="宋体"/>
          <w:bCs/>
          <w:szCs w:val="21"/>
          <w:highlight w:val="none"/>
        </w:rPr>
        <w:t xml:space="preserve"> </w:t>
      </w:r>
      <w:r>
        <w:rPr>
          <w:rFonts w:hint="eastAsia" w:ascii="宋体" w:hAnsi="宋体" w:eastAsia="宋体" w:cs="宋体"/>
          <w:szCs w:val="21"/>
          <w:highlight w:val="none"/>
        </w:rPr>
        <w:t>由于不可抗力因素致使合同无法履行时，双方应及时协商解决。</w:t>
      </w:r>
    </w:p>
    <w:p w14:paraId="059D96F9">
      <w:pPr>
        <w:snapToGrid w:val="0"/>
        <w:spacing w:line="48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10.4 在合同</w:t>
      </w:r>
      <w:r>
        <w:rPr>
          <w:rFonts w:hint="eastAsia" w:ascii="宋体" w:hAnsi="宋体" w:eastAsia="宋体" w:cs="宋体"/>
          <w:szCs w:val="21"/>
          <w:highlight w:val="none"/>
        </w:rPr>
        <w:t>履行过程中</w:t>
      </w:r>
      <w:r>
        <w:rPr>
          <w:rFonts w:hint="eastAsia" w:ascii="宋体" w:hAnsi="宋体" w:eastAsia="宋体" w:cs="宋体"/>
          <w:bCs/>
          <w:szCs w:val="21"/>
          <w:highlight w:val="none"/>
        </w:rPr>
        <w:t>如果由于国家、广东省或东莞市的相关招标采购法律法规、政策规定发生改变而导致合同不能继续履行，甲方有权提前终止合同，并且无需对乙方作出任何赔偿。</w:t>
      </w:r>
    </w:p>
    <w:p w14:paraId="57CB9B2E">
      <w:pPr>
        <w:spacing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第十一条</w:t>
      </w:r>
      <w:r>
        <w:rPr>
          <w:rFonts w:hint="eastAsia" w:ascii="宋体" w:hAnsi="宋体" w:eastAsia="宋体" w:cs="宋体"/>
          <w:szCs w:val="21"/>
          <w:highlight w:val="none"/>
        </w:rPr>
        <w:t xml:space="preserve"> </w:t>
      </w:r>
      <w:r>
        <w:rPr>
          <w:rFonts w:hint="eastAsia" w:ascii="宋体" w:hAnsi="宋体" w:eastAsia="宋体" w:cs="宋体"/>
          <w:b/>
          <w:szCs w:val="21"/>
          <w:highlight w:val="none"/>
        </w:rPr>
        <w:t>合同生效及其他</w:t>
      </w:r>
    </w:p>
    <w:p w14:paraId="06D1A817">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11.1</w:t>
      </w:r>
      <w:r>
        <w:rPr>
          <w:rFonts w:hint="eastAsia" w:ascii="宋体" w:hAnsi="宋体" w:eastAsia="宋体" w:cs="宋体"/>
          <w:bCs/>
          <w:szCs w:val="21"/>
          <w:highlight w:val="none"/>
        </w:rPr>
        <w:t xml:space="preserve"> </w:t>
      </w:r>
      <w:r>
        <w:rPr>
          <w:rFonts w:hint="eastAsia" w:ascii="宋体" w:hAnsi="宋体" w:eastAsia="宋体" w:cs="宋体"/>
          <w:szCs w:val="21"/>
          <w:highlight w:val="none"/>
        </w:rPr>
        <w:t>本合同双方签字盖章即生效，一式</w:t>
      </w:r>
      <w:r>
        <w:rPr>
          <w:rFonts w:hint="eastAsia" w:ascii="宋体" w:hAnsi="宋体" w:eastAsia="宋体" w:cs="宋体"/>
          <w:szCs w:val="21"/>
          <w:highlight w:val="none"/>
          <w:u w:val="single"/>
        </w:rPr>
        <w:t xml:space="preserve"> 6 </w:t>
      </w:r>
      <w:r>
        <w:rPr>
          <w:rFonts w:hint="eastAsia" w:ascii="宋体" w:hAnsi="宋体" w:eastAsia="宋体" w:cs="宋体"/>
          <w:szCs w:val="21"/>
          <w:highlight w:val="none"/>
        </w:rPr>
        <w:t>份，甲方</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份，乙方</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份。</w:t>
      </w:r>
    </w:p>
    <w:p w14:paraId="69BCD328">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11.2</w:t>
      </w:r>
      <w:r>
        <w:rPr>
          <w:rFonts w:hint="eastAsia" w:ascii="宋体" w:hAnsi="宋体" w:eastAsia="宋体" w:cs="宋体"/>
          <w:bCs/>
          <w:szCs w:val="21"/>
          <w:highlight w:val="none"/>
        </w:rPr>
        <w:t xml:space="preserve"> </w:t>
      </w:r>
      <w:r>
        <w:rPr>
          <w:rFonts w:hint="eastAsia" w:ascii="宋体" w:hAnsi="宋体" w:eastAsia="宋体" w:cs="宋体"/>
          <w:szCs w:val="21"/>
          <w:highlight w:val="none"/>
        </w:rPr>
        <w:t>双方认可的来往传真、电报、会议纪要等，均为合同的组成部分，与本合同具有同等法律效力。</w:t>
      </w:r>
    </w:p>
    <w:p w14:paraId="322E1C8E">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11.3 未尽事宜，经双方协商一致，签订补充协议或在单项采购代理合同中做具体约定，并与本合同具有同等效力。</w:t>
      </w:r>
    </w:p>
    <w:p w14:paraId="1FDC34E1">
      <w:pPr>
        <w:spacing w:after="160" w:line="480" w:lineRule="auto"/>
        <w:ind w:firstLine="315" w:firstLineChars="150"/>
        <w:rPr>
          <w:rFonts w:ascii="宋体" w:hAnsi="宋体" w:eastAsia="宋体" w:cs="宋体"/>
          <w:szCs w:val="21"/>
          <w:highlight w:val="none"/>
        </w:rPr>
      </w:pPr>
      <w:r>
        <w:rPr>
          <w:rFonts w:hint="eastAsia" w:ascii="宋体" w:hAnsi="宋体" w:eastAsia="宋体" w:cs="宋体"/>
          <w:highlight w:val="none"/>
        </w:rPr>
        <w:t>合</w:t>
      </w:r>
      <w:r>
        <w:rPr>
          <w:rFonts w:hint="eastAsia" w:ascii="宋体" w:hAnsi="宋体" w:eastAsia="宋体" w:cs="宋体"/>
          <w:szCs w:val="21"/>
          <w:highlight w:val="none"/>
        </w:rPr>
        <w:t>同附件：1、招标文件</w:t>
      </w:r>
    </w:p>
    <w:p w14:paraId="276B01E6">
      <w:pPr>
        <w:spacing w:after="160" w:line="480" w:lineRule="auto"/>
        <w:ind w:firstLine="1470" w:firstLineChars="700"/>
        <w:rPr>
          <w:rFonts w:ascii="宋体" w:hAnsi="宋体" w:eastAsia="宋体" w:cs="宋体"/>
          <w:szCs w:val="21"/>
          <w:highlight w:val="none"/>
        </w:rPr>
      </w:pPr>
      <w:r>
        <w:rPr>
          <w:rFonts w:hint="eastAsia" w:ascii="宋体" w:hAnsi="宋体" w:eastAsia="宋体" w:cs="宋体"/>
          <w:szCs w:val="21"/>
          <w:highlight w:val="none"/>
        </w:rPr>
        <w:t>2、采购代理机构考核表</w:t>
      </w:r>
    </w:p>
    <w:p w14:paraId="560C107F">
      <w:pPr>
        <w:spacing w:after="160" w:line="480" w:lineRule="auto"/>
        <w:ind w:firstLine="1470" w:firstLineChars="700"/>
        <w:rPr>
          <w:rFonts w:ascii="宋体" w:hAnsi="宋体" w:eastAsia="宋体" w:cs="宋体"/>
          <w:szCs w:val="21"/>
          <w:highlight w:val="none"/>
        </w:rPr>
      </w:pPr>
      <w:r>
        <w:rPr>
          <w:rFonts w:hint="eastAsia" w:ascii="宋体" w:hAnsi="宋体" w:eastAsia="宋体" w:cs="宋体"/>
          <w:szCs w:val="21"/>
          <w:highlight w:val="none"/>
        </w:rPr>
        <w:t xml:space="preserve">3、投入本项目人员表  </w:t>
      </w:r>
    </w:p>
    <w:p w14:paraId="5C3E0CB5">
      <w:pPr>
        <w:spacing w:after="160" w:line="480" w:lineRule="auto"/>
        <w:ind w:firstLine="1470" w:firstLineChars="700"/>
        <w:rPr>
          <w:rFonts w:hint="eastAsia" w:ascii="宋体" w:hAnsi="宋体" w:eastAsia="宋体" w:cs="宋体"/>
          <w:szCs w:val="21"/>
          <w:highlight w:val="none"/>
        </w:rPr>
      </w:pPr>
      <w:r>
        <w:rPr>
          <w:rFonts w:hint="eastAsia" w:ascii="宋体" w:hAnsi="宋体" w:eastAsia="宋体" w:cs="宋体"/>
          <w:szCs w:val="21"/>
          <w:highlight w:val="none"/>
        </w:rPr>
        <w:t>4、廉洁协议书</w:t>
      </w:r>
    </w:p>
    <w:p w14:paraId="25DAD444">
      <w:pPr>
        <w:spacing w:after="160" w:line="480" w:lineRule="auto"/>
        <w:ind w:firstLine="1470" w:firstLineChars="7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5、保密和纪律协议</w:t>
      </w:r>
    </w:p>
    <w:p w14:paraId="1A867F86">
      <w:pPr>
        <w:spacing w:line="480" w:lineRule="auto"/>
        <w:rPr>
          <w:rFonts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b/>
          <w:bCs/>
          <w:color w:val="auto"/>
          <w:sz w:val="21"/>
          <w:szCs w:val="21"/>
          <w:highlight w:val="none"/>
        </w:rPr>
        <w:t>以下无正文内容为签字盖章页</w:t>
      </w:r>
      <w:r>
        <w:rPr>
          <w:rFonts w:hint="eastAsia" w:ascii="宋体" w:hAnsi="宋体" w:eastAsia="宋体" w:cs="宋体"/>
          <w:szCs w:val="21"/>
          <w:highlight w:val="none"/>
        </w:rPr>
        <w:t>）</w:t>
      </w:r>
    </w:p>
    <w:p w14:paraId="15E1D69C">
      <w:pPr>
        <w:spacing w:line="48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甲方：</w:t>
      </w:r>
      <w:r>
        <w:rPr>
          <w:rFonts w:hint="eastAsia" w:ascii="宋体" w:hAnsi="宋体" w:eastAsia="宋体" w:cs="宋体"/>
          <w:szCs w:val="21"/>
          <w:highlight w:val="none"/>
          <w:lang w:eastAsia="zh-CN"/>
        </w:rPr>
        <w:t>东莞市水务环境投资控股集团有限公司</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乙方：</w:t>
      </w:r>
    </w:p>
    <w:p w14:paraId="206C9AD6">
      <w:pPr>
        <w:spacing w:line="480" w:lineRule="auto"/>
        <w:rPr>
          <w:rFonts w:ascii="宋体" w:hAnsi="宋体" w:eastAsia="宋体" w:cs="宋体"/>
          <w:szCs w:val="21"/>
          <w:highlight w:val="none"/>
        </w:rPr>
      </w:pPr>
      <w:r>
        <w:rPr>
          <w:rFonts w:hint="eastAsia" w:ascii="宋体" w:hAnsi="宋体" w:eastAsia="宋体" w:cs="宋体"/>
          <w:szCs w:val="21"/>
          <w:highlight w:val="none"/>
        </w:rPr>
        <w:t xml:space="preserve">法定代表人：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法定代表人：</w:t>
      </w:r>
    </w:p>
    <w:p w14:paraId="7ECD4A51">
      <w:pPr>
        <w:spacing w:line="480" w:lineRule="auto"/>
        <w:rPr>
          <w:rFonts w:ascii="宋体" w:hAnsi="宋体" w:eastAsia="宋体" w:cs="宋体"/>
          <w:szCs w:val="21"/>
          <w:highlight w:val="none"/>
        </w:rPr>
      </w:pPr>
      <w:r>
        <w:rPr>
          <w:rFonts w:hint="eastAsia" w:ascii="宋体" w:hAnsi="宋体" w:eastAsia="宋体" w:cs="宋体"/>
          <w:szCs w:val="21"/>
          <w:highlight w:val="none"/>
        </w:rPr>
        <w:t xml:space="preserve">经办人：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委托代理人：</w:t>
      </w:r>
    </w:p>
    <w:p w14:paraId="21808917">
      <w:pPr>
        <w:spacing w:line="480" w:lineRule="auto"/>
        <w:ind w:left="4830" w:hanging="4830" w:hangingChars="2300"/>
        <w:rPr>
          <w:rFonts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地址：</w:t>
      </w:r>
    </w:p>
    <w:p w14:paraId="13C1D54D">
      <w:pPr>
        <w:spacing w:line="48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邮编：</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邮编：</w:t>
      </w:r>
    </w:p>
    <w:p w14:paraId="65EED890">
      <w:pPr>
        <w:spacing w:line="480" w:lineRule="auto"/>
        <w:rPr>
          <w:rFonts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电话：</w:t>
      </w:r>
    </w:p>
    <w:p w14:paraId="69B94997">
      <w:pPr>
        <w:spacing w:line="480" w:lineRule="auto"/>
        <w:rPr>
          <w:rFonts w:ascii="宋体" w:hAnsi="宋体" w:eastAsia="宋体" w:cs="宋体"/>
          <w:szCs w:val="21"/>
          <w:highlight w:val="none"/>
        </w:rPr>
      </w:pPr>
      <w:r>
        <w:rPr>
          <w:rFonts w:hint="eastAsia" w:ascii="宋体" w:hAnsi="宋体" w:eastAsia="宋体" w:cs="宋体"/>
          <w:szCs w:val="21"/>
          <w:highlight w:val="none"/>
        </w:rPr>
        <w:t xml:space="preserve">                               </w:t>
      </w:r>
    </w:p>
    <w:p w14:paraId="509B48FD">
      <w:pPr>
        <w:spacing w:line="480" w:lineRule="auto"/>
        <w:rPr>
          <w:rFonts w:ascii="宋体" w:hAnsi="宋体" w:eastAsia="宋体" w:cs="宋体"/>
          <w:szCs w:val="21"/>
          <w:highlight w:val="none"/>
        </w:rPr>
      </w:pPr>
      <w:r>
        <w:rPr>
          <w:rFonts w:hint="eastAsia" w:ascii="宋体" w:hAnsi="宋体" w:eastAsia="宋体" w:cs="宋体"/>
          <w:szCs w:val="21"/>
          <w:highlight w:val="none"/>
        </w:rPr>
        <w:t>本合同    年  月  日签订于东莞市</w:t>
      </w:r>
    </w:p>
    <w:p w14:paraId="0FB8979C">
      <w:pP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0E55275F">
      <w:pPr>
        <w:rPr>
          <w:rFonts w:ascii="宋体" w:hAnsi="宋体" w:eastAsia="宋体" w:cs="宋体"/>
          <w:szCs w:val="21"/>
          <w:highlight w:val="none"/>
        </w:rPr>
      </w:pPr>
      <w:r>
        <w:rPr>
          <w:rFonts w:hint="eastAsia" w:ascii="宋体" w:hAnsi="宋体" w:eastAsia="宋体" w:cs="宋体"/>
          <w:b/>
          <w:bCs/>
          <w:szCs w:val="21"/>
          <w:highlight w:val="none"/>
        </w:rPr>
        <w:t>附件2：采购代理机构考核表</w:t>
      </w:r>
    </w:p>
    <w:p w14:paraId="0AC40196">
      <w:pPr>
        <w:spacing w:after="160"/>
        <w:jc w:val="center"/>
        <w:rPr>
          <w:rFonts w:ascii="宋体" w:hAnsi="宋体" w:eastAsia="宋体" w:cs="宋体"/>
          <w:b/>
          <w:szCs w:val="21"/>
          <w:highlight w:val="none"/>
        </w:rPr>
      </w:pPr>
      <w:r>
        <w:rPr>
          <w:rFonts w:hint="eastAsia" w:ascii="宋体" w:hAnsi="宋体" w:eastAsia="宋体" w:cs="宋体"/>
          <w:b/>
          <w:bCs/>
          <w:szCs w:val="21"/>
          <w:highlight w:val="none"/>
        </w:rPr>
        <w:t>（1）单项</w:t>
      </w:r>
      <w:r>
        <w:rPr>
          <w:rFonts w:hint="eastAsia" w:ascii="宋体" w:hAnsi="宋体" w:eastAsia="宋体" w:cs="宋体"/>
          <w:b/>
          <w:szCs w:val="21"/>
          <w:highlight w:val="none"/>
        </w:rPr>
        <w:t>采购代理项目质量考核表</w:t>
      </w:r>
    </w:p>
    <w:p w14:paraId="1F5C7233">
      <w:pPr>
        <w:spacing w:after="160"/>
        <w:rPr>
          <w:rFonts w:ascii="宋体" w:hAnsi="宋体" w:eastAsia="宋体" w:cs="宋体"/>
          <w:bCs/>
          <w:szCs w:val="21"/>
          <w:highlight w:val="none"/>
        </w:rPr>
      </w:pPr>
      <w:r>
        <w:rPr>
          <w:rFonts w:hint="eastAsia" w:ascii="宋体" w:hAnsi="宋体" w:eastAsia="宋体" w:cs="宋体"/>
          <w:bCs/>
          <w:szCs w:val="21"/>
          <w:highlight w:val="none"/>
        </w:rPr>
        <w:t>采购代理机构：</w:t>
      </w:r>
    </w:p>
    <w:p w14:paraId="69DC9AB5">
      <w:pPr>
        <w:spacing w:after="160"/>
        <w:rPr>
          <w:rFonts w:ascii="宋体" w:hAnsi="宋体" w:eastAsia="宋体" w:cs="宋体"/>
          <w:bCs/>
          <w:szCs w:val="21"/>
          <w:highlight w:val="none"/>
        </w:rPr>
      </w:pPr>
      <w:r>
        <w:rPr>
          <w:rFonts w:hint="eastAsia" w:ascii="宋体" w:hAnsi="宋体" w:eastAsia="宋体" w:cs="宋体"/>
          <w:bCs/>
          <w:szCs w:val="21"/>
          <w:highlight w:val="none"/>
        </w:rPr>
        <w:t>项目名称：</w:t>
      </w:r>
    </w:p>
    <w:p w14:paraId="6DDF3DA3">
      <w:pPr>
        <w:spacing w:line="360" w:lineRule="auto"/>
        <w:rPr>
          <w:rFonts w:ascii="宋体" w:hAnsi="宋体" w:eastAsia="宋体" w:cs="宋体"/>
          <w:bCs/>
          <w:szCs w:val="21"/>
          <w:highlight w:val="none"/>
        </w:rPr>
      </w:pPr>
      <w:r>
        <w:rPr>
          <w:rFonts w:hint="eastAsia" w:ascii="宋体" w:hAnsi="宋体" w:eastAsia="宋体" w:cs="宋体"/>
          <w:bCs/>
          <w:szCs w:val="21"/>
          <w:highlight w:val="none"/>
        </w:rPr>
        <w:t>考核单位：       考核人：      ； 考核季度：第   季度；    考核时间：   年   月   日</w:t>
      </w:r>
    </w:p>
    <w:tbl>
      <w:tblPr>
        <w:tblStyle w:val="44"/>
        <w:tblW w:w="4998" w:type="pct"/>
        <w:jc w:val="center"/>
        <w:tblLayout w:type="autofit"/>
        <w:tblCellMar>
          <w:top w:w="0" w:type="dxa"/>
          <w:left w:w="108" w:type="dxa"/>
          <w:bottom w:w="0" w:type="dxa"/>
          <w:right w:w="108" w:type="dxa"/>
        </w:tblCellMar>
      </w:tblPr>
      <w:tblGrid>
        <w:gridCol w:w="626"/>
        <w:gridCol w:w="1267"/>
        <w:gridCol w:w="4730"/>
        <w:gridCol w:w="1377"/>
        <w:gridCol w:w="1068"/>
        <w:gridCol w:w="1298"/>
      </w:tblGrid>
      <w:tr w14:paraId="4BA72688">
        <w:tblPrEx>
          <w:tblCellMar>
            <w:top w:w="0" w:type="dxa"/>
            <w:left w:w="108" w:type="dxa"/>
            <w:bottom w:w="0" w:type="dxa"/>
            <w:right w:w="108" w:type="dxa"/>
          </w:tblCellMar>
        </w:tblPrEx>
        <w:trPr>
          <w:trHeight w:val="23"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14:paraId="5314DE4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序号</w:t>
            </w:r>
          </w:p>
        </w:tc>
        <w:tc>
          <w:tcPr>
            <w:tcW w:w="610" w:type="pct"/>
            <w:tcBorders>
              <w:top w:val="single" w:color="auto" w:sz="4" w:space="0"/>
              <w:left w:val="nil"/>
              <w:bottom w:val="single" w:color="auto" w:sz="4" w:space="0"/>
              <w:right w:val="single" w:color="auto" w:sz="4" w:space="0"/>
            </w:tcBorders>
            <w:vAlign w:val="center"/>
          </w:tcPr>
          <w:p w14:paraId="3EF6EF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考核内容</w:t>
            </w:r>
          </w:p>
        </w:tc>
        <w:tc>
          <w:tcPr>
            <w:tcW w:w="2281" w:type="pct"/>
            <w:tcBorders>
              <w:top w:val="single" w:color="auto" w:sz="4" w:space="0"/>
              <w:left w:val="nil"/>
              <w:bottom w:val="single" w:color="auto" w:sz="4" w:space="0"/>
              <w:right w:val="single" w:color="auto" w:sz="4" w:space="0"/>
            </w:tcBorders>
            <w:vAlign w:val="center"/>
          </w:tcPr>
          <w:p w14:paraId="526EA55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考核标准</w:t>
            </w:r>
          </w:p>
        </w:tc>
        <w:tc>
          <w:tcPr>
            <w:tcW w:w="664" w:type="pct"/>
            <w:tcBorders>
              <w:top w:val="single" w:color="auto" w:sz="4" w:space="0"/>
              <w:left w:val="nil"/>
              <w:bottom w:val="single" w:color="auto" w:sz="4" w:space="0"/>
              <w:right w:val="single" w:color="auto" w:sz="4" w:space="0"/>
            </w:tcBorders>
            <w:vAlign w:val="center"/>
          </w:tcPr>
          <w:p w14:paraId="793CC94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权重</w:t>
            </w:r>
          </w:p>
        </w:tc>
        <w:tc>
          <w:tcPr>
            <w:tcW w:w="515" w:type="pct"/>
            <w:tcBorders>
              <w:top w:val="single" w:color="auto" w:sz="4" w:space="0"/>
              <w:left w:val="nil"/>
              <w:bottom w:val="single" w:color="auto" w:sz="4" w:space="0"/>
              <w:right w:val="single" w:color="auto" w:sz="4" w:space="0"/>
            </w:tcBorders>
            <w:vAlign w:val="center"/>
          </w:tcPr>
          <w:p w14:paraId="3626041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得分</w:t>
            </w:r>
          </w:p>
        </w:tc>
        <w:tc>
          <w:tcPr>
            <w:tcW w:w="623" w:type="pct"/>
            <w:tcBorders>
              <w:top w:val="single" w:color="auto" w:sz="4" w:space="0"/>
              <w:left w:val="nil"/>
              <w:bottom w:val="single" w:color="auto" w:sz="4" w:space="0"/>
              <w:right w:val="single" w:color="auto" w:sz="4" w:space="0"/>
            </w:tcBorders>
            <w:vAlign w:val="center"/>
          </w:tcPr>
          <w:p w14:paraId="608187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加权得分</w:t>
            </w:r>
          </w:p>
        </w:tc>
      </w:tr>
      <w:tr w14:paraId="0A097830">
        <w:tblPrEx>
          <w:tblCellMar>
            <w:top w:w="0" w:type="dxa"/>
            <w:left w:w="108" w:type="dxa"/>
            <w:bottom w:w="0" w:type="dxa"/>
            <w:right w:w="108" w:type="dxa"/>
          </w:tblCellMar>
        </w:tblPrEx>
        <w:trPr>
          <w:trHeight w:val="1515" w:hRule="atLeast"/>
          <w:jc w:val="center"/>
        </w:trPr>
        <w:tc>
          <w:tcPr>
            <w:tcW w:w="302" w:type="pct"/>
            <w:tcBorders>
              <w:top w:val="nil"/>
              <w:left w:val="single" w:color="auto" w:sz="4" w:space="0"/>
              <w:bottom w:val="single" w:color="auto" w:sz="4" w:space="0"/>
              <w:right w:val="single" w:color="auto" w:sz="4" w:space="0"/>
            </w:tcBorders>
            <w:vAlign w:val="center"/>
          </w:tcPr>
          <w:p w14:paraId="5837056B">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1</w:t>
            </w:r>
          </w:p>
        </w:tc>
        <w:tc>
          <w:tcPr>
            <w:tcW w:w="1267" w:type="dxa"/>
            <w:tcBorders>
              <w:top w:val="nil"/>
              <w:left w:val="nil"/>
              <w:bottom w:val="single" w:color="auto" w:sz="4" w:space="0"/>
              <w:right w:val="single" w:color="auto" w:sz="4" w:space="0"/>
            </w:tcBorders>
            <w:vAlign w:val="center"/>
          </w:tcPr>
          <w:p w14:paraId="7F988B91">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采购代理机构运作情况</w:t>
            </w:r>
          </w:p>
        </w:tc>
        <w:tc>
          <w:tcPr>
            <w:tcW w:w="4730" w:type="dxa"/>
            <w:tcBorders>
              <w:top w:val="nil"/>
              <w:left w:val="nil"/>
              <w:bottom w:val="single" w:color="auto" w:sz="4" w:space="0"/>
              <w:right w:val="single" w:color="auto" w:sz="4" w:space="0"/>
            </w:tcBorders>
            <w:vAlign w:val="center"/>
          </w:tcPr>
          <w:p w14:paraId="770ADEE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default" w:ascii="宋体" w:hAnsi="宋体" w:eastAsia="宋体" w:cs="宋体"/>
                <w:szCs w:val="21"/>
                <w:highlight w:val="none"/>
              </w:rPr>
            </w:pPr>
            <w:r>
              <w:rPr>
                <w:rFonts w:hint="eastAsia" w:ascii="宋体" w:hAnsi="宋体" w:eastAsia="宋体" w:cs="宋体"/>
                <w:szCs w:val="21"/>
                <w:highlight w:val="none"/>
              </w:rPr>
              <w:t>代理机构采购文件编制人或复核人到位情况；代理机构主要负责人组织协调能力；代理机构人员业务能力、工作态度、主动性。</w:t>
            </w:r>
          </w:p>
        </w:tc>
        <w:tc>
          <w:tcPr>
            <w:tcW w:w="664" w:type="pct"/>
            <w:tcBorders>
              <w:top w:val="nil"/>
              <w:left w:val="nil"/>
              <w:bottom w:val="single" w:color="auto" w:sz="4" w:space="0"/>
              <w:right w:val="single" w:color="auto" w:sz="4" w:space="0"/>
            </w:tcBorders>
            <w:vAlign w:val="center"/>
          </w:tcPr>
          <w:p w14:paraId="13143D8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rPr>
              <w:t>15%</w:t>
            </w:r>
          </w:p>
        </w:tc>
        <w:tc>
          <w:tcPr>
            <w:tcW w:w="515" w:type="pct"/>
            <w:tcBorders>
              <w:top w:val="nil"/>
              <w:left w:val="nil"/>
              <w:bottom w:val="single" w:color="auto" w:sz="4" w:space="0"/>
              <w:right w:val="single" w:color="auto" w:sz="4" w:space="0"/>
            </w:tcBorders>
            <w:vAlign w:val="center"/>
          </w:tcPr>
          <w:p w14:paraId="2BB3A6F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szCs w:val="21"/>
                <w:highlight w:val="none"/>
              </w:rPr>
            </w:pPr>
          </w:p>
        </w:tc>
        <w:tc>
          <w:tcPr>
            <w:tcW w:w="623" w:type="pct"/>
            <w:tcBorders>
              <w:top w:val="nil"/>
              <w:left w:val="nil"/>
              <w:bottom w:val="single" w:color="auto" w:sz="4" w:space="0"/>
              <w:right w:val="single" w:color="auto" w:sz="4" w:space="0"/>
            </w:tcBorders>
            <w:vAlign w:val="center"/>
          </w:tcPr>
          <w:p w14:paraId="4859634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宋体" w:hAnsi="宋体" w:eastAsia="宋体" w:cs="宋体"/>
                <w:szCs w:val="21"/>
                <w:highlight w:val="none"/>
              </w:rPr>
            </w:pPr>
          </w:p>
        </w:tc>
      </w:tr>
      <w:tr w14:paraId="6A213DED">
        <w:tblPrEx>
          <w:tblCellMar>
            <w:top w:w="0" w:type="dxa"/>
            <w:left w:w="108" w:type="dxa"/>
            <w:bottom w:w="0" w:type="dxa"/>
            <w:right w:w="108" w:type="dxa"/>
          </w:tblCellMar>
        </w:tblPrEx>
        <w:trPr>
          <w:trHeight w:val="23" w:hRule="atLeast"/>
          <w:jc w:val="center"/>
        </w:trPr>
        <w:tc>
          <w:tcPr>
            <w:tcW w:w="302" w:type="pct"/>
            <w:tcBorders>
              <w:top w:val="single" w:color="auto" w:sz="4" w:space="0"/>
              <w:left w:val="single" w:color="auto" w:sz="4" w:space="0"/>
              <w:right w:val="single" w:color="auto" w:sz="4" w:space="0"/>
            </w:tcBorders>
            <w:vAlign w:val="center"/>
          </w:tcPr>
          <w:p w14:paraId="7BFFC725">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2</w:t>
            </w:r>
          </w:p>
        </w:tc>
        <w:tc>
          <w:tcPr>
            <w:tcW w:w="1267" w:type="dxa"/>
            <w:tcBorders>
              <w:top w:val="single" w:color="auto" w:sz="4" w:space="0"/>
              <w:left w:val="nil"/>
              <w:bottom w:val="single" w:color="auto" w:sz="4" w:space="0"/>
              <w:right w:val="single" w:color="auto" w:sz="4" w:space="0"/>
            </w:tcBorders>
            <w:vAlign w:val="center"/>
          </w:tcPr>
          <w:p w14:paraId="7F634D8C">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采购文件编制情况</w:t>
            </w:r>
          </w:p>
        </w:tc>
        <w:tc>
          <w:tcPr>
            <w:tcW w:w="4730" w:type="dxa"/>
            <w:tcBorders>
              <w:top w:val="single" w:color="auto" w:sz="4" w:space="0"/>
              <w:left w:val="nil"/>
              <w:bottom w:val="single" w:color="auto" w:sz="4" w:space="0"/>
              <w:right w:val="single" w:color="auto" w:sz="4" w:space="0"/>
            </w:tcBorders>
            <w:vAlign w:val="center"/>
          </w:tcPr>
          <w:p w14:paraId="35E44D6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default" w:ascii="宋体" w:hAnsi="宋体" w:eastAsia="宋体" w:cs="宋体"/>
                <w:szCs w:val="21"/>
                <w:highlight w:val="none"/>
              </w:rPr>
            </w:pPr>
            <w:r>
              <w:rPr>
                <w:rFonts w:hint="eastAsia" w:ascii="宋体" w:hAnsi="宋体" w:eastAsia="宋体" w:cs="宋体"/>
                <w:szCs w:val="21"/>
                <w:highlight w:val="none"/>
              </w:rPr>
              <w:t>代理机构提出合理化建议，配合项目组做好划分标段计划及拟定采购方案情况；收集与采购项目有关的技术、图纸、最新法律法规等资料，理解项目需求情况；根据采购需求编制采购文件，对资质等级、采购范围、费用包干等重点环节核实情况；根据项目采购人及监督部门（若有）要求，对采购文件内容不适当部分的修改，错漏情况；采购文件的传阅、答辩、定稿情况，项目合同的编制情况；招标公告、专家申请、开评标表格、评标报告、结果公示、中标通知书等招标过程文件的编制情况。</w:t>
            </w:r>
          </w:p>
        </w:tc>
        <w:tc>
          <w:tcPr>
            <w:tcW w:w="664" w:type="pct"/>
            <w:tcBorders>
              <w:top w:val="single" w:color="auto" w:sz="4" w:space="0"/>
              <w:left w:val="nil"/>
              <w:bottom w:val="single" w:color="auto" w:sz="4" w:space="0"/>
              <w:right w:val="single" w:color="auto" w:sz="4" w:space="0"/>
            </w:tcBorders>
            <w:vAlign w:val="center"/>
          </w:tcPr>
          <w:p w14:paraId="3EA301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rPr>
              <w:t>30%</w:t>
            </w:r>
          </w:p>
        </w:tc>
        <w:tc>
          <w:tcPr>
            <w:tcW w:w="515" w:type="pct"/>
            <w:tcBorders>
              <w:top w:val="single" w:color="auto" w:sz="4" w:space="0"/>
              <w:left w:val="nil"/>
              <w:bottom w:val="single" w:color="auto" w:sz="4" w:space="0"/>
              <w:right w:val="single" w:color="auto" w:sz="4" w:space="0"/>
            </w:tcBorders>
            <w:vAlign w:val="center"/>
          </w:tcPr>
          <w:p w14:paraId="04D92F9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szCs w:val="21"/>
                <w:highlight w:val="none"/>
              </w:rPr>
            </w:pPr>
          </w:p>
        </w:tc>
        <w:tc>
          <w:tcPr>
            <w:tcW w:w="623" w:type="pct"/>
            <w:tcBorders>
              <w:top w:val="single" w:color="auto" w:sz="4" w:space="0"/>
              <w:left w:val="nil"/>
              <w:bottom w:val="single" w:color="auto" w:sz="4" w:space="0"/>
              <w:right w:val="single" w:color="auto" w:sz="4" w:space="0"/>
            </w:tcBorders>
            <w:vAlign w:val="center"/>
          </w:tcPr>
          <w:p w14:paraId="461EC97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宋体" w:hAnsi="宋体" w:eastAsia="宋体" w:cs="宋体"/>
                <w:szCs w:val="21"/>
                <w:highlight w:val="none"/>
              </w:rPr>
            </w:pPr>
          </w:p>
        </w:tc>
      </w:tr>
      <w:tr w14:paraId="132B4CD6">
        <w:tblPrEx>
          <w:tblCellMar>
            <w:top w:w="0" w:type="dxa"/>
            <w:left w:w="108" w:type="dxa"/>
            <w:bottom w:w="0" w:type="dxa"/>
            <w:right w:w="108" w:type="dxa"/>
          </w:tblCellMar>
        </w:tblPrEx>
        <w:trPr>
          <w:trHeight w:val="23"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14:paraId="2343D0C1">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3</w:t>
            </w:r>
          </w:p>
        </w:tc>
        <w:tc>
          <w:tcPr>
            <w:tcW w:w="1267" w:type="dxa"/>
            <w:tcBorders>
              <w:top w:val="single" w:color="auto" w:sz="4" w:space="0"/>
              <w:left w:val="nil"/>
              <w:bottom w:val="single" w:color="auto" w:sz="4" w:space="0"/>
              <w:right w:val="single" w:color="auto" w:sz="4" w:space="0"/>
            </w:tcBorders>
            <w:vAlign w:val="center"/>
          </w:tcPr>
          <w:p w14:paraId="194262E9">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采购程序组织情况</w:t>
            </w:r>
          </w:p>
        </w:tc>
        <w:tc>
          <w:tcPr>
            <w:tcW w:w="4730" w:type="dxa"/>
            <w:tcBorders>
              <w:top w:val="single" w:color="auto" w:sz="4" w:space="0"/>
              <w:left w:val="nil"/>
              <w:bottom w:val="single" w:color="auto" w:sz="4" w:space="0"/>
              <w:right w:val="single" w:color="auto" w:sz="4" w:space="0"/>
            </w:tcBorders>
            <w:vAlign w:val="center"/>
          </w:tcPr>
          <w:p w14:paraId="614B095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default" w:ascii="宋体" w:hAnsi="宋体" w:eastAsia="宋体" w:cs="宋体"/>
                <w:szCs w:val="21"/>
                <w:highlight w:val="none"/>
              </w:rPr>
            </w:pPr>
            <w:r>
              <w:rPr>
                <w:rFonts w:hint="eastAsia" w:ascii="宋体" w:hAnsi="宋体" w:eastAsia="宋体" w:cs="宋体"/>
                <w:szCs w:val="21"/>
                <w:highlight w:val="none"/>
              </w:rPr>
              <w:t>代理机构合法合规办理采购公告发布所需具备的各项手续情况；完成各采购进度控制节点工作情况；向采购人反馈潜在投标人（供应商）情况，开标评标等工作情况；项目合同签订的组织、协调、备案情况；现场应变能力，处理问题情况；代理机构人员语言举止及服务态度。</w:t>
            </w:r>
          </w:p>
        </w:tc>
        <w:tc>
          <w:tcPr>
            <w:tcW w:w="664" w:type="pct"/>
            <w:tcBorders>
              <w:top w:val="single" w:color="auto" w:sz="4" w:space="0"/>
              <w:left w:val="nil"/>
              <w:bottom w:val="single" w:color="auto" w:sz="4" w:space="0"/>
              <w:right w:val="single" w:color="auto" w:sz="4" w:space="0"/>
            </w:tcBorders>
            <w:vAlign w:val="center"/>
          </w:tcPr>
          <w:p w14:paraId="789CF71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rPr>
              <w:t>30%</w:t>
            </w:r>
          </w:p>
        </w:tc>
        <w:tc>
          <w:tcPr>
            <w:tcW w:w="515" w:type="pct"/>
            <w:tcBorders>
              <w:top w:val="single" w:color="auto" w:sz="4" w:space="0"/>
              <w:left w:val="nil"/>
              <w:bottom w:val="single" w:color="auto" w:sz="4" w:space="0"/>
              <w:right w:val="single" w:color="auto" w:sz="4" w:space="0"/>
            </w:tcBorders>
            <w:vAlign w:val="center"/>
          </w:tcPr>
          <w:p w14:paraId="6124018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szCs w:val="21"/>
                <w:highlight w:val="none"/>
              </w:rPr>
            </w:pPr>
          </w:p>
        </w:tc>
        <w:tc>
          <w:tcPr>
            <w:tcW w:w="623" w:type="pct"/>
            <w:tcBorders>
              <w:top w:val="single" w:color="auto" w:sz="4" w:space="0"/>
              <w:left w:val="nil"/>
              <w:bottom w:val="single" w:color="auto" w:sz="4" w:space="0"/>
              <w:right w:val="single" w:color="auto" w:sz="4" w:space="0"/>
            </w:tcBorders>
            <w:vAlign w:val="center"/>
          </w:tcPr>
          <w:p w14:paraId="75ABD12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宋体" w:hAnsi="宋体" w:eastAsia="宋体" w:cs="宋体"/>
                <w:szCs w:val="21"/>
                <w:highlight w:val="none"/>
              </w:rPr>
            </w:pPr>
          </w:p>
        </w:tc>
      </w:tr>
      <w:tr w14:paraId="7CE71CC7">
        <w:tblPrEx>
          <w:tblCellMar>
            <w:top w:w="0" w:type="dxa"/>
            <w:left w:w="108" w:type="dxa"/>
            <w:bottom w:w="0" w:type="dxa"/>
            <w:right w:w="108" w:type="dxa"/>
          </w:tblCellMar>
        </w:tblPrEx>
        <w:trPr>
          <w:trHeight w:val="23"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14:paraId="26D5B49C">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4</w:t>
            </w:r>
          </w:p>
        </w:tc>
        <w:tc>
          <w:tcPr>
            <w:tcW w:w="1267" w:type="dxa"/>
            <w:tcBorders>
              <w:top w:val="single" w:color="auto" w:sz="4" w:space="0"/>
              <w:left w:val="nil"/>
              <w:bottom w:val="single" w:color="auto" w:sz="4" w:space="0"/>
              <w:right w:val="single" w:color="auto" w:sz="4" w:space="0"/>
            </w:tcBorders>
            <w:vAlign w:val="center"/>
          </w:tcPr>
          <w:p w14:paraId="34FCFBBA">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异议、投诉处理情况</w:t>
            </w:r>
          </w:p>
        </w:tc>
        <w:tc>
          <w:tcPr>
            <w:tcW w:w="4730" w:type="dxa"/>
            <w:tcBorders>
              <w:top w:val="single" w:color="auto" w:sz="4" w:space="0"/>
              <w:left w:val="nil"/>
              <w:bottom w:val="single" w:color="auto" w:sz="4" w:space="0"/>
              <w:right w:val="single" w:color="auto" w:sz="4" w:space="0"/>
            </w:tcBorders>
            <w:vAlign w:val="center"/>
          </w:tcPr>
          <w:p w14:paraId="2AB906C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default" w:ascii="宋体" w:hAnsi="宋体" w:eastAsia="宋体" w:cs="宋体"/>
                <w:szCs w:val="21"/>
                <w:highlight w:val="none"/>
              </w:rPr>
            </w:pPr>
            <w:r>
              <w:rPr>
                <w:rFonts w:hint="eastAsia" w:ascii="宋体" w:hAnsi="宋体" w:eastAsia="宋体" w:cs="宋体"/>
                <w:szCs w:val="21"/>
                <w:highlight w:val="none"/>
              </w:rPr>
              <w:t>代理机构受理供应商异议或投诉情况：时效、运用法律法规熟悉程度、效果；协助采购人处理投诉情况。</w:t>
            </w:r>
          </w:p>
        </w:tc>
        <w:tc>
          <w:tcPr>
            <w:tcW w:w="664" w:type="pct"/>
            <w:tcBorders>
              <w:top w:val="single" w:color="auto" w:sz="4" w:space="0"/>
              <w:left w:val="nil"/>
              <w:bottom w:val="single" w:color="auto" w:sz="4" w:space="0"/>
              <w:right w:val="single" w:color="auto" w:sz="4" w:space="0"/>
            </w:tcBorders>
            <w:vAlign w:val="center"/>
          </w:tcPr>
          <w:p w14:paraId="7E88943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rPr>
              <w:t>10%</w:t>
            </w:r>
          </w:p>
        </w:tc>
        <w:tc>
          <w:tcPr>
            <w:tcW w:w="515" w:type="pct"/>
            <w:tcBorders>
              <w:top w:val="single" w:color="auto" w:sz="4" w:space="0"/>
              <w:left w:val="nil"/>
              <w:bottom w:val="single" w:color="auto" w:sz="4" w:space="0"/>
              <w:right w:val="single" w:color="auto" w:sz="4" w:space="0"/>
            </w:tcBorders>
            <w:vAlign w:val="center"/>
          </w:tcPr>
          <w:p w14:paraId="17F690D5">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szCs w:val="21"/>
                <w:highlight w:val="none"/>
              </w:rPr>
            </w:pPr>
          </w:p>
        </w:tc>
        <w:tc>
          <w:tcPr>
            <w:tcW w:w="623" w:type="pct"/>
            <w:tcBorders>
              <w:top w:val="single" w:color="auto" w:sz="4" w:space="0"/>
              <w:left w:val="nil"/>
              <w:bottom w:val="single" w:color="auto" w:sz="4" w:space="0"/>
              <w:right w:val="single" w:color="auto" w:sz="4" w:space="0"/>
            </w:tcBorders>
            <w:vAlign w:val="center"/>
          </w:tcPr>
          <w:p w14:paraId="197C2AE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宋体" w:hAnsi="宋体" w:eastAsia="宋体" w:cs="宋体"/>
                <w:szCs w:val="21"/>
                <w:highlight w:val="none"/>
              </w:rPr>
            </w:pPr>
          </w:p>
        </w:tc>
      </w:tr>
      <w:tr w14:paraId="77030E56">
        <w:tblPrEx>
          <w:tblCellMar>
            <w:top w:w="0" w:type="dxa"/>
            <w:left w:w="108" w:type="dxa"/>
            <w:bottom w:w="0" w:type="dxa"/>
            <w:right w:w="108" w:type="dxa"/>
          </w:tblCellMar>
        </w:tblPrEx>
        <w:trPr>
          <w:trHeight w:val="23"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14:paraId="244BBCBB">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5</w:t>
            </w:r>
          </w:p>
        </w:tc>
        <w:tc>
          <w:tcPr>
            <w:tcW w:w="1267" w:type="dxa"/>
            <w:tcBorders>
              <w:top w:val="single" w:color="auto" w:sz="4" w:space="0"/>
              <w:left w:val="nil"/>
              <w:bottom w:val="single" w:color="auto" w:sz="4" w:space="0"/>
              <w:right w:val="single" w:color="auto" w:sz="4" w:space="0"/>
            </w:tcBorders>
            <w:vAlign w:val="center"/>
          </w:tcPr>
          <w:p w14:paraId="511D947D">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资料管理情况</w:t>
            </w:r>
          </w:p>
        </w:tc>
        <w:tc>
          <w:tcPr>
            <w:tcW w:w="4730" w:type="dxa"/>
            <w:tcBorders>
              <w:top w:val="single" w:color="auto" w:sz="4" w:space="0"/>
              <w:left w:val="nil"/>
              <w:bottom w:val="single" w:color="auto" w:sz="4" w:space="0"/>
              <w:right w:val="single" w:color="auto" w:sz="4" w:space="0"/>
            </w:tcBorders>
            <w:vAlign w:val="center"/>
          </w:tcPr>
          <w:p w14:paraId="3C2E15A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default" w:ascii="宋体" w:hAnsi="宋体" w:eastAsia="宋体" w:cs="宋体"/>
                <w:szCs w:val="21"/>
                <w:highlight w:val="none"/>
              </w:rPr>
            </w:pPr>
            <w:r>
              <w:rPr>
                <w:rFonts w:hint="eastAsia" w:ascii="宋体" w:hAnsi="宋体" w:eastAsia="宋体" w:cs="宋体"/>
                <w:szCs w:val="21"/>
                <w:highlight w:val="none"/>
              </w:rPr>
              <w:t>代理机构发放中标（成交）通知书，草拟合同，采购资料制作、收集、移交、备案，采购全过程资料整理（含档案数字化）和存档保管等管理情况。</w:t>
            </w:r>
          </w:p>
        </w:tc>
        <w:tc>
          <w:tcPr>
            <w:tcW w:w="664" w:type="pct"/>
            <w:tcBorders>
              <w:top w:val="single" w:color="auto" w:sz="4" w:space="0"/>
              <w:left w:val="nil"/>
              <w:bottom w:val="single" w:color="auto" w:sz="4" w:space="0"/>
              <w:right w:val="single" w:color="auto" w:sz="4" w:space="0"/>
            </w:tcBorders>
            <w:vAlign w:val="center"/>
          </w:tcPr>
          <w:p w14:paraId="7EB5C3E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rPr>
              <w:t>10%</w:t>
            </w:r>
          </w:p>
        </w:tc>
        <w:tc>
          <w:tcPr>
            <w:tcW w:w="515" w:type="pct"/>
            <w:tcBorders>
              <w:top w:val="single" w:color="auto" w:sz="4" w:space="0"/>
              <w:left w:val="nil"/>
              <w:bottom w:val="single" w:color="auto" w:sz="4" w:space="0"/>
              <w:right w:val="single" w:color="auto" w:sz="4" w:space="0"/>
            </w:tcBorders>
            <w:vAlign w:val="center"/>
          </w:tcPr>
          <w:p w14:paraId="7C74AA81">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szCs w:val="21"/>
                <w:highlight w:val="none"/>
              </w:rPr>
            </w:pPr>
          </w:p>
        </w:tc>
        <w:tc>
          <w:tcPr>
            <w:tcW w:w="623" w:type="pct"/>
            <w:tcBorders>
              <w:top w:val="single" w:color="auto" w:sz="4" w:space="0"/>
              <w:left w:val="nil"/>
              <w:bottom w:val="single" w:color="auto" w:sz="4" w:space="0"/>
              <w:right w:val="single" w:color="auto" w:sz="4" w:space="0"/>
            </w:tcBorders>
            <w:vAlign w:val="center"/>
          </w:tcPr>
          <w:p w14:paraId="5ED7C8A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宋体" w:hAnsi="宋体" w:eastAsia="宋体" w:cs="宋体"/>
                <w:szCs w:val="21"/>
                <w:highlight w:val="none"/>
              </w:rPr>
            </w:pPr>
          </w:p>
        </w:tc>
      </w:tr>
      <w:tr w14:paraId="05CB2AC8">
        <w:tblPrEx>
          <w:tblCellMar>
            <w:top w:w="0" w:type="dxa"/>
            <w:left w:w="108" w:type="dxa"/>
            <w:bottom w:w="0" w:type="dxa"/>
            <w:right w:w="108" w:type="dxa"/>
          </w:tblCellMar>
        </w:tblPrEx>
        <w:trPr>
          <w:trHeight w:val="23"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14:paraId="59F19533">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6</w:t>
            </w:r>
          </w:p>
        </w:tc>
        <w:tc>
          <w:tcPr>
            <w:tcW w:w="1267" w:type="dxa"/>
            <w:tcBorders>
              <w:top w:val="single" w:color="auto" w:sz="4" w:space="0"/>
              <w:left w:val="nil"/>
              <w:bottom w:val="single" w:color="auto" w:sz="4" w:space="0"/>
              <w:right w:val="single" w:color="auto" w:sz="4" w:space="0"/>
            </w:tcBorders>
            <w:vAlign w:val="center"/>
          </w:tcPr>
          <w:p w14:paraId="574FD147">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后续配套服务情况</w:t>
            </w:r>
          </w:p>
        </w:tc>
        <w:tc>
          <w:tcPr>
            <w:tcW w:w="4730" w:type="dxa"/>
            <w:tcBorders>
              <w:top w:val="single" w:color="auto" w:sz="4" w:space="0"/>
              <w:left w:val="nil"/>
              <w:bottom w:val="single" w:color="auto" w:sz="4" w:space="0"/>
              <w:right w:val="single" w:color="auto" w:sz="4" w:space="0"/>
            </w:tcBorders>
            <w:vAlign w:val="center"/>
          </w:tcPr>
          <w:p w14:paraId="2CF461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default" w:ascii="宋体" w:hAnsi="宋体" w:eastAsia="宋体" w:cs="宋体"/>
                <w:szCs w:val="21"/>
                <w:highlight w:val="none"/>
              </w:rPr>
            </w:pPr>
            <w:r>
              <w:rPr>
                <w:rFonts w:hint="eastAsia" w:ascii="宋体" w:hAnsi="宋体" w:eastAsia="宋体" w:cs="宋体"/>
                <w:szCs w:val="21"/>
                <w:highlight w:val="none"/>
              </w:rPr>
              <w:t>代理机构人员后续配套服务情况。</w:t>
            </w:r>
          </w:p>
        </w:tc>
        <w:tc>
          <w:tcPr>
            <w:tcW w:w="664" w:type="pct"/>
            <w:tcBorders>
              <w:top w:val="single" w:color="auto" w:sz="4" w:space="0"/>
              <w:left w:val="nil"/>
              <w:bottom w:val="single" w:color="auto" w:sz="4" w:space="0"/>
              <w:right w:val="single" w:color="auto" w:sz="4" w:space="0"/>
            </w:tcBorders>
            <w:vAlign w:val="center"/>
          </w:tcPr>
          <w:p w14:paraId="37AC5F5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rPr>
              <w:t>5%</w:t>
            </w:r>
          </w:p>
        </w:tc>
        <w:tc>
          <w:tcPr>
            <w:tcW w:w="515" w:type="pct"/>
            <w:tcBorders>
              <w:top w:val="single" w:color="auto" w:sz="4" w:space="0"/>
              <w:left w:val="nil"/>
              <w:bottom w:val="single" w:color="auto" w:sz="4" w:space="0"/>
              <w:right w:val="single" w:color="auto" w:sz="4" w:space="0"/>
            </w:tcBorders>
            <w:vAlign w:val="center"/>
          </w:tcPr>
          <w:p w14:paraId="0E7DF4D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szCs w:val="21"/>
                <w:highlight w:val="none"/>
              </w:rPr>
            </w:pPr>
          </w:p>
        </w:tc>
        <w:tc>
          <w:tcPr>
            <w:tcW w:w="623" w:type="pct"/>
            <w:tcBorders>
              <w:top w:val="single" w:color="auto" w:sz="4" w:space="0"/>
              <w:left w:val="nil"/>
              <w:bottom w:val="single" w:color="auto" w:sz="4" w:space="0"/>
              <w:right w:val="single" w:color="auto" w:sz="4" w:space="0"/>
            </w:tcBorders>
            <w:vAlign w:val="center"/>
          </w:tcPr>
          <w:p w14:paraId="5D9FFC7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宋体" w:hAnsi="宋体" w:eastAsia="宋体" w:cs="宋体"/>
                <w:szCs w:val="21"/>
                <w:highlight w:val="none"/>
              </w:rPr>
            </w:pPr>
          </w:p>
        </w:tc>
      </w:tr>
      <w:tr w14:paraId="471DD21B">
        <w:tblPrEx>
          <w:tblCellMar>
            <w:top w:w="0" w:type="dxa"/>
            <w:left w:w="108" w:type="dxa"/>
            <w:bottom w:w="0" w:type="dxa"/>
            <w:right w:w="108" w:type="dxa"/>
          </w:tblCellMar>
        </w:tblPrEx>
        <w:trPr>
          <w:trHeight w:val="23" w:hRule="atLeast"/>
          <w:jc w:val="center"/>
        </w:trPr>
        <w:tc>
          <w:tcPr>
            <w:tcW w:w="913" w:type="pct"/>
            <w:gridSpan w:val="2"/>
            <w:tcBorders>
              <w:top w:val="single" w:color="auto" w:sz="4" w:space="0"/>
              <w:left w:val="single" w:color="auto" w:sz="4" w:space="0"/>
              <w:bottom w:val="single" w:color="auto" w:sz="4" w:space="0"/>
              <w:right w:val="single" w:color="auto" w:sz="4" w:space="0"/>
            </w:tcBorders>
            <w:vAlign w:val="center"/>
          </w:tcPr>
          <w:p w14:paraId="2838AA23">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得分</w:t>
            </w:r>
          </w:p>
        </w:tc>
        <w:tc>
          <w:tcPr>
            <w:tcW w:w="4086" w:type="pct"/>
            <w:gridSpan w:val="4"/>
            <w:tcBorders>
              <w:top w:val="single" w:color="auto" w:sz="4" w:space="0"/>
              <w:left w:val="nil"/>
              <w:bottom w:val="single" w:color="auto" w:sz="4" w:space="0"/>
              <w:right w:val="single" w:color="auto" w:sz="4" w:space="0"/>
            </w:tcBorders>
            <w:vAlign w:val="center"/>
          </w:tcPr>
          <w:p w14:paraId="6C291ED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仿宋_GB2312" w:hAnsi="宋体" w:eastAsia="仿宋_GB2312" w:cs="仿宋_GB2312"/>
                <w:kern w:val="0"/>
                <w:sz w:val="28"/>
                <w:szCs w:val="28"/>
                <w:highlight w:val="none"/>
              </w:rPr>
            </w:pPr>
          </w:p>
        </w:tc>
      </w:tr>
      <w:tr w14:paraId="1CB62C18">
        <w:tblPrEx>
          <w:tblCellMar>
            <w:top w:w="0" w:type="dxa"/>
            <w:left w:w="108" w:type="dxa"/>
            <w:bottom w:w="0" w:type="dxa"/>
            <w:right w:w="108" w:type="dxa"/>
          </w:tblCellMar>
        </w:tblPrEx>
        <w:trPr>
          <w:trHeight w:val="23" w:hRule="atLeast"/>
          <w:jc w:val="center"/>
        </w:trPr>
        <w:tc>
          <w:tcPr>
            <w:tcW w:w="913" w:type="pct"/>
            <w:gridSpan w:val="2"/>
            <w:tcBorders>
              <w:top w:val="single" w:color="auto" w:sz="4" w:space="0"/>
              <w:left w:val="single" w:color="auto" w:sz="4" w:space="0"/>
              <w:bottom w:val="single" w:color="auto" w:sz="4" w:space="0"/>
              <w:right w:val="single" w:color="auto" w:sz="4" w:space="0"/>
            </w:tcBorders>
            <w:vAlign w:val="center"/>
          </w:tcPr>
          <w:p w14:paraId="6C807A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扣分项</w:t>
            </w:r>
          </w:p>
        </w:tc>
        <w:tc>
          <w:tcPr>
            <w:tcW w:w="2281" w:type="pct"/>
            <w:tcBorders>
              <w:top w:val="single" w:color="auto" w:sz="4" w:space="0"/>
              <w:left w:val="nil"/>
              <w:bottom w:val="single" w:color="auto" w:sz="4" w:space="0"/>
              <w:right w:val="single" w:color="auto" w:sz="4" w:space="0"/>
            </w:tcBorders>
            <w:vAlign w:val="center"/>
          </w:tcPr>
          <w:p w14:paraId="6F2700E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项目内容</w:t>
            </w:r>
          </w:p>
        </w:tc>
        <w:tc>
          <w:tcPr>
            <w:tcW w:w="664" w:type="pct"/>
            <w:tcBorders>
              <w:top w:val="single" w:color="auto" w:sz="4" w:space="0"/>
              <w:left w:val="nil"/>
              <w:bottom w:val="single" w:color="auto" w:sz="4" w:space="0"/>
              <w:right w:val="single" w:color="auto" w:sz="4" w:space="0"/>
            </w:tcBorders>
            <w:vAlign w:val="center"/>
          </w:tcPr>
          <w:p w14:paraId="6F6C4CD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分值</w:t>
            </w:r>
          </w:p>
        </w:tc>
        <w:tc>
          <w:tcPr>
            <w:tcW w:w="1139" w:type="pct"/>
            <w:gridSpan w:val="2"/>
            <w:tcBorders>
              <w:top w:val="single" w:color="auto" w:sz="4" w:space="0"/>
              <w:left w:val="nil"/>
              <w:bottom w:val="single" w:color="auto" w:sz="4" w:space="0"/>
              <w:right w:val="single" w:color="auto" w:sz="4" w:space="0"/>
            </w:tcBorders>
            <w:vAlign w:val="center"/>
          </w:tcPr>
          <w:p w14:paraId="58E1680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b/>
                <w:szCs w:val="21"/>
                <w:highlight w:val="none"/>
              </w:rPr>
            </w:pPr>
            <w:r>
              <w:rPr>
                <w:rFonts w:hint="eastAsia" w:ascii="宋体" w:hAnsi="宋体" w:eastAsia="宋体" w:cs="宋体"/>
                <w:b/>
                <w:szCs w:val="21"/>
                <w:highlight w:val="none"/>
              </w:rPr>
              <w:t>得分</w:t>
            </w:r>
          </w:p>
        </w:tc>
      </w:tr>
      <w:tr w14:paraId="562D7443">
        <w:tblPrEx>
          <w:tblCellMar>
            <w:top w:w="0" w:type="dxa"/>
            <w:left w:w="108" w:type="dxa"/>
            <w:bottom w:w="0" w:type="dxa"/>
            <w:right w:w="108" w:type="dxa"/>
          </w:tblCellMar>
        </w:tblPrEx>
        <w:trPr>
          <w:trHeight w:val="23" w:hRule="atLeast"/>
          <w:jc w:val="center"/>
        </w:trPr>
        <w:tc>
          <w:tcPr>
            <w:tcW w:w="913" w:type="pct"/>
            <w:gridSpan w:val="2"/>
            <w:tcBorders>
              <w:top w:val="single" w:color="auto" w:sz="4" w:space="0"/>
              <w:left w:val="single" w:color="auto" w:sz="4" w:space="0"/>
              <w:bottom w:val="single" w:color="auto" w:sz="4" w:space="0"/>
              <w:right w:val="single" w:color="auto" w:sz="4" w:space="0"/>
            </w:tcBorders>
            <w:vAlign w:val="center"/>
          </w:tcPr>
          <w:p w14:paraId="5B936DC7">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1</w:t>
            </w:r>
          </w:p>
        </w:tc>
        <w:tc>
          <w:tcPr>
            <w:tcW w:w="4730" w:type="dxa"/>
            <w:tcBorders>
              <w:top w:val="single" w:color="auto" w:sz="4" w:space="0"/>
              <w:left w:val="nil"/>
              <w:bottom w:val="single" w:color="auto" w:sz="4" w:space="0"/>
              <w:right w:val="single" w:color="auto" w:sz="4" w:space="0"/>
            </w:tcBorders>
            <w:vAlign w:val="center"/>
          </w:tcPr>
          <w:p w14:paraId="72D7573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default" w:ascii="宋体" w:hAnsi="宋体" w:eastAsia="宋体" w:cs="宋体"/>
                <w:szCs w:val="21"/>
                <w:highlight w:val="none"/>
              </w:rPr>
            </w:pPr>
            <w:r>
              <w:rPr>
                <w:rFonts w:hint="eastAsia" w:ascii="宋体" w:hAnsi="宋体" w:eastAsia="宋体" w:cs="宋体"/>
                <w:szCs w:val="21"/>
                <w:highlight w:val="none"/>
              </w:rPr>
              <w:t>采购人对代理机构提供的服务质量及效率不满意，并发出警告信。</w:t>
            </w:r>
          </w:p>
        </w:tc>
        <w:tc>
          <w:tcPr>
            <w:tcW w:w="664" w:type="pct"/>
            <w:tcBorders>
              <w:top w:val="single" w:color="auto" w:sz="4" w:space="0"/>
              <w:left w:val="nil"/>
              <w:bottom w:val="single" w:color="auto" w:sz="4" w:space="0"/>
              <w:right w:val="single" w:color="auto" w:sz="4" w:space="0"/>
            </w:tcBorders>
            <w:vAlign w:val="center"/>
          </w:tcPr>
          <w:p w14:paraId="16DFDE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1139" w:type="pct"/>
            <w:gridSpan w:val="2"/>
            <w:tcBorders>
              <w:top w:val="single" w:color="auto" w:sz="4" w:space="0"/>
              <w:left w:val="nil"/>
              <w:bottom w:val="single" w:color="auto" w:sz="4" w:space="0"/>
              <w:right w:val="single" w:color="auto" w:sz="4" w:space="0"/>
            </w:tcBorders>
            <w:vAlign w:val="center"/>
          </w:tcPr>
          <w:p w14:paraId="2E722A4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仿宋_GB2312" w:hAnsi="宋体" w:eastAsia="仿宋_GB2312" w:cs="仿宋_GB2312"/>
                <w:kern w:val="0"/>
                <w:sz w:val="28"/>
                <w:szCs w:val="28"/>
                <w:highlight w:val="none"/>
              </w:rPr>
            </w:pPr>
          </w:p>
        </w:tc>
      </w:tr>
      <w:tr w14:paraId="5A97AA4C">
        <w:tblPrEx>
          <w:tblCellMar>
            <w:top w:w="0" w:type="dxa"/>
            <w:left w:w="108" w:type="dxa"/>
            <w:bottom w:w="0" w:type="dxa"/>
            <w:right w:w="108" w:type="dxa"/>
          </w:tblCellMar>
        </w:tblPrEx>
        <w:trPr>
          <w:trHeight w:val="23" w:hRule="atLeast"/>
          <w:jc w:val="center"/>
        </w:trPr>
        <w:tc>
          <w:tcPr>
            <w:tcW w:w="913" w:type="pct"/>
            <w:gridSpan w:val="2"/>
            <w:tcBorders>
              <w:top w:val="single" w:color="auto" w:sz="4" w:space="0"/>
              <w:left w:val="single" w:color="auto" w:sz="4" w:space="0"/>
              <w:bottom w:val="single" w:color="auto" w:sz="4" w:space="0"/>
              <w:right w:val="single" w:color="auto" w:sz="4" w:space="0"/>
            </w:tcBorders>
            <w:vAlign w:val="center"/>
          </w:tcPr>
          <w:p w14:paraId="2242EA4A">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2</w:t>
            </w:r>
          </w:p>
        </w:tc>
        <w:tc>
          <w:tcPr>
            <w:tcW w:w="4730" w:type="dxa"/>
            <w:tcBorders>
              <w:top w:val="single" w:color="auto" w:sz="4" w:space="0"/>
              <w:left w:val="nil"/>
              <w:bottom w:val="single" w:color="auto" w:sz="4" w:space="0"/>
              <w:right w:val="single" w:color="auto" w:sz="4" w:space="0"/>
            </w:tcBorders>
            <w:vAlign w:val="center"/>
          </w:tcPr>
          <w:p w14:paraId="0343C93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default" w:ascii="宋体" w:hAnsi="宋体" w:eastAsia="宋体" w:cs="宋体"/>
                <w:szCs w:val="21"/>
                <w:highlight w:val="none"/>
              </w:rPr>
            </w:pPr>
            <w:r>
              <w:rPr>
                <w:rFonts w:hint="eastAsia" w:ascii="宋体" w:hAnsi="宋体" w:eastAsia="宋体" w:cs="宋体"/>
                <w:szCs w:val="21"/>
                <w:highlight w:val="none"/>
              </w:rPr>
              <w:t>代理机构人为原因导致招标过程出现明显错漏致使采购项目延期。</w:t>
            </w:r>
          </w:p>
        </w:tc>
        <w:tc>
          <w:tcPr>
            <w:tcW w:w="664" w:type="pct"/>
            <w:tcBorders>
              <w:top w:val="single" w:color="auto" w:sz="4" w:space="0"/>
              <w:left w:val="nil"/>
              <w:bottom w:val="single" w:color="auto" w:sz="4" w:space="0"/>
              <w:right w:val="single" w:color="auto" w:sz="4" w:space="0"/>
            </w:tcBorders>
            <w:vAlign w:val="center"/>
          </w:tcPr>
          <w:p w14:paraId="67FFAEB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1139" w:type="pct"/>
            <w:gridSpan w:val="2"/>
            <w:tcBorders>
              <w:top w:val="single" w:color="auto" w:sz="4" w:space="0"/>
              <w:left w:val="nil"/>
              <w:bottom w:val="single" w:color="auto" w:sz="4" w:space="0"/>
              <w:right w:val="single" w:color="auto" w:sz="4" w:space="0"/>
            </w:tcBorders>
            <w:vAlign w:val="center"/>
          </w:tcPr>
          <w:p w14:paraId="240B84F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仿宋_GB2312" w:hAnsi="宋体" w:eastAsia="仿宋_GB2312" w:cs="仿宋_GB2312"/>
                <w:kern w:val="0"/>
                <w:sz w:val="28"/>
                <w:szCs w:val="28"/>
                <w:highlight w:val="none"/>
              </w:rPr>
            </w:pPr>
          </w:p>
        </w:tc>
      </w:tr>
      <w:tr w14:paraId="1A76345A">
        <w:tblPrEx>
          <w:tblCellMar>
            <w:top w:w="0" w:type="dxa"/>
            <w:left w:w="108" w:type="dxa"/>
            <w:bottom w:w="0" w:type="dxa"/>
            <w:right w:w="108" w:type="dxa"/>
          </w:tblCellMar>
        </w:tblPrEx>
        <w:trPr>
          <w:trHeight w:val="23" w:hRule="atLeast"/>
          <w:jc w:val="center"/>
        </w:trPr>
        <w:tc>
          <w:tcPr>
            <w:tcW w:w="913" w:type="pct"/>
            <w:gridSpan w:val="2"/>
            <w:tcBorders>
              <w:top w:val="single" w:color="auto" w:sz="4" w:space="0"/>
              <w:left w:val="single" w:color="auto" w:sz="4" w:space="0"/>
              <w:bottom w:val="single" w:color="auto" w:sz="4" w:space="0"/>
              <w:right w:val="single" w:color="auto" w:sz="4" w:space="0"/>
            </w:tcBorders>
            <w:vAlign w:val="center"/>
          </w:tcPr>
          <w:p w14:paraId="2282F670">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3</w:t>
            </w:r>
          </w:p>
        </w:tc>
        <w:tc>
          <w:tcPr>
            <w:tcW w:w="4730" w:type="dxa"/>
            <w:tcBorders>
              <w:top w:val="single" w:color="auto" w:sz="4" w:space="0"/>
              <w:left w:val="nil"/>
              <w:bottom w:val="single" w:color="auto" w:sz="4" w:space="0"/>
              <w:right w:val="single" w:color="auto" w:sz="4" w:space="0"/>
            </w:tcBorders>
            <w:vAlign w:val="center"/>
          </w:tcPr>
          <w:p w14:paraId="14B869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default" w:ascii="宋体" w:hAnsi="宋体" w:eastAsia="宋体" w:cs="宋体"/>
                <w:szCs w:val="21"/>
                <w:highlight w:val="none"/>
              </w:rPr>
            </w:pPr>
            <w:r>
              <w:rPr>
                <w:rFonts w:hint="eastAsia" w:ascii="宋体" w:hAnsi="宋体" w:eastAsia="宋体" w:cs="宋体"/>
                <w:szCs w:val="21"/>
                <w:highlight w:val="none"/>
              </w:rPr>
              <w:t>未经采购人同意，擅自对已定稿的招标文件进行更改。</w:t>
            </w:r>
          </w:p>
        </w:tc>
        <w:tc>
          <w:tcPr>
            <w:tcW w:w="664" w:type="pct"/>
            <w:tcBorders>
              <w:top w:val="single" w:color="auto" w:sz="4" w:space="0"/>
              <w:left w:val="nil"/>
              <w:bottom w:val="single" w:color="auto" w:sz="4" w:space="0"/>
              <w:right w:val="single" w:color="auto" w:sz="4" w:space="0"/>
            </w:tcBorders>
            <w:vAlign w:val="center"/>
          </w:tcPr>
          <w:p w14:paraId="30E4166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1139" w:type="pct"/>
            <w:gridSpan w:val="2"/>
            <w:tcBorders>
              <w:top w:val="single" w:color="auto" w:sz="4" w:space="0"/>
              <w:left w:val="nil"/>
              <w:bottom w:val="single" w:color="auto" w:sz="4" w:space="0"/>
              <w:right w:val="single" w:color="auto" w:sz="4" w:space="0"/>
            </w:tcBorders>
            <w:vAlign w:val="center"/>
          </w:tcPr>
          <w:p w14:paraId="2CB022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center"/>
              <w:rPr>
                <w:rFonts w:hint="default" w:ascii="仿宋_GB2312" w:hAnsi="宋体" w:eastAsia="仿宋_GB2312" w:cs="仿宋_GB2312"/>
                <w:kern w:val="0"/>
                <w:sz w:val="28"/>
                <w:szCs w:val="28"/>
                <w:highlight w:val="none"/>
              </w:rPr>
            </w:pPr>
          </w:p>
        </w:tc>
      </w:tr>
      <w:tr w14:paraId="40E60A84">
        <w:tblPrEx>
          <w:tblCellMar>
            <w:top w:w="0" w:type="dxa"/>
            <w:left w:w="108" w:type="dxa"/>
            <w:bottom w:w="0" w:type="dxa"/>
            <w:right w:w="108" w:type="dxa"/>
          </w:tblCellMar>
        </w:tblPrEx>
        <w:trPr>
          <w:trHeight w:val="23" w:hRule="atLeast"/>
          <w:jc w:val="center"/>
        </w:trPr>
        <w:tc>
          <w:tcPr>
            <w:tcW w:w="913" w:type="pct"/>
            <w:gridSpan w:val="2"/>
            <w:tcBorders>
              <w:top w:val="nil"/>
              <w:left w:val="single" w:color="auto" w:sz="4" w:space="0"/>
              <w:bottom w:val="single" w:color="auto" w:sz="4" w:space="0"/>
              <w:right w:val="single" w:color="auto" w:sz="4" w:space="0"/>
            </w:tcBorders>
            <w:vAlign w:val="center"/>
          </w:tcPr>
          <w:p w14:paraId="5C37A10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综合得分</w:t>
            </w:r>
          </w:p>
        </w:tc>
        <w:tc>
          <w:tcPr>
            <w:tcW w:w="4086" w:type="pct"/>
            <w:gridSpan w:val="4"/>
            <w:tcBorders>
              <w:top w:val="nil"/>
              <w:left w:val="nil"/>
              <w:bottom w:val="single" w:color="auto" w:sz="4" w:space="0"/>
              <w:right w:val="single" w:color="auto" w:sz="4" w:space="0"/>
            </w:tcBorders>
            <w:vAlign w:val="center"/>
          </w:tcPr>
          <w:p w14:paraId="624C8A96">
            <w:pPr>
              <w:keepNext w:val="0"/>
              <w:keepLines w:val="0"/>
              <w:pageBreakBefore w:val="0"/>
              <w:suppressLineNumbers w:val="0"/>
              <w:kinsoku/>
              <w:wordWrap/>
              <w:overflowPunct/>
              <w:topLinePunct w:val="0"/>
              <w:autoSpaceDE/>
              <w:autoSpaceDN/>
              <w:bidi w:val="0"/>
              <w:adjustRightInd/>
              <w:snapToGrid w:val="0"/>
              <w:spacing w:before="0" w:beforeAutospacing="0" w:after="160" w:afterAutospacing="0" w:line="240" w:lineRule="auto"/>
              <w:ind w:left="0" w:right="0"/>
              <w:jc w:val="center"/>
              <w:rPr>
                <w:rFonts w:hint="default" w:ascii="宋体" w:hAnsi="宋体" w:eastAsia="宋体" w:cs="宋体"/>
                <w:szCs w:val="21"/>
                <w:highlight w:val="none"/>
              </w:rPr>
            </w:pPr>
          </w:p>
        </w:tc>
      </w:tr>
    </w:tbl>
    <w:p w14:paraId="54257ED1">
      <w:pPr>
        <w:spacing w:line="360" w:lineRule="auto"/>
        <w:rPr>
          <w:rFonts w:ascii="宋体" w:hAnsi="宋体" w:eastAsia="宋体" w:cs="宋体"/>
          <w:szCs w:val="21"/>
          <w:highlight w:val="none"/>
        </w:rPr>
      </w:pPr>
      <w:r>
        <w:rPr>
          <w:rFonts w:hint="eastAsia" w:ascii="宋体" w:hAnsi="宋体" w:eastAsia="宋体" w:cs="宋体"/>
          <w:szCs w:val="21"/>
          <w:highlight w:val="none"/>
          <w:lang w:bidi="en-US"/>
        </w:rPr>
        <w:t>说明：1、</w:t>
      </w:r>
      <w:r>
        <w:rPr>
          <w:rFonts w:hint="eastAsia" w:ascii="宋体" w:hAnsi="宋体" w:eastAsia="宋体" w:cs="宋体"/>
          <w:szCs w:val="21"/>
          <w:highlight w:val="none"/>
        </w:rPr>
        <w:t>本考核表最终解释权归招标人，招标人有权调整相关考核方式。</w:t>
      </w:r>
    </w:p>
    <w:p w14:paraId="246AF666">
      <w:pPr>
        <w:pStyle w:val="16"/>
        <w:ind w:firstLine="630" w:firstLineChars="300"/>
        <w:rPr>
          <w:color w:val="auto"/>
          <w:highlight w:val="none"/>
        </w:rPr>
      </w:pPr>
      <w:r>
        <w:rPr>
          <w:rFonts w:hint="eastAsia" w:ascii="宋体" w:hAnsi="宋体" w:eastAsia="宋体" w:cs="宋体"/>
          <w:color w:val="auto"/>
          <w:szCs w:val="21"/>
          <w:highlight w:val="none"/>
        </w:rPr>
        <w:t>2、每项考核内容按优[100-90]分、良（90-80]分、中（80-70]分、合格（70-60]分、不合格（60-0]分，进行打分。</w:t>
      </w:r>
    </w:p>
    <w:p w14:paraId="334C35B5">
      <w:pPr>
        <w:pStyle w:val="55"/>
        <w:ind w:firstLine="0" w:firstLineChars="0"/>
        <w:rPr>
          <w:rFonts w:ascii="宋体" w:hAnsi="宋体" w:eastAsia="宋体" w:cs="宋体"/>
          <w:szCs w:val="21"/>
          <w:highlight w:val="none"/>
        </w:rPr>
      </w:pPr>
    </w:p>
    <w:p w14:paraId="48D53E1F">
      <w:pPr>
        <w:spacing w:after="160"/>
        <w:jc w:val="center"/>
        <w:rPr>
          <w:rFonts w:ascii="宋体" w:hAnsi="宋体" w:eastAsia="宋体" w:cs="宋体"/>
          <w:b/>
          <w:bCs/>
          <w:szCs w:val="21"/>
          <w:highlight w:val="none"/>
        </w:rPr>
      </w:pPr>
    </w:p>
    <w:p w14:paraId="6492EFBB">
      <w:pPr>
        <w:spacing w:after="160"/>
        <w:jc w:val="center"/>
        <w:rPr>
          <w:rFonts w:ascii="宋体" w:hAnsi="宋体" w:eastAsia="宋体" w:cs="宋体"/>
          <w:b/>
          <w:bCs/>
          <w:szCs w:val="21"/>
          <w:highlight w:val="none"/>
        </w:rPr>
      </w:pPr>
    </w:p>
    <w:p w14:paraId="087C3EA3">
      <w:pPr>
        <w:spacing w:after="160"/>
        <w:jc w:val="center"/>
        <w:rPr>
          <w:rFonts w:ascii="宋体" w:hAnsi="宋体" w:eastAsia="宋体" w:cs="宋体"/>
          <w:b/>
          <w:bCs/>
          <w:szCs w:val="21"/>
          <w:highlight w:val="none"/>
        </w:rPr>
      </w:pPr>
    </w:p>
    <w:p w14:paraId="7EBE28FF">
      <w:pPr>
        <w:spacing w:after="160"/>
        <w:jc w:val="center"/>
        <w:rPr>
          <w:rFonts w:ascii="宋体" w:hAnsi="宋体" w:eastAsia="宋体" w:cs="宋体"/>
          <w:b/>
          <w:bCs/>
          <w:szCs w:val="21"/>
          <w:highlight w:val="none"/>
        </w:rPr>
      </w:pPr>
    </w:p>
    <w:p w14:paraId="769215B0">
      <w:pPr>
        <w:spacing w:after="160"/>
        <w:jc w:val="center"/>
        <w:rPr>
          <w:rFonts w:ascii="宋体" w:hAnsi="宋体" w:eastAsia="宋体" w:cs="宋体"/>
          <w:b/>
          <w:bCs/>
          <w:szCs w:val="21"/>
          <w:highlight w:val="none"/>
        </w:rPr>
      </w:pPr>
    </w:p>
    <w:p w14:paraId="667CA281">
      <w:pPr>
        <w:spacing w:after="160"/>
        <w:jc w:val="center"/>
        <w:rPr>
          <w:rFonts w:ascii="宋体" w:hAnsi="宋体" w:eastAsia="宋体" w:cs="宋体"/>
          <w:b/>
          <w:bCs/>
          <w:szCs w:val="21"/>
          <w:highlight w:val="none"/>
        </w:rPr>
      </w:pPr>
    </w:p>
    <w:p w14:paraId="5B3B2C00">
      <w:pPr>
        <w:spacing w:after="160"/>
        <w:jc w:val="center"/>
        <w:rPr>
          <w:rFonts w:ascii="宋体" w:hAnsi="宋体" w:eastAsia="宋体" w:cs="宋体"/>
          <w:b/>
          <w:bCs/>
          <w:szCs w:val="21"/>
          <w:highlight w:val="none"/>
        </w:rPr>
      </w:pPr>
    </w:p>
    <w:p w14:paraId="1FCC2DD7">
      <w:pPr>
        <w:spacing w:after="160"/>
        <w:jc w:val="center"/>
        <w:rPr>
          <w:rFonts w:ascii="宋体" w:hAnsi="宋体" w:eastAsia="宋体" w:cs="宋体"/>
          <w:b/>
          <w:bCs/>
          <w:szCs w:val="21"/>
          <w:highlight w:val="none"/>
        </w:rPr>
      </w:pPr>
    </w:p>
    <w:p w14:paraId="13DAB617">
      <w:pPr>
        <w:spacing w:after="160"/>
        <w:jc w:val="center"/>
        <w:rPr>
          <w:rFonts w:ascii="宋体" w:hAnsi="宋体" w:eastAsia="宋体" w:cs="宋体"/>
          <w:b/>
          <w:bCs/>
          <w:szCs w:val="21"/>
          <w:highlight w:val="none"/>
        </w:rPr>
      </w:pPr>
    </w:p>
    <w:p w14:paraId="18309197">
      <w:pPr>
        <w:spacing w:after="160"/>
        <w:jc w:val="center"/>
        <w:rPr>
          <w:rFonts w:ascii="宋体" w:hAnsi="宋体" w:eastAsia="宋体" w:cs="宋体"/>
          <w:b/>
          <w:bCs/>
          <w:szCs w:val="21"/>
          <w:highlight w:val="none"/>
        </w:rPr>
      </w:pPr>
    </w:p>
    <w:p w14:paraId="66B61265">
      <w:pPr>
        <w:spacing w:after="160"/>
        <w:jc w:val="center"/>
        <w:rPr>
          <w:rFonts w:ascii="宋体" w:hAnsi="宋体" w:eastAsia="宋体" w:cs="宋体"/>
          <w:b/>
          <w:bCs/>
          <w:szCs w:val="21"/>
          <w:highlight w:val="none"/>
        </w:rPr>
      </w:pPr>
    </w:p>
    <w:p w14:paraId="7907067F">
      <w:pPr>
        <w:spacing w:after="160"/>
        <w:jc w:val="center"/>
        <w:rPr>
          <w:rFonts w:ascii="宋体" w:hAnsi="宋体" w:eastAsia="宋体" w:cs="宋体"/>
          <w:b/>
          <w:bCs/>
          <w:szCs w:val="21"/>
          <w:highlight w:val="none"/>
        </w:rPr>
      </w:pPr>
    </w:p>
    <w:p w14:paraId="49B65B49">
      <w:pPr>
        <w:spacing w:after="160"/>
        <w:jc w:val="center"/>
        <w:rPr>
          <w:rFonts w:ascii="宋体" w:hAnsi="宋体" w:eastAsia="宋体" w:cs="宋体"/>
          <w:b/>
          <w:bCs/>
          <w:szCs w:val="21"/>
          <w:highlight w:val="none"/>
        </w:rPr>
      </w:pPr>
    </w:p>
    <w:p w14:paraId="0390BE9C">
      <w:pPr>
        <w:spacing w:after="160"/>
        <w:jc w:val="center"/>
        <w:rPr>
          <w:rFonts w:ascii="宋体" w:hAnsi="宋体" w:eastAsia="宋体" w:cs="宋体"/>
          <w:b/>
          <w:bCs/>
          <w:szCs w:val="21"/>
          <w:highlight w:val="none"/>
        </w:rPr>
      </w:pPr>
    </w:p>
    <w:p w14:paraId="5A6ECEBC">
      <w:pPr>
        <w:spacing w:after="160"/>
        <w:jc w:val="center"/>
        <w:rPr>
          <w:rFonts w:ascii="宋体" w:hAnsi="宋体" w:eastAsia="宋体" w:cs="宋体"/>
          <w:b/>
          <w:bCs/>
          <w:szCs w:val="21"/>
          <w:highlight w:val="none"/>
        </w:rPr>
      </w:pPr>
    </w:p>
    <w:p w14:paraId="1658B74C">
      <w:pPr>
        <w:spacing w:after="160"/>
        <w:jc w:val="center"/>
        <w:rPr>
          <w:rFonts w:ascii="宋体" w:hAnsi="宋体" w:eastAsia="宋体" w:cs="宋体"/>
          <w:b/>
          <w:bCs/>
          <w:szCs w:val="21"/>
          <w:highlight w:val="none"/>
        </w:rPr>
      </w:pPr>
    </w:p>
    <w:p w14:paraId="284E8486">
      <w:pPr>
        <w:spacing w:after="160"/>
        <w:jc w:val="center"/>
        <w:rPr>
          <w:rFonts w:ascii="宋体" w:hAnsi="宋体" w:eastAsia="宋体" w:cs="宋体"/>
          <w:b/>
          <w:bCs/>
          <w:szCs w:val="21"/>
          <w:highlight w:val="none"/>
        </w:rPr>
      </w:pPr>
    </w:p>
    <w:p w14:paraId="7D21C23F">
      <w:pPr>
        <w:spacing w:after="160"/>
        <w:jc w:val="center"/>
        <w:rPr>
          <w:rFonts w:ascii="宋体" w:hAnsi="宋体" w:eastAsia="宋体" w:cs="宋体"/>
          <w:b/>
          <w:bCs/>
          <w:szCs w:val="21"/>
          <w:highlight w:val="none"/>
        </w:rPr>
      </w:pPr>
    </w:p>
    <w:p w14:paraId="6220A700">
      <w:pPr>
        <w:spacing w:after="160"/>
        <w:jc w:val="center"/>
        <w:rPr>
          <w:rFonts w:ascii="宋体" w:hAnsi="宋体" w:eastAsia="宋体" w:cs="宋体"/>
          <w:b/>
          <w:bCs/>
          <w:szCs w:val="21"/>
          <w:highlight w:val="none"/>
        </w:rPr>
      </w:pPr>
    </w:p>
    <w:p w14:paraId="3D3E012D">
      <w:pPr>
        <w:spacing w:after="160"/>
        <w:jc w:val="center"/>
        <w:rPr>
          <w:rFonts w:ascii="宋体" w:hAnsi="宋体" w:eastAsia="宋体" w:cs="宋体"/>
          <w:b/>
          <w:bCs/>
          <w:szCs w:val="21"/>
          <w:highlight w:val="none"/>
        </w:rPr>
      </w:pPr>
    </w:p>
    <w:p w14:paraId="5D2E4A09">
      <w:pPr>
        <w:spacing w:after="160"/>
        <w:jc w:val="center"/>
        <w:rPr>
          <w:rFonts w:ascii="宋体" w:hAnsi="宋体" w:eastAsia="宋体" w:cs="宋体"/>
          <w:b/>
          <w:bCs/>
          <w:szCs w:val="21"/>
          <w:highlight w:val="none"/>
        </w:rPr>
      </w:pPr>
    </w:p>
    <w:p w14:paraId="5A4C1342">
      <w:pPr>
        <w:spacing w:after="0"/>
        <w:jc w:val="left"/>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4619FE16">
      <w:pPr>
        <w:spacing w:after="160"/>
        <w:jc w:val="center"/>
        <w:rPr>
          <w:rFonts w:ascii="宋体" w:hAnsi="宋体" w:eastAsia="宋体" w:cs="宋体"/>
          <w:b/>
          <w:szCs w:val="21"/>
          <w:highlight w:val="none"/>
        </w:rPr>
      </w:pPr>
      <w:r>
        <w:rPr>
          <w:rFonts w:hint="eastAsia" w:ascii="宋体" w:hAnsi="宋体" w:eastAsia="宋体" w:cs="宋体"/>
          <w:b/>
          <w:bCs/>
          <w:szCs w:val="21"/>
          <w:highlight w:val="none"/>
        </w:rPr>
        <w:t>（2）</w:t>
      </w:r>
      <w:r>
        <w:rPr>
          <w:rFonts w:hint="eastAsia" w:ascii="宋体" w:hAnsi="宋体" w:eastAsia="宋体" w:cs="宋体"/>
          <w:b/>
          <w:szCs w:val="21"/>
          <w:highlight w:val="none"/>
        </w:rPr>
        <w:t>采购代理机构服务质量考核表</w:t>
      </w:r>
    </w:p>
    <w:p w14:paraId="66F2A844">
      <w:pPr>
        <w:spacing w:after="160"/>
        <w:rPr>
          <w:rFonts w:ascii="宋体" w:hAnsi="宋体" w:eastAsia="宋体" w:cs="宋体"/>
          <w:bCs/>
          <w:szCs w:val="21"/>
          <w:highlight w:val="none"/>
        </w:rPr>
      </w:pPr>
      <w:r>
        <w:rPr>
          <w:rFonts w:hint="eastAsia" w:ascii="宋体" w:hAnsi="宋体" w:eastAsia="宋体" w:cs="宋体"/>
          <w:bCs/>
          <w:szCs w:val="21"/>
          <w:highlight w:val="none"/>
        </w:rPr>
        <w:t>采购代理机构：</w:t>
      </w:r>
    </w:p>
    <w:p w14:paraId="7DFFD914">
      <w:pPr>
        <w:spacing w:line="360" w:lineRule="auto"/>
        <w:rPr>
          <w:rFonts w:ascii="宋体" w:hAnsi="宋体" w:eastAsia="宋体" w:cs="宋体"/>
          <w:bCs/>
          <w:szCs w:val="21"/>
          <w:highlight w:val="none"/>
        </w:rPr>
      </w:pPr>
      <w:r>
        <w:rPr>
          <w:rFonts w:hint="eastAsia" w:ascii="宋体" w:hAnsi="宋体" w:eastAsia="宋体" w:cs="宋体"/>
          <w:bCs/>
          <w:szCs w:val="21"/>
          <w:highlight w:val="none"/>
        </w:rPr>
        <w:t>考核单位：</w:t>
      </w:r>
      <w:r>
        <w:rPr>
          <w:rFonts w:hint="eastAsia" w:ascii="宋体" w:hAnsi="宋体" w:eastAsia="宋体" w:cs="宋体"/>
          <w:bCs/>
          <w:szCs w:val="21"/>
          <w:highlight w:val="none"/>
          <w:lang w:eastAsia="zh-CN"/>
        </w:rPr>
        <w:t>东莞市水务环境投资控股集团有限公司</w:t>
      </w:r>
      <w:r>
        <w:rPr>
          <w:rFonts w:hint="eastAsia" w:ascii="宋体" w:hAnsi="宋体" w:eastAsia="宋体" w:cs="宋体"/>
          <w:bCs/>
          <w:szCs w:val="21"/>
          <w:highlight w:val="none"/>
        </w:rPr>
        <w:t xml:space="preserve">           </w:t>
      </w:r>
    </w:p>
    <w:p w14:paraId="13046889">
      <w:pPr>
        <w:spacing w:line="360" w:lineRule="auto"/>
        <w:rPr>
          <w:rFonts w:ascii="宋体" w:hAnsi="宋体" w:eastAsia="宋体" w:cs="宋体"/>
          <w:bCs/>
          <w:szCs w:val="21"/>
          <w:highlight w:val="none"/>
        </w:rPr>
      </w:pPr>
      <w:r>
        <w:rPr>
          <w:rFonts w:hint="eastAsia" w:ascii="宋体" w:hAnsi="宋体" w:eastAsia="宋体" w:cs="宋体"/>
          <w:bCs/>
          <w:szCs w:val="21"/>
          <w:highlight w:val="none"/>
        </w:rPr>
        <w:t>考核季度：第   季度； 考核时间：   年   月   日</w:t>
      </w:r>
    </w:p>
    <w:tbl>
      <w:tblPr>
        <w:tblStyle w:val="44"/>
        <w:tblW w:w="5106" w:type="pct"/>
        <w:tblInd w:w="0" w:type="dxa"/>
        <w:tblLayout w:type="autofit"/>
        <w:tblCellMar>
          <w:top w:w="0" w:type="dxa"/>
          <w:left w:w="108" w:type="dxa"/>
          <w:bottom w:w="0" w:type="dxa"/>
          <w:right w:w="108" w:type="dxa"/>
        </w:tblCellMar>
      </w:tblPr>
      <w:tblGrid>
        <w:gridCol w:w="563"/>
        <w:gridCol w:w="580"/>
        <w:gridCol w:w="1233"/>
        <w:gridCol w:w="5376"/>
        <w:gridCol w:w="1040"/>
        <w:gridCol w:w="829"/>
        <w:gridCol w:w="969"/>
      </w:tblGrid>
      <w:tr w14:paraId="3599FE0C">
        <w:tblPrEx>
          <w:tblCellMar>
            <w:top w:w="0" w:type="dxa"/>
            <w:left w:w="108" w:type="dxa"/>
            <w:bottom w:w="0" w:type="dxa"/>
            <w:right w:w="108" w:type="dxa"/>
          </w:tblCellMar>
        </w:tblPrEx>
        <w:trPr>
          <w:trHeight w:val="636"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DFF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b/>
                <w:szCs w:val="21"/>
                <w:highlight w:val="none"/>
              </w:rPr>
            </w:pPr>
            <w:r>
              <w:rPr>
                <w:rFonts w:hint="eastAsia" w:ascii="宋体" w:hAnsi="宋体" w:eastAsia="宋体" w:cs="宋体"/>
                <w:b/>
                <w:szCs w:val="21"/>
                <w:highlight w:val="none"/>
              </w:rPr>
              <w:t>序号</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EF40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b/>
                <w:szCs w:val="21"/>
                <w:highlight w:val="none"/>
              </w:rPr>
            </w:pPr>
            <w:r>
              <w:rPr>
                <w:rFonts w:hint="eastAsia" w:ascii="宋体" w:hAnsi="宋体" w:eastAsia="宋体" w:cs="宋体"/>
                <w:b/>
                <w:szCs w:val="21"/>
                <w:highlight w:val="none"/>
              </w:rPr>
              <w:t>考核内容</w:t>
            </w:r>
          </w:p>
        </w:tc>
        <w:tc>
          <w:tcPr>
            <w:tcW w:w="2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1E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b/>
                <w:szCs w:val="21"/>
                <w:highlight w:val="none"/>
              </w:rPr>
            </w:pPr>
            <w:r>
              <w:rPr>
                <w:rFonts w:hint="eastAsia" w:ascii="宋体" w:hAnsi="宋体" w:eastAsia="宋体" w:cs="宋体"/>
                <w:b/>
                <w:szCs w:val="21"/>
                <w:highlight w:val="none"/>
              </w:rPr>
              <w:t>考核标准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0B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b/>
                <w:szCs w:val="21"/>
                <w:highlight w:val="none"/>
              </w:rPr>
            </w:pPr>
            <w:r>
              <w:rPr>
                <w:rFonts w:hint="eastAsia" w:ascii="宋体" w:hAnsi="宋体" w:eastAsia="宋体" w:cs="宋体"/>
                <w:b/>
                <w:szCs w:val="21"/>
                <w:highlight w:val="none"/>
              </w:rPr>
              <w:t>权重</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00B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b/>
                <w:szCs w:val="21"/>
                <w:highlight w:val="none"/>
              </w:rPr>
            </w:pPr>
            <w:r>
              <w:rPr>
                <w:rFonts w:hint="eastAsia" w:ascii="宋体" w:hAnsi="宋体" w:eastAsia="宋体" w:cs="宋体"/>
                <w:b/>
                <w:szCs w:val="21"/>
                <w:highlight w:val="none"/>
              </w:rPr>
              <w:t>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173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b/>
                <w:szCs w:val="21"/>
                <w:highlight w:val="none"/>
              </w:rPr>
            </w:pPr>
            <w:r>
              <w:rPr>
                <w:rFonts w:hint="eastAsia" w:ascii="宋体" w:hAnsi="宋体" w:eastAsia="宋体" w:cs="宋体"/>
                <w:b/>
                <w:szCs w:val="21"/>
                <w:highlight w:val="none"/>
              </w:rPr>
              <w:t>加权得分</w:t>
            </w:r>
          </w:p>
        </w:tc>
      </w:tr>
      <w:tr w14:paraId="0206C47E">
        <w:tblPrEx>
          <w:tblCellMar>
            <w:top w:w="0" w:type="dxa"/>
            <w:left w:w="108" w:type="dxa"/>
            <w:bottom w:w="0" w:type="dxa"/>
            <w:right w:w="108" w:type="dxa"/>
          </w:tblCellMar>
        </w:tblPrEx>
        <w:trPr>
          <w:trHeight w:val="1124"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D0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1</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FC7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采购代理机构运作情况</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38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横向比较各代理机构采购文件编制人或复核人到位情况；采购代理机构主要负责人组织协调能力；采购代理人员业务能力、工作态度、主动性。</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84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2A8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rPr>
                <w:rFonts w:hint="default" w:ascii="宋体" w:hAnsi="宋体" w:eastAsia="宋体" w:cs="宋体"/>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55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p>
        </w:tc>
      </w:tr>
      <w:tr w14:paraId="35AD8F2D">
        <w:tblPrEx>
          <w:tblCellMar>
            <w:top w:w="0" w:type="dxa"/>
            <w:left w:w="108" w:type="dxa"/>
            <w:bottom w:w="0" w:type="dxa"/>
            <w:right w:w="108" w:type="dxa"/>
          </w:tblCellMar>
        </w:tblPrEx>
        <w:trPr>
          <w:trHeight w:val="9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F56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2</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45F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项目质量</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25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采购文件编制情况</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9C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横向比较各代理机构合理化建议，配合项目组做好划分标段计划及拟定采购方案情况；收集与采购项目有关的技术、图纸、最新法律法规等资料，理解项目需求情况；根据采购需求编制采购文件，对资质等级、采购范围、费用包干等重点环节核实情况；根据项目采购人及行业主管部门（若有）要求，对采购文件内容不适当部分的修改，</w:t>
            </w:r>
            <w:r>
              <w:rPr>
                <w:rFonts w:hint="eastAsia" w:ascii="宋体" w:hAnsi="宋体" w:eastAsia="宋体" w:cs="宋体"/>
                <w:sz w:val="21"/>
                <w:szCs w:val="21"/>
                <w:highlight w:val="none"/>
                <w:lang w:val="en-US" w:eastAsia="zh-CN"/>
              </w:rPr>
              <w:t>发现并修改</w:t>
            </w:r>
            <w:r>
              <w:rPr>
                <w:rFonts w:hint="eastAsia" w:ascii="宋体" w:hAnsi="宋体" w:eastAsia="宋体" w:cs="宋体"/>
                <w:szCs w:val="21"/>
                <w:highlight w:val="none"/>
              </w:rPr>
              <w:t>错漏情况；采购文件的传阅、答辩、定稿情况。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99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27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rPr>
                <w:rFonts w:hint="default" w:ascii="宋体" w:hAnsi="宋体" w:eastAsia="宋体" w:cs="宋体"/>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A8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p>
        </w:tc>
      </w:tr>
      <w:tr w14:paraId="0C8FBF35">
        <w:tblPrEx>
          <w:tblCellMar>
            <w:top w:w="0" w:type="dxa"/>
            <w:left w:w="108" w:type="dxa"/>
            <w:bottom w:w="0" w:type="dxa"/>
            <w:right w:w="108" w:type="dxa"/>
          </w:tblCellMar>
        </w:tblPrEx>
        <w:trPr>
          <w:trHeight w:val="141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224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szCs w:val="21"/>
                <w:highlight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814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szCs w:val="21"/>
                <w:highlight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39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采购程序组织情况</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01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横向比较各代理机构组织开展招标活动情况；完成各采购进度控制节点工作情况；开标评标等工作情况；现场应变能力，处理问题情况；采购代理人员语言举止及服务态度。</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205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25%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F57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宋体" w:hAnsi="宋体" w:eastAsia="宋体" w:cs="宋体"/>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3E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default" w:ascii="宋体" w:hAnsi="宋体" w:eastAsia="宋体" w:cs="宋体"/>
                <w:szCs w:val="21"/>
                <w:highlight w:val="none"/>
              </w:rPr>
            </w:pPr>
          </w:p>
        </w:tc>
      </w:tr>
      <w:tr w14:paraId="4BE6C33A">
        <w:tblPrEx>
          <w:tblCellMar>
            <w:top w:w="0" w:type="dxa"/>
            <w:left w:w="108" w:type="dxa"/>
            <w:bottom w:w="0" w:type="dxa"/>
            <w:right w:w="108" w:type="dxa"/>
          </w:tblCellMar>
        </w:tblPrEx>
        <w:trPr>
          <w:trHeight w:val="100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56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3</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2DA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异议、投诉处理情况</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F5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横向比较各代理机构受理供应商异议或投诉情况：时效、运用法律法规熟悉程度、效果；协助采购人处理投诉及其他事务情况。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73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default" w:ascii="宋体" w:hAnsi="宋体" w:eastAsia="宋体" w:cs="宋体"/>
                <w:szCs w:val="21"/>
                <w:highlight w:val="none"/>
              </w:rPr>
              <w:t>10</w:t>
            </w:r>
            <w:r>
              <w:rPr>
                <w:rFonts w:hint="eastAsia" w:ascii="宋体" w:hAnsi="宋体" w:eastAsia="宋体" w:cs="宋体"/>
                <w:szCs w:val="21"/>
                <w:highlight w:val="none"/>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64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rPr>
                <w:rFonts w:hint="default" w:ascii="宋体" w:hAnsi="宋体" w:eastAsia="宋体" w:cs="宋体"/>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DF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p>
        </w:tc>
      </w:tr>
      <w:tr w14:paraId="222744E3">
        <w:tblPrEx>
          <w:tblCellMar>
            <w:top w:w="0" w:type="dxa"/>
            <w:left w:w="108" w:type="dxa"/>
            <w:bottom w:w="0" w:type="dxa"/>
            <w:right w:w="108" w:type="dxa"/>
          </w:tblCellMar>
        </w:tblPrEx>
        <w:trPr>
          <w:trHeight w:val="65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5B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4</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0A4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资料管理情况</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6D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横向比较各代理机构发对各采购项目资料收集、移交、备案、保管等管理情况。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12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8E7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rPr>
                <w:rFonts w:hint="default" w:ascii="宋体" w:hAnsi="宋体" w:eastAsia="宋体" w:cs="宋体"/>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B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p>
        </w:tc>
      </w:tr>
      <w:tr w14:paraId="034430B9">
        <w:tblPrEx>
          <w:tblCellMar>
            <w:top w:w="0" w:type="dxa"/>
            <w:left w:w="108" w:type="dxa"/>
            <w:bottom w:w="0" w:type="dxa"/>
            <w:right w:w="108" w:type="dxa"/>
          </w:tblCellMar>
        </w:tblPrEx>
        <w:trPr>
          <w:trHeight w:val="1409"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10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5</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11A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后续配套及咨询服务情况</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C9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r>
              <w:rPr>
                <w:rFonts w:hint="eastAsia" w:ascii="宋体" w:hAnsi="宋体" w:eastAsia="宋体" w:cs="宋体"/>
                <w:szCs w:val="21"/>
                <w:highlight w:val="none"/>
              </w:rPr>
              <w:t>横向比较各代理机构采购代理人员应用专业技术与技能为招标人提供完成招标工作相关的咨询服务情况，包括向招标人宣传有关项目招投标的法律、行政法规和规章，解释合理的招标程序等。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0C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宋体" w:hAnsi="宋体" w:eastAsia="宋体" w:cs="宋体"/>
                <w:szCs w:val="21"/>
                <w:highlight w:val="none"/>
              </w:rPr>
            </w:pPr>
            <w:r>
              <w:rPr>
                <w:rFonts w:hint="eastAsia" w:ascii="宋体" w:hAnsi="宋体" w:eastAsia="宋体" w:cs="宋体"/>
                <w:szCs w:val="21"/>
                <w:highlight w:val="none"/>
              </w:rPr>
              <w:t>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5B5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rPr>
                <w:rFonts w:hint="default" w:ascii="宋体" w:hAnsi="宋体" w:eastAsia="宋体" w:cs="宋体"/>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25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宋体" w:hAnsi="宋体" w:eastAsia="宋体" w:cs="宋体"/>
                <w:szCs w:val="21"/>
                <w:highlight w:val="none"/>
              </w:rPr>
            </w:pPr>
          </w:p>
        </w:tc>
      </w:tr>
      <w:tr w14:paraId="1E57B0A7">
        <w:tblPrEx>
          <w:tblCellMar>
            <w:top w:w="0" w:type="dxa"/>
            <w:left w:w="108" w:type="dxa"/>
            <w:bottom w:w="0" w:type="dxa"/>
            <w:right w:w="108" w:type="dxa"/>
          </w:tblCellMar>
        </w:tblPrEx>
        <w:trPr>
          <w:trHeight w:val="455" w:hRule="atLeast"/>
        </w:trPr>
        <w:tc>
          <w:tcPr>
            <w:tcW w:w="11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272B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default" w:ascii="仿宋_GB2312" w:hAnsi="宋体" w:eastAsia="仿宋_GB2312" w:cs="仿宋_GB2312"/>
                <w:sz w:val="28"/>
                <w:szCs w:val="28"/>
                <w:highlight w:val="none"/>
              </w:rPr>
            </w:pPr>
            <w:r>
              <w:rPr>
                <w:rFonts w:hint="eastAsia" w:ascii="宋体" w:hAnsi="宋体" w:eastAsia="宋体" w:cs="宋体"/>
                <w:szCs w:val="21"/>
                <w:highlight w:val="none"/>
              </w:rPr>
              <w:t>综合得分</w:t>
            </w:r>
          </w:p>
        </w:tc>
        <w:tc>
          <w:tcPr>
            <w:tcW w:w="38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1344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default" w:ascii="仿宋_GB2312" w:hAnsi="宋体" w:eastAsia="仿宋_GB2312" w:cs="仿宋_GB2312"/>
                <w:sz w:val="28"/>
                <w:szCs w:val="28"/>
                <w:highlight w:val="none"/>
              </w:rPr>
            </w:pPr>
          </w:p>
        </w:tc>
      </w:tr>
    </w:tbl>
    <w:p w14:paraId="39639524">
      <w:pPr>
        <w:rPr>
          <w:rFonts w:ascii="宋体" w:hAnsi="宋体" w:eastAsia="宋体" w:cs="宋体"/>
          <w:szCs w:val="21"/>
          <w:highlight w:val="none"/>
        </w:rPr>
      </w:pPr>
      <w:r>
        <w:rPr>
          <w:rFonts w:hint="eastAsia" w:ascii="宋体" w:hAnsi="宋体" w:eastAsia="宋体" w:cs="宋体"/>
          <w:szCs w:val="21"/>
          <w:highlight w:val="none"/>
          <w:lang w:bidi="en-US"/>
        </w:rPr>
        <w:t>说明：1、</w:t>
      </w:r>
      <w:r>
        <w:rPr>
          <w:rFonts w:hint="eastAsia" w:ascii="宋体" w:hAnsi="宋体" w:eastAsia="宋体" w:cs="宋体"/>
          <w:szCs w:val="21"/>
          <w:highlight w:val="none"/>
        </w:rPr>
        <w:t>本考核表最终解释权归招标人，招标人有权调整相关考核方式。</w:t>
      </w:r>
    </w:p>
    <w:p w14:paraId="33EC5FB8">
      <w:pPr>
        <w:pStyle w:val="16"/>
        <w:spacing w:line="240" w:lineRule="auto"/>
        <w:ind w:firstLine="630" w:firstLineChars="300"/>
        <w:rPr>
          <w:color w:val="auto"/>
          <w:highlight w:val="none"/>
        </w:rPr>
      </w:pPr>
      <w:r>
        <w:rPr>
          <w:rFonts w:hint="eastAsia" w:ascii="宋体" w:hAnsi="宋体" w:eastAsia="宋体" w:cs="宋体"/>
          <w:color w:val="auto"/>
          <w:szCs w:val="21"/>
          <w:highlight w:val="none"/>
        </w:rPr>
        <w:t>2、每项考核内容按优[100-90]分、良（90-80]分、中（80-70]分、合格（70-60]分、不合格（70-0]分，进行打分。</w:t>
      </w:r>
    </w:p>
    <w:p w14:paraId="3A587F35">
      <w:pPr>
        <w:pStyle w:val="16"/>
        <w:spacing w:line="240" w:lineRule="auto"/>
        <w:ind w:firstLine="630" w:firstLineChars="300"/>
        <w:rPr>
          <w:color w:val="auto"/>
          <w:highlight w:val="none"/>
        </w:rPr>
      </w:pPr>
    </w:p>
    <w:p w14:paraId="1BEAB115">
      <w:pPr>
        <w:widowControl/>
        <w:rPr>
          <w:rFonts w:hint="eastAsia" w:ascii="宋体" w:hAnsi="宋体" w:eastAsia="宋体" w:cs="宋体"/>
          <w:b/>
          <w:szCs w:val="21"/>
          <w:highlight w:val="none"/>
        </w:rPr>
      </w:pPr>
    </w:p>
    <w:p w14:paraId="47074C7D">
      <w:pPr>
        <w:widowControl/>
        <w:rPr>
          <w:rFonts w:hint="eastAsia" w:ascii="宋体" w:hAnsi="宋体" w:eastAsia="宋体" w:cs="宋体"/>
          <w:b/>
          <w:szCs w:val="21"/>
          <w:highlight w:val="none"/>
        </w:rPr>
      </w:pPr>
    </w:p>
    <w:p w14:paraId="37B7EA47">
      <w:pP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58A53AC1">
      <w:pPr>
        <w:widowControl/>
        <w:rPr>
          <w:rFonts w:ascii="宋体" w:hAnsi="宋体" w:eastAsia="宋体" w:cs="宋体"/>
          <w:b/>
          <w:sz w:val="30"/>
          <w:szCs w:val="30"/>
          <w:highlight w:val="none"/>
        </w:rPr>
      </w:pPr>
      <w:r>
        <w:rPr>
          <w:rFonts w:hint="eastAsia" w:ascii="宋体" w:hAnsi="宋体" w:eastAsia="宋体" w:cs="宋体"/>
          <w:b/>
          <w:szCs w:val="21"/>
          <w:highlight w:val="none"/>
        </w:rPr>
        <w:t>附件4：廉洁协议书</w:t>
      </w:r>
    </w:p>
    <w:p w14:paraId="7FCE941A">
      <w:pPr>
        <w:spacing w:line="480" w:lineRule="auto"/>
        <w:ind w:right="31" w:rightChars="15"/>
        <w:jc w:val="center"/>
        <w:rPr>
          <w:rFonts w:ascii="宋体" w:hAnsi="宋体" w:eastAsia="宋体" w:cs="宋体"/>
          <w:b/>
          <w:sz w:val="28"/>
          <w:szCs w:val="44"/>
          <w:highlight w:val="none"/>
        </w:rPr>
      </w:pPr>
      <w:r>
        <w:rPr>
          <w:rFonts w:hint="eastAsia" w:ascii="宋体" w:hAnsi="宋体" w:eastAsia="宋体" w:cs="宋体"/>
          <w:b/>
          <w:sz w:val="28"/>
          <w:szCs w:val="44"/>
          <w:highlight w:val="none"/>
        </w:rPr>
        <w:t>廉洁协议书</w:t>
      </w:r>
    </w:p>
    <w:p w14:paraId="10FD102D">
      <w:pPr>
        <w:spacing w:line="480" w:lineRule="auto"/>
        <w:rPr>
          <w:rFonts w:ascii="宋体" w:hAnsi="宋体" w:eastAsia="宋体" w:cs="宋体"/>
          <w:b/>
          <w:bCs/>
          <w:szCs w:val="21"/>
          <w:highlight w:val="none"/>
        </w:rPr>
      </w:pPr>
      <w:r>
        <w:rPr>
          <w:rFonts w:hint="eastAsia" w:ascii="宋体" w:hAnsi="宋体" w:eastAsia="宋体" w:cs="宋体"/>
          <w:b/>
          <w:bCs/>
          <w:szCs w:val="21"/>
          <w:highlight w:val="none"/>
        </w:rPr>
        <w:t>项目名称：</w:t>
      </w:r>
      <w:r>
        <w:rPr>
          <w:rFonts w:hint="eastAsia" w:ascii="宋体" w:hAnsi="宋体" w:eastAsia="宋体" w:cs="宋体"/>
          <w:b/>
          <w:bCs/>
          <w:szCs w:val="21"/>
          <w:highlight w:val="none"/>
          <w:lang w:eastAsia="zh-CN"/>
        </w:rPr>
        <w:t>东莞市水务环境投资控股集团有限公司</w:t>
      </w:r>
      <w:r>
        <w:rPr>
          <w:rFonts w:hint="eastAsia" w:ascii="宋体" w:hAnsi="宋体" w:eastAsia="宋体" w:cs="宋体"/>
          <w:b/>
          <w:bCs/>
          <w:szCs w:val="21"/>
          <w:highlight w:val="none"/>
          <w:lang w:val="en-US" w:eastAsia="zh-CN"/>
        </w:rPr>
        <w:t>招标</w:t>
      </w:r>
      <w:r>
        <w:rPr>
          <w:rFonts w:hint="eastAsia" w:ascii="宋体" w:hAnsi="宋体" w:eastAsia="宋体" w:cs="宋体"/>
          <w:b/>
          <w:bCs/>
          <w:szCs w:val="21"/>
          <w:highlight w:val="none"/>
        </w:rPr>
        <w:t>采购代理协议服务项目(招标编号：</w:t>
      </w:r>
      <w:r>
        <w:rPr>
          <w:rFonts w:hint="eastAsia" w:ascii="宋体" w:hAnsi="宋体" w:eastAsia="宋体" w:cs="宋体"/>
          <w:b/>
          <w:bCs/>
          <w:szCs w:val="21"/>
          <w:highlight w:val="none"/>
          <w:lang w:val="en-US" w:eastAsia="zh-CN"/>
        </w:rPr>
        <w:t xml:space="preserve">         </w:t>
      </w:r>
      <w:r>
        <w:rPr>
          <w:rFonts w:hint="eastAsia" w:ascii="宋体" w:hAnsi="宋体" w:eastAsia="宋体" w:cs="宋体"/>
          <w:b/>
          <w:bCs/>
          <w:szCs w:val="21"/>
          <w:highlight w:val="none"/>
        </w:rPr>
        <w:t>)</w:t>
      </w:r>
    </w:p>
    <w:p w14:paraId="6D6E3D7B">
      <w:pPr>
        <w:autoSpaceDE w:val="0"/>
        <w:autoSpaceDN w:val="0"/>
        <w:adjustRightInd w:val="0"/>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甲方（业主单位）：</w:t>
      </w:r>
      <w:r>
        <w:rPr>
          <w:rFonts w:hint="eastAsia" w:ascii="宋体" w:hAnsi="宋体" w:eastAsia="宋体" w:cs="宋体"/>
          <w:szCs w:val="21"/>
          <w:highlight w:val="none"/>
          <w:lang w:eastAsia="zh-CN"/>
        </w:rPr>
        <w:t>东莞市水务环境投资控股集团有限公司</w:t>
      </w:r>
    </w:p>
    <w:p w14:paraId="25BD0D5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乙方：</w:t>
      </w:r>
    </w:p>
    <w:p w14:paraId="62B08054">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99BF070">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第一条  甲乙双方的权利和义务</w:t>
      </w:r>
    </w:p>
    <w:p w14:paraId="6A9899E3">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（一）严格遵守党和国家有关法律法规等有关廉洁从业规定。</w:t>
      </w:r>
    </w:p>
    <w:p w14:paraId="64F96F55">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（二）严格执行本项目的合同文件，自觉按合同办事。</w:t>
      </w:r>
    </w:p>
    <w:p w14:paraId="1014656C">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（三）双方的业务活动坚持公开、公正、诚信、透明的原则（除法律认定的商业秘密和合同文件另有规定之外）不得损害国家和集体利益，违反工程建设管理及其他法律法规规章制度。</w:t>
      </w:r>
    </w:p>
    <w:p w14:paraId="5C4CEE6A">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（四）建立健全廉洁制度，开展廉洁教育，设立廉洁监督公示牌，公布举报电话，监督并认真查处违法违纪行为。</w:t>
      </w:r>
    </w:p>
    <w:p w14:paraId="49CE3FCF">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（五）发现对方在业务活动中有违反廉洁规定的行为，有及时提醒对方纠正的权利和义务。</w:t>
      </w:r>
    </w:p>
    <w:p w14:paraId="155A6849">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（六）发现对方严重违反本协议义务条款的行为，有向其上级有关部门举报、建议给予处理并要求告知处理结果的权利。</w:t>
      </w:r>
    </w:p>
    <w:p w14:paraId="162E6019">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第二条  甲方的义务</w:t>
      </w:r>
    </w:p>
    <w:p w14:paraId="45A42F12">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（一）甲方及其工作人员不得索要或接受乙方的礼金、有价证券和贵重物品，不得在乙方报销任何应由甲方或个人支付的费用。</w:t>
      </w:r>
    </w:p>
    <w:p w14:paraId="1F57545A">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（二）甲方工作人员不得参加乙方安排的高消费宴请和娱乐活动；不得接受乙方提供的通讯工具、交通工具和高档办公用品。</w:t>
      </w:r>
    </w:p>
    <w:p w14:paraId="20682C43">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（三）甲方及其工作人员不得要求或者接受乙方为其住房装修、婚丧嫁娶活动、家属或亲友的工作安排以及出国出境、旅游等提供方便。</w:t>
      </w:r>
    </w:p>
    <w:p w14:paraId="7BAF2593">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（四）甲方工作人员不得向乙方介绍其家属或者亲友（包括家属或亲友开办的公司企业）从事于本项目涉及的经济业务活动。</w:t>
      </w:r>
    </w:p>
    <w:p w14:paraId="219B77FA">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（五）甲方及其工作人员不得以任何理由向乙方推荐分包单位，不得要求乙方购买合同规定外的材料和设备。</w:t>
      </w:r>
    </w:p>
    <w:p w14:paraId="4B4473D8">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（六）甲方及其工作人员不得进行违反廉洁规定的其他活动。</w:t>
      </w:r>
    </w:p>
    <w:p w14:paraId="0E1103B6">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04097E3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第三条  乙方义务</w:t>
      </w:r>
    </w:p>
    <w:p w14:paraId="7CF638C1">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（一）乙方不得以任何理由向甲方及其工作人员馈赠礼金、有价证券、贵重礼品，或报销应由甲方单位或个人支付的任何费用。</w:t>
      </w:r>
    </w:p>
    <w:p w14:paraId="0BD122FB">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（二）乙方及其工作人员不得以考察、参观、洽谈业务、签订合同等的借口邀请甲方及其工作人员参加高消费的宴请、娱乐和健身等活动。</w:t>
      </w:r>
    </w:p>
    <w:p w14:paraId="2CD6501B">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（三）乙方不得为甲方单位和个人购置或提供通讯工具、交通工具和高档办公用品等。</w:t>
      </w:r>
    </w:p>
    <w:p w14:paraId="767C4BEE">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（四）乙方及其工作人员不得为甲方工作人员购买、装修、维修私人住房、汽车等。</w:t>
      </w:r>
    </w:p>
    <w:p w14:paraId="334F676B">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（五）乙方及其工作人员不得为甲方工作人员的婚丧嫁娶、家属或亲友的工作安排，及出国出境提供方便以及报销任何私人消费的费用。</w:t>
      </w:r>
    </w:p>
    <w:p w14:paraId="636A4481">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（六）乙方及其工作人员不得进行影响甲方及其工作人员公正执行合同和履行职务的其他活动。</w:t>
      </w:r>
    </w:p>
    <w:p w14:paraId="3C55C161">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556D9F7">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第四条  违约责任</w:t>
      </w:r>
    </w:p>
    <w:p w14:paraId="3898CB27">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（一）甲方违反本协议第一、第二条给乙方单位造成经济损失的，应予以赔偿。</w:t>
      </w:r>
    </w:p>
    <w:p w14:paraId="37FC8E6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（二）乙方违反本协议第一、第三条给甲方单位造成经济损失的，应予以赔偿。</w:t>
      </w:r>
    </w:p>
    <w:p w14:paraId="69EAD23E">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第五条  监督检查</w:t>
      </w:r>
    </w:p>
    <w:p w14:paraId="58F50E0F">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甲乙双方的廉洁从业行为由双方或双方上级单位的纪检、监察负责监督，对本协议履行情况进行检查。</w:t>
      </w:r>
    </w:p>
    <w:p w14:paraId="5E6DD8F7">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第六条  举报信访受理</w:t>
      </w:r>
    </w:p>
    <w:p w14:paraId="5804DEC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（一）举报受理部门: </w:t>
      </w:r>
      <w:r>
        <w:rPr>
          <w:rFonts w:hint="eastAsia" w:ascii="宋体" w:hAnsi="宋体" w:eastAsia="宋体" w:cs="宋体"/>
          <w:szCs w:val="21"/>
          <w:highlight w:val="none"/>
          <w:lang w:eastAsia="zh-CN"/>
        </w:rPr>
        <w:t>东莞市水务环境投资控股集团有限公司</w:t>
      </w:r>
      <w:r>
        <w:rPr>
          <w:rFonts w:hint="eastAsia" w:ascii="宋体" w:hAnsi="宋体" w:eastAsia="宋体" w:cs="宋体"/>
          <w:szCs w:val="21"/>
          <w:highlight w:val="none"/>
        </w:rPr>
        <w:t>纪检监察部。</w:t>
      </w:r>
    </w:p>
    <w:p w14:paraId="22413B8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（二）举报电话: ( 0769 ) 23076092</w:t>
      </w:r>
    </w:p>
    <w:p w14:paraId="77DC7000">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（三）举报邮箱:jcs</w:t>
      </w:r>
      <w:r>
        <w:rPr>
          <w:rFonts w:hint="eastAsia" w:ascii="宋体" w:hAnsi="宋体" w:eastAsia="宋体" w:cs="宋体"/>
          <w:szCs w:val="21"/>
          <w:highlight w:val="none"/>
          <w:lang w:val="en-US" w:eastAsia="zh-CN"/>
        </w:rPr>
        <w:t>j</w:t>
      </w:r>
      <w:r>
        <w:rPr>
          <w:rFonts w:hint="eastAsia" w:ascii="宋体" w:hAnsi="宋体" w:eastAsia="宋体" w:cs="宋体"/>
          <w:szCs w:val="21"/>
          <w:highlight w:val="none"/>
        </w:rPr>
        <w:t>@dgsw</w:t>
      </w:r>
      <w:r>
        <w:rPr>
          <w:rFonts w:hint="eastAsia" w:ascii="宋体" w:hAnsi="宋体" w:eastAsia="宋体" w:cs="宋体"/>
          <w:szCs w:val="21"/>
          <w:highlight w:val="none"/>
          <w:lang w:val="en-US" w:eastAsia="zh-CN"/>
        </w:rPr>
        <w:t>j</w:t>
      </w:r>
      <w:r>
        <w:rPr>
          <w:rFonts w:hint="eastAsia" w:ascii="宋体" w:hAnsi="宋体" w:eastAsia="宋体" w:cs="宋体"/>
          <w:szCs w:val="21"/>
          <w:highlight w:val="none"/>
        </w:rPr>
        <w:t>t.cn.</w:t>
      </w:r>
    </w:p>
    <w:p w14:paraId="77E11E6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（四）信访地址: 广东省东莞市东城街道育华路 1 号</w:t>
      </w:r>
    </w:p>
    <w:p w14:paraId="55D3E281">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第七条  其他</w:t>
      </w:r>
    </w:p>
    <w:p w14:paraId="7123B540">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本协议有效期为甲乙双方签字并加盖公章之日起至该工程/采购项目竣工验收完毕，质保期/服务期满后止。本协议一式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份，甲、乙双方各执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份，甲、乙双方上级监督部门各执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p>
    <w:p w14:paraId="5E98F5E3">
      <w:pPr>
        <w:autoSpaceDE w:val="0"/>
        <w:autoSpaceDN w:val="0"/>
        <w:adjustRightInd w:val="0"/>
        <w:spacing w:line="360" w:lineRule="auto"/>
        <w:rPr>
          <w:rFonts w:hint="eastAsia" w:ascii="宋体" w:hAnsi="宋体" w:eastAsia="宋体" w:cs="宋体"/>
          <w:szCs w:val="21"/>
          <w:highlight w:val="none"/>
        </w:rPr>
      </w:pPr>
    </w:p>
    <w:p w14:paraId="29965951">
      <w:pPr>
        <w:autoSpaceDE w:val="0"/>
        <w:autoSpaceDN w:val="0"/>
        <w:adjustRightInd w:val="0"/>
        <w:spacing w:line="360" w:lineRule="auto"/>
        <w:rPr>
          <w:rFonts w:hint="eastAsia" w:ascii="宋体" w:hAnsi="宋体" w:eastAsia="宋体" w:cs="宋体"/>
          <w:szCs w:val="21"/>
          <w:highlight w:val="none"/>
        </w:rPr>
      </w:pPr>
    </w:p>
    <w:p w14:paraId="71ED2015">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甲方（盖章）：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乙方（盖章）： </w:t>
      </w:r>
    </w:p>
    <w:p w14:paraId="3E7F4A11">
      <w:pPr>
        <w:autoSpaceDE w:val="0"/>
        <w:autoSpaceDN w:val="0"/>
        <w:adjustRightInd w:val="0"/>
        <w:spacing w:line="360" w:lineRule="auto"/>
        <w:rPr>
          <w:rFonts w:ascii="宋体" w:hAnsi="宋体" w:eastAsia="宋体" w:cs="宋体"/>
          <w:szCs w:val="21"/>
          <w:highlight w:val="none"/>
        </w:rPr>
      </w:pPr>
    </w:p>
    <w:p w14:paraId="5CE23A02">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法定代表人：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法定代表人：</w:t>
      </w:r>
    </w:p>
    <w:p w14:paraId="520F4E14">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甲方代表：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乙方代表：</w:t>
      </w:r>
    </w:p>
    <w:p w14:paraId="5DB87A01">
      <w:pPr>
        <w:autoSpaceDE w:val="0"/>
        <w:autoSpaceDN w:val="0"/>
        <w:adjustRightInd w:val="0"/>
        <w:spacing w:line="360" w:lineRule="auto"/>
        <w:rPr>
          <w:rFonts w:ascii="宋体" w:hAnsi="宋体" w:eastAsia="宋体" w:cs="宋体"/>
          <w:szCs w:val="21"/>
          <w:highlight w:val="none"/>
        </w:rPr>
      </w:pPr>
    </w:p>
    <w:p w14:paraId="2E4DB131">
      <w:pPr>
        <w:autoSpaceDE w:val="0"/>
        <w:autoSpaceDN w:val="0"/>
        <w:adjustRightInd w:val="0"/>
        <w:snapToGrid w:val="0"/>
        <w:spacing w:beforeLines="0" w:afterLines="0" w:line="360" w:lineRule="auto"/>
        <w:jc w:val="center"/>
        <w:rPr>
          <w:rFonts w:hint="default" w:ascii="宋体" w:hAnsi="宋体" w:eastAsia="宋体"/>
          <w:color w:val="auto"/>
          <w:kern w:val="0"/>
          <w:sz w:val="24"/>
          <w:szCs w:val="24"/>
          <w:highlight w:val="none"/>
        </w:rPr>
      </w:pPr>
      <w:r>
        <w:rPr>
          <w:rFonts w:hint="eastAsia" w:ascii="宋体" w:hAnsi="宋体" w:eastAsia="宋体" w:cs="宋体"/>
          <w:szCs w:val="21"/>
          <w:highlight w:val="none"/>
        </w:rPr>
        <w:t>签订日期：   年  月  日             年  月  日</w:t>
      </w:r>
    </w:p>
    <w:p w14:paraId="2FBD7821">
      <w:pPr>
        <w:autoSpaceDE w:val="0"/>
        <w:autoSpaceDN w:val="0"/>
        <w:adjustRightInd w:val="0"/>
        <w:snapToGrid w:val="0"/>
        <w:spacing w:beforeLines="0" w:afterLines="0" w:line="360" w:lineRule="auto"/>
        <w:jc w:val="center"/>
        <w:rPr>
          <w:rFonts w:hint="default" w:ascii="宋体" w:hAnsi="宋体" w:eastAsia="宋体"/>
          <w:color w:val="auto"/>
          <w:kern w:val="0"/>
          <w:sz w:val="24"/>
          <w:szCs w:val="24"/>
          <w:highlight w:val="none"/>
        </w:rPr>
      </w:pPr>
    </w:p>
    <w:p w14:paraId="229D026E">
      <w:pPr>
        <w:spacing w:beforeLines="0" w:afterLines="0"/>
        <w:rPr>
          <w:rFonts w:hint="default" w:ascii="宋体" w:hAnsi="宋体" w:eastAsia="宋体" w:cs="宋体"/>
          <w:color w:val="auto"/>
          <w:kern w:val="0"/>
          <w:sz w:val="21"/>
          <w:szCs w:val="21"/>
          <w:highlight w:val="none"/>
        </w:rPr>
      </w:pPr>
    </w:p>
    <w:p w14:paraId="23F09B6B">
      <w:pP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br w:type="page"/>
      </w:r>
    </w:p>
    <w:p w14:paraId="2C5C2E56">
      <w:pPr>
        <w:spacing w:line="480" w:lineRule="auto"/>
        <w:ind w:right="31" w:rightChars="15"/>
        <w:jc w:val="both"/>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附件5：保密和纪律协议</w:t>
      </w:r>
    </w:p>
    <w:p w14:paraId="00580EEF">
      <w:pPr>
        <w:spacing w:line="480" w:lineRule="auto"/>
        <w:ind w:right="31" w:rightChars="15"/>
        <w:jc w:val="center"/>
        <w:rPr>
          <w:rFonts w:hint="eastAsia" w:ascii="宋体" w:hAnsi="宋体" w:eastAsia="宋体" w:cs="宋体"/>
          <w:b/>
          <w:sz w:val="28"/>
          <w:szCs w:val="44"/>
          <w:highlight w:val="none"/>
          <w:lang w:val="en-US" w:eastAsia="zh-CN"/>
        </w:rPr>
      </w:pPr>
      <w:r>
        <w:rPr>
          <w:rFonts w:hint="eastAsia" w:ascii="宋体" w:hAnsi="宋体" w:eastAsia="宋体" w:cs="宋体"/>
          <w:b/>
          <w:sz w:val="28"/>
          <w:szCs w:val="44"/>
          <w:highlight w:val="none"/>
          <w:lang w:val="en-US" w:eastAsia="zh-CN"/>
        </w:rPr>
        <w:t>保密和纪律协议</w:t>
      </w:r>
    </w:p>
    <w:p w14:paraId="644383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14:paraId="7DB9E2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甲方（采购方）：</w:t>
      </w:r>
      <w:r>
        <w:rPr>
          <w:rFonts w:hint="eastAsia" w:ascii="宋体" w:hAnsi="宋体" w:eastAsia="宋体" w:cs="宋体"/>
          <w:szCs w:val="21"/>
          <w:highlight w:val="none"/>
          <w:lang w:eastAsia="zh-CN"/>
        </w:rPr>
        <w:t>东莞市水务环境投资控股集团有限公司</w:t>
      </w:r>
    </w:p>
    <w:p w14:paraId="2CE6AB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乙方（服务方）：</w:t>
      </w:r>
    </w:p>
    <w:p w14:paraId="0C9BC8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14:paraId="1B8712BC">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甲乙双方于    年    月    日签订了《东莞市水务环境投资控股集团有限公司采购代理协议服务合同》合同（下称原合同），约定由乙方为甲方提供</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服务。</w:t>
      </w:r>
      <w:r>
        <w:rPr>
          <w:rFonts w:hint="eastAsia" w:ascii="宋体" w:hAnsi="宋体" w:eastAsia="宋体" w:cs="宋体"/>
          <w:b/>
          <w:bCs/>
          <w:sz w:val="21"/>
          <w:szCs w:val="21"/>
          <w:highlight w:val="none"/>
          <w:lang w:val="en-US" w:eastAsia="zh-CN"/>
        </w:rPr>
        <w:t>乙方在履行原合同过程中应当遵守保密义务，依据原合同条款内容，再次强调如下：</w:t>
      </w:r>
    </w:p>
    <w:p w14:paraId="0173DDAE">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一、乙方应在依法维护社会公众利益的基础上，对招标人负责，勤勉认真、尽职尽责地履行全部代理服务工作和承诺的义务，并恪守职业道德、廉洁自律。</w:t>
      </w:r>
    </w:p>
    <w:p w14:paraId="04E233F1">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二、乙方应保守在代理服务过程中知悉的国家秘密、商业和技术秘密， 以及其他依据法律法规要求或招标代理合同约定应当保密的信息。</w:t>
      </w:r>
    </w:p>
    <w:p w14:paraId="7D289625">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乙方应对招标人委托的项目内容予以严格保密。在代理服务过程中，任何所涉及招标人商业或技术秘密的文件，未经招标人书面同意，乙方不能泄露给任何第三方；在完成代理项目后，未经招标人书面同意，乙方不得留存属于招标人商业或技术秘密等相关文件。</w:t>
      </w:r>
    </w:p>
    <w:p w14:paraId="05538FDE">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乙方违反规定泄露应当保密的与招标活动有关的情况和资料或在所代理的招标项目中投标，代理投标或者向该项目投标人（供应商）提供投标（响应）咨询的，甲方有权单方终止其协议服务资格并解除服务合同且没收其履约担保。</w:t>
      </w:r>
    </w:p>
    <w:p w14:paraId="10295BC1">
      <w:pPr>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28"/>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现经甲乙双方协商，就乙方在履行原合同过程中应当遵守的保密义务和纪律要求，补充约定如下：</w:t>
      </w:r>
    </w:p>
    <w:p w14:paraId="0D669FE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在服务期间必须遵守《中华人民共和国保守国家秘密法》《中华人民共和国保守国家秘密法实施办法》《中华人民共和国反不正当竞争法》《中华人民共和国招标投标法》《中华人民共和国招标投标法实施条例》《中华人民共和国政府采购法》的要求。</w:t>
      </w:r>
    </w:p>
    <w:p w14:paraId="2609A7F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保证对其在服务过程中所获悉的属于甲方（甲方属下公司）的且无法从公开渠道获得的文件资料及项目信息予以严格保密并应采取相应的保密措施，保证其自身及工作人员不私自使用或向任何第三方泄露。未经甲方书面同意乙方不得擅自修改、复制或向任何第三人转让或用于原合同项目外的项目。</w:t>
      </w:r>
    </w:p>
    <w:p w14:paraId="337DA01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乙方保证其在服务过程中不得以任何形式传播不利于项目采购人的信息以及项目非公开的信息。</w:t>
      </w:r>
    </w:p>
    <w:p w14:paraId="7FBBE46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保密期限自原合同生效之日起至保密信息（甲方文件、技术资料等）成为公开信息（即向公众披露或为公众所知悉）之日止，原合同的终止、解除、撤销或无效均不影响本补充协议对乙方的约束力。</w:t>
      </w:r>
    </w:p>
    <w:p w14:paraId="7EAE8D3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存在以下行为之一的，甲方有权单方面解除本合同，乙方接受甲方单方面解除原合同及没收乙方全部履约保证金，五年内（解除本合同起）乙方不得参与东莞市水务集团有限公司及其子（分）公司的招标采购代理业务：</w:t>
      </w:r>
    </w:p>
    <w:p w14:paraId="056F9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（一）乙方被司法、仲裁机构或行政部门认定涉及参与围标串标的；</w:t>
      </w:r>
    </w:p>
    <w:p w14:paraId="0FD0AB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（二）乙方操纵或意图操纵本项目投标结果的；</w:t>
      </w:r>
    </w:p>
    <w:p w14:paraId="163113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（三）乙方与投标人合谋，损害甲方利益的；</w:t>
      </w:r>
    </w:p>
    <w:p w14:paraId="636420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（四）乙方向本项目投标人收取任何名义费用，收受投标人任何形式利益的；</w:t>
      </w:r>
    </w:p>
    <w:p w14:paraId="4AE87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（五）乙方在本项目代理行为中获取不当利益的；</w:t>
      </w:r>
    </w:p>
    <w:p w14:paraId="2A1B5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（六）乙方向无关人员透露本项目评标委员会成员信息的；</w:t>
      </w:r>
    </w:p>
    <w:p w14:paraId="26B17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（七）乙方明示或暗示本项目评标委员会成员对投标人偏向性评分的；</w:t>
      </w:r>
    </w:p>
    <w:p w14:paraId="6B0ED9A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乙方不得明示或暗示、劝退、排斥潜在投标人。</w:t>
      </w:r>
    </w:p>
    <w:p w14:paraId="4A9ABE8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乙方不得偏袒或歧视任何投标人或供应商。</w:t>
      </w:r>
    </w:p>
    <w:p w14:paraId="030094C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乙方不得参与不正当竞争行为，包括但不限于贿赂、假冒、串通等行为。</w:t>
      </w:r>
    </w:p>
    <w:p w14:paraId="364DFC9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乙方不得向供应商或投标人发表带有倾向性、误导性的言论。</w:t>
      </w:r>
    </w:p>
    <w:p w14:paraId="45895ED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补充协议自双方签字盖章之日起生效。本补充协议作为原合同的补充，与原合同具有同等效力，乙方未履行本协议或违反本协议有关要求均应视为违约，应当承担原合同的违约责任。本补充协议未约定的，双方按照原合同履行。</w:t>
      </w:r>
    </w:p>
    <w:p w14:paraId="5EFFA2C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本补充协议一式六份，双方各执三份，均具同等效力。</w:t>
      </w:r>
    </w:p>
    <w:p w14:paraId="77AB72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textAlignment w:val="auto"/>
        <w:rPr>
          <w:rFonts w:hint="eastAsia" w:ascii="宋体" w:hAnsi="宋体" w:eastAsia="宋体" w:cs="宋体"/>
          <w:sz w:val="21"/>
          <w:szCs w:val="21"/>
          <w:highlight w:val="none"/>
          <w:lang w:val="en-US" w:eastAsia="zh-CN"/>
        </w:rPr>
      </w:pPr>
    </w:p>
    <w:p w14:paraId="5606D3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甲方：</w:t>
      </w:r>
    </w:p>
    <w:p w14:paraId="24B935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w:t>
      </w:r>
    </w:p>
    <w:p w14:paraId="20A705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1"/>
          <w:szCs w:val="21"/>
          <w:highlight w:val="none"/>
          <w:lang w:val="en-US" w:eastAsia="zh-CN"/>
        </w:rPr>
      </w:pPr>
    </w:p>
    <w:p w14:paraId="60C8A0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w:t>
      </w:r>
    </w:p>
    <w:p w14:paraId="48A56D9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w:t>
      </w:r>
    </w:p>
    <w:p w14:paraId="0A833E8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14:paraId="6B3E55C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签订日期：</w:t>
      </w:r>
    </w:p>
    <w:p w14:paraId="49B70C5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签订地点：</w:t>
      </w:r>
    </w:p>
    <w:p w14:paraId="6095E166">
      <w:pPr>
        <w:rPr>
          <w:highlight w:val="none"/>
        </w:rPr>
      </w:pPr>
    </w:p>
    <w:p w14:paraId="28DFEDDA">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p>
    <w:p w14:paraId="26DD80ED">
      <w:pPr>
        <w:rPr>
          <w:rFonts w:hint="eastAsia" w:ascii="宋体" w:hAnsi="宋体" w:eastAsia="宋体"/>
          <w:b/>
          <w:bCs/>
          <w:color w:val="auto"/>
          <w:kern w:val="0"/>
          <w:sz w:val="24"/>
          <w:szCs w:val="24"/>
          <w:highlight w:val="none"/>
          <w:lang w:val="en-US" w:eastAsia="zh-CN"/>
        </w:rPr>
      </w:pPr>
      <w:r>
        <w:rPr>
          <w:rFonts w:hint="eastAsia" w:ascii="宋体" w:hAnsi="宋体" w:eastAsia="宋体"/>
          <w:b/>
          <w:bCs/>
          <w:color w:val="auto"/>
          <w:kern w:val="0"/>
          <w:sz w:val="24"/>
          <w:szCs w:val="24"/>
          <w:highlight w:val="none"/>
          <w:lang w:val="en-US" w:eastAsia="zh-CN"/>
        </w:rPr>
        <w:t>4-2 采购代理合同（标段一）</w:t>
      </w:r>
    </w:p>
    <w:p w14:paraId="76F9AC03">
      <w:pPr>
        <w:jc w:val="center"/>
        <w:rPr>
          <w:rFonts w:hint="eastAsia" w:ascii="宋体" w:hAnsi="宋体" w:eastAsia="宋体" w:cs="宋体"/>
          <w:b/>
          <w:sz w:val="72"/>
          <w:szCs w:val="72"/>
          <w:highlight w:val="none"/>
        </w:rPr>
      </w:pPr>
    </w:p>
    <w:p w14:paraId="241C7A70">
      <w:pPr>
        <w:jc w:val="center"/>
        <w:rPr>
          <w:rFonts w:hint="eastAsia" w:ascii="宋体" w:hAnsi="宋体" w:eastAsia="宋体" w:cs="宋体"/>
          <w:b/>
          <w:sz w:val="72"/>
          <w:szCs w:val="72"/>
          <w:highlight w:val="none"/>
        </w:rPr>
      </w:pPr>
    </w:p>
    <w:p w14:paraId="7F8D01D8">
      <w:pPr>
        <w:jc w:val="center"/>
        <w:rPr>
          <w:rFonts w:hint="eastAsia" w:ascii="宋体" w:hAnsi="宋体" w:eastAsia="宋体" w:cs="宋体"/>
          <w:b/>
          <w:sz w:val="72"/>
          <w:szCs w:val="72"/>
          <w:highlight w:val="none"/>
        </w:rPr>
      </w:pPr>
    </w:p>
    <w:p w14:paraId="5D5DB10A">
      <w:pPr>
        <w:jc w:val="center"/>
        <w:rPr>
          <w:rFonts w:hint="eastAsia" w:ascii="宋体" w:hAnsi="宋体" w:eastAsia="宋体" w:cs="宋体"/>
          <w:b/>
          <w:sz w:val="72"/>
          <w:szCs w:val="72"/>
          <w:highlight w:val="none"/>
        </w:rPr>
      </w:pPr>
    </w:p>
    <w:p w14:paraId="31142545">
      <w:pPr>
        <w:jc w:val="center"/>
        <w:rPr>
          <w:rFonts w:hint="eastAsia" w:ascii="宋体" w:hAnsi="宋体" w:eastAsia="宋体" w:cs="宋体"/>
          <w:b/>
          <w:sz w:val="72"/>
          <w:szCs w:val="72"/>
          <w:highlight w:val="none"/>
        </w:rPr>
      </w:pPr>
    </w:p>
    <w:p w14:paraId="566F47A2">
      <w:pPr>
        <w:jc w:val="center"/>
        <w:rPr>
          <w:rFonts w:ascii="宋体" w:hAnsi="宋体" w:eastAsia="宋体" w:cs="宋体"/>
          <w:b/>
          <w:sz w:val="72"/>
          <w:szCs w:val="72"/>
          <w:highlight w:val="none"/>
        </w:rPr>
      </w:pPr>
      <w:r>
        <w:rPr>
          <w:rFonts w:hint="eastAsia" w:ascii="宋体" w:hAnsi="宋体" w:eastAsia="宋体" w:cs="宋体"/>
          <w:b/>
          <w:sz w:val="72"/>
          <w:szCs w:val="72"/>
          <w:highlight w:val="none"/>
        </w:rPr>
        <w:t>采购代理合同</w:t>
      </w:r>
    </w:p>
    <w:p w14:paraId="3C47A6F2">
      <w:pPr>
        <w:jc w:val="center"/>
        <w:rPr>
          <w:rFonts w:ascii="宋体" w:hAnsi="宋体" w:eastAsia="宋体" w:cs="宋体"/>
          <w:b/>
          <w:sz w:val="32"/>
          <w:highlight w:val="none"/>
        </w:rPr>
      </w:pPr>
    </w:p>
    <w:p w14:paraId="1823A62F">
      <w:pPr>
        <w:jc w:val="center"/>
        <w:rPr>
          <w:rFonts w:ascii="宋体" w:hAnsi="宋体" w:eastAsia="宋体" w:cs="宋体"/>
          <w:b/>
          <w:sz w:val="32"/>
          <w:highlight w:val="none"/>
        </w:rPr>
      </w:pPr>
    </w:p>
    <w:p w14:paraId="70C65EC8">
      <w:pPr>
        <w:jc w:val="center"/>
        <w:rPr>
          <w:rFonts w:ascii="宋体" w:hAnsi="宋体" w:eastAsia="宋体" w:cs="宋体"/>
          <w:b/>
          <w:sz w:val="32"/>
          <w:highlight w:val="none"/>
        </w:rPr>
      </w:pPr>
    </w:p>
    <w:p w14:paraId="538F7B0E">
      <w:pPr>
        <w:jc w:val="center"/>
        <w:rPr>
          <w:rFonts w:ascii="宋体" w:hAnsi="宋体" w:eastAsia="宋体" w:cs="宋体"/>
          <w:b/>
          <w:sz w:val="32"/>
          <w:highlight w:val="none"/>
        </w:rPr>
      </w:pPr>
    </w:p>
    <w:p w14:paraId="02ACD6B1">
      <w:pPr>
        <w:spacing w:line="480" w:lineRule="auto"/>
        <w:ind w:firstLine="1606" w:firstLineChars="500"/>
        <w:rPr>
          <w:rFonts w:ascii="宋体" w:hAnsi="宋体" w:eastAsia="宋体" w:cs="宋体"/>
          <w:b/>
          <w:sz w:val="32"/>
          <w:szCs w:val="32"/>
          <w:highlight w:val="none"/>
          <w:u w:val="single"/>
        </w:rPr>
      </w:pPr>
      <w:r>
        <w:rPr>
          <w:rFonts w:hint="eastAsia" w:ascii="宋体" w:hAnsi="宋体" w:eastAsia="宋体" w:cs="宋体"/>
          <w:b/>
          <w:sz w:val="32"/>
          <w:szCs w:val="32"/>
          <w:highlight w:val="none"/>
        </w:rPr>
        <w:t>项目名称：</w:t>
      </w:r>
      <w:r>
        <w:rPr>
          <w:rFonts w:hint="eastAsia" w:ascii="宋体" w:hAnsi="宋体" w:eastAsia="宋体" w:cs="宋体"/>
          <w:b/>
          <w:sz w:val="32"/>
          <w:szCs w:val="32"/>
          <w:highlight w:val="none"/>
          <w:u w:val="single"/>
        </w:rPr>
        <w:t xml:space="preserve">                     </w:t>
      </w:r>
    </w:p>
    <w:p w14:paraId="4E9D795C">
      <w:pPr>
        <w:spacing w:line="480" w:lineRule="auto"/>
        <w:ind w:firstLine="1606" w:firstLineChars="500"/>
        <w:rPr>
          <w:rFonts w:ascii="宋体" w:hAnsi="宋体" w:eastAsia="宋体" w:cs="宋体"/>
          <w:b/>
          <w:sz w:val="32"/>
          <w:szCs w:val="32"/>
          <w:highlight w:val="none"/>
        </w:rPr>
      </w:pPr>
      <w:r>
        <w:rPr>
          <w:rFonts w:hint="eastAsia" w:ascii="宋体" w:hAnsi="宋体" w:eastAsia="宋体" w:cs="宋体"/>
          <w:b/>
          <w:sz w:val="32"/>
          <w:szCs w:val="32"/>
          <w:highlight w:val="none"/>
        </w:rPr>
        <w:t>委 托 方：</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rPr>
        <w:t xml:space="preserve">        </w:t>
      </w:r>
    </w:p>
    <w:p w14:paraId="655BFB71">
      <w:pPr>
        <w:spacing w:line="480" w:lineRule="auto"/>
        <w:ind w:firstLine="1606" w:firstLineChars="500"/>
        <w:rPr>
          <w:rFonts w:ascii="宋体" w:hAnsi="宋体" w:eastAsia="宋体" w:cs="宋体"/>
          <w:b/>
          <w:sz w:val="32"/>
          <w:szCs w:val="32"/>
          <w:highlight w:val="none"/>
        </w:rPr>
      </w:pPr>
      <w:r>
        <w:rPr>
          <w:rFonts w:hint="eastAsia" w:ascii="宋体" w:hAnsi="宋体" w:eastAsia="宋体" w:cs="宋体"/>
          <w:b/>
          <w:sz w:val="32"/>
          <w:szCs w:val="32"/>
          <w:highlight w:val="none"/>
        </w:rPr>
        <w:t>受 托 方：</w:t>
      </w:r>
      <w:r>
        <w:rPr>
          <w:rFonts w:hint="eastAsia" w:ascii="宋体" w:hAnsi="宋体" w:eastAsia="宋体" w:cs="宋体"/>
          <w:b/>
          <w:sz w:val="32"/>
          <w:szCs w:val="32"/>
          <w:highlight w:val="none"/>
          <w:u w:val="single"/>
        </w:rPr>
        <w:t xml:space="preserve">                     </w:t>
      </w:r>
    </w:p>
    <w:p w14:paraId="06550D29">
      <w:pPr>
        <w:spacing w:line="480" w:lineRule="auto"/>
        <w:rPr>
          <w:rFonts w:ascii="宋体" w:hAnsi="宋体" w:eastAsia="宋体" w:cs="宋体"/>
          <w:b/>
          <w:szCs w:val="21"/>
          <w:highlight w:val="none"/>
        </w:rPr>
      </w:pPr>
      <w:r>
        <w:rPr>
          <w:rFonts w:hint="eastAsia" w:ascii="宋体" w:hAnsi="宋体" w:eastAsia="宋体" w:cs="宋体"/>
          <w:b/>
          <w:szCs w:val="21"/>
          <w:highlight w:val="none"/>
        </w:rPr>
        <w:t xml:space="preserve">   </w:t>
      </w:r>
    </w:p>
    <w:p w14:paraId="428A1D67">
      <w:pPr>
        <w:spacing w:line="360" w:lineRule="auto"/>
        <w:rPr>
          <w:rFonts w:ascii="宋体" w:hAnsi="宋体" w:eastAsia="宋体" w:cs="宋体"/>
          <w:b/>
          <w:szCs w:val="21"/>
          <w:highlight w:val="none"/>
        </w:rPr>
      </w:pPr>
    </w:p>
    <w:p w14:paraId="30D13CE7">
      <w:pPr>
        <w:spacing w:line="360" w:lineRule="auto"/>
        <w:rPr>
          <w:rFonts w:ascii="宋体" w:hAnsi="宋体" w:eastAsia="宋体" w:cs="宋体"/>
          <w:b/>
          <w:szCs w:val="21"/>
          <w:highlight w:val="none"/>
        </w:rPr>
      </w:pPr>
    </w:p>
    <w:p w14:paraId="144F9AFD">
      <w:pPr>
        <w:spacing w:line="360" w:lineRule="auto"/>
        <w:rPr>
          <w:rFonts w:ascii="宋体" w:hAnsi="宋体" w:eastAsia="宋体" w:cs="宋体"/>
          <w:b/>
          <w:szCs w:val="21"/>
          <w:highlight w:val="none"/>
        </w:rPr>
      </w:pPr>
    </w:p>
    <w:p w14:paraId="040FFD09">
      <w:pPr>
        <w:spacing w:line="360" w:lineRule="auto"/>
        <w:rPr>
          <w:rFonts w:ascii="宋体" w:hAnsi="宋体" w:eastAsia="宋体" w:cs="宋体"/>
          <w:b/>
          <w:szCs w:val="21"/>
          <w:highlight w:val="none"/>
        </w:rPr>
      </w:pPr>
    </w:p>
    <w:p w14:paraId="3F7D58D8">
      <w:pPr>
        <w:spacing w:line="360" w:lineRule="auto"/>
        <w:rPr>
          <w:rFonts w:ascii="宋体" w:hAnsi="宋体" w:eastAsia="宋体" w:cs="宋体"/>
          <w:b/>
          <w:szCs w:val="21"/>
          <w:highlight w:val="none"/>
        </w:rPr>
      </w:pPr>
    </w:p>
    <w:p w14:paraId="6CEC645A">
      <w:pPr>
        <w:pStyle w:val="16"/>
        <w:rPr>
          <w:rFonts w:ascii="宋体" w:hAnsi="宋体" w:eastAsia="宋体" w:cs="宋体"/>
          <w:b/>
          <w:color w:val="auto"/>
          <w:szCs w:val="21"/>
          <w:highlight w:val="none"/>
        </w:rPr>
      </w:pPr>
    </w:p>
    <w:p w14:paraId="29751407">
      <w:pPr>
        <w:rPr>
          <w:rFonts w:ascii="宋体" w:hAnsi="宋体" w:eastAsia="宋体" w:cs="宋体"/>
          <w:b/>
          <w:szCs w:val="21"/>
          <w:highlight w:val="none"/>
        </w:rPr>
      </w:pPr>
    </w:p>
    <w:p w14:paraId="2CE93536">
      <w:pPr>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14:paraId="5404A87F">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委托方（以下简称甲方）：</w:t>
      </w:r>
      <w:r>
        <w:rPr>
          <w:rFonts w:hint="eastAsia" w:ascii="宋体" w:hAnsi="宋体" w:eastAsia="宋体" w:cs="宋体"/>
          <w:sz w:val="21"/>
          <w:szCs w:val="21"/>
          <w:highlight w:val="none"/>
          <w:u w:val="single"/>
        </w:rPr>
        <w:t xml:space="preserve">                                 </w:t>
      </w:r>
    </w:p>
    <w:p w14:paraId="392FD61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受托方（以下简称乙方）：</w:t>
      </w:r>
      <w:r>
        <w:rPr>
          <w:rFonts w:hint="eastAsia" w:ascii="宋体" w:hAnsi="宋体" w:eastAsia="宋体" w:cs="宋体"/>
          <w:sz w:val="21"/>
          <w:szCs w:val="21"/>
          <w:highlight w:val="none"/>
          <w:u w:val="single"/>
        </w:rPr>
        <w:t xml:space="preserve">                                 </w:t>
      </w:r>
    </w:p>
    <w:p w14:paraId="5112BB9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highlight w:val="none"/>
        </w:rPr>
      </w:pPr>
    </w:p>
    <w:p w14:paraId="1701C8A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根据《中华人民共和国民法典》、《中华人民共和国招标投标法》以其实施条例等相关法律、法规，遵循公平、公正、平等、自愿和诚实信用的原则，双方就甲方委托乙方代理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项目采购事项协商一致，订立本合同。</w:t>
      </w:r>
      <w:r>
        <w:rPr>
          <w:rFonts w:hint="eastAsia" w:ascii="宋体" w:hAnsi="宋体" w:eastAsia="宋体" w:cs="宋体"/>
          <w:sz w:val="21"/>
          <w:szCs w:val="21"/>
          <w:highlight w:val="none"/>
        </w:rPr>
        <w:tab/>
      </w:r>
    </w:p>
    <w:p w14:paraId="1F44AFF4">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第一条 委托项目概况</w:t>
      </w:r>
    </w:p>
    <w:p w14:paraId="4390B966">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1、项目名称：</w:t>
      </w:r>
    </w:p>
    <w:p w14:paraId="2690CD2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2、资金性质：</w:t>
      </w:r>
    </w:p>
    <w:p w14:paraId="7FDC819E">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3、采购标的额（</w:t>
      </w: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 xml:space="preserve">不含税 </w:t>
      </w: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含税）：</w:t>
      </w:r>
    </w:p>
    <w:p w14:paraId="53150ACB">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4、采购方式：</w:t>
      </w:r>
    </w:p>
    <w:p w14:paraId="42EF293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5、采购代理业务的服务范围：项目采购全过程的代理，包括但不限于：</w:t>
      </w:r>
    </w:p>
    <w:p w14:paraId="6C586E7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（1）对项目全过程进行统筹规划，对采购项目提出合理化建议、协助采购人复核招标采购基本条件并开展采购需求调查；</w:t>
      </w:r>
    </w:p>
    <w:p w14:paraId="4E88E59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（2）发布招标计划（如需）；</w:t>
      </w:r>
    </w:p>
    <w:p w14:paraId="181F3EE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（3）编制采购文件及合同；</w:t>
      </w:r>
    </w:p>
    <w:p w14:paraId="6B85DC80">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（4）办理行业监督部门采购文件核备手续（如需），提出招标申请，预订开标、评标场地；</w:t>
      </w:r>
    </w:p>
    <w:p w14:paraId="0F416885">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（5）发出投标邀请书或发布采购公告；</w:t>
      </w:r>
    </w:p>
    <w:p w14:paraId="300FE4F0">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（6）发布采购文件或发售采购文件；</w:t>
      </w:r>
    </w:p>
    <w:p w14:paraId="5573291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（7）协助采购人（或其下属企业）审查投标人（供应商）资格，答疑和整理答疑回复，对采购文件进行必要的澄清与修改；</w:t>
      </w:r>
    </w:p>
    <w:p w14:paraId="74F6461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（8）申请评标及评标专家抽取（采购人专家代表除外，非评审项目除外）；</w:t>
      </w:r>
    </w:p>
    <w:p w14:paraId="6D0034F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（9）申请及办理公证（监督部门或采购人有要求时）；</w:t>
      </w:r>
    </w:p>
    <w:p w14:paraId="6A3BF87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（10）接收投标（响应）文件（如有），组织开标、评标；</w:t>
      </w:r>
    </w:p>
    <w:p w14:paraId="5C21D52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（11）结果公示；</w:t>
      </w:r>
    </w:p>
    <w:p w14:paraId="7864EF0C">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（12）签发中标（成交）通知书；</w:t>
      </w:r>
    </w:p>
    <w:p w14:paraId="33050151">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（13）协助签订合同及征询合同双方意见进行修订并装订；</w:t>
      </w:r>
    </w:p>
    <w:p w14:paraId="6AD42EB3">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（14）合同公示；</w:t>
      </w:r>
    </w:p>
    <w:p w14:paraId="7EF13A4E">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（15）收取、退回投标保证金（如需）；</w:t>
      </w:r>
    </w:p>
    <w:p w14:paraId="0763C955">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（16）采购资料收集及移交，采购全过程资料整理（含档案数字化）和存档保管；</w:t>
      </w:r>
    </w:p>
    <w:p w14:paraId="4D6775D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（17）协助处理异议；</w:t>
      </w:r>
    </w:p>
    <w:p w14:paraId="148E2505">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（18）协助处理投诉或其他相关事务；</w:t>
      </w:r>
    </w:p>
    <w:p w14:paraId="2FF7E7D0">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（19）合同咨询及其他服务，包括处理采购项目后续工作、协助调解采购过程及采购合同实施过程中的争议，以及其他保证采购工作按时按质顺利进行的其他事项。</w:t>
      </w:r>
    </w:p>
    <w:p w14:paraId="3FBFA12C">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第二条 合同期限</w:t>
      </w:r>
    </w:p>
    <w:p w14:paraId="03345ACE">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从本合同签订生效之日起至甲乙双方实际、全面履行完本合同义务后，本合同终止。</w:t>
      </w:r>
    </w:p>
    <w:p w14:paraId="5677EB55">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第三条 甲方的权利</w:t>
      </w:r>
    </w:p>
    <w:p w14:paraId="56E30D7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1、有权参与采购的有关活动，对中标人（成交供应商）进行最终确定。</w:t>
      </w:r>
    </w:p>
    <w:p w14:paraId="0AC6A1F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2、有权要求乙方及时提供代理工作阶段性的进展情况说明/材料。</w:t>
      </w:r>
    </w:p>
    <w:p w14:paraId="189AB50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3、有权要求乙方更换不称职的人员或应回避的人员。</w:t>
      </w:r>
    </w:p>
    <w:p w14:paraId="4BE1DE55">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4、有权确定乙方的具体代理事项。</w:t>
      </w:r>
    </w:p>
    <w:p w14:paraId="27890DF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5、有权参加投标人（供应商）的资格审查和考察工作并有最终决定权。</w:t>
      </w:r>
    </w:p>
    <w:p w14:paraId="697A6EFC">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6、有权参加开标、评标以及评标委员会评标、定标的全过程工作，拥有最终决定权。</w:t>
      </w:r>
    </w:p>
    <w:p w14:paraId="2F72CEA6">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如甲方或有关监督部门发现乙方在代理活动中违反有关的法律、法规或采购程序的，甲方有权要求乙方限期纠正，拒不纠正的甲方有权解除合同，并有权要求乙方承担违约责任，给甲方造成损失的，乙方承担全部的赔偿责任。</w:t>
      </w:r>
    </w:p>
    <w:p w14:paraId="61D750E6">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8、甲方有权指定和更换乙方项目具体实施人员，乙方无正当理由不得拒绝。且甲方有权对乙方的代理活动进行不定期现场抽查，如发现有违约行为的，有权要求乙方纠正。</w:t>
      </w:r>
    </w:p>
    <w:p w14:paraId="5BF03C23">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9、合同期间，由于乙方不履行合同约定的内容，给甲方造成损失或影响采购工作正常进行的，甲方有权终止本合同，并依法向乙方追索经济赔偿，直至追究法律责任。</w:t>
      </w:r>
    </w:p>
    <w:p w14:paraId="7A056E17">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10、甲方有权要求乙方在法律法规、采购文件规定的情况下代甲方没收投标人（供应商）的投标保证金，乙方没收投标保证金后应在10个工作日内支付给甲方。</w:t>
      </w:r>
    </w:p>
    <w:p w14:paraId="21B0F93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11、其他根据合同及法律法规享有的权利。</w:t>
      </w:r>
    </w:p>
    <w:p w14:paraId="1FE986BD">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第四条 甲方的义务</w:t>
      </w:r>
    </w:p>
    <w:p w14:paraId="222FA19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1、委派一名联系代表协助配合乙方开展采购工作。</w:t>
      </w:r>
    </w:p>
    <w:p w14:paraId="05578A06">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2、向乙方提供采购项目的背景资料或文件等；在采购过程中，如投标人（供应商）对用户需求书存在异议的，负责协助乙方进行答复或澄清。</w:t>
      </w:r>
    </w:p>
    <w:p w14:paraId="73A8774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3、积极配合乙方处理投标人（供应商）异议、解答投标人（供应商）提出有关问题等工作。</w:t>
      </w:r>
    </w:p>
    <w:p w14:paraId="29625586">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4、协助采购过程中与有关管理部门的协调；尽可能向乙方提供便利条件，以保证采购工作顺利完成。</w:t>
      </w:r>
    </w:p>
    <w:p w14:paraId="5BDF48AE">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5、负责依照采购文件的规定确定中标人（成交供应商），向乙方出具确认函。</w:t>
      </w:r>
    </w:p>
    <w:p w14:paraId="37DAEAB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6、在采购文件规定的时间内，负责与中标人（成交供应商）签订书面合同。</w:t>
      </w:r>
    </w:p>
    <w:p w14:paraId="69CAEC0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7、参与采购活动全过程。</w:t>
      </w:r>
    </w:p>
    <w:p w14:paraId="7BF28A9A">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第五条 乙方的权利</w:t>
      </w:r>
    </w:p>
    <w:p w14:paraId="6DDB3BF3">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1、有权拒绝违反国家法律、法规和规章及不合规的人为干预。</w:t>
      </w:r>
    </w:p>
    <w:p w14:paraId="20BD378C">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2、依据国家有关法律法规的规定，在授权范围内办理项目的采购工作。</w:t>
      </w:r>
    </w:p>
    <w:p w14:paraId="33DD905E">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3、如甲方的某些条件和要求不符合现行的法律、法规或程序，有权向甲方提出建议修改。</w:t>
      </w:r>
    </w:p>
    <w:p w14:paraId="050A3915">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第六条 乙方的义务</w:t>
      </w:r>
    </w:p>
    <w:p w14:paraId="72CECF5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严格执行《中华人民共和国招标投标法》及其实施条例等法律法规的相关规定，保证采购程序、结果合法有效。采购过程中任何因违反法律、法规、规章及采购相关政策的责任，全部由乙方负责，并由乙方承担因此而产生的一切经济损失和赔偿责任。</w:t>
      </w:r>
    </w:p>
    <w:p w14:paraId="1231EFC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2、遵守法律、法规关于甲方的管理规定，严格遵循公开、公平、公正的工作原则。</w:t>
      </w:r>
    </w:p>
    <w:p w14:paraId="699FB2BB">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3、在采购过程中向甲方提供与项目采购有关的全方位法律、法规及政策咨询，包括纠正甲方在采购过程中的任何违反法律、法规及政策的行为，否则，因此而导致违法违规、采购无效等责任，全部由乙方负责。</w:t>
      </w:r>
    </w:p>
    <w:p w14:paraId="5D042DE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在委托授权范围内组织本项目的采购工作，为甲方提供优质的采购代理服务。未经甲方书面同意，不得将本合同所确定的采购代理服务转让至任何第三方，不得擅自就采购答疑、修改澄清及采购结果等实质内容对外作任何形式承诺或确定。乙方工作人员如与本采购项目潜在投标人（供应商）有任何利益关系应主动提出回避。</w:t>
      </w:r>
    </w:p>
    <w:p w14:paraId="2883E03C">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5、乙方在合同签署之日起7个工作日内完成采购文件初稿的编制，并保证采购文件的合法合规性、完整性、准确性。</w:t>
      </w:r>
    </w:p>
    <w:p w14:paraId="04AD17D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6、乙方应对甲方提供的用户需求书、招标控制价、图纸、清单等基础资料进行复核并提出合理化建议,并确保编制的采购文件与甲方提供的基础资料相匹配。</w:t>
      </w:r>
    </w:p>
    <w:p w14:paraId="3623FF9C">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7、制定采购工作的进度计划，严格按进度计划、采购文件及甲方的要求按时认真完成各项代理事项。</w:t>
      </w:r>
    </w:p>
    <w:p w14:paraId="1929A7EB">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8、负责组织实施采购工作，包括但不限于印刷、发售、解释或答疑采购文件的各项工作。</w:t>
      </w:r>
    </w:p>
    <w:p w14:paraId="5E34959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9、负责接受投标人（供应商）的投标（响应）文件，组织并主持开标。开标后，负责将开标记录书面送达甲方。</w:t>
      </w:r>
    </w:p>
    <w:p w14:paraId="3C2897D7">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10、负责组织采购项目的评标工作，邀请评审专家、澄清评标过程中所发现的投标（响应）文件中的有关问题等。必要时，负责邀请有关投标人（供应商）前来进行现场澄清。</w:t>
      </w:r>
    </w:p>
    <w:p w14:paraId="771A813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11、负责编制评标报告，向甲方及有关监督部门（如需）汇报评标结果，解答相关问题。</w:t>
      </w:r>
    </w:p>
    <w:p w14:paraId="23878035">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zh-CN"/>
        </w:rPr>
        <w:t>按采购文件、</w:t>
      </w:r>
      <w:r>
        <w:rPr>
          <w:rFonts w:hint="eastAsia" w:ascii="宋体" w:hAnsi="宋体" w:eastAsia="宋体" w:cs="宋体"/>
          <w:sz w:val="21"/>
          <w:szCs w:val="21"/>
          <w:highlight w:val="none"/>
        </w:rPr>
        <w:t>法律等规范性文件规定的</w:t>
      </w:r>
      <w:r>
        <w:rPr>
          <w:rFonts w:hint="eastAsia" w:ascii="宋体" w:hAnsi="宋体" w:eastAsia="宋体" w:cs="宋体"/>
          <w:sz w:val="21"/>
          <w:szCs w:val="21"/>
          <w:highlight w:val="none"/>
          <w:lang w:val="zh-CN"/>
        </w:rPr>
        <w:t>时间</w:t>
      </w:r>
      <w:r>
        <w:rPr>
          <w:rFonts w:hint="eastAsia" w:ascii="宋体" w:hAnsi="宋体" w:eastAsia="宋体" w:cs="宋体"/>
          <w:sz w:val="21"/>
          <w:szCs w:val="21"/>
          <w:highlight w:val="none"/>
        </w:rPr>
        <w:t>负责向投标人（供应商）收取和退还投标保证金。</w:t>
      </w:r>
    </w:p>
    <w:p w14:paraId="49A02A87">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13、负责向中标人（成交供应商）发送中标通知书（成交通知书），并将结果在法定期限内通知所有本项目未中标的投标人（供应商）。</w:t>
      </w:r>
    </w:p>
    <w:p w14:paraId="55EE8721">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14、在规定的时间起草采购项目合同。</w:t>
      </w:r>
    </w:p>
    <w:p w14:paraId="298F4A0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15、负责本采购项目相关的异议、投诉</w:t>
      </w:r>
      <w:r>
        <w:rPr>
          <w:rFonts w:hint="eastAsia" w:ascii="宋体" w:hAnsi="宋体" w:eastAsia="宋体" w:cs="宋体"/>
          <w:sz w:val="21"/>
          <w:szCs w:val="21"/>
          <w:highlight w:val="none"/>
          <w:lang w:val="zh-CN"/>
        </w:rPr>
        <w:t>、纠纷处理，并承担责任及后果。</w:t>
      </w:r>
    </w:p>
    <w:p w14:paraId="5DC9124E">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16、如采购项目未能确定中标人（成交供应商）的，应按甲方要求负责重新进行组织采购，直至确定中标人（成交供应商）。</w:t>
      </w:r>
    </w:p>
    <w:p w14:paraId="6479D1C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采购全过程资料整理（含档案数字化），包括但不限于整理及汇集采购、投标、开标、评标、定标等全过程书面资料（含编制对应的清单目录），并将采购文件电子资料、采购全过程书面资料扫描成PDF格式电子文档并储存于光盘，统一移交甲方，并保证PDF格式电子文档与书面材料一致。</w:t>
      </w:r>
    </w:p>
    <w:p w14:paraId="688F709C">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负责保存采购过程中的所有文件，在采购完成后向甲方移交副本，并保证副本与乙方留存的正本一致。乙方对资料的整理、存档、保管年限不低于《广东省政府采购项目档案管理暂行办法》&lt;粤财采购〔2004〕14号&gt;的要求。</w:t>
      </w:r>
    </w:p>
    <w:p w14:paraId="2FDF32A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19、对代理事项严格遵守保密义务，不得泄露采购过程中任何资料和情况。本合同的解除或终止后，乙方仍继续履行保密义务直至相关采购资料和情况被依法公开。</w:t>
      </w:r>
    </w:p>
    <w:p w14:paraId="15521088">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20、接受采购监督管理部门的监督管理。</w:t>
      </w:r>
    </w:p>
    <w:p w14:paraId="4A2A603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21、乙方应根据本合同约定的委托采购代理业务的工作范围和内容，选择有足够经验的专职技术经济人员担任采购代理项目负责人。</w:t>
      </w:r>
    </w:p>
    <w:p w14:paraId="6A03BB61">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22、乙方应对采购工作中甲方所出具的有关数据的计算、技术经济资料等的科学性和准确性负责。</w:t>
      </w:r>
    </w:p>
    <w:p w14:paraId="4C7970C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乙方为本合同提供技术服务和知识产权应属乙方专有。如第三方以本合同产品侵权为由提起诉讼，由乙方承担相应的法律责任；若因此造成甲方损失的，甲方有权向乙方追偿（包括且不限于律师费、诉讼费等）。</w:t>
      </w:r>
    </w:p>
    <w:p w14:paraId="656AF843">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24、依法应承担的其他义务。</w:t>
      </w:r>
    </w:p>
    <w:p w14:paraId="12BC2B4B">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第七条 合同价款及支付办法</w:t>
      </w:r>
    </w:p>
    <w:p w14:paraId="5D87DEA9">
      <w:pPr>
        <w:keepNext w:val="0"/>
        <w:keepLines w:val="0"/>
        <w:pageBreakBefore w:val="0"/>
        <w:widowControl w:val="0"/>
        <w:tabs>
          <w:tab w:val="left" w:pos="540"/>
        </w:tabs>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1、代理报酬暂</w:t>
      </w:r>
      <w:r>
        <w:rPr>
          <w:rFonts w:hint="eastAsia" w:ascii="宋体" w:hAnsi="宋体" w:eastAsia="宋体" w:cs="宋体"/>
          <w:i/>
          <w:iCs/>
          <w:sz w:val="21"/>
          <w:szCs w:val="21"/>
          <w:highlight w:val="none"/>
          <w:u w:val="single"/>
        </w:rPr>
        <w:t xml:space="preserve">以经批复的预算 </w:t>
      </w:r>
      <w:r>
        <w:rPr>
          <w:rFonts w:hint="eastAsia" w:ascii="宋体" w:hAnsi="宋体" w:eastAsia="宋体" w:cs="宋体"/>
          <w:sz w:val="21"/>
          <w:szCs w:val="21"/>
          <w:highlight w:val="none"/>
        </w:rPr>
        <w:t>为计费额，按本合同约定的标准和方法暂计为人民币【   】元，最终结算价</w:t>
      </w:r>
      <w:r>
        <w:rPr>
          <w:rFonts w:hint="eastAsia" w:ascii="宋体" w:hAnsi="宋体" w:eastAsia="宋体" w:cs="宋体"/>
          <w:i/>
          <w:iCs/>
          <w:sz w:val="21"/>
          <w:szCs w:val="21"/>
          <w:highlight w:val="none"/>
          <w:u w:val="single"/>
        </w:rPr>
        <w:t>以采购项目的中标价</w:t>
      </w:r>
      <w:r>
        <w:rPr>
          <w:rFonts w:hint="eastAsia" w:ascii="宋体" w:hAnsi="宋体" w:eastAsia="宋体" w:cs="宋体"/>
          <w:sz w:val="21"/>
          <w:szCs w:val="21"/>
          <w:highlight w:val="none"/>
        </w:rPr>
        <w:t>为计费额按本合同约定的标准和方法计算。如最终结算价少于暂定价款的，乙方不得向甲方或项目业主主张任何权利、补偿或赔偿。</w:t>
      </w:r>
    </w:p>
    <w:p w14:paraId="70FA6347">
      <w:pPr>
        <w:keepNext w:val="0"/>
        <w:keepLines w:val="0"/>
        <w:pageBreakBefore w:val="0"/>
        <w:widowControl w:val="0"/>
        <w:tabs>
          <w:tab w:val="left" w:pos="540"/>
        </w:tabs>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、本合同下项目的代理服务费</w:t>
      </w:r>
      <w:r>
        <w:rPr>
          <w:rFonts w:hint="eastAsia" w:ascii="宋体" w:hAnsi="宋体" w:eastAsia="宋体" w:cs="宋体"/>
          <w:sz w:val="21"/>
          <w:szCs w:val="21"/>
          <w:highlight w:val="none"/>
          <w:lang w:eastAsia="zh-CN"/>
        </w:rPr>
        <w:t>（即中标服务费，</w:t>
      </w:r>
      <w:r>
        <w:rPr>
          <w:rFonts w:hint="eastAsia" w:ascii="宋体" w:hAnsi="宋体" w:eastAsia="宋体" w:cs="宋体"/>
          <w:sz w:val="21"/>
          <w:szCs w:val="21"/>
          <w:highlight w:val="none"/>
          <w:lang w:val="en-US" w:eastAsia="zh-CN"/>
        </w:rPr>
        <w:t>下同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由中标人（成交供应商）承担。本合同费用为包干价，已包含乙方完成本合同采购代理工作所需的全部费用，包括但不限于以下费用：</w:t>
      </w:r>
    </w:p>
    <w:p w14:paraId="23AA18C5">
      <w:pPr>
        <w:keepNext w:val="0"/>
        <w:keepLines w:val="0"/>
        <w:pageBreakBefore w:val="0"/>
        <w:widowControl w:val="0"/>
        <w:tabs>
          <w:tab w:val="left" w:pos="540"/>
        </w:tabs>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为开展本合同服务范围内的采购代理服务所需的资料查阅与调查费、现场勘查费、设备使用费、人工费、人员社会保险、人身意外保险、第三方责任险、驻场服务所需的差旅费、食宿费、交通费、通讯费、配合费等费用；</w:t>
      </w:r>
    </w:p>
    <w:p w14:paraId="77022765">
      <w:pPr>
        <w:keepNext w:val="0"/>
        <w:keepLines w:val="0"/>
        <w:pageBreakBefore w:val="0"/>
        <w:widowControl w:val="0"/>
        <w:tabs>
          <w:tab w:val="left" w:pos="540"/>
        </w:tabs>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为开展本合同服务范围内的采购代理服务所需发生（如有时）的公证费、会务费、专家评审费（采购人代表及工作人员除外）、公告费、评审期间产生的差旅和食宿费、保险、档案整理（含档案数字化）及保管费、合同印刷及装订费等相关费用；</w:t>
      </w:r>
    </w:p>
    <w:p w14:paraId="2B1D1FA4">
      <w:pPr>
        <w:keepNext w:val="0"/>
        <w:keepLines w:val="0"/>
        <w:pageBreakBefore w:val="0"/>
        <w:widowControl w:val="0"/>
        <w:tabs>
          <w:tab w:val="left" w:pos="540"/>
        </w:tabs>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（3）合理利润、税费等；</w:t>
      </w:r>
    </w:p>
    <w:p w14:paraId="7F26D77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（4）法律法规、行业公认、完成合同实施过程中由乙方承担的其他直接及间接费用。</w:t>
      </w:r>
    </w:p>
    <w:p w14:paraId="4D77FD8C">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、在本合同履行过程中，甲方可协助乙方向中标人（成交供应商）收取代理服务费。在采购过程中，如本合同解除的，甲方无需向乙方支付任何费用。如本项目连续三次采购失败，甲方有权解除本合同，经乙方</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不含其不具有独立法人资格的分支机构</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提供符合国家法律法规规定的相关票据凭证及等额有效的增值税专用发票/普通发票后，乙方有权向甲方要求补偿该项目采购工作的专家论证费、评审费。乙方未及时提供凭证和发票的，甲方有权顺延付款时间而不承担违约责任。</w:t>
      </w:r>
    </w:p>
    <w:p w14:paraId="5761783C">
      <w:pPr>
        <w:keepNext w:val="0"/>
        <w:keepLines w:val="0"/>
        <w:pageBreakBefore w:val="0"/>
        <w:widowControl w:val="0"/>
        <w:kinsoku/>
        <w:wordWrap/>
        <w:overflowPunct/>
        <w:topLinePunct w:val="0"/>
        <w:autoSpaceDE w:val="0"/>
        <w:autoSpaceDN w:val="0"/>
        <w:bidi w:val="0"/>
        <w:adjustRightInd w:val="0"/>
        <w:spacing w:after="6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代理服务费</w:t>
      </w:r>
      <w:r>
        <w:rPr>
          <w:rFonts w:hint="eastAsia" w:ascii="宋体" w:hAnsi="宋体" w:eastAsia="宋体" w:cs="宋体"/>
          <w:sz w:val="21"/>
          <w:szCs w:val="21"/>
          <w:highlight w:val="none"/>
          <w:lang w:eastAsia="zh-CN"/>
        </w:rPr>
        <w:t>（即中标服务费）</w:t>
      </w:r>
      <w:r>
        <w:rPr>
          <w:rFonts w:hint="eastAsia" w:ascii="宋体" w:hAnsi="宋体" w:eastAsia="宋体" w:cs="宋体"/>
          <w:sz w:val="21"/>
          <w:szCs w:val="21"/>
          <w:highlight w:val="none"/>
        </w:rPr>
        <w:t>由中标人（成交供应商）在领取《中标（成交）通知书》原件时向乙方一次性支付代理服务费。</w:t>
      </w:r>
    </w:p>
    <w:p w14:paraId="5B060FA6">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4.1乙方应在开展代理服务前与甲方（或其下属企业）签订书面《采购代理合同》（即单项采购代理合同），</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以中标金额计算服务费基价，</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以中标金额计算，依次按以下第（1）（2）款计算得出服务费基价，服务费基价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按第（3）款计算折扣得出代理服务费</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具体如下。</w:t>
      </w:r>
    </w:p>
    <w:p w14:paraId="02A1851E">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lang w:val="zh-CN"/>
        </w:rPr>
        <w:t>参照</w:t>
      </w:r>
      <w:r>
        <w:rPr>
          <w:rFonts w:hint="eastAsia" w:ascii="宋体" w:hAnsi="宋体" w:eastAsia="宋体" w:cs="宋体"/>
          <w:b/>
          <w:color w:val="000000"/>
          <w:szCs w:val="21"/>
          <w:highlight w:val="none"/>
          <w:lang w:val="en-US" w:eastAsia="zh-CN"/>
        </w:rPr>
        <w:t>以下标准按差额定率累进法计算：</w:t>
      </w:r>
    </w:p>
    <w:tbl>
      <w:tblPr>
        <w:tblStyle w:val="44"/>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172F89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FFEEBB"/>
            <w:tcMar>
              <w:top w:w="0" w:type="dxa"/>
              <w:left w:w="0" w:type="dxa"/>
              <w:bottom w:w="0" w:type="dxa"/>
              <w:right w:w="0" w:type="dxa"/>
            </w:tcMar>
            <w:vAlign w:val="center"/>
          </w:tcPr>
          <w:p w14:paraId="6B0C0E17">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11D0A86E">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服务类型</w:t>
            </w:r>
          </w:p>
        </w:tc>
      </w:tr>
      <w:tr w14:paraId="4E6DD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301D501A">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46CE9800">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费率</w:t>
            </w:r>
          </w:p>
        </w:tc>
      </w:tr>
      <w:tr w14:paraId="451D3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5951A161">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FFEEBB"/>
            <w:tcMar>
              <w:top w:w="0" w:type="dxa"/>
              <w:left w:w="0" w:type="dxa"/>
              <w:bottom w:w="0" w:type="dxa"/>
              <w:right w:w="0" w:type="dxa"/>
            </w:tcMar>
            <w:vAlign w:val="center"/>
          </w:tcPr>
          <w:p w14:paraId="216F9E54">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42C86BBA">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096F6563">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工程招标</w:t>
            </w:r>
          </w:p>
        </w:tc>
      </w:tr>
      <w:tr w14:paraId="138A45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BE1605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05C20F6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7DBDA17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6C1E0D0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2775A4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69725C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4F476DD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10F38E0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0689614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1519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953D7D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3463408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45C3850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5B31CDF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7268AE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20E5F33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35A97B4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26246C6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261976C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783153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AA86DD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61DDDE4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6E2B4A9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6857F9B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1DB91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1897AE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177CEF4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0621C63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19951D4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4D467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73A89C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73F2526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4F57AB4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73CEAFE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4DE33B2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en-US" w:eastAsia="zh-CN"/>
        </w:rPr>
        <w:t>（2）</w:t>
      </w:r>
      <w:r>
        <w:rPr>
          <w:rFonts w:hint="default" w:ascii="宋体" w:hAnsi="宋体" w:eastAsia="宋体" w:cs="宋体"/>
          <w:b/>
          <w:color w:val="000000"/>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4F8716C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（3）服务费基价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得出代理服务费。</w:t>
      </w:r>
      <w:r>
        <w:rPr>
          <w:rFonts w:hint="eastAsia" w:ascii="宋体" w:hAnsi="宋体" w:eastAsia="宋体" w:cs="宋体"/>
          <w:b/>
          <w:color w:val="000000"/>
          <w:szCs w:val="21"/>
          <w:highlight w:val="none"/>
          <w:lang w:val="zh-CN" w:eastAsia="zh-CN"/>
        </w:rPr>
        <w:t>具体为：</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10万元（不含）以下的，按80%执行；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10万元（含）—20万元（不含）的，按70%执行；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20万元（含）—30万元（不含）的，按60%执行；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30万元（含）以上的，按50%计取，且单个项目最高代理费为30万元封顶</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同时，</w:t>
      </w:r>
      <w:r>
        <w:rPr>
          <w:rFonts w:hint="eastAsia" w:ascii="宋体" w:hAnsi="宋体" w:eastAsia="宋体" w:cs="宋体"/>
          <w:b/>
          <w:color w:val="000000"/>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
          <w:color w:val="000000"/>
          <w:szCs w:val="21"/>
          <w:highlight w:val="none"/>
          <w:lang w:val="en-US" w:eastAsia="zh-CN"/>
        </w:rPr>
        <w:t>甲方</w:t>
      </w:r>
      <w:r>
        <w:rPr>
          <w:rFonts w:hint="eastAsia" w:ascii="宋体" w:hAnsi="宋体" w:eastAsia="宋体" w:cs="宋体"/>
          <w:b/>
          <w:color w:val="000000"/>
          <w:sz w:val="21"/>
          <w:szCs w:val="21"/>
          <w:highlight w:val="none"/>
          <w:lang w:val="en-US" w:eastAsia="zh-CN"/>
        </w:rPr>
        <w:t>或其</w:t>
      </w:r>
      <w:r>
        <w:rPr>
          <w:rFonts w:hint="eastAsia" w:ascii="宋体" w:hAnsi="宋体" w:eastAsia="宋体" w:cs="宋体"/>
          <w:b/>
          <w:color w:val="000000"/>
          <w:sz w:val="21"/>
          <w:szCs w:val="21"/>
          <w:highlight w:val="none"/>
        </w:rPr>
        <w:t>下属企业</w:t>
      </w:r>
      <w:r>
        <w:rPr>
          <w:rFonts w:hint="eastAsia" w:ascii="宋体" w:hAnsi="宋体" w:eastAsia="宋体" w:cs="宋体"/>
          <w:b/>
          <w:color w:val="000000"/>
          <w:szCs w:val="21"/>
          <w:highlight w:val="none"/>
          <w:lang w:val="zh-CN" w:eastAsia="zh-CN"/>
        </w:rPr>
        <w:t>与</w:t>
      </w:r>
      <w:r>
        <w:rPr>
          <w:rFonts w:hint="eastAsia" w:ascii="宋体" w:hAnsi="宋体" w:eastAsia="宋体" w:cs="宋体"/>
          <w:b/>
          <w:color w:val="000000"/>
          <w:szCs w:val="21"/>
          <w:highlight w:val="none"/>
          <w:lang w:val="en-US" w:eastAsia="zh-CN"/>
        </w:rPr>
        <w:t>乙方</w:t>
      </w:r>
      <w:r>
        <w:rPr>
          <w:rFonts w:hint="eastAsia" w:ascii="宋体" w:hAnsi="宋体" w:eastAsia="宋体" w:cs="宋体"/>
          <w:b/>
          <w:color w:val="000000"/>
          <w:szCs w:val="21"/>
          <w:highlight w:val="none"/>
          <w:lang w:val="zh-CN" w:eastAsia="zh-CN"/>
        </w:rPr>
        <w:t>另行商定代理费用。</w:t>
      </w:r>
    </w:p>
    <w:p w14:paraId="071139F1">
      <w:pPr>
        <w:keepNext w:val="0"/>
        <w:keepLines w:val="0"/>
        <w:pageBreakBefore w:val="0"/>
        <w:widowControl w:val="0"/>
        <w:kinsoku/>
        <w:wordWrap/>
        <w:overflowPunct/>
        <w:topLinePunct w:val="0"/>
        <w:autoSpaceDE w:val="0"/>
        <w:autoSpaceDN w:val="0"/>
        <w:bidi w:val="0"/>
        <w:adjustRightInd w:val="0"/>
        <w:snapToGrid/>
        <w:spacing w:after="60"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5、</w:t>
      </w:r>
      <w:r>
        <w:rPr>
          <w:rFonts w:hint="eastAsia" w:ascii="宋体" w:hAnsi="宋体" w:eastAsia="宋体" w:cs="宋体"/>
          <w:b/>
          <w:color w:val="000000"/>
          <w:szCs w:val="21"/>
          <w:highlight w:val="none"/>
          <w:lang w:val="zh-CN" w:eastAsia="zh-CN"/>
        </w:rPr>
        <w:t>乙方完成全部合同内容，且提交成果资料并经甲方复核完毕后，甲方根据附件《单项</w:t>
      </w:r>
      <w:r>
        <w:rPr>
          <w:rFonts w:hint="eastAsia" w:ascii="宋体" w:hAnsi="宋体" w:eastAsia="宋体" w:cs="宋体"/>
          <w:b/>
          <w:color w:val="000000"/>
          <w:szCs w:val="21"/>
          <w:highlight w:val="none"/>
          <w:lang w:val="en-US" w:eastAsia="zh-CN"/>
        </w:rPr>
        <w:t>采购</w:t>
      </w:r>
      <w:r>
        <w:rPr>
          <w:rFonts w:hint="eastAsia" w:ascii="宋体" w:hAnsi="宋体" w:eastAsia="宋体" w:cs="宋体"/>
          <w:b/>
          <w:color w:val="000000"/>
          <w:szCs w:val="21"/>
          <w:highlight w:val="none"/>
          <w:lang w:val="zh-CN" w:eastAsia="zh-CN"/>
        </w:rPr>
        <w:t>代理项目质量考核表》对乙方进行履约考核，考评[70,80)分的，处经甲方确认的代理服务费的10%作为违约金，考评[60,70)分的，处经甲方确认的代理服务费的20%作为违约金，考评60分以下的，处经甲方确认的代理服务费的30%作为违约金。上述“[”代表闭区间，“)”代表开区间，如[70,80)代表该分数段范围为大于等于70且小于80。</w:t>
      </w:r>
    </w:p>
    <w:p w14:paraId="460CF8D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6、</w:t>
      </w:r>
      <w:r>
        <w:rPr>
          <w:rFonts w:hint="eastAsia" w:ascii="宋体" w:hAnsi="宋体" w:eastAsia="宋体" w:cs="宋体"/>
          <w:b/>
          <w:color w:val="000000"/>
          <w:szCs w:val="21"/>
          <w:highlight w:val="none"/>
          <w:lang w:val="zh-CN" w:eastAsia="zh-CN"/>
        </w:rPr>
        <w:t>在合同履行期间，对于</w:t>
      </w:r>
      <w:r>
        <w:rPr>
          <w:rFonts w:hint="eastAsia" w:ascii="宋体" w:hAnsi="宋体" w:eastAsia="宋体" w:cs="宋体"/>
          <w:b/>
          <w:color w:val="000000"/>
          <w:szCs w:val="21"/>
          <w:highlight w:val="none"/>
          <w:lang w:val="en-US" w:eastAsia="zh-CN"/>
        </w:rPr>
        <w:t>乙方</w:t>
      </w:r>
      <w:r>
        <w:rPr>
          <w:rFonts w:hint="eastAsia" w:ascii="宋体" w:hAnsi="宋体" w:eastAsia="宋体" w:cs="宋体"/>
          <w:b/>
          <w:color w:val="000000"/>
          <w:szCs w:val="21"/>
          <w:highlight w:val="none"/>
          <w:lang w:val="zh-CN" w:eastAsia="zh-CN"/>
        </w:rPr>
        <w:t>违约产生的违约金、赔偿、扣款或其他应付费用等款项</w:t>
      </w:r>
      <w:r>
        <w:rPr>
          <w:rFonts w:hint="eastAsia" w:ascii="宋体" w:hAnsi="宋体" w:eastAsia="宋体" w:cs="宋体"/>
          <w:b/>
          <w:color w:val="000000"/>
          <w:szCs w:val="21"/>
          <w:highlight w:val="none"/>
          <w:lang w:val="en-US" w:eastAsia="zh-CN"/>
        </w:rPr>
        <w:t>，</w:t>
      </w:r>
      <w:r>
        <w:rPr>
          <w:rFonts w:hint="eastAsia" w:ascii="宋体" w:hAnsi="宋体" w:eastAsia="宋体" w:cs="宋体"/>
          <w:b/>
          <w:color w:val="000000"/>
          <w:szCs w:val="21"/>
          <w:highlight w:val="none"/>
          <w:lang w:val="zh-CN" w:eastAsia="zh-CN"/>
        </w:rPr>
        <w:t>乙方应在收到《单项</w:t>
      </w:r>
      <w:r>
        <w:rPr>
          <w:rFonts w:hint="eastAsia" w:ascii="宋体" w:hAnsi="宋体" w:eastAsia="宋体" w:cs="宋体"/>
          <w:b/>
          <w:color w:val="000000"/>
          <w:szCs w:val="21"/>
          <w:highlight w:val="none"/>
          <w:lang w:val="en-US" w:eastAsia="zh-CN"/>
        </w:rPr>
        <w:t>采购</w:t>
      </w:r>
      <w:r>
        <w:rPr>
          <w:rFonts w:hint="eastAsia" w:ascii="宋体" w:hAnsi="宋体" w:eastAsia="宋体" w:cs="宋体"/>
          <w:b/>
          <w:color w:val="000000"/>
          <w:szCs w:val="21"/>
          <w:highlight w:val="none"/>
          <w:lang w:val="zh-CN" w:eastAsia="zh-CN"/>
        </w:rPr>
        <w:t>代理项目质量考核表》之日起的五个工作日内以银行转账或电汇方式支付至甲方指定账户，甲方向乙方提供收据。</w:t>
      </w:r>
    </w:p>
    <w:p w14:paraId="7D9292A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zh-CN" w:eastAsia="zh-CN"/>
        </w:rPr>
        <w:t>开户名称：</w:t>
      </w:r>
    </w:p>
    <w:p w14:paraId="547036F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zh-CN" w:eastAsia="zh-CN"/>
        </w:rPr>
        <w:t>开户银行：</w:t>
      </w:r>
    </w:p>
    <w:p w14:paraId="19FC19A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zh-CN" w:eastAsia="zh-CN"/>
        </w:rPr>
        <w:t>银行账号：</w:t>
      </w:r>
    </w:p>
    <w:p w14:paraId="61CBE9EB">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第八条 违约责任</w:t>
      </w:r>
    </w:p>
    <w:p w14:paraId="289A909C">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未按本合同约定或采购进度计划完成采购工作的，每逾期1日，需按代理服务费的0.5%向甲方支付违约金。逾期超过30日的，乙方需按代理服务费的20%支付违约金，同时，甲方有权解除合同。如给甲方造成经济损失的，乙方承担全部赔偿责任。</w:t>
      </w:r>
    </w:p>
    <w:p w14:paraId="7053A5FB">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违反本合同第六条第5款保证义务或第16款义务，由此而导致的所有法律责任由乙方承担。同时，乙方需按代理服务费的20%支付违约金，且甲方有权解除合同。如给甲方造成经济损失的，乙方承担全部赔偿责任。</w:t>
      </w:r>
    </w:p>
    <w:p w14:paraId="53620AD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乙方违反本合同第六条第17款档案保管义务，导致部分或全部档案遗失，由此而导致的所有法律责任由乙方承担。同时，乙方需按代理服务费的20%支付违约金，并采取相关的补救措施。如给甲方造成经济损失的，乙方承担全部赔偿责任。</w:t>
      </w:r>
    </w:p>
    <w:p w14:paraId="571A3263">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4、乙方违反本合同第六条第1</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 xml:space="preserve">款保密义务，开标前泄露已获取采购文件的潜在投标人（供应商）的名称、数量、缴纳投标保证金情况等其他可能影响公平竞争的有关采购情况，或公布中标结果前泄露评审专家名单，或泄露有关投标（响应）文件的评审和比较、中标候选人的推荐等与评标有关的其他情况，或对外泄露投标人（供应商）的投标（响应）文件等投标人（供应商）商业信息，或对外泄露甲方的商业秘密、商业信息的，由此而导致的所有法律责任由乙方承担。同时，乙方需按代理服务费的20%支付违约金，且甲方有权解除合同。如给甲方造成经济损失的，乙方承担全部赔偿责任。 </w:t>
      </w:r>
    </w:p>
    <w:p w14:paraId="1694C5FB">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5、乙方未按规定收取代理服务费或提供伪劣服务内容、服务质量低劣等造成甲方损失的情况，乙方承担全部的赔偿责任。</w:t>
      </w:r>
    </w:p>
    <w:p w14:paraId="347EDA0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如甲方或有关监督部门发现乙方在代理活动中违反有关的法律、法规或采购程序的，甲方有权要求乙方限期纠正。如乙方在接到甲方整改要求后3日内仍未改正的，乙方需按代理服务费的20%支付违约金，且甲方有权解除合同。如给甲方造成经济损失的，乙方承担全部赔偿责任。</w:t>
      </w:r>
    </w:p>
    <w:p w14:paraId="714FA26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因乙方原因导致采购文件或合同修改，使项目不能如期开标或签订合同的，每延期1日，乙方需按代理服务费的0.5%向甲方支付违约金，累计超过委托代理报酬20%的，按委托代理报酬20%计算违约金。如给甲方造成经济损失的，乙方承担全部赔偿责任。</w:t>
      </w:r>
    </w:p>
    <w:p w14:paraId="4F3C94BB">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在采购过程中，甲方提出更换或回避相关人员的，乙方应于甲方提出更换或回避要求后7日内进行更换，如有违反的，乙方需按代理服务费的2%支付违约金。如更换后仍不能胜任，需按代理服务费的20%支付违约金，同时，甲方有权解除合同。如给甲方造成经济损失的，乙方承担全部赔偿责任。</w:t>
      </w:r>
    </w:p>
    <w:p w14:paraId="4A16E74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9、乙方未经甲方同意，擅自修改采购文件实质性条款或合同条款，导致损害甲方利益的情况发生，甲方有权要求乙方按代理服务费的10%支付违约金，如给甲方造成经济损失的，乙方承担全部赔偿责任。</w:t>
      </w:r>
    </w:p>
    <w:p w14:paraId="55CBFDB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10、本合同所称之经济损失包括实际损失和合同履行后可获得的利益、诉讼和仲裁费以及合理的差旅费、律师费等相关费用。</w:t>
      </w:r>
    </w:p>
    <w:p w14:paraId="42595A43">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由于乙方不履行或未按照合同约定履行义务，甲方有权要求乙方限期改正，给甲方造成损失或影响采购工作正常进行的，乙方需按代理服务费的20%支付违约金，且甲方有权解除合同。如给甲方造成经济损失的，乙方承担全部赔偿责任。</w:t>
      </w:r>
    </w:p>
    <w:p w14:paraId="62FF0A9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在合同履行期间，乙方违约产生的违约金、赔偿、扣款或其他应付费用等款项，乙方应在收到违约（赔偿或扣款等）处理通知书之日起5个工作日内以银行转账或电汇方式支付至委托人账户，否则，甲方有权直接从</w:t>
      </w:r>
      <w:r>
        <w:rPr>
          <w:rFonts w:hint="eastAsia" w:ascii="宋体" w:hAnsi="宋体" w:eastAsia="宋体" w:cs="宋体"/>
          <w:sz w:val="21"/>
          <w:szCs w:val="21"/>
          <w:highlight w:val="none"/>
          <w:lang w:eastAsia="zh-CN"/>
        </w:rPr>
        <w:t>履约担保</w:t>
      </w:r>
      <w:r>
        <w:rPr>
          <w:rFonts w:hint="eastAsia" w:ascii="宋体" w:hAnsi="宋体" w:eastAsia="宋体" w:cs="宋体"/>
          <w:sz w:val="21"/>
          <w:szCs w:val="21"/>
          <w:highlight w:val="none"/>
        </w:rPr>
        <w:t>中直接扣除予以支付。</w:t>
      </w:r>
    </w:p>
    <w:p w14:paraId="6646709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13、乙方存在以下行为之一的，甲方有权单方面解除本合同，乙方接受</w:t>
      </w:r>
      <w:r>
        <w:rPr>
          <w:rFonts w:hint="eastAsia" w:ascii="宋体" w:hAnsi="宋体" w:eastAsia="宋体" w:cs="宋体"/>
          <w:sz w:val="21"/>
          <w:szCs w:val="21"/>
          <w:highlight w:val="none"/>
          <w:lang w:eastAsia="zh-CN"/>
        </w:rPr>
        <w:t>东莞市水务环境投资控股集团有限公司单</w:t>
      </w:r>
      <w:r>
        <w:rPr>
          <w:rFonts w:hint="eastAsia" w:ascii="宋体" w:hAnsi="宋体" w:eastAsia="宋体" w:cs="宋体"/>
          <w:sz w:val="21"/>
          <w:szCs w:val="21"/>
          <w:highlight w:val="none"/>
          <w:lang w:val="en-US" w:eastAsia="zh-CN"/>
        </w:rPr>
        <w:t>方面解除</w:t>
      </w:r>
      <w:r>
        <w:rPr>
          <w:rFonts w:hint="eastAsia" w:ascii="宋体" w:hAnsi="宋体" w:eastAsia="宋体" w:cs="宋体"/>
          <w:sz w:val="21"/>
          <w:szCs w:val="21"/>
          <w:highlight w:val="none"/>
          <w:lang w:eastAsia="zh-CN"/>
        </w:rPr>
        <w:t>《</w:t>
      </w:r>
      <w:r>
        <w:rPr>
          <w:rFonts w:hint="eastAsia" w:ascii="宋体" w:hAnsi="宋体" w:eastAsia="宋体" w:cs="宋体"/>
          <w:strike w:val="0"/>
          <w:sz w:val="21"/>
          <w:szCs w:val="21"/>
          <w:highlight w:val="none"/>
          <w:lang w:eastAsia="zh-CN"/>
        </w:rPr>
        <w:t>采购</w:t>
      </w:r>
      <w:r>
        <w:rPr>
          <w:rFonts w:hint="eastAsia" w:ascii="宋体" w:hAnsi="宋体" w:eastAsia="宋体" w:cs="宋体"/>
          <w:sz w:val="21"/>
          <w:szCs w:val="21"/>
          <w:highlight w:val="none"/>
          <w:lang w:eastAsia="zh-CN"/>
        </w:rPr>
        <w:t>代理协议服务合同》及没收乙方全部履约保证金，五年内（解除本合同起）乙方不得参与东莞市水务环境投资控股集团有限公司及其子（分）公司的招标采购</w:t>
      </w:r>
      <w:r>
        <w:rPr>
          <w:rFonts w:hint="eastAsia" w:ascii="宋体" w:hAnsi="宋体" w:eastAsia="宋体" w:cs="宋体"/>
          <w:sz w:val="21"/>
          <w:szCs w:val="21"/>
          <w:highlight w:val="none"/>
          <w:lang w:val="en-US" w:eastAsia="zh-CN"/>
        </w:rPr>
        <w:t>代理业务：</w:t>
      </w:r>
    </w:p>
    <w:p w14:paraId="385EA7B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）乙方被司法、</w:t>
      </w:r>
      <w:r>
        <w:rPr>
          <w:rFonts w:hint="eastAsia" w:ascii="宋体" w:hAnsi="宋体" w:eastAsia="宋体" w:cs="宋体"/>
          <w:sz w:val="21"/>
          <w:szCs w:val="21"/>
          <w:highlight w:val="none"/>
          <w:lang w:val="en-US" w:eastAsia="zh-CN"/>
        </w:rPr>
        <w:t>仲裁机构或行政部门认定涉及参与围标串标的；</w:t>
      </w:r>
    </w:p>
    <w:p w14:paraId="3F06317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操纵或意图操纵</w:t>
      </w:r>
      <w:r>
        <w:rPr>
          <w:rFonts w:hint="eastAsia" w:ascii="宋体" w:hAnsi="宋体" w:eastAsia="宋体" w:cs="宋体"/>
          <w:sz w:val="21"/>
          <w:szCs w:val="21"/>
          <w:highlight w:val="none"/>
          <w:lang w:eastAsia="zh-CN"/>
        </w:rPr>
        <w:t>本项目</w:t>
      </w:r>
      <w:r>
        <w:rPr>
          <w:rFonts w:hint="eastAsia" w:ascii="宋体" w:hAnsi="宋体" w:eastAsia="宋体" w:cs="宋体"/>
          <w:sz w:val="21"/>
          <w:szCs w:val="21"/>
          <w:highlight w:val="none"/>
        </w:rPr>
        <w:t>投标结果的</w:t>
      </w:r>
      <w:r>
        <w:rPr>
          <w:rFonts w:hint="eastAsia" w:ascii="宋体" w:hAnsi="宋体" w:eastAsia="宋体" w:cs="宋体"/>
          <w:sz w:val="21"/>
          <w:szCs w:val="21"/>
          <w:highlight w:val="none"/>
          <w:lang w:eastAsia="zh-CN"/>
        </w:rPr>
        <w:t>；</w:t>
      </w:r>
    </w:p>
    <w:p w14:paraId="58118AC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与投标人合谋，损害</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利益的；</w:t>
      </w:r>
    </w:p>
    <w:p w14:paraId="4016E6F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eastAsia="zh-CN"/>
        </w:rPr>
        <w:t>本项目</w:t>
      </w:r>
      <w:r>
        <w:rPr>
          <w:rFonts w:hint="eastAsia" w:ascii="宋体" w:hAnsi="宋体" w:eastAsia="宋体" w:cs="宋体"/>
          <w:sz w:val="21"/>
          <w:szCs w:val="21"/>
          <w:highlight w:val="none"/>
        </w:rPr>
        <w:t>投标人收取任何名义费用，收受投标人任何形式利益的；</w:t>
      </w:r>
    </w:p>
    <w:p w14:paraId="5CA81E5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本项目</w:t>
      </w:r>
      <w:r>
        <w:rPr>
          <w:rFonts w:hint="eastAsia" w:ascii="宋体" w:hAnsi="宋体" w:eastAsia="宋体" w:cs="宋体"/>
          <w:sz w:val="21"/>
          <w:szCs w:val="21"/>
          <w:highlight w:val="none"/>
        </w:rPr>
        <w:t>代理行为中获取不当利益的；</w:t>
      </w:r>
    </w:p>
    <w:p w14:paraId="0AD8167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（6）乙方向无关人员透露本项目评标委员会成员信息的；</w:t>
      </w:r>
    </w:p>
    <w:p w14:paraId="2AA9664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（7）乙方明示或暗示本项目评标委员会成员对投标人偏向性评分的；</w:t>
      </w:r>
    </w:p>
    <w:p w14:paraId="60F8A97D">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第九条 合同变更或解除</w:t>
      </w:r>
    </w:p>
    <w:p w14:paraId="7E111925">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1、本合同签订后，如因法律、行政法规发生变化或由于任何后续新颁布的法律、行政法规导致服务所需的成本或时间发生改变，则本合同约定的服务报酬和服务期限由双方签订补充协议进行相应调整。</w:t>
      </w:r>
    </w:p>
    <w:p w14:paraId="43BB7C5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2、本合同当事人一方要求变更或解除合同时，除法律、行政法规另有规定外，应与对方当事人协商一致并达成书面协议。未达成书面协议的，本合同依然有效。</w:t>
      </w:r>
    </w:p>
    <w:p w14:paraId="54E9F55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3、因解除合同使当事人一方遭受损失的，除依法可以免除责任外，应由责任方负责赔偿对方的损失，赔偿方法与金额由双方通过协议书约定。</w:t>
      </w:r>
    </w:p>
    <w:p w14:paraId="7F781FCF">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第十条 其他</w:t>
      </w:r>
    </w:p>
    <w:p w14:paraId="728DC1F6">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及其工作人员的业务活动应坚持公开、公平、公正、诚信、透明原则。不得以任何理由向有关人员受贿或接受馈赠礼金、有价证券、贵重礼品。不得以任何理由违反廉洁自律的有关规定。如有违反的，甲方将向有关监督管理部门进行投诉举报处理；涉嫌犯罪的，移交司法机关追究刑事责任；给甲方造成经济损失的，由乙方承担全部赔偿责任。</w:t>
      </w:r>
    </w:p>
    <w:p w14:paraId="31D3FC1E">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2、在本合同履行过程中，因甲方原因造成的重新评审、已评审但要取消或重招等情况，由甲方承担相应评标费用。</w:t>
      </w:r>
    </w:p>
    <w:p w14:paraId="571AC33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不可抗力原因，致使一方不能履行合同，不承担违约责任，但应将情况尽快通知另一方，并应尽量减少由此发生的损失。如果双方不能就本合同继续履行的条件或终止本合同达成一致书面意见，本合同自行终止。除甲方应付给乙方已完成工作的报酬外，各自承担相应的损失。</w:t>
      </w:r>
    </w:p>
    <w:p w14:paraId="6B6FB59C">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第十一条 争议解决</w:t>
      </w:r>
    </w:p>
    <w:p w14:paraId="5B42300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1、甲乙双方因履行合同发生争议时，应提供友好协商解决。协商不能解决时，任何一方均有权向甲方所在地有管辖权的人民法院提起诉讼。</w:t>
      </w:r>
    </w:p>
    <w:p w14:paraId="6679A2F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2、在法院审理期间，除与争议有关的部分外，双方应继续履行合同规定的其他各自义务。</w:t>
      </w:r>
    </w:p>
    <w:p w14:paraId="5A88E7F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3、本合同之所有附件均为合同的有效组成部分，与合同同具法律效力，合同与附件之间的内容应认为是互为补充和解释的，但如有模棱两可或者互相矛盾之处，以有利于委托人的约定为准。</w:t>
      </w:r>
    </w:p>
    <w:p w14:paraId="62A02094">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第十二条 本合同未尽事宜，双方应通过友好协商以补充协议形式明确。</w:t>
      </w:r>
    </w:p>
    <w:p w14:paraId="1A362075">
      <w:pPr>
        <w:keepNext w:val="0"/>
        <w:keepLines w:val="0"/>
        <w:pageBreakBefore w:val="0"/>
        <w:widowControl w:val="0"/>
        <w:kinsoku/>
        <w:wordWrap/>
        <w:overflowPunct/>
        <w:topLinePunct w:val="0"/>
        <w:autoSpaceDE w:val="0"/>
        <w:autoSpaceDN w:val="0"/>
        <w:bidi w:val="0"/>
        <w:adjustRightInd w:val="0"/>
        <w:spacing w:after="6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第十三条 本合同正本一式   份，甲、乙双方各执   份，具有同等法律效力，自双方法定代表人或负责人或授权代表签字并盖章之日起生效。</w:t>
      </w:r>
    </w:p>
    <w:p w14:paraId="4ABFFA96">
      <w:pPr>
        <w:keepNext w:val="0"/>
        <w:keepLines w:val="0"/>
        <w:pageBreakBefore w:val="0"/>
        <w:widowControl w:val="0"/>
        <w:kinsoku/>
        <w:wordWrap/>
        <w:overflowPunct/>
        <w:topLinePunct w:val="0"/>
        <w:autoSpaceDE w:val="0"/>
        <w:autoSpaceDN w:val="0"/>
        <w:bidi w:val="0"/>
        <w:adjustRightInd w:val="0"/>
        <w:spacing w:after="160" w:line="360" w:lineRule="auto"/>
        <w:ind w:firstLine="525"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b/>
          <w:bCs/>
          <w:color w:val="auto"/>
          <w:sz w:val="21"/>
          <w:szCs w:val="21"/>
          <w:highlight w:val="none"/>
        </w:rPr>
        <w:t>以下无正文内容为签字盖章页</w:t>
      </w:r>
      <w:r>
        <w:rPr>
          <w:rFonts w:hint="eastAsia" w:ascii="宋体" w:hAnsi="宋体" w:eastAsia="宋体" w:cs="宋体"/>
          <w:sz w:val="21"/>
          <w:szCs w:val="21"/>
          <w:highlight w:val="none"/>
        </w:rPr>
        <w:t>）</w:t>
      </w:r>
    </w:p>
    <w:p w14:paraId="5C2F8DD5">
      <w:pPr>
        <w:pStyle w:val="55"/>
        <w:keepNext w:val="0"/>
        <w:keepLines w:val="0"/>
        <w:pageBreakBefore w:val="0"/>
        <w:widowControl w:val="0"/>
        <w:kinsoku/>
        <w:wordWrap/>
        <w:overflowPunct/>
        <w:topLinePunct w:val="0"/>
        <w:autoSpaceDE w:val="0"/>
        <w:autoSpaceDN w:val="0"/>
        <w:bidi w:val="0"/>
        <w:adjustRightInd w:val="0"/>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rPr>
        <w:t>《廉洁协议书》</w:t>
      </w:r>
    </w:p>
    <w:p w14:paraId="07D9B09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                         乙方：</w:t>
      </w:r>
    </w:p>
    <w:p w14:paraId="71DD982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法定代表人（负责人）：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法定代表人（负责人）：</w:t>
      </w:r>
    </w:p>
    <w:p w14:paraId="5267CFB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授权代表：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委托代理人：</w:t>
      </w:r>
    </w:p>
    <w:p w14:paraId="15D93DA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                         地址：</w:t>
      </w:r>
    </w:p>
    <w:p w14:paraId="7E69A18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邮编：                         邮编：</w:t>
      </w:r>
    </w:p>
    <w:p w14:paraId="7D322EC5">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                         电话：</w:t>
      </w:r>
    </w:p>
    <w:p w14:paraId="6F5DA0E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08A70EA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    年  月  日签订于东莞市</w:t>
      </w:r>
    </w:p>
    <w:p w14:paraId="3F83759E">
      <w:pPr>
        <w:pStyle w:val="16"/>
        <w:spacing w:line="360" w:lineRule="auto"/>
        <w:rPr>
          <w:rFonts w:hint="eastAsia" w:ascii="宋体" w:hAnsi="宋体" w:eastAsia="宋体" w:cs="宋体"/>
          <w:color w:val="auto"/>
          <w:sz w:val="21"/>
          <w:szCs w:val="21"/>
          <w:highlight w:val="none"/>
        </w:rPr>
      </w:pPr>
    </w:p>
    <w:p w14:paraId="2D3BB245">
      <w:pPr>
        <w:spacing w:line="360" w:lineRule="auto"/>
        <w:rPr>
          <w:rFonts w:hint="eastAsia" w:ascii="宋体" w:hAnsi="宋体" w:eastAsia="宋体" w:cs="宋体"/>
          <w:sz w:val="21"/>
          <w:szCs w:val="21"/>
          <w:highlight w:val="none"/>
        </w:rPr>
      </w:pPr>
    </w:p>
    <w:p w14:paraId="34674D0A">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14:paraId="17A9B231">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附件：廉洁协议书</w:t>
      </w:r>
    </w:p>
    <w:p w14:paraId="2C98E694">
      <w:pPr>
        <w:keepNext w:val="0"/>
        <w:keepLines w:val="0"/>
        <w:pageBreakBefore w:val="0"/>
        <w:kinsoku/>
        <w:wordWrap/>
        <w:overflowPunct/>
        <w:topLinePunct w:val="0"/>
        <w:bidi w:val="0"/>
        <w:snapToGrid/>
        <w:spacing w:line="360" w:lineRule="auto"/>
        <w:ind w:right="31" w:rightChars="15"/>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廉洁协议书</w:t>
      </w:r>
    </w:p>
    <w:p w14:paraId="49E0DA3E">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p w14:paraId="2D1F5593">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甲方（业主单位）：</w:t>
      </w:r>
    </w:p>
    <w:p w14:paraId="3ED8F078">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p>
    <w:p w14:paraId="622740A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46927A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第一条  甲乙双方的权利和义务</w:t>
      </w:r>
    </w:p>
    <w:p w14:paraId="0A3FAA8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（一）严格遵守党和国家有关法律法规等有关廉洁从业规定。</w:t>
      </w:r>
    </w:p>
    <w:p w14:paraId="1786C46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（二）严格执行本项目的合同文件，自觉按合同办事。</w:t>
      </w:r>
    </w:p>
    <w:p w14:paraId="2DAEB2B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48B9EA1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（四）建立健全廉洁制度，开展廉洁教育，设立廉洁监督公示牌，公布举报电话，监督并认真查处违法违纪行为。</w:t>
      </w:r>
    </w:p>
    <w:p w14:paraId="429D9F2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（五）发现对方在业务活动中有违反廉洁规定的行为，有及时提醒对方纠正的权利和义务。</w:t>
      </w:r>
    </w:p>
    <w:p w14:paraId="60C2686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（六）发现对方严重违反本协议义务条款的行为，有向其上级有关部门举报、建议给予处理并要求告知处理结果的权利。</w:t>
      </w:r>
    </w:p>
    <w:p w14:paraId="5142C11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第二条  甲方的义务</w:t>
      </w:r>
    </w:p>
    <w:p w14:paraId="1B138A7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（一）甲方及其工作人员不得索要或接受乙方的礼金、有价证券和贵重物品，不得在乙方报销任何应由甲方或个人支付的费用。</w:t>
      </w:r>
    </w:p>
    <w:p w14:paraId="49CCB73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（二）甲方工作人员不得参加乙方安排的高消费宴请和娱乐活动；不得接受乙方提供的通讯工具、交通工具和高档办公用品。</w:t>
      </w:r>
    </w:p>
    <w:p w14:paraId="51F66C3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（三）甲方及其工作人员不得要求或者接受乙方为其住房装修、婚丧嫁娶活动、家属或亲友的工作安排以及出国出境、旅游等提供方便。</w:t>
      </w:r>
    </w:p>
    <w:p w14:paraId="54C8747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（四）甲方工作人员不得向乙方介绍其家属或者亲友（包括家属或亲友开办的公司企业）从事于本项目涉及的经济业务活动。</w:t>
      </w:r>
    </w:p>
    <w:p w14:paraId="1272F19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（五）甲方及其工作人员不得以任何理由向乙方推荐分包单位，不得要求乙方购买合同规定外的材料和设备。</w:t>
      </w:r>
    </w:p>
    <w:p w14:paraId="0FE4823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（六）甲方及其工作人员不得进行违反廉洁规定的其他活动。</w:t>
      </w:r>
    </w:p>
    <w:p w14:paraId="1A41C1F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3554252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第三条  乙方义务</w:t>
      </w:r>
    </w:p>
    <w:p w14:paraId="3D61A8A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（一）乙方不得以任何理由向甲方及其工作人员馈赠礼金、有价证券、贵重礼品，或报销应由甲方单位或个人支付的任何费用。</w:t>
      </w:r>
    </w:p>
    <w:p w14:paraId="7568933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（二）乙方及其工作人员不得以考察、参观、洽谈业务、签订合同等的借口邀请甲方及其工作人员参加高消费的宴请、娱乐和健身等活动。</w:t>
      </w:r>
    </w:p>
    <w:p w14:paraId="5260FF2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（三）乙方不得为甲方单位和个人购置或提供通讯工具、交通工具和高档办公用品等。</w:t>
      </w:r>
    </w:p>
    <w:p w14:paraId="4728333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（四）乙方及其工作人员不得为甲方工作人员购买、装修、维修私人住房、汽车等。</w:t>
      </w:r>
    </w:p>
    <w:p w14:paraId="4BC7C83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（五）乙方及其工作人员不得为甲方工作人员的婚丧嫁娶、家属或亲友的工作安排，及出国出境提供方便以及报销任何私人消费的费用。</w:t>
      </w:r>
    </w:p>
    <w:p w14:paraId="3B2F646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（六）乙方及其工作人员不得进行影响甲方及其工作人员公正执行合同和履行职务的其他活动。</w:t>
      </w:r>
    </w:p>
    <w:p w14:paraId="0DDFDA1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F73D57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第四条  违约责任</w:t>
      </w:r>
    </w:p>
    <w:p w14:paraId="2B8745E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（一）甲方违反本协议第一、第二条给乙方单位造成经济损失的，应予以赔偿。</w:t>
      </w:r>
    </w:p>
    <w:p w14:paraId="38EFCF5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（二）乙方违反本协议第一、第三条给甲方单位造成经济损失的，应予以赔偿。</w:t>
      </w:r>
    </w:p>
    <w:p w14:paraId="231EBFF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第五条  监督检查</w:t>
      </w:r>
    </w:p>
    <w:p w14:paraId="520E31C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甲乙双方的廉洁从业行为由双方或双方上级单位的纪检、监察负责监督，对本协议履行情况进行检查。</w:t>
      </w:r>
    </w:p>
    <w:p w14:paraId="795555F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第六条  举报信访受理</w:t>
      </w:r>
    </w:p>
    <w:p w14:paraId="064B997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（一）举报受理部门: </w:t>
      </w:r>
      <w:r>
        <w:rPr>
          <w:rFonts w:hint="eastAsia" w:ascii="宋体" w:hAnsi="宋体" w:eastAsia="宋体" w:cs="宋体"/>
          <w:sz w:val="21"/>
          <w:szCs w:val="21"/>
          <w:highlight w:val="none"/>
          <w:lang w:eastAsia="zh-CN"/>
        </w:rPr>
        <w:t>东莞市水务环境投资控股集团有限公司</w:t>
      </w:r>
      <w:r>
        <w:rPr>
          <w:rFonts w:hint="eastAsia" w:ascii="宋体" w:hAnsi="宋体" w:eastAsia="宋体" w:cs="宋体"/>
          <w:sz w:val="21"/>
          <w:szCs w:val="21"/>
          <w:highlight w:val="none"/>
        </w:rPr>
        <w:t>纪检监察部。</w:t>
      </w:r>
    </w:p>
    <w:p w14:paraId="6A22535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（二）举报电话: ( 0769 ) 23076092</w:t>
      </w:r>
    </w:p>
    <w:p w14:paraId="5FA246E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（三）举报邮箱:jcsj@dgswjt.cn</w:t>
      </w:r>
    </w:p>
    <w:p w14:paraId="3DB7C80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（四）信访地址: 广东省东莞市东城街道育华路 1 号</w:t>
      </w:r>
    </w:p>
    <w:p w14:paraId="4D949BE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第七条  其他</w:t>
      </w:r>
    </w:p>
    <w:p w14:paraId="101AAA6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份，甲、乙双方各执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份，甲、乙双方上级监督部门各执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w:t>
      </w:r>
    </w:p>
    <w:p w14:paraId="494FDDF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p>
    <w:p w14:paraId="227181D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甲方（盖章）：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乙方（盖章）： </w:t>
      </w:r>
    </w:p>
    <w:p w14:paraId="3753659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p>
    <w:p w14:paraId="5F2105C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法定代表人：</w:t>
      </w:r>
    </w:p>
    <w:p w14:paraId="49CA7E0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甲方代表：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乙方代表：</w:t>
      </w:r>
    </w:p>
    <w:p w14:paraId="4CC52F1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p>
    <w:p w14:paraId="178225BB">
      <w:pPr>
        <w:spacing w:line="360" w:lineRule="auto"/>
        <w:rPr>
          <w:rFonts w:hint="eastAsia" w:ascii="宋体" w:hAnsi="宋体" w:eastAsia="宋体"/>
          <w:b/>
          <w:bCs/>
          <w:color w:val="auto"/>
          <w:kern w:val="0"/>
          <w:sz w:val="24"/>
          <w:szCs w:val="24"/>
          <w:highlight w:val="none"/>
          <w:lang w:val="en-US" w:eastAsia="zh-CN"/>
        </w:rPr>
      </w:pPr>
      <w:r>
        <w:rPr>
          <w:rFonts w:hint="eastAsia" w:ascii="宋体" w:hAnsi="宋体" w:eastAsia="宋体" w:cs="宋体"/>
          <w:sz w:val="21"/>
          <w:szCs w:val="21"/>
          <w:highlight w:val="none"/>
        </w:rPr>
        <w:t>签订日期：   年  月  日             年  月  日</w:t>
      </w:r>
      <w:r>
        <w:rPr>
          <w:rFonts w:hint="eastAsia" w:ascii="宋体" w:hAnsi="宋体" w:eastAsia="宋体"/>
          <w:b/>
          <w:bCs/>
          <w:color w:val="auto"/>
          <w:kern w:val="0"/>
          <w:sz w:val="24"/>
          <w:szCs w:val="24"/>
          <w:highlight w:val="none"/>
          <w:lang w:val="en-US" w:eastAsia="zh-CN"/>
        </w:rPr>
        <w:br w:type="page"/>
      </w:r>
    </w:p>
    <w:p w14:paraId="5112C396">
      <w:pPr>
        <w:autoSpaceDE w:val="0"/>
        <w:autoSpaceDN w:val="0"/>
        <w:adjustRightInd w:val="0"/>
        <w:snapToGrid w:val="0"/>
        <w:spacing w:beforeLines="0" w:afterLines="0" w:line="360" w:lineRule="auto"/>
        <w:jc w:val="both"/>
        <w:rPr>
          <w:rFonts w:hint="default" w:ascii="宋体" w:hAnsi="宋体" w:eastAsia="宋体"/>
          <w:b/>
          <w:bCs/>
          <w:color w:val="auto"/>
          <w:kern w:val="0"/>
          <w:sz w:val="24"/>
          <w:szCs w:val="24"/>
          <w:highlight w:val="none"/>
          <w:lang w:val="en-US" w:eastAsia="zh-CN"/>
        </w:rPr>
      </w:pPr>
      <w:r>
        <w:rPr>
          <w:rFonts w:hint="eastAsia" w:ascii="宋体" w:hAnsi="宋体" w:eastAsia="宋体"/>
          <w:b/>
          <w:bCs/>
          <w:color w:val="auto"/>
          <w:kern w:val="0"/>
          <w:sz w:val="24"/>
          <w:szCs w:val="24"/>
          <w:highlight w:val="none"/>
          <w:lang w:val="en-US" w:eastAsia="zh-CN"/>
        </w:rPr>
        <w:t>4-3 招标代理协议服务合同（标段二）</w:t>
      </w:r>
    </w:p>
    <w:p w14:paraId="55103FE8">
      <w:pPr>
        <w:jc w:val="center"/>
        <w:rPr>
          <w:rFonts w:ascii="宋体" w:hAnsi="宋体" w:eastAsia="宋体" w:cs="宋体"/>
          <w:b/>
          <w:sz w:val="32"/>
          <w:highlight w:val="none"/>
        </w:rPr>
      </w:pPr>
    </w:p>
    <w:p w14:paraId="0675BE5C">
      <w:pPr>
        <w:jc w:val="center"/>
        <w:rPr>
          <w:rFonts w:ascii="宋体" w:hAnsi="宋体" w:eastAsia="宋体" w:cs="宋体"/>
          <w:b/>
          <w:sz w:val="32"/>
          <w:highlight w:val="none"/>
        </w:rPr>
      </w:pPr>
    </w:p>
    <w:p w14:paraId="67CE14BF">
      <w:pPr>
        <w:jc w:val="center"/>
        <w:rPr>
          <w:rFonts w:ascii="宋体" w:hAnsi="宋体" w:eastAsia="宋体" w:cs="宋体"/>
          <w:b/>
          <w:sz w:val="32"/>
          <w:highlight w:val="none"/>
        </w:rPr>
      </w:pPr>
    </w:p>
    <w:p w14:paraId="0E80D481">
      <w:pPr>
        <w:spacing w:line="360" w:lineRule="auto"/>
        <w:jc w:val="center"/>
        <w:rPr>
          <w:rFonts w:ascii="宋体" w:hAnsi="宋体" w:eastAsia="宋体" w:cs="宋体"/>
          <w:b/>
          <w:sz w:val="72"/>
          <w:szCs w:val="72"/>
          <w:highlight w:val="none"/>
        </w:rPr>
      </w:pPr>
      <w:r>
        <w:rPr>
          <w:rFonts w:hint="eastAsia" w:ascii="宋体" w:hAnsi="宋体" w:eastAsia="宋体" w:cs="宋体"/>
          <w:b/>
          <w:sz w:val="72"/>
          <w:szCs w:val="72"/>
          <w:highlight w:val="none"/>
          <w:lang w:eastAsia="zh-CN"/>
        </w:rPr>
        <w:t>东莞市水务环境投资控股集团有限公司</w:t>
      </w:r>
      <w:r>
        <w:rPr>
          <w:rFonts w:hint="eastAsia" w:ascii="宋体" w:hAnsi="宋体" w:eastAsia="宋体" w:cs="宋体"/>
          <w:b/>
          <w:sz w:val="72"/>
          <w:szCs w:val="72"/>
          <w:highlight w:val="none"/>
          <w:lang w:val="en-US" w:eastAsia="zh-CN"/>
        </w:rPr>
        <w:t>招标</w:t>
      </w:r>
      <w:r>
        <w:rPr>
          <w:rFonts w:hint="eastAsia" w:ascii="宋体" w:hAnsi="宋体" w:eastAsia="宋体" w:cs="宋体"/>
          <w:b/>
          <w:sz w:val="72"/>
          <w:szCs w:val="72"/>
          <w:highlight w:val="none"/>
        </w:rPr>
        <w:t>代理协议服务合同</w:t>
      </w:r>
    </w:p>
    <w:p w14:paraId="4E11D6B1">
      <w:pPr>
        <w:jc w:val="center"/>
        <w:rPr>
          <w:rFonts w:ascii="宋体" w:hAnsi="宋体" w:eastAsia="宋体" w:cs="宋体"/>
          <w:b/>
          <w:sz w:val="32"/>
          <w:highlight w:val="none"/>
        </w:rPr>
      </w:pPr>
    </w:p>
    <w:p w14:paraId="70271570">
      <w:pPr>
        <w:jc w:val="center"/>
        <w:rPr>
          <w:rFonts w:ascii="宋体" w:hAnsi="宋体" w:eastAsia="宋体" w:cs="宋体"/>
          <w:b/>
          <w:sz w:val="32"/>
          <w:highlight w:val="none"/>
        </w:rPr>
      </w:pPr>
    </w:p>
    <w:p w14:paraId="59CCDF35">
      <w:pPr>
        <w:jc w:val="center"/>
        <w:rPr>
          <w:rFonts w:ascii="宋体" w:hAnsi="宋体" w:eastAsia="宋体" w:cs="宋体"/>
          <w:b/>
          <w:sz w:val="32"/>
          <w:highlight w:val="none"/>
        </w:rPr>
      </w:pPr>
    </w:p>
    <w:p w14:paraId="4EA514CD">
      <w:pPr>
        <w:jc w:val="center"/>
        <w:rPr>
          <w:rFonts w:ascii="宋体" w:hAnsi="宋体" w:eastAsia="宋体" w:cs="宋体"/>
          <w:b/>
          <w:sz w:val="32"/>
          <w:highlight w:val="none"/>
        </w:rPr>
      </w:pPr>
    </w:p>
    <w:p w14:paraId="497DAEF0">
      <w:pPr>
        <w:jc w:val="center"/>
        <w:rPr>
          <w:rFonts w:ascii="宋体" w:hAnsi="宋体" w:eastAsia="宋体" w:cs="宋体"/>
          <w:b/>
          <w:sz w:val="32"/>
          <w:highlight w:val="none"/>
        </w:rPr>
      </w:pPr>
    </w:p>
    <w:p w14:paraId="0177E9E2">
      <w:pPr>
        <w:ind w:firstLine="2249" w:firstLineChars="700"/>
        <w:rPr>
          <w:rFonts w:ascii="宋体" w:hAnsi="宋体" w:eastAsia="宋体" w:cs="宋体"/>
          <w:b/>
          <w:sz w:val="32"/>
          <w:szCs w:val="32"/>
          <w:highlight w:val="none"/>
          <w:u w:val="single"/>
        </w:rPr>
      </w:pPr>
      <w:r>
        <w:rPr>
          <w:rFonts w:hint="eastAsia" w:ascii="宋体" w:hAnsi="宋体" w:eastAsia="宋体" w:cs="宋体"/>
          <w:b/>
          <w:sz w:val="32"/>
          <w:szCs w:val="32"/>
          <w:highlight w:val="none"/>
        </w:rPr>
        <w:t>甲方：</w:t>
      </w:r>
      <w:r>
        <w:rPr>
          <w:rFonts w:hint="eastAsia" w:ascii="宋体" w:hAnsi="宋体" w:eastAsia="宋体" w:cs="宋体"/>
          <w:b/>
          <w:sz w:val="32"/>
          <w:szCs w:val="32"/>
          <w:highlight w:val="none"/>
          <w:u w:val="single"/>
          <w:lang w:eastAsia="zh-CN"/>
        </w:rPr>
        <w:t>东莞市水务环境投资控股集团有限公司</w:t>
      </w:r>
      <w:r>
        <w:rPr>
          <w:rFonts w:hint="eastAsia" w:ascii="宋体" w:hAnsi="宋体" w:eastAsia="宋体" w:cs="宋体"/>
          <w:b/>
          <w:sz w:val="32"/>
          <w:szCs w:val="32"/>
          <w:highlight w:val="none"/>
          <w:u w:val="single"/>
        </w:rPr>
        <w:t xml:space="preserve"> </w:t>
      </w:r>
    </w:p>
    <w:p w14:paraId="153ACBA2">
      <w:pPr>
        <w:pStyle w:val="19"/>
        <w:rPr>
          <w:rFonts w:hAnsi="宋体" w:cs="宋体"/>
          <w:sz w:val="32"/>
          <w:szCs w:val="32"/>
          <w:highlight w:val="none"/>
        </w:rPr>
      </w:pPr>
    </w:p>
    <w:p w14:paraId="6D5BD315">
      <w:pPr>
        <w:pStyle w:val="19"/>
        <w:rPr>
          <w:rFonts w:hAnsi="宋体" w:cs="宋体"/>
          <w:sz w:val="32"/>
          <w:szCs w:val="32"/>
          <w:highlight w:val="none"/>
        </w:rPr>
      </w:pPr>
    </w:p>
    <w:p w14:paraId="0809882C">
      <w:pPr>
        <w:ind w:firstLine="2249" w:firstLineChars="700"/>
        <w:rPr>
          <w:rFonts w:hint="default" w:ascii="宋体" w:hAnsi="宋体" w:eastAsia="宋体" w:cs="宋体"/>
          <w:b/>
          <w:sz w:val="32"/>
          <w:szCs w:val="32"/>
          <w:highlight w:val="none"/>
          <w:u w:val="single"/>
          <w:lang w:val="en-US" w:eastAsia="zh-CN"/>
        </w:rPr>
      </w:pPr>
      <w:r>
        <w:rPr>
          <w:rFonts w:hint="eastAsia" w:ascii="宋体" w:hAnsi="宋体" w:eastAsia="宋体" w:cs="宋体"/>
          <w:b/>
          <w:sz w:val="32"/>
          <w:szCs w:val="32"/>
          <w:highlight w:val="none"/>
        </w:rPr>
        <w:t>乙方：</w:t>
      </w:r>
      <w:r>
        <w:rPr>
          <w:rFonts w:hint="eastAsia" w:ascii="宋体" w:hAnsi="宋体" w:eastAsia="宋体" w:cs="宋体"/>
          <w:b/>
          <w:bCs w:val="0"/>
          <w:sz w:val="32"/>
          <w:szCs w:val="32"/>
          <w:highlight w:val="none"/>
          <w:u w:val="single"/>
          <w:lang w:val="en-US" w:eastAsia="zh-CN"/>
        </w:rPr>
        <w:t xml:space="preserve">                                   </w:t>
      </w:r>
    </w:p>
    <w:p w14:paraId="166953D3">
      <w:pPr>
        <w:pStyle w:val="55"/>
        <w:ind w:firstLine="643"/>
        <w:rPr>
          <w:rFonts w:ascii="宋体" w:hAnsi="宋体" w:eastAsia="宋体" w:cs="宋体"/>
          <w:b/>
          <w:sz w:val="32"/>
          <w:szCs w:val="32"/>
          <w:highlight w:val="none"/>
        </w:rPr>
      </w:pPr>
    </w:p>
    <w:p w14:paraId="71C2757E">
      <w:pPr>
        <w:pStyle w:val="55"/>
        <w:ind w:firstLine="643"/>
        <w:rPr>
          <w:rFonts w:ascii="宋体" w:hAnsi="宋体" w:eastAsia="宋体" w:cs="宋体"/>
          <w:b/>
          <w:sz w:val="32"/>
          <w:szCs w:val="32"/>
          <w:highlight w:val="none"/>
        </w:rPr>
      </w:pPr>
    </w:p>
    <w:p w14:paraId="44B0B875">
      <w:pPr>
        <w:pStyle w:val="55"/>
        <w:ind w:firstLine="2249" w:firstLineChars="700"/>
        <w:rPr>
          <w:rFonts w:ascii="宋体" w:hAnsi="宋体" w:eastAsia="宋体" w:cs="宋体"/>
          <w:b/>
          <w:sz w:val="32"/>
          <w:szCs w:val="32"/>
          <w:highlight w:val="none"/>
          <w:u w:val="single"/>
          <w:lang w:val="en-US"/>
        </w:rPr>
      </w:pPr>
      <w:r>
        <w:rPr>
          <w:rFonts w:hint="eastAsia" w:ascii="宋体" w:hAnsi="宋体" w:eastAsia="宋体" w:cs="宋体"/>
          <w:b/>
          <w:sz w:val="32"/>
          <w:szCs w:val="32"/>
          <w:highlight w:val="none"/>
        </w:rPr>
        <w:t>签订时间：</w:t>
      </w:r>
      <w:r>
        <w:rPr>
          <w:rFonts w:hint="eastAsia" w:ascii="宋体" w:hAnsi="宋体" w:eastAsia="宋体" w:cs="宋体"/>
          <w:b/>
          <w:sz w:val="32"/>
          <w:szCs w:val="32"/>
          <w:highlight w:val="none"/>
          <w:u w:val="single"/>
        </w:rPr>
        <w:t xml:space="preserve">     年</w:t>
      </w:r>
      <w:r>
        <w:rPr>
          <w:rFonts w:hint="eastAsia" w:ascii="宋体" w:hAnsi="宋体" w:eastAsia="宋体" w:cs="宋体"/>
          <w:b/>
          <w:sz w:val="32"/>
          <w:szCs w:val="32"/>
          <w:highlight w:val="none"/>
          <w:u w:val="single"/>
          <w:lang w:val="en-US"/>
        </w:rPr>
        <w:t xml:space="preserve">    月    日</w:t>
      </w:r>
    </w:p>
    <w:p w14:paraId="310EF0E2">
      <w:pPr>
        <w:ind w:left="2127" w:leftChars="566" w:hanging="938" w:hangingChars="292"/>
        <w:rPr>
          <w:rFonts w:ascii="宋体" w:hAnsi="宋体" w:eastAsia="宋体" w:cs="宋体"/>
          <w:b/>
          <w:sz w:val="32"/>
          <w:szCs w:val="32"/>
          <w:highlight w:val="none"/>
        </w:rPr>
      </w:pPr>
    </w:p>
    <w:p w14:paraId="4A95F88F">
      <w:pPr>
        <w:rPr>
          <w:rFonts w:ascii="宋体" w:hAnsi="宋体" w:eastAsia="宋体" w:cs="宋体"/>
          <w:b/>
          <w:sz w:val="32"/>
          <w:highlight w:val="none"/>
        </w:rPr>
      </w:pPr>
    </w:p>
    <w:p w14:paraId="7AAA5D69">
      <w:pPr>
        <w:pStyle w:val="19"/>
        <w:rPr>
          <w:rFonts w:hAnsi="宋体" w:cs="宋体"/>
          <w:sz w:val="32"/>
          <w:highlight w:val="none"/>
        </w:rPr>
      </w:pPr>
    </w:p>
    <w:p w14:paraId="03AFCB8E">
      <w:pPr>
        <w:pStyle w:val="19"/>
        <w:rPr>
          <w:rFonts w:hAnsi="宋体" w:cs="宋体"/>
          <w:sz w:val="32"/>
          <w:highlight w:val="none"/>
        </w:rPr>
      </w:pPr>
    </w:p>
    <w:p w14:paraId="5947BDF7">
      <w:pPr>
        <w:spacing w:after="0" w:line="24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445CEB29">
      <w:pPr>
        <w:spacing w:after="60" w:line="480" w:lineRule="auto"/>
        <w:rPr>
          <w:rFonts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u w:val="single"/>
          <w:lang w:eastAsia="zh-CN"/>
        </w:rPr>
        <w:t>东莞市水务环境投资控股集团有限公司</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322F3A4C">
      <w:pPr>
        <w:spacing w:after="60" w:line="480" w:lineRule="auto"/>
        <w:rPr>
          <w:rFonts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 xml:space="preserve">  </w:t>
      </w:r>
    </w:p>
    <w:p w14:paraId="5EB1F2B8">
      <w:pPr>
        <w:spacing w:after="60"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eastAsia="zh-CN"/>
        </w:rPr>
        <w:t>东莞市水务环境投资控股集团有限公司</w:t>
      </w:r>
      <w:r>
        <w:rPr>
          <w:rFonts w:hint="eastAsia" w:ascii="宋体" w:hAnsi="宋体" w:eastAsia="宋体" w:cs="宋体"/>
          <w:szCs w:val="21"/>
          <w:highlight w:val="none"/>
        </w:rPr>
        <w:t>（含下属企业）</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代理协议服务招、投标文件及本次招标的中标通知书，依据《中华人民共和国民法典》，结合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东莞市水务环境投资控股集团有限公司</w:t>
      </w:r>
      <w:r>
        <w:rPr>
          <w:rFonts w:hint="eastAsia" w:ascii="宋体" w:hAnsi="宋体" w:eastAsia="宋体" w:cs="宋体"/>
          <w:szCs w:val="21"/>
          <w:highlight w:val="none"/>
          <w:u w:val="single"/>
          <w:lang w:val="en-US" w:eastAsia="zh-CN"/>
        </w:rPr>
        <w:t>招标</w:t>
      </w:r>
      <w:r>
        <w:rPr>
          <w:rFonts w:hint="eastAsia" w:ascii="宋体" w:hAnsi="宋体" w:eastAsia="宋体" w:cs="宋体"/>
          <w:szCs w:val="21"/>
          <w:highlight w:val="none"/>
          <w:u w:val="single"/>
        </w:rPr>
        <w:t xml:space="preserve">采购代理协议服务 </w:t>
      </w:r>
      <w:r>
        <w:rPr>
          <w:rFonts w:hint="eastAsia" w:ascii="宋体" w:hAnsi="宋体" w:eastAsia="宋体" w:cs="宋体"/>
          <w:szCs w:val="21"/>
          <w:highlight w:val="none"/>
        </w:rPr>
        <w:t>项目</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标段二</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招标结果，经双方协商，签订本协议。</w:t>
      </w:r>
    </w:p>
    <w:p w14:paraId="24A62378">
      <w:pPr>
        <w:autoSpaceDE w:val="0"/>
        <w:autoSpaceDN w:val="0"/>
        <w:adjustRightInd w:val="0"/>
        <w:spacing w:after="60" w:line="480" w:lineRule="auto"/>
        <w:ind w:firstLine="422" w:firstLineChars="200"/>
        <w:rPr>
          <w:rFonts w:ascii="宋体" w:hAnsi="宋体" w:eastAsia="宋体" w:cs="宋体"/>
          <w:szCs w:val="21"/>
          <w:highlight w:val="none"/>
        </w:rPr>
      </w:pPr>
      <w:r>
        <w:rPr>
          <w:rFonts w:hint="eastAsia" w:ascii="宋体" w:hAnsi="宋体" w:eastAsia="宋体" w:cs="宋体"/>
          <w:b/>
          <w:szCs w:val="21"/>
          <w:highlight w:val="none"/>
        </w:rPr>
        <w:t xml:space="preserve">第一条 </w:t>
      </w:r>
      <w:r>
        <w:rPr>
          <w:rFonts w:hint="eastAsia" w:ascii="宋体" w:hAnsi="宋体" w:eastAsia="宋体" w:cs="宋体"/>
          <w:b/>
          <w:szCs w:val="21"/>
          <w:highlight w:val="none"/>
          <w:lang w:eastAsia="zh-CN"/>
        </w:rPr>
        <w:t>招标</w:t>
      </w:r>
      <w:r>
        <w:rPr>
          <w:rFonts w:hint="eastAsia" w:ascii="宋体" w:hAnsi="宋体" w:eastAsia="宋体" w:cs="宋体"/>
          <w:b/>
          <w:szCs w:val="21"/>
          <w:highlight w:val="none"/>
        </w:rPr>
        <w:t>代理服务内容</w:t>
      </w:r>
    </w:p>
    <w:p w14:paraId="2E9F0FDA">
      <w:pPr>
        <w:spacing w:after="60"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 甲方（含下属企业）作为</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人委托乙方代理</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项目全过程服务工作，包括但不限于：</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文件的编制、组织开评标、资料整理备案、发出中标通知书等，如</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人有需要，须协助</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人起草合同、负责办理所有相关手续并承担相关费用。具体服务内容详见招标文件《用户需求书》。</w:t>
      </w:r>
    </w:p>
    <w:p w14:paraId="33FF33A9">
      <w:pPr>
        <w:autoSpaceDE w:val="0"/>
        <w:autoSpaceDN w:val="0"/>
        <w:adjustRightInd w:val="0"/>
        <w:spacing w:after="60"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第二条 协议服务期限</w:t>
      </w:r>
    </w:p>
    <w:p w14:paraId="62DF3BAD">
      <w:pPr>
        <w:spacing w:line="480" w:lineRule="auto"/>
        <w:ind w:firstLine="420" w:firstLineChars="200"/>
        <w:rPr>
          <w:rFonts w:ascii="宋体" w:hAnsi="宋体" w:eastAsia="宋体" w:cs="宋体"/>
          <w:color w:val="auto"/>
          <w:szCs w:val="21"/>
          <w:highlight w:val="none"/>
        </w:rPr>
      </w:pPr>
      <w:r>
        <w:rPr>
          <w:rFonts w:hint="eastAsia" w:ascii="宋体" w:hAnsi="宋体" w:eastAsia="宋体" w:cs="宋体"/>
          <w:szCs w:val="21"/>
          <w:highlight w:val="none"/>
        </w:rPr>
        <w:t>2.1 本项目的协议服务期限为2</w:t>
      </w:r>
      <w:r>
        <w:rPr>
          <w:rFonts w:hint="eastAsia" w:ascii="宋体" w:hAnsi="宋体" w:eastAsia="宋体" w:cs="宋体"/>
          <w:color w:val="auto"/>
          <w:szCs w:val="21"/>
          <w:highlight w:val="none"/>
        </w:rPr>
        <w:t>年，从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u w:val="single"/>
        </w:rPr>
        <w:t xml:space="preserve">202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日。协议服务期满后，按甲方实际需要，经双方协商同意后，可签订补充协议延长服务期。</w:t>
      </w:r>
    </w:p>
    <w:p w14:paraId="4E70BF20">
      <w:pPr>
        <w:autoSpaceDE w:val="0"/>
        <w:autoSpaceDN w:val="0"/>
        <w:adjustRightInd w:val="0"/>
        <w:spacing w:after="60" w:line="48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第三条  服务管理</w:t>
      </w:r>
    </w:p>
    <w:p w14:paraId="554EBAFF">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3.1 甲方有权对乙方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代理过程及行为进行规范、管理、考核评价及监督，负责项目的抽签轮派，</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任务通知的发出；由甲方及其下属企业委托乙方开展具体单项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代理业务，跟进</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工作的进展和协调处理</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工作的相关事项。</w:t>
      </w:r>
    </w:p>
    <w:p w14:paraId="0D8184C0">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3.2 甲方有权根据考核评价结果增加或暂停分配代理工作或追究违约责任或取消乙方协议服务资格。</w:t>
      </w:r>
    </w:p>
    <w:p w14:paraId="7952003A">
      <w:pPr>
        <w:spacing w:line="48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w:t>
      </w:r>
      <w:r>
        <w:rPr>
          <w:rFonts w:hint="eastAsia" w:ascii="宋体" w:hAnsi="宋体" w:eastAsia="宋体" w:cs="宋体"/>
          <w:highlight w:val="none"/>
        </w:rPr>
        <w:t xml:space="preserve"> </w:t>
      </w:r>
      <w:r>
        <w:rPr>
          <w:rFonts w:hint="eastAsia" w:ascii="宋体" w:hAnsi="宋体" w:eastAsia="宋体" w:cs="宋体"/>
          <w:szCs w:val="21"/>
          <w:highlight w:val="none"/>
        </w:rPr>
        <w:t>甲方有权根据需求情况，适时补充其他协议服务单位。</w:t>
      </w:r>
    </w:p>
    <w:p w14:paraId="1B0F82D0">
      <w:pPr>
        <w:spacing w:line="48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3.4 </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有权根据实际情况，单方面取消招标代理库或单一代理机构，且不作任何补偿。</w:t>
      </w:r>
    </w:p>
    <w:p w14:paraId="7EF703AE">
      <w:pPr>
        <w:spacing w:line="480" w:lineRule="auto"/>
        <w:ind w:firstLine="420" w:firstLineChars="200"/>
        <w:rPr>
          <w:rFonts w:ascii="宋体" w:hAnsi="宋体" w:eastAsia="宋体" w:cs="宋体"/>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 甲方有权通过签订补充协议的形式对本合同条款进行调整，包括但不限于：服务要求、项目分配及考核方式、违约处置等。若乙方不能接受当中的条款，有权放弃协议服务资格，向甲方提出终止合同并申请退还履约担保。</w:t>
      </w:r>
    </w:p>
    <w:p w14:paraId="10AABF15">
      <w:pPr>
        <w:autoSpaceDE w:val="0"/>
        <w:autoSpaceDN w:val="0"/>
        <w:adjustRightInd w:val="0"/>
        <w:spacing w:after="60"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第四条 服务要求</w:t>
      </w:r>
    </w:p>
    <w:p w14:paraId="4330E83E">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w:t>
      </w:r>
      <w:r>
        <w:rPr>
          <w:rFonts w:hint="eastAsia" w:ascii="宋体" w:hAnsi="宋体" w:eastAsia="宋体" w:cs="宋体"/>
          <w:szCs w:val="21"/>
          <w:highlight w:val="none"/>
        </w:rPr>
        <w:tab/>
      </w:r>
      <w:r>
        <w:rPr>
          <w:rFonts w:hint="eastAsia" w:ascii="宋体" w:hAnsi="宋体" w:eastAsia="宋体" w:cs="宋体"/>
          <w:szCs w:val="21"/>
          <w:highlight w:val="none"/>
        </w:rPr>
        <w:t>乙方应在开展</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代理服务前与</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签订书面《</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代理合同》（即单项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代理合同），并在其资格许可、</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委托范围、</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代理合同约定的职责和权限内办理相关</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事宜，提供相关代理服务。乙方不得无权代理、越权代理，也不得明知委托事项违法而进行代理。</w:t>
      </w:r>
    </w:p>
    <w:p w14:paraId="089373F8">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4.2</w:t>
      </w:r>
      <w:r>
        <w:rPr>
          <w:rFonts w:hint="eastAsia" w:ascii="宋体" w:hAnsi="宋体" w:eastAsia="宋体" w:cs="宋体"/>
          <w:szCs w:val="21"/>
          <w:highlight w:val="none"/>
        </w:rPr>
        <w:tab/>
      </w:r>
      <w:r>
        <w:rPr>
          <w:rFonts w:hint="eastAsia" w:ascii="宋体" w:hAnsi="宋体" w:eastAsia="宋体" w:cs="宋体"/>
          <w:szCs w:val="21"/>
          <w:highlight w:val="none"/>
        </w:rPr>
        <w:t>乙方应严格遵守相关法律、法规和政策，执行国家和行业的标准和规范，维护国家、社会公共利益和服务主体的合法权益。乙方在从事</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代理服务过程中，应始终遵循公开、公平、公正和诚实信用的原则，若发现相关当事人有违反国家有关法律法规的行为，应及时向本项目</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监督部门报告。</w:t>
      </w:r>
    </w:p>
    <w:p w14:paraId="5419C216">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4.3</w:t>
      </w:r>
      <w:r>
        <w:rPr>
          <w:rFonts w:hint="eastAsia" w:ascii="宋体" w:hAnsi="宋体" w:eastAsia="宋体" w:cs="宋体"/>
          <w:szCs w:val="21"/>
          <w:highlight w:val="none"/>
        </w:rPr>
        <w:tab/>
      </w:r>
      <w:r>
        <w:rPr>
          <w:rFonts w:hint="eastAsia" w:ascii="宋体" w:hAnsi="宋体" w:eastAsia="宋体" w:cs="宋体"/>
          <w:szCs w:val="21"/>
          <w:highlight w:val="none"/>
        </w:rPr>
        <w:t>乙方应在依法维护社会公众利益的基础上，对</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负责，勤勉认真、尽职尽责地履行全部代理服务工作和承诺的义务，并恪守职业道德、廉洁自律。</w:t>
      </w:r>
    </w:p>
    <w:p w14:paraId="6367E464">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4.4</w:t>
      </w:r>
      <w:r>
        <w:rPr>
          <w:rFonts w:hint="eastAsia" w:ascii="宋体" w:hAnsi="宋体" w:eastAsia="宋体" w:cs="宋体"/>
          <w:szCs w:val="21"/>
          <w:highlight w:val="none"/>
        </w:rPr>
        <w:tab/>
      </w:r>
      <w:r>
        <w:rPr>
          <w:rFonts w:hint="eastAsia" w:ascii="宋体" w:hAnsi="宋体" w:eastAsia="宋体" w:cs="宋体"/>
          <w:szCs w:val="21"/>
          <w:highlight w:val="none"/>
        </w:rPr>
        <w:t>乙方在开展代理服务过程中，应向</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及时告知</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代理工作实施情况的相关信息，除非得到事先授权，否则在</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活动中形成的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工作计划、</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公告、</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文件及其澄清和修改、中标通知书等主要文件，以及须作出的可能影响</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结果的各类重要决策，均应按照</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代理合同约定提前报告</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审核确认。</w:t>
      </w:r>
    </w:p>
    <w:p w14:paraId="65448C2D">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4.5</w:t>
      </w:r>
      <w:r>
        <w:rPr>
          <w:rFonts w:hint="eastAsia" w:ascii="宋体" w:hAnsi="宋体" w:eastAsia="宋体" w:cs="宋体"/>
          <w:szCs w:val="21"/>
          <w:highlight w:val="none"/>
        </w:rPr>
        <w:tab/>
      </w:r>
      <w:r>
        <w:rPr>
          <w:rFonts w:hint="eastAsia" w:ascii="宋体" w:hAnsi="宋体" w:eastAsia="宋体" w:cs="宋体"/>
          <w:szCs w:val="21"/>
          <w:highlight w:val="none"/>
        </w:rPr>
        <w:t>乙方应保守在代理服务过程中知悉的国家秘密、商业和技术秘密，以及其他依据法律法规要求或</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代理合同约定应当保密的信息。</w:t>
      </w:r>
    </w:p>
    <w:p w14:paraId="68C1693D">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4.6乙方应对</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委托的项目内容予以严格保密。在代理服务过程中，任何所涉及</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商业或技术秘密的文件，未经</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书面同意，乙方不得泄露给任何第三方；在完成代理项目后，未经</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书面同意，乙方不得留存属于</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商业或技术秘密等相关文件。</w:t>
      </w:r>
    </w:p>
    <w:p w14:paraId="1FBEF400">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4.7</w:t>
      </w:r>
      <w:r>
        <w:rPr>
          <w:rFonts w:hint="eastAsia" w:ascii="宋体" w:hAnsi="宋体" w:eastAsia="宋体" w:cs="宋体"/>
          <w:szCs w:val="21"/>
          <w:highlight w:val="none"/>
        </w:rPr>
        <w:tab/>
      </w:r>
      <w:r>
        <w:rPr>
          <w:rFonts w:hint="eastAsia" w:ascii="宋体" w:hAnsi="宋体" w:eastAsia="宋体" w:cs="宋体"/>
          <w:szCs w:val="21"/>
          <w:highlight w:val="none"/>
        </w:rPr>
        <w:t>乙方不得在所代理的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项目中投标或者代理投标，也不得为所代理的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项目的投标人（供应商）提供咨询。接受委托编制标底或最高投标限价的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代理机构不得参加受托编制标底或最高投标限价项目的投标，也不得为该项目的投标人（供应商）编制投标文件或者提供咨询。</w:t>
      </w:r>
    </w:p>
    <w:p w14:paraId="65EB85F8">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4.8</w:t>
      </w:r>
      <w:r>
        <w:rPr>
          <w:rFonts w:hint="eastAsia" w:ascii="宋体" w:hAnsi="宋体" w:eastAsia="宋体" w:cs="宋体"/>
          <w:szCs w:val="21"/>
          <w:highlight w:val="none"/>
        </w:rPr>
        <w:tab/>
      </w:r>
      <w:r>
        <w:rPr>
          <w:rFonts w:hint="eastAsia" w:ascii="宋体" w:hAnsi="宋体" w:eastAsia="宋体" w:cs="宋体"/>
          <w:szCs w:val="21"/>
          <w:highlight w:val="none"/>
        </w:rPr>
        <w:t>乙方在单项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代理合同签署之日起7个工作日内完成</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文件初稿的编制，并保证</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文件的合法合规性、完整性、准确性。</w:t>
      </w:r>
    </w:p>
    <w:p w14:paraId="55E4F2C0">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4.9乙方应对甲方提供的用户需求书、招标控制价、图纸、清单等基础资料进行复核并提出合理化建议,并确保编制的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文件与甲方提供的基础资料相匹配。</w:t>
      </w:r>
    </w:p>
    <w:p w14:paraId="5CB14567">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4.10乙方应用专业技术与技能为</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提供完成</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工作相关的咨询服务，向</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宣传有关项目招标</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的法律、行政法规和规章，解释合理的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程序。</w:t>
      </w:r>
    </w:p>
    <w:p w14:paraId="6A142B91">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4.11乙方在具体代理项目中应遵守</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相关招标</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制度。同时，乙方应严格执行《中华人民共和国招标投标法》及其实施条例等法律法规的相关规定，保证</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程序、结果合法有效。</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过程中任何因违反法律、法规、规章及</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投标相关政策的责任，全部由乙方负责（非乙方责任除外），并由乙方承担因此而产生的一切经济损失和赔偿责任。</w:t>
      </w:r>
    </w:p>
    <w:p w14:paraId="1284E389">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4.12 乙方应在委托授权范围内组织</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项目的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工作，为</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提供优质的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代理服务。未经</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书面同意，不得将本合同所确定的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代理服务转让至任何第三方，不得擅自就</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答疑、修改澄清及中标结果等实质性内容对外作任何形式承诺或确定。乙方工作人员如与所代理的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项目潜在投标人（供应商）有任何利益关系应主动提出回避。</w:t>
      </w:r>
    </w:p>
    <w:p w14:paraId="5A00E462">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4.13乙方须指定一名专人作为与</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业务沟通的联系人，该联系人必须是乙方的正式员工。</w:t>
      </w:r>
    </w:p>
    <w:p w14:paraId="112F9A77">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4.14 乙方在协议服务期限内配置不少于</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名熟悉招标</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法律法规、具备编制</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文件和组织</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活动等相应能力的专职从业人员。特定</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项目所指派的项目负责人（可兼任）、</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文件编制人、</w:t>
      </w:r>
      <w:r>
        <w:rPr>
          <w:rFonts w:hint="eastAsia" w:ascii="宋体" w:hAnsi="宋体" w:eastAsia="宋体" w:cs="宋体"/>
          <w:color w:val="auto"/>
          <w:szCs w:val="21"/>
          <w:highlight w:val="none"/>
        </w:rPr>
        <w:t>复核人应具有工程类中级（或以上）工程师技术职称或具有工程类注册执业资格证的人员担任</w:t>
      </w:r>
      <w:r>
        <w:rPr>
          <w:rFonts w:hint="eastAsia" w:ascii="宋体" w:hAnsi="宋体" w:eastAsia="宋体" w:cs="宋体"/>
          <w:szCs w:val="21"/>
          <w:highlight w:val="none"/>
        </w:rPr>
        <w:t>；其中项目负责人可兼任编制人或复核人，</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文件编制人、复核人不得为同一人。特定</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项目所指派的项目负责人（可兼任）、</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文件编制人、复核人任意一人须参与该项目的开标、</w:t>
      </w:r>
      <w:r>
        <w:rPr>
          <w:rFonts w:hint="eastAsia" w:ascii="宋体" w:hAnsi="宋体" w:eastAsia="宋体" w:cs="宋体"/>
          <w:color w:val="auto"/>
          <w:szCs w:val="21"/>
          <w:highlight w:val="none"/>
        </w:rPr>
        <w:t>入围筛选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评标</w:t>
      </w:r>
      <w:r>
        <w:rPr>
          <w:rFonts w:hint="eastAsia" w:ascii="宋体" w:hAnsi="宋体" w:eastAsia="宋体" w:cs="宋体"/>
          <w:szCs w:val="21"/>
          <w:highlight w:val="none"/>
          <w:lang w:eastAsia="zh-CN"/>
        </w:rPr>
        <w:t>、</w:t>
      </w:r>
      <w:r>
        <w:rPr>
          <w:rFonts w:hint="eastAsia" w:ascii="宋体" w:hAnsi="宋体" w:eastAsia="宋体" w:cs="宋体"/>
          <w:color w:val="auto"/>
          <w:szCs w:val="21"/>
          <w:highlight w:val="none"/>
        </w:rPr>
        <w:t>定标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环节。同时，乙方不得安排本机构以外的人员协助开展相关工作。</w:t>
      </w:r>
    </w:p>
    <w:p w14:paraId="7F396492">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4.15 乙方应按投标文件中承诺投入的人员（详见附件《投入本项目人员表》）为</w:t>
      </w:r>
      <w:r>
        <w:rPr>
          <w:rFonts w:hint="eastAsia" w:ascii="宋体" w:hAnsi="宋体" w:eastAsia="宋体" w:cs="宋体"/>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其下属企业</w:t>
      </w:r>
      <w:r>
        <w:rPr>
          <w:rFonts w:hint="eastAsia" w:ascii="宋体" w:hAnsi="宋体" w:eastAsia="宋体" w:cs="宋体"/>
          <w:color w:val="auto"/>
          <w:szCs w:val="21"/>
          <w:highlight w:val="none"/>
        </w:rPr>
        <w:t>）</w:t>
      </w:r>
      <w:r>
        <w:rPr>
          <w:rFonts w:hint="eastAsia" w:ascii="宋体" w:hAnsi="宋体" w:eastAsia="宋体" w:cs="宋体"/>
          <w:szCs w:val="21"/>
          <w:highlight w:val="none"/>
        </w:rPr>
        <w:t>提供服务，且投入人员在</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代理协议服务期限内要求驻莞工作</w:t>
      </w:r>
      <w:r>
        <w:rPr>
          <w:rFonts w:hint="eastAsia" w:ascii="宋体" w:hAnsi="宋体" w:eastAsia="宋体" w:cs="宋体"/>
          <w:highlight w:val="none"/>
        </w:rPr>
        <w:t>，</w:t>
      </w:r>
      <w:r>
        <w:rPr>
          <w:rFonts w:hint="eastAsia" w:ascii="宋体" w:hAnsi="宋体" w:eastAsia="宋体" w:cs="宋体"/>
          <w:szCs w:val="21"/>
          <w:highlight w:val="none"/>
        </w:rPr>
        <w:t>未经甲方书面同意不得任意更换或减少投入人员，否则该项更换无效。乙方如需更换人员，应提前</w:t>
      </w:r>
      <w:r>
        <w:rPr>
          <w:rFonts w:hint="eastAsia" w:ascii="宋体" w:hAnsi="宋体" w:eastAsia="宋体" w:cs="宋体"/>
          <w:highlight w:val="none"/>
        </w:rPr>
        <w:t>至少</w:t>
      </w:r>
      <w:r>
        <w:rPr>
          <w:rFonts w:hint="eastAsia" w:ascii="宋体" w:hAnsi="宋体" w:eastAsia="宋体" w:cs="宋体"/>
          <w:szCs w:val="21"/>
          <w:highlight w:val="none"/>
        </w:rPr>
        <w:t>7日内以书面形式向甲方申请，更换人员的资历条件应不低于投标文件中承诺的同等条件，并应继续承担合同规定的责任和履行相应的义务。</w:t>
      </w:r>
    </w:p>
    <w:p w14:paraId="0379F876">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4.16 甲方有权根据乙方的服务情况，提出投入人员的更换或补充。乙方须在甲方通知后7日内完成人员的调整，调整的人员应能胜任对应的岗位工作。调整人员不能胜任工作的，甲方有权再次要求调整，直至调整满足甲方要求为止。</w:t>
      </w:r>
    </w:p>
    <w:p w14:paraId="76A5DAE2">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4.17乙方在</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工作开展过程中，甲方要求驻场的，乙方应无条件配合。</w:t>
      </w:r>
    </w:p>
    <w:p w14:paraId="0D9C8F0C">
      <w:pPr>
        <w:pStyle w:val="72"/>
        <w:spacing w:after="160" w:line="480" w:lineRule="auto"/>
        <w:ind w:firstLine="433"/>
        <w:rPr>
          <w:rFonts w:ascii="宋体" w:eastAsia="宋体" w:cs="宋体"/>
          <w:sz w:val="21"/>
          <w:szCs w:val="21"/>
          <w:highlight w:val="none"/>
        </w:rPr>
      </w:pPr>
      <w:r>
        <w:rPr>
          <w:rFonts w:hint="eastAsia" w:ascii="宋体" w:eastAsia="宋体" w:cs="宋体"/>
          <w:sz w:val="21"/>
          <w:szCs w:val="21"/>
          <w:highlight w:val="none"/>
        </w:rPr>
        <w:t>4.18 其他服务要求详见招标文件《用户需求书》。</w:t>
      </w:r>
    </w:p>
    <w:p w14:paraId="113FF2CF">
      <w:pPr>
        <w:autoSpaceDE w:val="0"/>
        <w:autoSpaceDN w:val="0"/>
        <w:adjustRightInd w:val="0"/>
        <w:spacing w:after="60"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 xml:space="preserve">第五条  </w:t>
      </w:r>
      <w:r>
        <w:rPr>
          <w:rFonts w:hint="eastAsia" w:ascii="宋体" w:hAnsi="宋体" w:eastAsia="宋体" w:cs="宋体"/>
          <w:b/>
          <w:szCs w:val="21"/>
          <w:highlight w:val="none"/>
          <w:lang w:eastAsia="zh-CN"/>
        </w:rPr>
        <w:t>招标</w:t>
      </w:r>
      <w:r>
        <w:rPr>
          <w:rFonts w:hint="eastAsia" w:ascii="宋体" w:hAnsi="宋体" w:eastAsia="宋体" w:cs="宋体"/>
          <w:b/>
          <w:szCs w:val="21"/>
          <w:highlight w:val="none"/>
        </w:rPr>
        <w:t>项目分配方式及</w:t>
      </w:r>
      <w:r>
        <w:rPr>
          <w:rFonts w:hint="eastAsia" w:ascii="宋体" w:hAnsi="宋体" w:eastAsia="宋体" w:cs="宋体"/>
          <w:b/>
          <w:szCs w:val="21"/>
          <w:highlight w:val="none"/>
          <w:lang w:eastAsia="zh-CN"/>
        </w:rPr>
        <w:t>招标</w:t>
      </w:r>
      <w:r>
        <w:rPr>
          <w:rFonts w:hint="eastAsia" w:ascii="宋体" w:hAnsi="宋体" w:eastAsia="宋体" w:cs="宋体"/>
          <w:b/>
          <w:szCs w:val="21"/>
          <w:highlight w:val="none"/>
        </w:rPr>
        <w:t>代理考核方式</w:t>
      </w:r>
    </w:p>
    <w:p w14:paraId="3D848694">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5.1 甲方在协议服务期限内，通过随机抽取的方式决定单项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代理业务的服务单位。每轮次抽取由当期具备参与资格的协议服务单位一同参与。同一轮次抽取周期内，已被抽取的协议服务单位将不再参与后续单项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代理业务的抽取，直到本周期结束开始下一轮次的抽取。</w:t>
      </w:r>
    </w:p>
    <w:p w14:paraId="75C17EAB">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5.2 对于有特殊、复杂要求的项目，甲方有权在库内择优选择协议服务单位。</w:t>
      </w:r>
    </w:p>
    <w:p w14:paraId="63DCDBE8">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5.3甲方有权根据需求情况，委托库外第三方服务单位承接业务。</w:t>
      </w:r>
    </w:p>
    <w:p w14:paraId="2C2EDE20">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 协议服务期限内，各协议服务单位每完成一个</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代理项目后，由该项目</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（甲方或各下属企业）将对其进行单项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代理项目质量考核评价（详见附件《单项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代理项目质量考核表》），甲方每季度对各协议服务单位进行服务质量考核评价（详见附件《</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代理机构服务质量考核表》）。</w:t>
      </w:r>
    </w:p>
    <w:p w14:paraId="43200CB0">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 </w:t>
      </w:r>
      <w:r>
        <w:rPr>
          <w:rFonts w:hint="eastAsia" w:ascii="宋体" w:hAnsi="宋体" w:eastAsia="宋体" w:cs="宋体"/>
          <w:color w:val="auto"/>
          <w:sz w:val="21"/>
          <w:szCs w:val="21"/>
          <w:highlight w:val="none"/>
          <w:lang w:val="en-US" w:eastAsia="zh-CN"/>
        </w:rPr>
        <w:t>乙方在协议服务期限内，无条件接受甲方根据考核结果制定的抽派规则（包括当不限于增加、减少、暂停、停止抽派代理业务等）。</w:t>
      </w:r>
      <w:r>
        <w:rPr>
          <w:rFonts w:hint="eastAsia" w:ascii="宋体" w:hAnsi="宋体" w:eastAsia="宋体" w:cs="宋体"/>
          <w:szCs w:val="21"/>
          <w:highlight w:val="none"/>
        </w:rPr>
        <w:t>每季度</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三个月）</w:t>
      </w:r>
      <w:r>
        <w:rPr>
          <w:rFonts w:hint="eastAsia" w:ascii="宋体" w:hAnsi="宋体" w:eastAsia="宋体" w:cs="宋体"/>
          <w:szCs w:val="21"/>
          <w:highlight w:val="none"/>
        </w:rPr>
        <w:t>甲方负责统计各协议服务单位的综合得分结果并进行排名。综合得分分为项目质量考核（详见附件《单项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代理项目质量考核表》）和服务质量考核（详见附件《</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代理机构服务质量考核表》）两个部分，</w:t>
      </w:r>
      <w:r>
        <w:rPr>
          <w:rFonts w:hint="eastAsia" w:ascii="宋体" w:hAnsi="宋体" w:eastAsia="宋体" w:cs="宋体"/>
          <w:szCs w:val="21"/>
          <w:highlight w:val="none"/>
          <w:lang w:val="en-US" w:eastAsia="zh-CN"/>
        </w:rPr>
        <w:t>各</w:t>
      </w:r>
      <w:r>
        <w:rPr>
          <w:rFonts w:hint="eastAsia" w:ascii="宋体" w:hAnsi="宋体" w:eastAsia="宋体" w:cs="宋体"/>
          <w:szCs w:val="21"/>
          <w:highlight w:val="none"/>
        </w:rPr>
        <w:t>占</w:t>
      </w:r>
      <w:r>
        <w:rPr>
          <w:rFonts w:hint="eastAsia" w:ascii="宋体" w:hAnsi="宋体" w:eastAsia="宋体" w:cs="宋体"/>
          <w:szCs w:val="21"/>
          <w:highlight w:val="none"/>
          <w:lang w:val="en-US" w:eastAsia="zh-CN"/>
        </w:rPr>
        <w:t>50</w:t>
      </w:r>
      <w:r>
        <w:rPr>
          <w:rFonts w:hint="eastAsia" w:ascii="宋体" w:hAnsi="宋体" w:eastAsia="宋体" w:cs="宋体"/>
          <w:szCs w:val="21"/>
          <w:highlight w:val="none"/>
        </w:rPr>
        <w:t>%。按“优/良/中/合格/不合格”五个评价等级统计分值，分值按从高到低的原则进行排名，得分相同的排名并列。</w:t>
      </w:r>
      <w:r>
        <w:rPr>
          <w:rFonts w:hint="eastAsia" w:ascii="宋体" w:hAnsi="宋体" w:eastAsia="宋体" w:cs="宋体"/>
          <w:color w:val="auto"/>
          <w:szCs w:val="21"/>
          <w:highlight w:val="none"/>
          <w:lang w:val="en-US" w:eastAsia="zh-CN"/>
        </w:rPr>
        <w:t>其中</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按项目进行考核评价，</w:t>
      </w:r>
      <w:r>
        <w:rPr>
          <w:rFonts w:hint="eastAsia" w:ascii="宋体" w:hAnsi="宋体" w:eastAsia="宋体" w:cs="宋体"/>
          <w:color w:val="auto"/>
          <w:szCs w:val="21"/>
          <w:highlight w:val="none"/>
        </w:rPr>
        <w:t>服务质量考核</w:t>
      </w:r>
      <w:r>
        <w:rPr>
          <w:rFonts w:hint="eastAsia" w:ascii="宋体" w:hAnsi="宋体" w:eastAsia="宋体" w:cs="宋体"/>
          <w:color w:val="auto"/>
          <w:szCs w:val="21"/>
          <w:highlight w:val="none"/>
          <w:lang w:val="en-US" w:eastAsia="zh-CN"/>
        </w:rPr>
        <w:t>按季度进行一次评价。当期有多个</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pacing w:val="-6"/>
          <w:szCs w:val="32"/>
          <w:highlight w:val="none"/>
          <w:lang w:val="en-US" w:eastAsia="zh-CN"/>
        </w:rPr>
        <w:t>以算术平均值确定</w:t>
      </w:r>
      <w:r>
        <w:rPr>
          <w:rFonts w:hint="eastAsia" w:ascii="宋体" w:hAnsi="宋体" w:eastAsia="宋体" w:cs="宋体"/>
          <w:color w:val="auto"/>
          <w:szCs w:val="21"/>
          <w:highlight w:val="none"/>
          <w:lang w:val="en-US" w:eastAsia="zh-CN"/>
        </w:rPr>
        <w:t>当期</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汇总得分；当期没有</w:t>
      </w:r>
      <w:r>
        <w:rPr>
          <w:rFonts w:hint="eastAsia" w:ascii="宋体" w:hAnsi="宋体" w:eastAsia="宋体" w:cs="宋体"/>
          <w:color w:val="auto"/>
          <w:szCs w:val="21"/>
          <w:highlight w:val="none"/>
        </w:rPr>
        <w:t>项目质量考核</w:t>
      </w:r>
      <w:r>
        <w:rPr>
          <w:rFonts w:hint="eastAsia" w:ascii="宋体" w:hAnsi="宋体" w:eastAsia="宋体" w:cs="宋体"/>
          <w:color w:val="auto"/>
          <w:szCs w:val="21"/>
          <w:highlight w:val="none"/>
          <w:lang w:val="en-US" w:eastAsia="zh-CN"/>
        </w:rPr>
        <w:t>的，以服务质量考核得分作为当期最终考核评价得分。</w:t>
      </w:r>
    </w:p>
    <w:p w14:paraId="7E8605B4">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被举报确认违法违纪、违反廉洁从业的，</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有权单方终止其协议服务资格并解除服务合同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同时</w:t>
      </w:r>
      <w:r>
        <w:rPr>
          <w:rFonts w:hint="eastAsia" w:ascii="宋体" w:hAnsi="宋体" w:eastAsia="宋体" w:cs="宋体"/>
          <w:szCs w:val="21"/>
          <w:highlight w:val="none"/>
        </w:rPr>
        <w:t>有权没收履约保证金</w:t>
      </w:r>
      <w:r>
        <w:rPr>
          <w:rFonts w:hint="eastAsia" w:ascii="宋体" w:hAnsi="宋体" w:eastAsia="宋体" w:cs="宋体"/>
          <w:szCs w:val="21"/>
          <w:highlight w:val="none"/>
          <w:lang w:eastAsia="zh-CN"/>
        </w:rPr>
        <w:t>。</w:t>
      </w:r>
    </w:p>
    <w:p w14:paraId="73474CDF">
      <w:pPr>
        <w:tabs>
          <w:tab w:val="left" w:pos="540"/>
        </w:tabs>
        <w:spacing w:after="160" w:line="480" w:lineRule="auto"/>
        <w:rPr>
          <w:rFonts w:ascii="宋体" w:hAnsi="宋体" w:eastAsia="宋体" w:cs="宋体"/>
          <w:b/>
          <w:szCs w:val="21"/>
          <w:highlight w:val="none"/>
        </w:rPr>
      </w:pPr>
      <w:r>
        <w:rPr>
          <w:rFonts w:hint="eastAsia" w:ascii="宋体" w:hAnsi="宋体" w:eastAsia="宋体" w:cs="宋体"/>
          <w:szCs w:val="21"/>
          <w:highlight w:val="none"/>
        </w:rPr>
        <w:t xml:space="preserve">    </w:t>
      </w:r>
      <w:r>
        <w:rPr>
          <w:rFonts w:hint="eastAsia" w:ascii="宋体" w:hAnsi="宋体" w:eastAsia="宋体" w:cs="宋体"/>
          <w:b/>
          <w:szCs w:val="21"/>
          <w:highlight w:val="none"/>
        </w:rPr>
        <w:t>第六条 代理服务费</w:t>
      </w:r>
    </w:p>
    <w:p w14:paraId="39837D06">
      <w:pPr>
        <w:tabs>
          <w:tab w:val="left" w:pos="567"/>
        </w:tabs>
        <w:autoSpaceDE w:val="0"/>
        <w:autoSpaceDN w:val="0"/>
        <w:adjustRightInd w:val="0"/>
        <w:spacing w:line="360" w:lineRule="auto"/>
        <w:ind w:left="0" w:leftChars="0" w:firstLine="420" w:firstLineChars="200"/>
        <w:rPr>
          <w:rFonts w:hint="eastAsia" w:ascii="宋体" w:hAnsi="宋体" w:eastAsia="宋体" w:cs="宋体"/>
          <w:b/>
          <w:color w:val="000000"/>
          <w:szCs w:val="21"/>
          <w:highlight w:val="none"/>
          <w:lang w:val="en-US" w:eastAsia="zh-CN"/>
        </w:rPr>
      </w:pPr>
      <w:r>
        <w:rPr>
          <w:rFonts w:hint="eastAsia" w:ascii="宋体" w:hAnsi="宋体" w:eastAsia="宋体" w:cs="宋体"/>
          <w:szCs w:val="21"/>
          <w:highlight w:val="none"/>
        </w:rPr>
        <w:t xml:space="preserve">6.1 </w:t>
      </w:r>
      <w:r>
        <w:rPr>
          <w:rFonts w:hint="eastAsia" w:ascii="宋体" w:hAnsi="宋体" w:eastAsia="宋体" w:cs="宋体"/>
          <w:b/>
          <w:color w:val="000000"/>
          <w:szCs w:val="21"/>
          <w:highlight w:val="none"/>
          <w:lang w:val="en-US" w:eastAsia="zh-CN"/>
        </w:rPr>
        <w:t>乙方应在开展代理服务前与甲方（或其下属企业）签订书面《招标代理合同》（即单项招标代理合同），</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以中标金额计算服务费基价，</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以中标金额计算，依次按以下第（1）（2）款计算得出服务费基价，服务费基价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按第（3）款计算折扣得出代理服务费</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具体如下。</w:t>
      </w:r>
    </w:p>
    <w:p w14:paraId="14960447">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lang w:val="zh-CN"/>
        </w:rPr>
        <w:t>参照</w:t>
      </w:r>
      <w:r>
        <w:rPr>
          <w:rFonts w:hint="eastAsia" w:ascii="宋体" w:hAnsi="宋体" w:eastAsia="宋体" w:cs="宋体"/>
          <w:b/>
          <w:color w:val="000000"/>
          <w:szCs w:val="21"/>
          <w:highlight w:val="none"/>
          <w:lang w:val="en-US" w:eastAsia="zh-CN"/>
        </w:rPr>
        <w:t>以下标准按差额定率累进法计算：</w:t>
      </w:r>
    </w:p>
    <w:tbl>
      <w:tblPr>
        <w:tblStyle w:val="44"/>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46409F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FFEEBB"/>
            <w:tcMar>
              <w:top w:w="0" w:type="dxa"/>
              <w:left w:w="0" w:type="dxa"/>
              <w:bottom w:w="0" w:type="dxa"/>
              <w:right w:w="0" w:type="dxa"/>
            </w:tcMar>
            <w:vAlign w:val="center"/>
          </w:tcPr>
          <w:p w14:paraId="2B6FAF23">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6D0D06A5">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服务类型</w:t>
            </w:r>
          </w:p>
        </w:tc>
      </w:tr>
      <w:tr w14:paraId="6B8AB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7EC7B237">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3EDE4B49">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费率</w:t>
            </w:r>
          </w:p>
        </w:tc>
      </w:tr>
      <w:tr w14:paraId="37B477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226ACAA0">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FFEEBB"/>
            <w:tcMar>
              <w:top w:w="0" w:type="dxa"/>
              <w:left w:w="0" w:type="dxa"/>
              <w:bottom w:w="0" w:type="dxa"/>
              <w:right w:w="0" w:type="dxa"/>
            </w:tcMar>
            <w:vAlign w:val="center"/>
          </w:tcPr>
          <w:p w14:paraId="020F2C37">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63693679">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5C60D07A">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工程招标</w:t>
            </w:r>
          </w:p>
        </w:tc>
      </w:tr>
      <w:tr w14:paraId="55A789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9F16B6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3340D13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73903FF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6A8C62C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07C4B9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B3E2DF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17C3CDE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70F255B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04F97D6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796B24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C33158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23840DE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02A73B5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4D6E05C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6AFE35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D22F99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2459EEC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25B5833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40CB3CA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1DF60E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1A5B6D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7B44C88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38E6AEC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01DB557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31FEF2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BB59EB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10B3F90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1768740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6E75CEC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6990B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470EC2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5343964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1CA79E3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1A209F8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29D3A3F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en-US" w:eastAsia="zh-CN"/>
        </w:rPr>
        <w:t>（2）</w:t>
      </w:r>
      <w:r>
        <w:rPr>
          <w:rFonts w:hint="default" w:ascii="宋体" w:hAnsi="宋体" w:eastAsia="宋体" w:cs="宋体"/>
          <w:b/>
          <w:color w:val="000000"/>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39DAB97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（3）服务费基价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得出代理服务费。</w:t>
      </w:r>
      <w:r>
        <w:rPr>
          <w:rFonts w:hint="eastAsia" w:ascii="宋体" w:hAnsi="宋体" w:eastAsia="宋体" w:cs="宋体"/>
          <w:b/>
          <w:color w:val="000000"/>
          <w:szCs w:val="21"/>
          <w:highlight w:val="none"/>
          <w:lang w:val="zh-CN" w:eastAsia="zh-CN"/>
        </w:rPr>
        <w:t>具体为：</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10万元（不含）以下的，按80%执行；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10万元（含）—20万元（不含）的，按70%执行；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20万元（含）—30万元（不含）的，按60%执行；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30万元（含）以上的，按50%计取，且单个项目最高代理费为30万元封顶</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同时，</w:t>
      </w:r>
      <w:r>
        <w:rPr>
          <w:rFonts w:hint="eastAsia" w:ascii="宋体" w:hAnsi="宋体" w:eastAsia="宋体" w:cs="宋体"/>
          <w:b/>
          <w:color w:val="000000"/>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
          <w:color w:val="000000"/>
          <w:szCs w:val="21"/>
          <w:highlight w:val="none"/>
          <w:lang w:val="en-US" w:eastAsia="zh-CN"/>
        </w:rPr>
        <w:t>甲方</w:t>
      </w:r>
      <w:r>
        <w:rPr>
          <w:rFonts w:hint="eastAsia" w:ascii="宋体" w:hAnsi="宋体" w:eastAsia="宋体" w:cs="宋体"/>
          <w:b/>
          <w:color w:val="000000"/>
          <w:sz w:val="21"/>
          <w:szCs w:val="21"/>
          <w:highlight w:val="none"/>
          <w:lang w:val="en-US" w:eastAsia="zh-CN"/>
        </w:rPr>
        <w:t>或其</w:t>
      </w:r>
      <w:r>
        <w:rPr>
          <w:rFonts w:hint="eastAsia" w:ascii="宋体" w:hAnsi="宋体" w:eastAsia="宋体" w:cs="宋体"/>
          <w:b/>
          <w:color w:val="000000"/>
          <w:sz w:val="21"/>
          <w:szCs w:val="21"/>
          <w:highlight w:val="none"/>
        </w:rPr>
        <w:t>下属企业</w:t>
      </w:r>
      <w:r>
        <w:rPr>
          <w:rFonts w:hint="eastAsia" w:ascii="宋体" w:hAnsi="宋体" w:eastAsia="宋体" w:cs="宋体"/>
          <w:b/>
          <w:color w:val="000000"/>
          <w:szCs w:val="21"/>
          <w:highlight w:val="none"/>
          <w:lang w:val="zh-CN" w:eastAsia="zh-CN"/>
        </w:rPr>
        <w:t>与</w:t>
      </w:r>
      <w:r>
        <w:rPr>
          <w:rFonts w:hint="eastAsia" w:ascii="宋体" w:hAnsi="宋体" w:eastAsia="宋体" w:cs="宋体"/>
          <w:b/>
          <w:color w:val="000000"/>
          <w:szCs w:val="21"/>
          <w:highlight w:val="none"/>
          <w:lang w:val="en-US" w:eastAsia="zh-CN"/>
        </w:rPr>
        <w:t>乙方</w:t>
      </w:r>
      <w:r>
        <w:rPr>
          <w:rFonts w:hint="eastAsia" w:ascii="宋体" w:hAnsi="宋体" w:eastAsia="宋体" w:cs="宋体"/>
          <w:b/>
          <w:color w:val="000000"/>
          <w:szCs w:val="21"/>
          <w:highlight w:val="none"/>
          <w:lang w:val="zh-CN" w:eastAsia="zh-CN"/>
        </w:rPr>
        <w:t>另行商定代理费用。</w:t>
      </w:r>
    </w:p>
    <w:p w14:paraId="558B80C0">
      <w:pPr>
        <w:tabs>
          <w:tab w:val="left" w:pos="540"/>
        </w:tabs>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上述代理服务费包括但不限于以下费用：</w:t>
      </w:r>
    </w:p>
    <w:p w14:paraId="01C4FB8D">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（1）为开展本协议服务范围内的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代理服务所需的资料查阅与调查费、现场勘查费、设备使用费、人工费、人员社会保险、人身意外保险、第三方责任险、驻场服务所需的差旅费、食宿费、交通费、通讯费、配合费等费用；</w:t>
      </w:r>
    </w:p>
    <w:p w14:paraId="63C0EE7D">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highlight w:val="none"/>
        </w:rPr>
        <w:t>为开展</w:t>
      </w:r>
      <w:r>
        <w:rPr>
          <w:rFonts w:hint="eastAsia" w:ascii="宋体" w:hAnsi="宋体" w:eastAsia="宋体" w:cs="宋体"/>
          <w:szCs w:val="21"/>
          <w:highlight w:val="none"/>
        </w:rPr>
        <w:t>本协议服务</w:t>
      </w:r>
      <w:r>
        <w:rPr>
          <w:rFonts w:hint="eastAsia" w:ascii="宋体" w:hAnsi="宋体" w:eastAsia="宋体" w:cs="宋体"/>
          <w:highlight w:val="none"/>
        </w:rPr>
        <w:t>范围内的</w:t>
      </w:r>
      <w:r>
        <w:rPr>
          <w:rFonts w:hint="eastAsia" w:ascii="宋体" w:hAnsi="宋体" w:eastAsia="宋体" w:cs="宋体"/>
          <w:highlight w:val="none"/>
          <w:lang w:eastAsia="zh-CN"/>
        </w:rPr>
        <w:t>招标</w:t>
      </w:r>
      <w:r>
        <w:rPr>
          <w:rFonts w:hint="eastAsia" w:ascii="宋体" w:hAnsi="宋体" w:eastAsia="宋体" w:cs="宋体"/>
          <w:highlight w:val="none"/>
        </w:rPr>
        <w:t>代理服务所需发生（如有时）</w:t>
      </w:r>
      <w:r>
        <w:rPr>
          <w:rFonts w:hint="eastAsia" w:ascii="宋体" w:hAnsi="宋体" w:eastAsia="宋体" w:cs="宋体"/>
          <w:szCs w:val="21"/>
          <w:highlight w:val="none"/>
        </w:rPr>
        <w:t>的公证费、会务费、专家评审费（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人代表及工作人员除外）、公告费、评审期间产生的差旅和食宿费、保险、档案整理（含档案数字化）及保管费、合同印刷及装订费等相关费用；</w:t>
      </w:r>
    </w:p>
    <w:p w14:paraId="1B30449B">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（3）合理利润、税费等；</w:t>
      </w:r>
    </w:p>
    <w:p w14:paraId="7DE4652A">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（4）法律法规、行业公认、完成合同实施过程中由乙方承担的其他直接及间接费用。</w:t>
      </w:r>
    </w:p>
    <w:p w14:paraId="471D46F8">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6.2 代理服务费的具体付款方式按照单项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代理合同约定执行。</w:t>
      </w:r>
    </w:p>
    <w:p w14:paraId="7A0AF9E1">
      <w:pPr>
        <w:autoSpaceDE w:val="0"/>
        <w:autoSpaceDN w:val="0"/>
        <w:adjustRightInd w:val="0"/>
        <w:spacing w:after="60" w:line="480" w:lineRule="auto"/>
        <w:ind w:firstLine="422" w:firstLineChars="200"/>
        <w:rPr>
          <w:rFonts w:ascii="宋体" w:hAnsi="宋体" w:eastAsia="宋体" w:cs="宋体"/>
          <w:szCs w:val="21"/>
          <w:highlight w:val="none"/>
        </w:rPr>
      </w:pPr>
      <w:r>
        <w:rPr>
          <w:rFonts w:hint="eastAsia" w:ascii="宋体" w:hAnsi="宋体" w:eastAsia="宋体" w:cs="宋体"/>
          <w:b/>
          <w:szCs w:val="21"/>
          <w:highlight w:val="none"/>
        </w:rPr>
        <w:t>第七条 履约担保</w:t>
      </w:r>
    </w:p>
    <w:p w14:paraId="7DFECE7D">
      <w:pPr>
        <w:tabs>
          <w:tab w:val="left" w:pos="540"/>
        </w:tabs>
        <w:spacing w:line="480" w:lineRule="auto"/>
        <w:ind w:firstLine="420" w:firstLineChars="200"/>
        <w:rPr>
          <w:rFonts w:ascii="宋体" w:hAnsi="宋体" w:eastAsia="宋体" w:cs="宋体"/>
          <w:color w:val="auto"/>
          <w:szCs w:val="21"/>
          <w:highlight w:val="none"/>
        </w:rPr>
      </w:pPr>
      <w:r>
        <w:rPr>
          <w:rFonts w:hint="eastAsia" w:ascii="宋体" w:hAnsi="宋体" w:eastAsia="宋体" w:cs="宋体"/>
          <w:szCs w:val="21"/>
          <w:highlight w:val="none"/>
        </w:rPr>
        <w:t>7.1 乙方应当根据招标文件的规定在签订本合同前向甲方提供履约担保，本项目履约担保的金额为贰拾万</w:t>
      </w:r>
      <w:r>
        <w:rPr>
          <w:rFonts w:hint="eastAsia" w:ascii="宋体" w:hAnsi="宋体" w:eastAsia="宋体" w:cs="宋体"/>
          <w:color w:val="auto"/>
          <w:szCs w:val="21"/>
          <w:highlight w:val="none"/>
        </w:rPr>
        <w:t>元整(200,000.00元)。履约担保形式及金额由乙方从以下方式中任选一种：</w:t>
      </w:r>
    </w:p>
    <w:p w14:paraId="03A83E8E">
      <w:pPr>
        <w:tabs>
          <w:tab w:val="left" w:pos="540"/>
        </w:tabs>
        <w:spacing w:line="48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履约保证金（银行转账形式）；</w:t>
      </w:r>
    </w:p>
    <w:p w14:paraId="63D3EBF3">
      <w:pPr>
        <w:tabs>
          <w:tab w:val="left" w:pos="540"/>
        </w:tabs>
        <w:spacing w:line="48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□不可撤销银行履约保函；</w:t>
      </w:r>
    </w:p>
    <w:p w14:paraId="101DB12D">
      <w:pPr>
        <w:tabs>
          <w:tab w:val="left" w:pos="540"/>
        </w:tabs>
        <w:spacing w:line="48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□履约保证保险；</w:t>
      </w:r>
    </w:p>
    <w:p w14:paraId="1AD5721B">
      <w:pPr>
        <w:tabs>
          <w:tab w:val="left" w:pos="540"/>
          <w:tab w:val="left" w:pos="3356"/>
        </w:tabs>
        <w:spacing w:line="48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□担保公司履约担保书。</w:t>
      </w:r>
      <w:r>
        <w:rPr>
          <w:rFonts w:hint="eastAsia" w:ascii="宋体" w:hAnsi="宋体" w:eastAsia="宋体" w:cs="宋体"/>
          <w:color w:val="auto"/>
          <w:szCs w:val="21"/>
          <w:highlight w:val="none"/>
          <w:u w:val="single"/>
          <w:lang w:eastAsia="zh-CN"/>
        </w:rPr>
        <w:tab/>
      </w:r>
    </w:p>
    <w:p w14:paraId="308143D5">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color w:val="auto"/>
          <w:szCs w:val="21"/>
          <w:highlight w:val="none"/>
        </w:rPr>
        <w:t>7.2 履约担保用于补偿甲方因乙方不能完成其合同义务而蒙受的损失或其他合同约定的事项。如发生下列任一情况时，甲方有权依</w:t>
      </w:r>
      <w:r>
        <w:rPr>
          <w:rFonts w:hint="eastAsia" w:ascii="宋体" w:hAnsi="宋体" w:eastAsia="宋体" w:cs="宋体"/>
          <w:szCs w:val="21"/>
          <w:highlight w:val="none"/>
        </w:rPr>
        <w:t>合同追究违约责任外，同时有权提取履约担保并进行相应处理：</w:t>
      </w:r>
    </w:p>
    <w:p w14:paraId="16E3904D">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（1）乙方将合同项下乙方的权利义务全部转让给第三方，或未经甲方书面同意将部分权利义务转让给第三方的，甲方有权没收其履约担保。</w:t>
      </w:r>
    </w:p>
    <w:p w14:paraId="140422FA">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（2）在合同履行期间，乙方怠于履行合同义务，经甲方通知或要求承担违约金后仍拒不改正的，甲方可依法没收或适当扣除其履约担保。</w:t>
      </w:r>
    </w:p>
    <w:p w14:paraId="7AD7B0B0">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在合同履行期间，因乙方服务质量问题造成损害、侵权损失（包括但不限于甲方经济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73AB459F">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（4）在合同履行期间，乙方违约产生的违约金、赔偿、罚款或其他应付费用等款项，甲方有权直接从未付款项中直接扣除或启用履约担保予以支付。</w:t>
      </w:r>
    </w:p>
    <w:p w14:paraId="24CD8CA9">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（5）合同期内，乙方不能及时完成合同某项义务的，甲方有权提取履约担保用于处理该项工作。</w:t>
      </w:r>
    </w:p>
    <w:p w14:paraId="4BAA2A3F">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（6）其他根据本合同约定或法律规定，甲方可启用履约担保的情形。</w:t>
      </w:r>
    </w:p>
    <w:p w14:paraId="09866D89">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7.3 在乙方完成本合同下全部义务，且在合同期限届满并完成本合同及单项招标代理合同相关服务义务后，甲方在扣除相应的费用（若有）后将履约担保余额无息退还乙方。</w:t>
      </w:r>
    </w:p>
    <w:p w14:paraId="496F2042">
      <w:pPr>
        <w:tabs>
          <w:tab w:val="left" w:pos="540"/>
        </w:tabs>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7.4 如乙方提供不可撤销银行履约保函或履约保证保险或担保公司履约担保书作为履约担保的，不可撤销银行履约保函或履约保证保险或担保公司履约担保书应</w:t>
      </w:r>
      <w:r>
        <w:rPr>
          <w:rFonts w:hint="eastAsia" w:ascii="宋体" w:hAnsi="宋体" w:eastAsia="宋体" w:cs="Times New Roman"/>
          <w:kern w:val="0"/>
          <w:szCs w:val="21"/>
          <w:highlight w:val="none"/>
        </w:rPr>
        <w:t>在合同期限届满并完成本合同及单项</w:t>
      </w:r>
      <w:r>
        <w:rPr>
          <w:rFonts w:hint="eastAsia" w:ascii="宋体" w:hAnsi="宋体" w:eastAsia="宋体" w:cs="Times New Roman"/>
          <w:kern w:val="0"/>
          <w:szCs w:val="21"/>
          <w:highlight w:val="none"/>
          <w:lang w:eastAsia="zh-CN"/>
        </w:rPr>
        <w:t>招标</w:t>
      </w:r>
      <w:r>
        <w:rPr>
          <w:rFonts w:hint="eastAsia" w:ascii="宋体" w:hAnsi="宋体" w:eastAsia="宋体" w:cs="Times New Roman"/>
          <w:kern w:val="0"/>
          <w:szCs w:val="21"/>
          <w:highlight w:val="none"/>
        </w:rPr>
        <w:t>代理合同相关服务义务后28日内保持有效</w:t>
      </w:r>
      <w:r>
        <w:rPr>
          <w:rFonts w:hint="eastAsia" w:ascii="宋体" w:hAnsi="宋体" w:eastAsia="宋体" w:cs="宋体"/>
          <w:kern w:val="0"/>
          <w:szCs w:val="21"/>
          <w:highlight w:val="none"/>
        </w:rPr>
        <w:t>。</w:t>
      </w:r>
    </w:p>
    <w:p w14:paraId="5D5389D0">
      <w:pPr>
        <w:tabs>
          <w:tab w:val="left" w:pos="540"/>
        </w:tabs>
        <w:spacing w:line="480" w:lineRule="auto"/>
        <w:ind w:firstLine="420" w:firstLineChars="200"/>
        <w:rPr>
          <w:rFonts w:ascii="Arial" w:hAnsi="Arial"/>
          <w:szCs w:val="20"/>
          <w:highlight w:val="none"/>
        </w:rPr>
      </w:pPr>
      <w:r>
        <w:rPr>
          <w:rFonts w:hint="eastAsia" w:ascii="宋体" w:hAnsi="宋体" w:eastAsia="宋体" w:cs="宋体"/>
          <w:szCs w:val="21"/>
          <w:highlight w:val="none"/>
        </w:rPr>
        <w:t>7.5 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234A00BA">
      <w:pPr>
        <w:spacing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第八条 违约责任</w:t>
      </w:r>
    </w:p>
    <w:p w14:paraId="30140670">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8.1 乙方未按照国家及行业相关法规及规范、甲方（含下属企业）的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规章制度进行</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代理工作的，甲方有权单方终止其协议服务资格并解除服务合同且没收其履约担保。</w:t>
      </w:r>
    </w:p>
    <w:p w14:paraId="4AC70A38">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8.2 乙方未遵守廉洁从业相关规定的，甲方有权单方终止其协议服务资格并解除服务合同且没收其履约担保。</w:t>
      </w:r>
    </w:p>
    <w:p w14:paraId="5F7DFA3E">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8.3 乙方违反规定泄露应当保密的与</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活动有关的情况和资料或在所代理的</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项目中投标，代理投标或者向该项目投标人（供应商）提供投标（响应）咨询的，甲方有权单方终止其协议服务资格并解除服务合同且没收其履约担保。</w:t>
      </w:r>
    </w:p>
    <w:p w14:paraId="6C6D7DF5">
      <w:pPr>
        <w:spacing w:line="48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8.4 乙方被举报确认违法违纪、违反廉洁从业的，甲方有权单方终止其协议服务资格并解除服务合同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并</w:t>
      </w:r>
      <w:r>
        <w:rPr>
          <w:rFonts w:hint="eastAsia" w:ascii="宋体" w:hAnsi="宋体" w:eastAsia="宋体" w:cs="宋体"/>
          <w:szCs w:val="21"/>
          <w:highlight w:val="none"/>
        </w:rPr>
        <w:t>有权没收履约保证金</w:t>
      </w:r>
      <w:r>
        <w:rPr>
          <w:rFonts w:hint="eastAsia" w:ascii="宋体" w:hAnsi="宋体" w:eastAsia="宋体" w:cs="宋体"/>
          <w:szCs w:val="21"/>
          <w:highlight w:val="none"/>
          <w:lang w:eastAsia="zh-CN"/>
        </w:rPr>
        <w:t>。</w:t>
      </w:r>
    </w:p>
    <w:p w14:paraId="49FBEF51">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8.5 在合同履行过程中，不论何种原因导致履约担保金额不符合本合同要求的，乙方应当在5日内予以补足。逾期不予补足的，甲方有权按需补足的金额要求乙方支付违约金，并要求限期补足。如乙方仍不予补足的，甲方有权单方终止其协议服务资格并解除服务合同，违约金可直接从未付合同款或履约担保中扣除。</w:t>
      </w:r>
    </w:p>
    <w:p w14:paraId="30815F77">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乙方未经甲方书面同意</w:t>
      </w:r>
      <w:r>
        <w:rPr>
          <w:rFonts w:hint="eastAsia" w:ascii="宋体" w:hAnsi="宋体" w:eastAsia="宋体" w:cs="宋体"/>
          <w:szCs w:val="21"/>
          <w:highlight w:val="none"/>
          <w:lang w:val="en-US" w:eastAsia="zh-CN"/>
        </w:rPr>
        <w:t>不得</w:t>
      </w:r>
      <w:r>
        <w:rPr>
          <w:rFonts w:hint="eastAsia" w:ascii="宋体" w:hAnsi="宋体" w:eastAsia="宋体" w:cs="宋体"/>
          <w:szCs w:val="21"/>
          <w:highlight w:val="none"/>
        </w:rPr>
        <w:t>擅自更换或减少投入人员，乙方投入人员在</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代理协议服务期限内</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驻莞工作的；</w:t>
      </w:r>
    </w:p>
    <w:p w14:paraId="292195EE">
      <w:pPr>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乙方</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按甲方要求更换或补充人员，更换、补充的人员能胜任工作；</w:t>
      </w:r>
    </w:p>
    <w:p w14:paraId="34CCC84D">
      <w:pPr>
        <w:spacing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第九条</w:t>
      </w:r>
      <w:r>
        <w:rPr>
          <w:rFonts w:hint="eastAsia" w:ascii="宋体" w:hAnsi="宋体" w:eastAsia="宋体" w:cs="宋体"/>
          <w:szCs w:val="21"/>
          <w:highlight w:val="none"/>
        </w:rPr>
        <w:t xml:space="preserve"> </w:t>
      </w:r>
      <w:r>
        <w:rPr>
          <w:rFonts w:hint="eastAsia" w:ascii="宋体" w:hAnsi="宋体" w:eastAsia="宋体" w:cs="宋体"/>
          <w:b/>
          <w:szCs w:val="21"/>
          <w:highlight w:val="none"/>
        </w:rPr>
        <w:t>合同争议</w:t>
      </w:r>
    </w:p>
    <w:p w14:paraId="3CE6234D">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9.1</w:t>
      </w:r>
      <w:r>
        <w:rPr>
          <w:rFonts w:hint="eastAsia" w:ascii="宋体" w:hAnsi="宋体" w:eastAsia="宋体" w:cs="宋体"/>
          <w:bCs/>
          <w:szCs w:val="21"/>
          <w:highlight w:val="none"/>
        </w:rPr>
        <w:t xml:space="preserve"> </w:t>
      </w:r>
      <w:r>
        <w:rPr>
          <w:rFonts w:hint="eastAsia" w:ascii="宋体" w:hAnsi="宋体" w:eastAsia="宋体" w:cs="宋体"/>
          <w:szCs w:val="21"/>
          <w:highlight w:val="none"/>
        </w:rPr>
        <w:t>甲乙双方因履行合同发生争议时，应提供友好协商解决。协商不能解决时，任何一方均有权向甲方所在地有管辖权的人民法院提起诉讼。</w:t>
      </w:r>
    </w:p>
    <w:p w14:paraId="2EFFDB61">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9.2</w:t>
      </w:r>
      <w:r>
        <w:rPr>
          <w:rFonts w:hint="eastAsia" w:ascii="宋体" w:hAnsi="宋体" w:eastAsia="宋体" w:cs="宋体"/>
          <w:bCs/>
          <w:szCs w:val="21"/>
          <w:highlight w:val="none"/>
        </w:rPr>
        <w:t xml:space="preserve"> </w:t>
      </w:r>
      <w:r>
        <w:rPr>
          <w:rFonts w:hint="eastAsia" w:ascii="宋体" w:hAnsi="宋体" w:eastAsia="宋体" w:cs="宋体"/>
          <w:szCs w:val="21"/>
          <w:highlight w:val="none"/>
        </w:rPr>
        <w:t>在法院审理期间，除与争议有关的部分外，双方应继续履行合同规定的其他各自义务。</w:t>
      </w:r>
    </w:p>
    <w:p w14:paraId="61A6CC47">
      <w:pPr>
        <w:spacing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第十条</w:t>
      </w:r>
      <w:r>
        <w:rPr>
          <w:rFonts w:hint="eastAsia" w:ascii="宋体" w:hAnsi="宋体" w:eastAsia="宋体" w:cs="宋体"/>
          <w:szCs w:val="21"/>
          <w:highlight w:val="none"/>
        </w:rPr>
        <w:t xml:space="preserve"> </w:t>
      </w:r>
      <w:r>
        <w:rPr>
          <w:rFonts w:hint="eastAsia" w:ascii="宋体" w:hAnsi="宋体" w:eastAsia="宋体" w:cs="宋体"/>
          <w:b/>
          <w:szCs w:val="21"/>
          <w:highlight w:val="none"/>
        </w:rPr>
        <w:t>合同的变更与解除</w:t>
      </w:r>
    </w:p>
    <w:p w14:paraId="2FE2984F">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10.1</w:t>
      </w:r>
      <w:r>
        <w:rPr>
          <w:rFonts w:hint="eastAsia" w:ascii="宋体" w:hAnsi="宋体" w:eastAsia="宋体" w:cs="宋体"/>
          <w:bCs/>
          <w:szCs w:val="21"/>
          <w:highlight w:val="none"/>
        </w:rPr>
        <w:t xml:space="preserve"> </w:t>
      </w:r>
      <w:r>
        <w:rPr>
          <w:rFonts w:hint="eastAsia" w:ascii="宋体" w:hAnsi="宋体" w:eastAsia="宋体" w:cs="宋体"/>
          <w:szCs w:val="21"/>
          <w:highlight w:val="none"/>
        </w:rPr>
        <w:t>甲方与乙方协商一致，可以解除合同。</w:t>
      </w:r>
    </w:p>
    <w:p w14:paraId="3F2E45B3">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10.2</w:t>
      </w:r>
      <w:r>
        <w:rPr>
          <w:rFonts w:hint="eastAsia" w:ascii="宋体" w:hAnsi="宋体" w:eastAsia="宋体" w:cs="宋体"/>
          <w:bCs/>
          <w:szCs w:val="21"/>
          <w:highlight w:val="none"/>
        </w:rPr>
        <w:t xml:space="preserve"> </w:t>
      </w:r>
      <w:r>
        <w:rPr>
          <w:rFonts w:hint="eastAsia" w:ascii="宋体" w:hAnsi="宋体" w:eastAsia="宋体" w:cs="宋体"/>
          <w:szCs w:val="21"/>
          <w:highlight w:val="none"/>
        </w:rPr>
        <w:t>当事人一方要求变更或解除合同时，应在一个月前以书面形式通知对方。对变更或解除合同有争议的，按本合同第九条关于争议的约定处理。</w:t>
      </w:r>
    </w:p>
    <w:p w14:paraId="1638D168">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10.3</w:t>
      </w:r>
      <w:r>
        <w:rPr>
          <w:rFonts w:hint="eastAsia" w:ascii="宋体" w:hAnsi="宋体" w:eastAsia="宋体" w:cs="宋体"/>
          <w:bCs/>
          <w:szCs w:val="21"/>
          <w:highlight w:val="none"/>
        </w:rPr>
        <w:t xml:space="preserve"> </w:t>
      </w:r>
      <w:r>
        <w:rPr>
          <w:rFonts w:hint="eastAsia" w:ascii="宋体" w:hAnsi="宋体" w:eastAsia="宋体" w:cs="宋体"/>
          <w:szCs w:val="21"/>
          <w:highlight w:val="none"/>
        </w:rPr>
        <w:t>由于不可抗力因素致使合同无法履行时，双方应及时协商解决。</w:t>
      </w:r>
    </w:p>
    <w:p w14:paraId="42B73D17">
      <w:pPr>
        <w:snapToGrid w:val="0"/>
        <w:spacing w:line="48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10.4 在合同</w:t>
      </w:r>
      <w:r>
        <w:rPr>
          <w:rFonts w:hint="eastAsia" w:ascii="宋体" w:hAnsi="宋体" w:eastAsia="宋体" w:cs="宋体"/>
          <w:szCs w:val="21"/>
          <w:highlight w:val="none"/>
        </w:rPr>
        <w:t>履行过程中</w:t>
      </w:r>
      <w:r>
        <w:rPr>
          <w:rFonts w:hint="eastAsia" w:ascii="宋体" w:hAnsi="宋体" w:eastAsia="宋体" w:cs="宋体"/>
          <w:bCs/>
          <w:szCs w:val="21"/>
          <w:highlight w:val="none"/>
        </w:rPr>
        <w:t>如果由于国家、广东省或东莞市的相关招标</w:t>
      </w:r>
      <w:r>
        <w:rPr>
          <w:rFonts w:hint="eastAsia" w:ascii="宋体" w:hAnsi="宋体" w:eastAsia="宋体" w:cs="宋体"/>
          <w:bCs/>
          <w:szCs w:val="21"/>
          <w:highlight w:val="none"/>
          <w:lang w:eastAsia="zh-CN"/>
        </w:rPr>
        <w:t>招标</w:t>
      </w:r>
      <w:r>
        <w:rPr>
          <w:rFonts w:hint="eastAsia" w:ascii="宋体" w:hAnsi="宋体" w:eastAsia="宋体" w:cs="宋体"/>
          <w:bCs/>
          <w:szCs w:val="21"/>
          <w:highlight w:val="none"/>
        </w:rPr>
        <w:t>法律法规、政策规定发生改变而导致合同不能继续履行，甲方有权提前终止合同，并且无需对乙方作出任何赔偿。</w:t>
      </w:r>
    </w:p>
    <w:p w14:paraId="7118FD2D">
      <w:pPr>
        <w:spacing w:line="48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第十一条</w:t>
      </w:r>
      <w:r>
        <w:rPr>
          <w:rFonts w:hint="eastAsia" w:ascii="宋体" w:hAnsi="宋体" w:eastAsia="宋体" w:cs="宋体"/>
          <w:szCs w:val="21"/>
          <w:highlight w:val="none"/>
        </w:rPr>
        <w:t xml:space="preserve"> </w:t>
      </w:r>
      <w:r>
        <w:rPr>
          <w:rFonts w:hint="eastAsia" w:ascii="宋体" w:hAnsi="宋体" w:eastAsia="宋体" w:cs="宋体"/>
          <w:b/>
          <w:szCs w:val="21"/>
          <w:highlight w:val="none"/>
        </w:rPr>
        <w:t>合同生效及其他</w:t>
      </w:r>
    </w:p>
    <w:p w14:paraId="759128D8">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11.1</w:t>
      </w:r>
      <w:r>
        <w:rPr>
          <w:rFonts w:hint="eastAsia" w:ascii="宋体" w:hAnsi="宋体" w:eastAsia="宋体" w:cs="宋体"/>
          <w:bCs/>
          <w:szCs w:val="21"/>
          <w:highlight w:val="none"/>
        </w:rPr>
        <w:t xml:space="preserve"> </w:t>
      </w:r>
      <w:r>
        <w:rPr>
          <w:rFonts w:hint="eastAsia" w:ascii="宋体" w:hAnsi="宋体" w:eastAsia="宋体" w:cs="宋体"/>
          <w:szCs w:val="21"/>
          <w:highlight w:val="none"/>
        </w:rPr>
        <w:t>本合同双方签字盖章即生效，一式</w:t>
      </w:r>
      <w:r>
        <w:rPr>
          <w:rFonts w:hint="eastAsia" w:ascii="宋体" w:hAnsi="宋体" w:eastAsia="宋体" w:cs="宋体"/>
          <w:szCs w:val="21"/>
          <w:highlight w:val="none"/>
          <w:u w:val="single"/>
        </w:rPr>
        <w:t xml:space="preserve"> 6 </w:t>
      </w:r>
      <w:r>
        <w:rPr>
          <w:rFonts w:hint="eastAsia" w:ascii="宋体" w:hAnsi="宋体" w:eastAsia="宋体" w:cs="宋体"/>
          <w:szCs w:val="21"/>
          <w:highlight w:val="none"/>
        </w:rPr>
        <w:t>份，甲方</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份，乙方</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份。</w:t>
      </w:r>
    </w:p>
    <w:p w14:paraId="5090183E">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11.2</w:t>
      </w:r>
      <w:r>
        <w:rPr>
          <w:rFonts w:hint="eastAsia" w:ascii="宋体" w:hAnsi="宋体" w:eastAsia="宋体" w:cs="宋体"/>
          <w:bCs/>
          <w:szCs w:val="21"/>
          <w:highlight w:val="none"/>
        </w:rPr>
        <w:t xml:space="preserve"> </w:t>
      </w:r>
      <w:r>
        <w:rPr>
          <w:rFonts w:hint="eastAsia" w:ascii="宋体" w:hAnsi="宋体" w:eastAsia="宋体" w:cs="宋体"/>
          <w:szCs w:val="21"/>
          <w:highlight w:val="none"/>
        </w:rPr>
        <w:t>双方认可的来往传真、电报、会议纪要等，均为合同的组成部分，与本合同具有同等法律效力。</w:t>
      </w:r>
    </w:p>
    <w:p w14:paraId="1C7D8924">
      <w:pPr>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11.3 未尽事宜，经双方协商一致，签订补充协议或在单项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代理合同中做具体约定，并与本合同具有同等效力。</w:t>
      </w:r>
    </w:p>
    <w:p w14:paraId="10BD9A64">
      <w:pPr>
        <w:spacing w:after="160" w:line="480" w:lineRule="auto"/>
        <w:ind w:firstLine="315" w:firstLineChars="150"/>
        <w:rPr>
          <w:rFonts w:ascii="宋体" w:hAnsi="宋体" w:eastAsia="宋体" w:cs="宋体"/>
          <w:szCs w:val="21"/>
          <w:highlight w:val="none"/>
        </w:rPr>
      </w:pPr>
      <w:r>
        <w:rPr>
          <w:rFonts w:hint="eastAsia" w:ascii="宋体" w:hAnsi="宋体" w:eastAsia="宋体" w:cs="宋体"/>
          <w:highlight w:val="none"/>
        </w:rPr>
        <w:t>合</w:t>
      </w:r>
      <w:r>
        <w:rPr>
          <w:rFonts w:hint="eastAsia" w:ascii="宋体" w:hAnsi="宋体" w:eastAsia="宋体" w:cs="宋体"/>
          <w:szCs w:val="21"/>
          <w:highlight w:val="none"/>
        </w:rPr>
        <w:t>同附件：1、招标文件</w:t>
      </w:r>
    </w:p>
    <w:p w14:paraId="1A317D07">
      <w:pPr>
        <w:spacing w:after="160" w:line="480" w:lineRule="auto"/>
        <w:ind w:firstLine="1470" w:firstLineChars="700"/>
        <w:rPr>
          <w:rFonts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代理机构考核表</w:t>
      </w:r>
    </w:p>
    <w:p w14:paraId="68F889AF">
      <w:pPr>
        <w:spacing w:after="160" w:line="480" w:lineRule="auto"/>
        <w:ind w:firstLine="1470" w:firstLineChars="700"/>
        <w:rPr>
          <w:rFonts w:ascii="宋体" w:hAnsi="宋体" w:eastAsia="宋体" w:cs="宋体"/>
          <w:szCs w:val="21"/>
          <w:highlight w:val="none"/>
        </w:rPr>
      </w:pPr>
      <w:r>
        <w:rPr>
          <w:rFonts w:hint="eastAsia" w:ascii="宋体" w:hAnsi="宋体" w:eastAsia="宋体" w:cs="宋体"/>
          <w:szCs w:val="21"/>
          <w:highlight w:val="none"/>
        </w:rPr>
        <w:t xml:space="preserve">3、投入本项目人员表  </w:t>
      </w:r>
    </w:p>
    <w:p w14:paraId="5B897482">
      <w:pPr>
        <w:spacing w:after="160" w:line="480" w:lineRule="auto"/>
        <w:ind w:firstLine="1470" w:firstLineChars="700"/>
        <w:rPr>
          <w:rFonts w:hint="eastAsia" w:ascii="宋体" w:hAnsi="宋体" w:eastAsia="宋体" w:cs="宋体"/>
          <w:szCs w:val="21"/>
          <w:highlight w:val="none"/>
        </w:rPr>
      </w:pPr>
      <w:r>
        <w:rPr>
          <w:rFonts w:hint="eastAsia" w:ascii="宋体" w:hAnsi="宋体" w:eastAsia="宋体" w:cs="宋体"/>
          <w:szCs w:val="21"/>
          <w:highlight w:val="none"/>
        </w:rPr>
        <w:t>4、廉洁协议书</w:t>
      </w:r>
    </w:p>
    <w:p w14:paraId="036C5081">
      <w:pPr>
        <w:spacing w:after="160" w:line="480" w:lineRule="auto"/>
        <w:ind w:firstLine="1470" w:firstLineChars="7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5、保密和纪律协议</w:t>
      </w:r>
    </w:p>
    <w:p w14:paraId="60707AB1">
      <w:pPr>
        <w:spacing w:line="480" w:lineRule="auto"/>
        <w:rPr>
          <w:rFonts w:ascii="宋体" w:hAnsi="宋体" w:eastAsia="宋体" w:cs="宋体"/>
          <w:szCs w:val="21"/>
          <w:highlight w:val="none"/>
        </w:rPr>
      </w:pPr>
      <w:r>
        <w:rPr>
          <w:rFonts w:hint="eastAsia" w:ascii="宋体" w:hAnsi="宋体" w:eastAsia="宋体" w:cs="宋体"/>
          <w:szCs w:val="21"/>
          <w:highlight w:val="none"/>
        </w:rPr>
        <w:t xml:space="preserve">          </w:t>
      </w:r>
    </w:p>
    <w:p w14:paraId="643A0728">
      <w:pPr>
        <w:spacing w:after="160" w:line="480" w:lineRule="auto"/>
        <w:ind w:firstLine="525" w:firstLineChars="250"/>
        <w:rPr>
          <w:rFonts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b/>
          <w:bCs/>
          <w:color w:val="auto"/>
          <w:sz w:val="21"/>
          <w:szCs w:val="21"/>
          <w:highlight w:val="none"/>
        </w:rPr>
        <w:t>以下无正文内容为签字盖章页</w:t>
      </w:r>
      <w:r>
        <w:rPr>
          <w:rFonts w:hint="eastAsia" w:ascii="宋体" w:hAnsi="宋体" w:eastAsia="宋体" w:cs="宋体"/>
          <w:szCs w:val="21"/>
          <w:highlight w:val="none"/>
        </w:rPr>
        <w:t>）</w:t>
      </w:r>
    </w:p>
    <w:p w14:paraId="62DC7FCA">
      <w:pPr>
        <w:spacing w:line="48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甲方：</w:t>
      </w:r>
      <w:r>
        <w:rPr>
          <w:rFonts w:hint="eastAsia" w:ascii="宋体" w:hAnsi="宋体" w:eastAsia="宋体" w:cs="宋体"/>
          <w:szCs w:val="21"/>
          <w:highlight w:val="none"/>
          <w:lang w:eastAsia="zh-CN"/>
        </w:rPr>
        <w:t>东莞市水务环境投资控股集团有限公司</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乙方：</w:t>
      </w:r>
    </w:p>
    <w:p w14:paraId="635A18BE">
      <w:pPr>
        <w:spacing w:line="480" w:lineRule="auto"/>
        <w:rPr>
          <w:rFonts w:ascii="宋体" w:hAnsi="宋体" w:eastAsia="宋体" w:cs="宋体"/>
          <w:szCs w:val="21"/>
          <w:highlight w:val="none"/>
        </w:rPr>
      </w:pPr>
      <w:r>
        <w:rPr>
          <w:rFonts w:hint="eastAsia" w:ascii="宋体" w:hAnsi="宋体" w:eastAsia="宋体" w:cs="宋体"/>
          <w:szCs w:val="21"/>
          <w:highlight w:val="none"/>
        </w:rPr>
        <w:t xml:space="preserve">法定代表人：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法定代表人：</w:t>
      </w:r>
    </w:p>
    <w:p w14:paraId="1DF77297">
      <w:pPr>
        <w:spacing w:line="480" w:lineRule="auto"/>
        <w:rPr>
          <w:rFonts w:ascii="宋体" w:hAnsi="宋体" w:eastAsia="宋体" w:cs="宋体"/>
          <w:szCs w:val="21"/>
          <w:highlight w:val="none"/>
        </w:rPr>
      </w:pPr>
      <w:r>
        <w:rPr>
          <w:rFonts w:hint="eastAsia" w:ascii="宋体" w:hAnsi="宋体" w:eastAsia="宋体" w:cs="宋体"/>
          <w:szCs w:val="21"/>
          <w:highlight w:val="none"/>
        </w:rPr>
        <w:t xml:space="preserve">经办人：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委托代理人：</w:t>
      </w:r>
    </w:p>
    <w:p w14:paraId="5C23CE4E">
      <w:pPr>
        <w:spacing w:line="480" w:lineRule="auto"/>
        <w:ind w:left="4830" w:hanging="4830" w:hangingChars="2300"/>
        <w:rPr>
          <w:rFonts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地址：</w:t>
      </w:r>
    </w:p>
    <w:p w14:paraId="3E791734">
      <w:pPr>
        <w:spacing w:line="48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邮编：</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邮编：</w:t>
      </w:r>
    </w:p>
    <w:p w14:paraId="580A58C1">
      <w:pPr>
        <w:spacing w:line="480" w:lineRule="auto"/>
        <w:rPr>
          <w:rFonts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电话：</w:t>
      </w:r>
    </w:p>
    <w:p w14:paraId="22B1B02D">
      <w:pPr>
        <w:spacing w:line="480" w:lineRule="auto"/>
        <w:rPr>
          <w:rFonts w:ascii="宋体" w:hAnsi="宋体" w:eastAsia="宋体" w:cs="宋体"/>
          <w:szCs w:val="21"/>
          <w:highlight w:val="none"/>
        </w:rPr>
      </w:pPr>
      <w:r>
        <w:rPr>
          <w:rFonts w:hint="eastAsia" w:ascii="宋体" w:hAnsi="宋体" w:eastAsia="宋体" w:cs="宋体"/>
          <w:szCs w:val="21"/>
          <w:highlight w:val="none"/>
        </w:rPr>
        <w:t xml:space="preserve">                               </w:t>
      </w:r>
    </w:p>
    <w:p w14:paraId="6D73ADA3">
      <w:pPr>
        <w:spacing w:line="480" w:lineRule="auto"/>
        <w:rPr>
          <w:rFonts w:ascii="宋体" w:hAnsi="宋体" w:eastAsia="宋体" w:cs="宋体"/>
          <w:szCs w:val="21"/>
          <w:highlight w:val="none"/>
        </w:rPr>
      </w:pPr>
      <w:r>
        <w:rPr>
          <w:rFonts w:hint="eastAsia" w:ascii="宋体" w:hAnsi="宋体" w:eastAsia="宋体" w:cs="宋体"/>
          <w:szCs w:val="21"/>
          <w:highlight w:val="none"/>
        </w:rPr>
        <w:t>本合同    年  月  日签订于东莞市</w:t>
      </w:r>
    </w:p>
    <w:p w14:paraId="103EB73D">
      <w:pPr>
        <w:rPr>
          <w:rFonts w:ascii="宋体" w:hAnsi="宋体" w:eastAsia="宋体" w:cs="宋体"/>
          <w:szCs w:val="21"/>
          <w:highlight w:val="none"/>
        </w:rPr>
      </w:pPr>
      <w:r>
        <w:rPr>
          <w:rFonts w:hint="eastAsia" w:ascii="宋体" w:hAnsi="宋体" w:eastAsia="宋体" w:cs="宋体"/>
          <w:b/>
          <w:bCs/>
          <w:szCs w:val="21"/>
          <w:highlight w:val="none"/>
        </w:rPr>
        <w:t>附件2：</w:t>
      </w:r>
      <w:r>
        <w:rPr>
          <w:rFonts w:hint="eastAsia" w:ascii="宋体" w:hAnsi="宋体" w:eastAsia="宋体" w:cs="宋体"/>
          <w:b/>
          <w:bCs/>
          <w:szCs w:val="21"/>
          <w:highlight w:val="none"/>
          <w:lang w:val="en-US" w:eastAsia="zh-CN"/>
        </w:rPr>
        <w:t>招标</w:t>
      </w:r>
      <w:r>
        <w:rPr>
          <w:rFonts w:hint="eastAsia" w:ascii="宋体" w:hAnsi="宋体" w:eastAsia="宋体" w:cs="宋体"/>
          <w:b/>
          <w:bCs/>
          <w:szCs w:val="21"/>
          <w:highlight w:val="none"/>
        </w:rPr>
        <w:t>代理机构考核表</w:t>
      </w:r>
    </w:p>
    <w:p w14:paraId="6C42CDB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lang w:eastAsia="zh-CN"/>
        </w:rPr>
      </w:pP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1</w:t>
      </w:r>
      <w:r>
        <w:rPr>
          <w:rFonts w:hint="eastAsia" w:ascii="宋体" w:hAnsi="宋体" w:eastAsia="宋体" w:cs="宋体"/>
          <w:b/>
          <w:bCs/>
          <w:color w:val="000000"/>
          <w:szCs w:val="21"/>
          <w:highlight w:val="none"/>
          <w:lang w:eastAsia="zh-CN"/>
        </w:rPr>
        <w:t>）单项招标代理项目质量考核表</w:t>
      </w:r>
    </w:p>
    <w:p w14:paraId="538D0222">
      <w:pPr>
        <w:pStyle w:val="138"/>
        <w:spacing w:after="160" w:line="400" w:lineRule="exact"/>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lang w:val="en-US" w:eastAsia="zh-CN"/>
        </w:rPr>
        <w:t>招标</w:t>
      </w:r>
      <w:r>
        <w:rPr>
          <w:rFonts w:hint="eastAsia" w:ascii="宋体" w:hAnsi="宋体" w:eastAsia="宋体" w:cs="宋体"/>
          <w:bCs w:val="0"/>
          <w:color w:val="auto"/>
          <w:szCs w:val="21"/>
          <w:highlight w:val="none"/>
        </w:rPr>
        <w:t>代理机构：</w:t>
      </w:r>
    </w:p>
    <w:p w14:paraId="1E156C17">
      <w:pPr>
        <w:pStyle w:val="138"/>
        <w:spacing w:after="160" w:line="400" w:lineRule="exact"/>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项目名称：</w:t>
      </w:r>
    </w:p>
    <w:p w14:paraId="06E93ACE">
      <w:pPr>
        <w:pStyle w:val="138"/>
        <w:spacing w:after="160" w:line="400" w:lineRule="exact"/>
        <w:rPr>
          <w:rFonts w:hint="default"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招标编号：</w:t>
      </w:r>
    </w:p>
    <w:tbl>
      <w:tblPr>
        <w:tblStyle w:val="44"/>
        <w:tblW w:w="4998" w:type="pct"/>
        <w:tblInd w:w="0" w:type="dxa"/>
        <w:tblLayout w:type="autofit"/>
        <w:tblCellMar>
          <w:top w:w="0" w:type="dxa"/>
          <w:left w:w="108" w:type="dxa"/>
          <w:bottom w:w="0" w:type="dxa"/>
          <w:right w:w="108" w:type="dxa"/>
        </w:tblCellMar>
      </w:tblPr>
      <w:tblGrid>
        <w:gridCol w:w="647"/>
        <w:gridCol w:w="1758"/>
        <w:gridCol w:w="3388"/>
        <w:gridCol w:w="1292"/>
        <w:gridCol w:w="1051"/>
        <w:gridCol w:w="929"/>
        <w:gridCol w:w="1301"/>
      </w:tblGrid>
      <w:tr w14:paraId="69744FDF">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70B0B659">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序号</w:t>
            </w:r>
          </w:p>
        </w:tc>
        <w:tc>
          <w:tcPr>
            <w:tcW w:w="847" w:type="pct"/>
            <w:tcBorders>
              <w:top w:val="single" w:color="auto" w:sz="4" w:space="0"/>
              <w:left w:val="nil"/>
              <w:bottom w:val="single" w:color="auto" w:sz="4" w:space="0"/>
              <w:right w:val="single" w:color="auto" w:sz="4" w:space="0"/>
            </w:tcBorders>
            <w:noWrap w:val="0"/>
            <w:vAlign w:val="center"/>
          </w:tcPr>
          <w:p w14:paraId="2BD362B0">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考核内容</w:t>
            </w:r>
          </w:p>
        </w:tc>
        <w:tc>
          <w:tcPr>
            <w:tcW w:w="2257" w:type="pct"/>
            <w:gridSpan w:val="2"/>
            <w:tcBorders>
              <w:top w:val="single" w:color="auto" w:sz="4" w:space="0"/>
              <w:left w:val="nil"/>
              <w:bottom w:val="single" w:color="auto" w:sz="4" w:space="0"/>
              <w:right w:val="single" w:color="auto" w:sz="4" w:space="0"/>
            </w:tcBorders>
            <w:noWrap w:val="0"/>
            <w:vAlign w:val="center"/>
          </w:tcPr>
          <w:p w14:paraId="4F904CFE">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考核标准</w:t>
            </w:r>
          </w:p>
        </w:tc>
        <w:tc>
          <w:tcPr>
            <w:tcW w:w="507" w:type="pct"/>
            <w:tcBorders>
              <w:top w:val="single" w:color="auto" w:sz="4" w:space="0"/>
              <w:left w:val="nil"/>
              <w:bottom w:val="single" w:color="auto" w:sz="4" w:space="0"/>
              <w:right w:val="single" w:color="auto" w:sz="4" w:space="0"/>
            </w:tcBorders>
            <w:noWrap w:val="0"/>
            <w:vAlign w:val="center"/>
          </w:tcPr>
          <w:p w14:paraId="4B726894">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权重</w:t>
            </w:r>
          </w:p>
        </w:tc>
        <w:tc>
          <w:tcPr>
            <w:tcW w:w="448" w:type="pct"/>
            <w:tcBorders>
              <w:top w:val="single" w:color="auto" w:sz="4" w:space="0"/>
              <w:left w:val="nil"/>
              <w:bottom w:val="single" w:color="auto" w:sz="4" w:space="0"/>
              <w:right w:val="single" w:color="auto" w:sz="4" w:space="0"/>
            </w:tcBorders>
            <w:noWrap w:val="0"/>
            <w:vAlign w:val="center"/>
          </w:tcPr>
          <w:p w14:paraId="1CB36F36">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得分</w:t>
            </w:r>
          </w:p>
        </w:tc>
        <w:tc>
          <w:tcPr>
            <w:tcW w:w="625" w:type="pct"/>
            <w:tcBorders>
              <w:top w:val="single" w:color="auto" w:sz="4" w:space="0"/>
              <w:left w:val="nil"/>
              <w:bottom w:val="single" w:color="auto" w:sz="4" w:space="0"/>
              <w:right w:val="single" w:color="auto" w:sz="4" w:space="0"/>
            </w:tcBorders>
            <w:noWrap w:val="0"/>
            <w:vAlign w:val="center"/>
          </w:tcPr>
          <w:p w14:paraId="1DCC720D">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加权得分</w:t>
            </w:r>
          </w:p>
        </w:tc>
      </w:tr>
      <w:tr w14:paraId="313D94EC">
        <w:tblPrEx>
          <w:tblCellMar>
            <w:top w:w="0" w:type="dxa"/>
            <w:left w:w="108" w:type="dxa"/>
            <w:bottom w:w="0" w:type="dxa"/>
            <w:right w:w="108" w:type="dxa"/>
          </w:tblCellMar>
        </w:tblPrEx>
        <w:trPr>
          <w:trHeight w:val="454" w:hRule="atLeast"/>
        </w:trPr>
        <w:tc>
          <w:tcPr>
            <w:tcW w:w="312" w:type="pct"/>
            <w:tcBorders>
              <w:top w:val="nil"/>
              <w:left w:val="single" w:color="auto" w:sz="4" w:space="0"/>
              <w:bottom w:val="single" w:color="auto" w:sz="4" w:space="0"/>
              <w:right w:val="single" w:color="auto" w:sz="4" w:space="0"/>
            </w:tcBorders>
            <w:noWrap w:val="0"/>
            <w:vAlign w:val="center"/>
          </w:tcPr>
          <w:p w14:paraId="106D4D8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47" w:type="pct"/>
            <w:tcBorders>
              <w:top w:val="nil"/>
              <w:left w:val="nil"/>
              <w:bottom w:val="single" w:color="auto" w:sz="4" w:space="0"/>
              <w:right w:val="single" w:color="auto" w:sz="4" w:space="0"/>
            </w:tcBorders>
            <w:noWrap w:val="0"/>
            <w:vAlign w:val="center"/>
          </w:tcPr>
          <w:p w14:paraId="14311D83">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招标代理机构运作情况</w:t>
            </w:r>
          </w:p>
        </w:tc>
        <w:tc>
          <w:tcPr>
            <w:tcW w:w="2257" w:type="pct"/>
            <w:gridSpan w:val="2"/>
            <w:tcBorders>
              <w:top w:val="nil"/>
              <w:left w:val="nil"/>
              <w:bottom w:val="single" w:color="auto" w:sz="4" w:space="0"/>
              <w:right w:val="single" w:color="auto" w:sz="4" w:space="0"/>
            </w:tcBorders>
            <w:noWrap w:val="0"/>
            <w:vAlign w:val="center"/>
          </w:tcPr>
          <w:p w14:paraId="2CD89204">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编制人或复核人到位情况；代理机构主要负责人组织协调能力；代理机构人员业务能力、工作态度、主动性。</w:t>
            </w:r>
          </w:p>
        </w:tc>
        <w:tc>
          <w:tcPr>
            <w:tcW w:w="507" w:type="pct"/>
            <w:tcBorders>
              <w:top w:val="nil"/>
              <w:left w:val="nil"/>
              <w:bottom w:val="single" w:color="auto" w:sz="4" w:space="0"/>
              <w:right w:val="single" w:color="auto" w:sz="4" w:space="0"/>
            </w:tcBorders>
            <w:noWrap w:val="0"/>
            <w:vAlign w:val="center"/>
          </w:tcPr>
          <w:p w14:paraId="1D5D529C">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48" w:type="pct"/>
            <w:tcBorders>
              <w:top w:val="nil"/>
              <w:left w:val="nil"/>
              <w:bottom w:val="single" w:color="auto" w:sz="4" w:space="0"/>
              <w:right w:val="single" w:color="auto" w:sz="4" w:space="0"/>
            </w:tcBorders>
            <w:noWrap w:val="0"/>
            <w:vAlign w:val="top"/>
          </w:tcPr>
          <w:p w14:paraId="65D3A68E">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nil"/>
              <w:left w:val="nil"/>
              <w:bottom w:val="single" w:color="auto" w:sz="4" w:space="0"/>
              <w:right w:val="single" w:color="auto" w:sz="4" w:space="0"/>
            </w:tcBorders>
            <w:noWrap w:val="0"/>
            <w:vAlign w:val="top"/>
          </w:tcPr>
          <w:p w14:paraId="6CC7F5F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4487F0ED">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right w:val="single" w:color="auto" w:sz="4" w:space="0"/>
            </w:tcBorders>
            <w:noWrap w:val="0"/>
            <w:vAlign w:val="center"/>
          </w:tcPr>
          <w:p w14:paraId="37CB26A0">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47" w:type="pct"/>
            <w:tcBorders>
              <w:top w:val="single" w:color="auto" w:sz="4" w:space="0"/>
              <w:left w:val="nil"/>
              <w:bottom w:val="single" w:color="auto" w:sz="4" w:space="0"/>
              <w:right w:val="single" w:color="auto" w:sz="4" w:space="0"/>
            </w:tcBorders>
            <w:noWrap w:val="0"/>
            <w:vAlign w:val="center"/>
          </w:tcPr>
          <w:p w14:paraId="0CAB3DF9">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编制情况</w:t>
            </w:r>
          </w:p>
        </w:tc>
        <w:tc>
          <w:tcPr>
            <w:tcW w:w="2257" w:type="pct"/>
            <w:gridSpan w:val="2"/>
            <w:tcBorders>
              <w:top w:val="single" w:color="auto" w:sz="4" w:space="0"/>
              <w:left w:val="nil"/>
              <w:bottom w:val="single" w:color="auto" w:sz="4" w:space="0"/>
              <w:right w:val="single" w:color="auto" w:sz="4" w:space="0"/>
            </w:tcBorders>
            <w:noWrap w:val="0"/>
            <w:vAlign w:val="center"/>
          </w:tcPr>
          <w:p w14:paraId="01F5CADF">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代理机构提出合理化建议，配合项目组做好划分标段计划及拟定招标方案情况；收集与招标项目有关的技术、图纸、最新法律法规等资料，理解项目需求情况；根据工程需求编制</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，对资质等级、工程范围、费用包干等重点环节核实情况；根据项目</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及监督部门（如有）要求，对</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内容不适当部分的修改，</w:t>
            </w:r>
            <w:r>
              <w:rPr>
                <w:rFonts w:hint="eastAsia" w:ascii="宋体" w:hAnsi="宋体" w:eastAsia="宋体" w:cs="宋体"/>
                <w:highlight w:val="none"/>
                <w:lang w:val="en-US" w:eastAsia="zh-CN"/>
              </w:rPr>
              <w:t>发现并修改</w:t>
            </w:r>
            <w:r>
              <w:rPr>
                <w:rFonts w:hint="eastAsia" w:ascii="宋体" w:hAnsi="宋体" w:eastAsia="宋体" w:cs="宋体"/>
                <w:color w:val="auto"/>
                <w:szCs w:val="21"/>
                <w:highlight w:val="none"/>
              </w:rPr>
              <w:t>错漏情况；</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的传阅、答辩、定稿情况，项目合同的编制情况；招标公告、专家申请、开评标表格、评标报告、结果公示、中标通知书等招标过程文件的编制情况。</w:t>
            </w:r>
          </w:p>
        </w:tc>
        <w:tc>
          <w:tcPr>
            <w:tcW w:w="507" w:type="pct"/>
            <w:tcBorders>
              <w:top w:val="single" w:color="auto" w:sz="4" w:space="0"/>
              <w:left w:val="nil"/>
              <w:bottom w:val="single" w:color="auto" w:sz="4" w:space="0"/>
              <w:right w:val="single" w:color="auto" w:sz="4" w:space="0"/>
            </w:tcBorders>
            <w:noWrap w:val="0"/>
            <w:vAlign w:val="center"/>
          </w:tcPr>
          <w:p w14:paraId="1966C17D">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448" w:type="pct"/>
            <w:tcBorders>
              <w:top w:val="single" w:color="auto" w:sz="4" w:space="0"/>
              <w:left w:val="nil"/>
              <w:bottom w:val="single" w:color="auto" w:sz="4" w:space="0"/>
              <w:right w:val="single" w:color="auto" w:sz="4" w:space="0"/>
            </w:tcBorders>
            <w:noWrap w:val="0"/>
            <w:vAlign w:val="top"/>
          </w:tcPr>
          <w:p w14:paraId="7F20718E">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061356C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1957FB85">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5834AB53">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47" w:type="pct"/>
            <w:tcBorders>
              <w:top w:val="single" w:color="auto" w:sz="4" w:space="0"/>
              <w:left w:val="nil"/>
              <w:bottom w:val="single" w:color="auto" w:sz="4" w:space="0"/>
              <w:right w:val="single" w:color="auto" w:sz="4" w:space="0"/>
            </w:tcBorders>
            <w:noWrap w:val="0"/>
            <w:vAlign w:val="center"/>
          </w:tcPr>
          <w:p w14:paraId="72284937">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招标程序组织情况</w:t>
            </w:r>
          </w:p>
        </w:tc>
        <w:tc>
          <w:tcPr>
            <w:tcW w:w="2257" w:type="pct"/>
            <w:gridSpan w:val="2"/>
            <w:tcBorders>
              <w:top w:val="single" w:color="auto" w:sz="4" w:space="0"/>
              <w:left w:val="nil"/>
              <w:bottom w:val="single" w:color="auto" w:sz="4" w:space="0"/>
              <w:right w:val="single" w:color="auto" w:sz="4" w:space="0"/>
            </w:tcBorders>
            <w:noWrap w:val="0"/>
            <w:vAlign w:val="center"/>
          </w:tcPr>
          <w:p w14:paraId="22316424">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代理机构合法合规办理招标公告发布所需具备的各项手续情况；完成各招标进度控制节点工作情况；向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反馈潜在投标人（供应商）情况，开标评标等工作情况；项目合同签订的组织、协调、备案情况。现场应变能力，处理问题情况；代理机构人员语言举止及服务态度。</w:t>
            </w:r>
          </w:p>
        </w:tc>
        <w:tc>
          <w:tcPr>
            <w:tcW w:w="507" w:type="pct"/>
            <w:tcBorders>
              <w:top w:val="single" w:color="auto" w:sz="4" w:space="0"/>
              <w:left w:val="nil"/>
              <w:bottom w:val="single" w:color="auto" w:sz="4" w:space="0"/>
              <w:right w:val="single" w:color="auto" w:sz="4" w:space="0"/>
            </w:tcBorders>
            <w:noWrap w:val="0"/>
            <w:vAlign w:val="center"/>
          </w:tcPr>
          <w:p w14:paraId="70FBE5FD">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448" w:type="pct"/>
            <w:tcBorders>
              <w:top w:val="single" w:color="auto" w:sz="4" w:space="0"/>
              <w:left w:val="nil"/>
              <w:bottom w:val="single" w:color="auto" w:sz="4" w:space="0"/>
              <w:right w:val="single" w:color="auto" w:sz="4" w:space="0"/>
            </w:tcBorders>
            <w:noWrap w:val="0"/>
            <w:vAlign w:val="top"/>
          </w:tcPr>
          <w:p w14:paraId="144955A5">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7CCD20C3">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17957792">
        <w:tblPrEx>
          <w:tblCellMar>
            <w:top w:w="0" w:type="dxa"/>
            <w:left w:w="108" w:type="dxa"/>
            <w:bottom w:w="0" w:type="dxa"/>
            <w:right w:w="108" w:type="dxa"/>
          </w:tblCellMar>
        </w:tblPrEx>
        <w:trPr>
          <w:trHeight w:val="331"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2B345E8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47" w:type="pct"/>
            <w:tcBorders>
              <w:top w:val="single" w:color="auto" w:sz="4" w:space="0"/>
              <w:left w:val="nil"/>
              <w:bottom w:val="single" w:color="auto" w:sz="4" w:space="0"/>
              <w:right w:val="single" w:color="auto" w:sz="4" w:space="0"/>
            </w:tcBorders>
            <w:noWrap w:val="0"/>
            <w:vAlign w:val="center"/>
          </w:tcPr>
          <w:p w14:paraId="53E700D5">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异议、投诉处理情况</w:t>
            </w:r>
          </w:p>
        </w:tc>
        <w:tc>
          <w:tcPr>
            <w:tcW w:w="2257" w:type="pct"/>
            <w:gridSpan w:val="2"/>
            <w:tcBorders>
              <w:top w:val="single" w:color="auto" w:sz="4" w:space="0"/>
              <w:left w:val="nil"/>
              <w:bottom w:val="single" w:color="auto" w:sz="4" w:space="0"/>
              <w:right w:val="single" w:color="auto" w:sz="4" w:space="0"/>
            </w:tcBorders>
            <w:noWrap w:val="0"/>
            <w:vAlign w:val="center"/>
          </w:tcPr>
          <w:p w14:paraId="570F2A71">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代理机构受理供应商异议或投诉情况：时效、运用法律法规熟悉程度、效果；协助</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处理投诉情况。</w:t>
            </w:r>
          </w:p>
        </w:tc>
        <w:tc>
          <w:tcPr>
            <w:tcW w:w="507" w:type="pct"/>
            <w:tcBorders>
              <w:top w:val="single" w:color="auto" w:sz="4" w:space="0"/>
              <w:left w:val="nil"/>
              <w:bottom w:val="single" w:color="auto" w:sz="4" w:space="0"/>
              <w:right w:val="single" w:color="auto" w:sz="4" w:space="0"/>
            </w:tcBorders>
            <w:noWrap w:val="0"/>
            <w:vAlign w:val="center"/>
          </w:tcPr>
          <w:p w14:paraId="63FD67FA">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48" w:type="pct"/>
            <w:tcBorders>
              <w:top w:val="single" w:color="auto" w:sz="4" w:space="0"/>
              <w:left w:val="nil"/>
              <w:bottom w:val="single" w:color="auto" w:sz="4" w:space="0"/>
              <w:right w:val="single" w:color="auto" w:sz="4" w:space="0"/>
            </w:tcBorders>
            <w:noWrap w:val="0"/>
            <w:vAlign w:val="top"/>
          </w:tcPr>
          <w:p w14:paraId="2BEAA067">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398B44E5">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0BF2F985">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3DF277D2">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47" w:type="pct"/>
            <w:tcBorders>
              <w:top w:val="single" w:color="auto" w:sz="4" w:space="0"/>
              <w:left w:val="nil"/>
              <w:bottom w:val="single" w:color="auto" w:sz="4" w:space="0"/>
              <w:right w:val="single" w:color="auto" w:sz="4" w:space="0"/>
            </w:tcBorders>
            <w:noWrap w:val="0"/>
            <w:vAlign w:val="center"/>
          </w:tcPr>
          <w:p w14:paraId="7AA938D1">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资料管理情况</w:t>
            </w:r>
          </w:p>
        </w:tc>
        <w:tc>
          <w:tcPr>
            <w:tcW w:w="2257" w:type="pct"/>
            <w:gridSpan w:val="2"/>
            <w:tcBorders>
              <w:top w:val="single" w:color="auto" w:sz="4" w:space="0"/>
              <w:left w:val="nil"/>
              <w:bottom w:val="single" w:color="auto" w:sz="4" w:space="0"/>
              <w:right w:val="single" w:color="auto" w:sz="4" w:space="0"/>
            </w:tcBorders>
            <w:noWrap w:val="0"/>
            <w:vAlign w:val="center"/>
          </w:tcPr>
          <w:p w14:paraId="5F15F630">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代理机构发放中标通知书，草拟合同，审核严重不平衡报价，编写招标情况报告情况；招标资料制作、收集、移交、备案，招标全过程资料整理（含档案数字化）和存档保管等管理情况。</w:t>
            </w:r>
          </w:p>
        </w:tc>
        <w:tc>
          <w:tcPr>
            <w:tcW w:w="507" w:type="pct"/>
            <w:tcBorders>
              <w:top w:val="single" w:color="auto" w:sz="4" w:space="0"/>
              <w:left w:val="nil"/>
              <w:bottom w:val="single" w:color="auto" w:sz="4" w:space="0"/>
              <w:right w:val="single" w:color="auto" w:sz="4" w:space="0"/>
            </w:tcBorders>
            <w:noWrap w:val="0"/>
            <w:vAlign w:val="center"/>
          </w:tcPr>
          <w:p w14:paraId="54FEEC93">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48" w:type="pct"/>
            <w:tcBorders>
              <w:top w:val="single" w:color="auto" w:sz="4" w:space="0"/>
              <w:left w:val="nil"/>
              <w:bottom w:val="single" w:color="auto" w:sz="4" w:space="0"/>
              <w:right w:val="single" w:color="auto" w:sz="4" w:space="0"/>
            </w:tcBorders>
            <w:noWrap w:val="0"/>
            <w:vAlign w:val="top"/>
          </w:tcPr>
          <w:p w14:paraId="43E6B734">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0EF78E5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3705720C">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2FE4E15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47" w:type="pct"/>
            <w:tcBorders>
              <w:top w:val="single" w:color="auto" w:sz="4" w:space="0"/>
              <w:left w:val="nil"/>
              <w:bottom w:val="single" w:color="auto" w:sz="4" w:space="0"/>
              <w:right w:val="single" w:color="auto" w:sz="4" w:space="0"/>
            </w:tcBorders>
            <w:noWrap w:val="0"/>
            <w:vAlign w:val="center"/>
          </w:tcPr>
          <w:p w14:paraId="455A58F0">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后续配套服务情况</w:t>
            </w:r>
          </w:p>
        </w:tc>
        <w:tc>
          <w:tcPr>
            <w:tcW w:w="2257" w:type="pct"/>
            <w:gridSpan w:val="2"/>
            <w:tcBorders>
              <w:top w:val="single" w:color="auto" w:sz="4" w:space="0"/>
              <w:left w:val="nil"/>
              <w:bottom w:val="single" w:color="auto" w:sz="4" w:space="0"/>
              <w:right w:val="single" w:color="auto" w:sz="4" w:space="0"/>
            </w:tcBorders>
            <w:noWrap w:val="0"/>
            <w:vAlign w:val="center"/>
          </w:tcPr>
          <w:p w14:paraId="4D955F49">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代理机构人员后续配套服务情况。</w:t>
            </w:r>
          </w:p>
        </w:tc>
        <w:tc>
          <w:tcPr>
            <w:tcW w:w="507" w:type="pct"/>
            <w:tcBorders>
              <w:top w:val="single" w:color="auto" w:sz="4" w:space="0"/>
              <w:left w:val="nil"/>
              <w:bottom w:val="single" w:color="auto" w:sz="4" w:space="0"/>
              <w:right w:val="single" w:color="auto" w:sz="4" w:space="0"/>
            </w:tcBorders>
            <w:noWrap w:val="0"/>
            <w:vAlign w:val="center"/>
          </w:tcPr>
          <w:p w14:paraId="4A71A5F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48" w:type="pct"/>
            <w:tcBorders>
              <w:top w:val="single" w:color="auto" w:sz="4" w:space="0"/>
              <w:left w:val="nil"/>
              <w:bottom w:val="single" w:color="auto" w:sz="4" w:space="0"/>
              <w:right w:val="single" w:color="auto" w:sz="4" w:space="0"/>
            </w:tcBorders>
            <w:noWrap w:val="0"/>
            <w:vAlign w:val="top"/>
          </w:tcPr>
          <w:p w14:paraId="318BFF66">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66D8B3D7">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0AEBA4CF">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4702064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c>
          <w:tcPr>
            <w:tcW w:w="3839" w:type="pct"/>
            <w:gridSpan w:val="5"/>
            <w:tcBorders>
              <w:top w:val="nil"/>
              <w:left w:val="nil"/>
              <w:bottom w:val="single" w:color="auto" w:sz="4" w:space="0"/>
              <w:right w:val="single" w:color="auto" w:sz="4" w:space="0"/>
            </w:tcBorders>
            <w:noWrap w:val="0"/>
            <w:vAlign w:val="center"/>
          </w:tcPr>
          <w:p w14:paraId="25E7C4C0">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64D93F86">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7C2E2347">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扣分项</w:t>
            </w:r>
          </w:p>
        </w:tc>
        <w:tc>
          <w:tcPr>
            <w:tcW w:w="1634" w:type="pct"/>
            <w:tcBorders>
              <w:top w:val="nil"/>
              <w:left w:val="nil"/>
              <w:bottom w:val="single" w:color="auto" w:sz="4" w:space="0"/>
              <w:right w:val="single" w:color="auto" w:sz="4" w:space="0"/>
            </w:tcBorders>
            <w:noWrap w:val="0"/>
            <w:vAlign w:val="center"/>
          </w:tcPr>
          <w:p w14:paraId="3F5F7354">
            <w:pPr>
              <w:pStyle w:val="138"/>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22" w:type="pct"/>
            <w:tcBorders>
              <w:top w:val="nil"/>
              <w:left w:val="nil"/>
              <w:bottom w:val="single" w:color="auto" w:sz="4" w:space="0"/>
              <w:right w:val="single" w:color="auto" w:sz="4" w:space="0"/>
            </w:tcBorders>
            <w:noWrap w:val="0"/>
            <w:vAlign w:val="center"/>
          </w:tcPr>
          <w:p w14:paraId="14DC774D">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分值</w:t>
            </w:r>
          </w:p>
        </w:tc>
        <w:tc>
          <w:tcPr>
            <w:tcW w:w="1582" w:type="pct"/>
            <w:gridSpan w:val="3"/>
            <w:tcBorders>
              <w:top w:val="nil"/>
              <w:left w:val="nil"/>
              <w:bottom w:val="single" w:color="auto" w:sz="4" w:space="0"/>
              <w:right w:val="single" w:color="auto" w:sz="4" w:space="0"/>
            </w:tcBorders>
            <w:noWrap w:val="0"/>
            <w:vAlign w:val="center"/>
          </w:tcPr>
          <w:p w14:paraId="02313D22">
            <w:pPr>
              <w:pStyle w:val="138"/>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53FCCA11">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47BF1956">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34" w:type="pct"/>
            <w:tcBorders>
              <w:top w:val="nil"/>
              <w:left w:val="nil"/>
              <w:bottom w:val="single" w:color="auto" w:sz="4" w:space="0"/>
              <w:right w:val="single" w:color="auto" w:sz="4" w:space="0"/>
            </w:tcBorders>
            <w:noWrap w:val="0"/>
            <w:vAlign w:val="center"/>
          </w:tcPr>
          <w:p w14:paraId="398C7933">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对代理机构提供的服务质量及效率不满意，并发出警告信。</w:t>
            </w:r>
          </w:p>
        </w:tc>
        <w:tc>
          <w:tcPr>
            <w:tcW w:w="622" w:type="pct"/>
            <w:tcBorders>
              <w:top w:val="nil"/>
              <w:left w:val="nil"/>
              <w:bottom w:val="single" w:color="auto" w:sz="4" w:space="0"/>
              <w:right w:val="single" w:color="auto" w:sz="4" w:space="0"/>
            </w:tcBorders>
            <w:noWrap w:val="0"/>
            <w:vAlign w:val="center"/>
          </w:tcPr>
          <w:p w14:paraId="5D5BDD51">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10</w:t>
            </w:r>
          </w:p>
        </w:tc>
        <w:tc>
          <w:tcPr>
            <w:tcW w:w="1582" w:type="pct"/>
            <w:gridSpan w:val="3"/>
            <w:tcBorders>
              <w:top w:val="nil"/>
              <w:left w:val="nil"/>
              <w:bottom w:val="single" w:color="auto" w:sz="4" w:space="0"/>
              <w:right w:val="single" w:color="auto" w:sz="4" w:space="0"/>
            </w:tcBorders>
            <w:noWrap w:val="0"/>
            <w:vAlign w:val="center"/>
          </w:tcPr>
          <w:p w14:paraId="6C2A40B0">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44373A55">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7448854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34" w:type="pct"/>
            <w:tcBorders>
              <w:top w:val="nil"/>
              <w:left w:val="nil"/>
              <w:bottom w:val="single" w:color="auto" w:sz="4" w:space="0"/>
              <w:right w:val="single" w:color="auto" w:sz="4" w:space="0"/>
            </w:tcBorders>
            <w:noWrap w:val="0"/>
            <w:vAlign w:val="center"/>
          </w:tcPr>
          <w:p w14:paraId="64F6EFC6">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代理机构人为原因导致招标过程出现明显错漏致使</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项目延期。</w:t>
            </w:r>
          </w:p>
        </w:tc>
        <w:tc>
          <w:tcPr>
            <w:tcW w:w="622" w:type="pct"/>
            <w:tcBorders>
              <w:top w:val="nil"/>
              <w:left w:val="nil"/>
              <w:bottom w:val="single" w:color="auto" w:sz="4" w:space="0"/>
              <w:right w:val="single" w:color="auto" w:sz="4" w:space="0"/>
            </w:tcBorders>
            <w:noWrap w:val="0"/>
            <w:vAlign w:val="center"/>
          </w:tcPr>
          <w:p w14:paraId="421AE502">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10</w:t>
            </w:r>
          </w:p>
        </w:tc>
        <w:tc>
          <w:tcPr>
            <w:tcW w:w="1582" w:type="pct"/>
            <w:gridSpan w:val="3"/>
            <w:tcBorders>
              <w:top w:val="nil"/>
              <w:left w:val="nil"/>
              <w:bottom w:val="single" w:color="auto" w:sz="4" w:space="0"/>
              <w:right w:val="single" w:color="auto" w:sz="4" w:space="0"/>
            </w:tcBorders>
            <w:noWrap w:val="0"/>
            <w:vAlign w:val="center"/>
          </w:tcPr>
          <w:p w14:paraId="3AD20965">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6D720BBF">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3AA72F17">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34" w:type="pct"/>
            <w:tcBorders>
              <w:top w:val="nil"/>
              <w:left w:val="nil"/>
              <w:bottom w:val="single" w:color="auto" w:sz="4" w:space="0"/>
              <w:right w:val="single" w:color="auto" w:sz="4" w:space="0"/>
            </w:tcBorders>
            <w:noWrap w:val="0"/>
            <w:vAlign w:val="center"/>
          </w:tcPr>
          <w:p w14:paraId="79954012">
            <w:pPr>
              <w:pStyle w:val="138"/>
              <w:keepNext w:val="0"/>
              <w:keepLines w:val="0"/>
              <w:suppressLineNumbers w:val="0"/>
              <w:snapToGrid w:val="0"/>
              <w:spacing w:before="0" w:beforeAutospacing="0" w:after="0" w:afterAutospacing="0" w:line="400" w:lineRule="exact"/>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未经同意，擅自对已定稿的</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进行更改。</w:t>
            </w:r>
          </w:p>
        </w:tc>
        <w:tc>
          <w:tcPr>
            <w:tcW w:w="622" w:type="pct"/>
            <w:tcBorders>
              <w:top w:val="nil"/>
              <w:left w:val="nil"/>
              <w:bottom w:val="single" w:color="auto" w:sz="4" w:space="0"/>
              <w:right w:val="single" w:color="auto" w:sz="4" w:space="0"/>
            </w:tcBorders>
            <w:noWrap w:val="0"/>
            <w:vAlign w:val="center"/>
          </w:tcPr>
          <w:p w14:paraId="57213843">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10</w:t>
            </w:r>
          </w:p>
        </w:tc>
        <w:tc>
          <w:tcPr>
            <w:tcW w:w="1582" w:type="pct"/>
            <w:gridSpan w:val="3"/>
            <w:tcBorders>
              <w:top w:val="nil"/>
              <w:left w:val="nil"/>
              <w:bottom w:val="single" w:color="auto" w:sz="4" w:space="0"/>
              <w:right w:val="single" w:color="auto" w:sz="4" w:space="0"/>
            </w:tcBorders>
            <w:noWrap w:val="0"/>
            <w:vAlign w:val="center"/>
          </w:tcPr>
          <w:p w14:paraId="6EA009D9">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4759DBDF">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509BBE0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综合得分</w:t>
            </w:r>
          </w:p>
        </w:tc>
        <w:tc>
          <w:tcPr>
            <w:tcW w:w="3839" w:type="pct"/>
            <w:gridSpan w:val="5"/>
            <w:tcBorders>
              <w:top w:val="nil"/>
              <w:left w:val="nil"/>
              <w:bottom w:val="single" w:color="auto" w:sz="4" w:space="0"/>
              <w:right w:val="single" w:color="auto" w:sz="4" w:space="0"/>
            </w:tcBorders>
            <w:noWrap w:val="0"/>
            <w:vAlign w:val="center"/>
          </w:tcPr>
          <w:p w14:paraId="2A54AC22">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bl>
    <w:p w14:paraId="0F8A991F">
      <w:pPr>
        <w:pStyle w:val="13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val="0"/>
          <w:color w:val="auto"/>
          <w:szCs w:val="21"/>
          <w:highlight w:val="none"/>
          <w:lang w:eastAsia="zh-CN"/>
        </w:rPr>
      </w:pPr>
      <w:r>
        <w:rPr>
          <w:rFonts w:hint="eastAsia" w:ascii="宋体" w:hAnsi="宋体" w:eastAsia="宋体" w:cs="宋体"/>
          <w:bCs w:val="0"/>
          <w:color w:val="auto"/>
          <w:szCs w:val="21"/>
          <w:highlight w:val="none"/>
          <w:lang w:eastAsia="zh-CN"/>
        </w:rPr>
        <w:t>说明：1、本考核表最终解释权归招标人，招标人有权调整相关考核方式。</w:t>
      </w:r>
    </w:p>
    <w:p w14:paraId="2F393B65">
      <w:pPr>
        <w:pStyle w:val="13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val="0"/>
          <w:color w:val="auto"/>
          <w:szCs w:val="21"/>
          <w:highlight w:val="none"/>
          <w:lang w:eastAsia="zh-CN"/>
        </w:rPr>
      </w:pPr>
      <w:r>
        <w:rPr>
          <w:rFonts w:hint="eastAsia" w:ascii="宋体" w:hAnsi="宋体" w:eastAsia="宋体" w:cs="宋体"/>
          <w:bCs w:val="0"/>
          <w:color w:val="auto"/>
          <w:szCs w:val="21"/>
          <w:highlight w:val="none"/>
          <w:lang w:eastAsia="zh-CN"/>
        </w:rPr>
        <w:t xml:space="preserve">      2、每项考核内容按优[100-90]分、良（90-80]分、中（80-70]分、合格（70-60]分、不合格（60-0]分，进行打分。</w:t>
      </w:r>
    </w:p>
    <w:p w14:paraId="7C799964">
      <w:pPr>
        <w:pStyle w:val="13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val="0"/>
          <w:color w:val="auto"/>
          <w:szCs w:val="21"/>
          <w:highlight w:val="none"/>
          <w:lang w:eastAsia="zh-CN"/>
        </w:rPr>
      </w:pPr>
    </w:p>
    <w:p w14:paraId="7478D6DD">
      <w:pPr>
        <w:pStyle w:val="138"/>
        <w:spacing w:after="160" w:line="400" w:lineRule="exact"/>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Cs w:val="0"/>
          <w:color w:val="auto"/>
          <w:szCs w:val="21"/>
          <w:highlight w:val="none"/>
          <w:lang w:eastAsia="zh-CN"/>
        </w:rPr>
        <w:br w:type="page"/>
      </w:r>
      <w:r>
        <w:rPr>
          <w:rFonts w:hint="eastAsia" w:ascii="宋体" w:hAnsi="宋体" w:eastAsia="宋体" w:cs="宋体"/>
          <w:b/>
          <w:bCs/>
          <w:color w:val="auto"/>
          <w:szCs w:val="21"/>
          <w:highlight w:val="none"/>
        </w:rPr>
        <w:t>（2）招标代理机构服务质量考核表</w:t>
      </w:r>
    </w:p>
    <w:p w14:paraId="07794E91">
      <w:pPr>
        <w:pStyle w:val="13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招标代理机构：</w:t>
      </w:r>
    </w:p>
    <w:p w14:paraId="1E4EC389">
      <w:pPr>
        <w:pStyle w:val="13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 xml:space="preserve">考核单位：     </w:t>
      </w:r>
    </w:p>
    <w:p w14:paraId="4FC987DE">
      <w:pPr>
        <w:pStyle w:val="13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考核季度：第   季度； 考核时间：   年   月   日</w:t>
      </w:r>
    </w:p>
    <w:tbl>
      <w:tblPr>
        <w:tblStyle w:val="44"/>
        <w:tblW w:w="4998" w:type="pct"/>
        <w:jc w:val="center"/>
        <w:tblLayout w:type="autofit"/>
        <w:tblCellMar>
          <w:top w:w="0" w:type="dxa"/>
          <w:left w:w="108" w:type="dxa"/>
          <w:bottom w:w="0" w:type="dxa"/>
          <w:right w:w="108" w:type="dxa"/>
        </w:tblCellMar>
      </w:tblPr>
      <w:tblGrid>
        <w:gridCol w:w="823"/>
        <w:gridCol w:w="941"/>
        <w:gridCol w:w="943"/>
        <w:gridCol w:w="5163"/>
        <w:gridCol w:w="1058"/>
        <w:gridCol w:w="649"/>
        <w:gridCol w:w="789"/>
      </w:tblGrid>
      <w:tr w14:paraId="5EC4F50D">
        <w:tblPrEx>
          <w:tblCellMar>
            <w:top w:w="0" w:type="dxa"/>
            <w:left w:w="108" w:type="dxa"/>
            <w:bottom w:w="0" w:type="dxa"/>
            <w:right w:w="108" w:type="dxa"/>
          </w:tblCellMar>
        </w:tblPrEx>
        <w:trPr>
          <w:trHeight w:val="780"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6B6EC58">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序号</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14:paraId="21B1DF3C">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考核内容</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2C5E3D6E">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考核标准</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48CA295">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权重</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3B53DB1E">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得分</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F938A44">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加权得分</w:t>
            </w:r>
          </w:p>
        </w:tc>
      </w:tr>
      <w:tr w14:paraId="4B37913E">
        <w:tblPrEx>
          <w:tblCellMar>
            <w:top w:w="0" w:type="dxa"/>
            <w:left w:w="108" w:type="dxa"/>
            <w:bottom w:w="0" w:type="dxa"/>
            <w:right w:w="108" w:type="dxa"/>
          </w:tblCellMar>
        </w:tblPrEx>
        <w:trPr>
          <w:trHeight w:val="1348"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499F5776">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1</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14:paraId="204E7644">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招标代理机构运作情况</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698BEA09">
            <w:pPr>
              <w:pStyle w:val="138"/>
              <w:keepNext w:val="0"/>
              <w:keepLines w:val="0"/>
              <w:widowControl/>
              <w:suppressLineNumbers w:val="0"/>
              <w:spacing w:before="0" w:beforeAutospacing="0" w:after="0" w:afterAutospacing="0" w:line="400" w:lineRule="exact"/>
              <w:ind w:left="0" w:right="0"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w:t>
            </w: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编制人或复核人到位情况；代理机构主要负责人组织协调能力；代理机构人员业务能力、工作态度、主动性。</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A64205E">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15%</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23A24BEE">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96AB56E">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101F3052">
        <w:tblPrEx>
          <w:tblCellMar>
            <w:top w:w="0" w:type="dxa"/>
            <w:left w:w="108" w:type="dxa"/>
            <w:bottom w:w="0" w:type="dxa"/>
            <w:right w:w="108" w:type="dxa"/>
          </w:tblCellMar>
        </w:tblPrEx>
        <w:trPr>
          <w:trHeight w:val="2154"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14:paraId="70A40FF8">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2</w:t>
            </w:r>
          </w:p>
        </w:tc>
        <w:tc>
          <w:tcPr>
            <w:tcW w:w="454" w:type="pct"/>
            <w:vMerge w:val="restart"/>
            <w:tcBorders>
              <w:top w:val="single" w:color="000000" w:sz="4" w:space="0"/>
              <w:left w:val="single" w:color="000000" w:sz="4" w:space="0"/>
              <w:bottom w:val="single" w:color="000000" w:sz="4" w:space="0"/>
              <w:right w:val="single" w:color="000000" w:sz="4" w:space="0"/>
            </w:tcBorders>
            <w:noWrap w:val="0"/>
            <w:vAlign w:val="center"/>
          </w:tcPr>
          <w:p w14:paraId="0BA774F9">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项目质量</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CFB9B16">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编制情况</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5F683E8D">
            <w:pPr>
              <w:pStyle w:val="138"/>
              <w:keepNext w:val="0"/>
              <w:keepLines w:val="0"/>
              <w:widowControl/>
              <w:suppressLineNumbers w:val="0"/>
              <w:spacing w:before="0" w:beforeAutospacing="0" w:after="0" w:afterAutospacing="0" w:line="400" w:lineRule="exact"/>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横向比较各代理机构提出合理化建议，配合项目组做好划分标段计划及拟定招标方案情况；收集与招标项目有关的技术、图纸、最新法律法规等资料，理解项目需求情况；根据招标需求编制</w:t>
            </w: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，对资质等级、招标范围、费用包干等重点环节核实情况；根据项目</w:t>
            </w:r>
            <w:r>
              <w:rPr>
                <w:rFonts w:hint="eastAsia" w:ascii="宋体" w:hAnsi="宋体" w:eastAsia="宋体" w:cs="宋体"/>
                <w:color w:val="auto"/>
                <w:kern w:val="2"/>
                <w:szCs w:val="21"/>
                <w:highlight w:val="none"/>
                <w:lang w:eastAsia="zh-CN" w:bidi="ar"/>
              </w:rPr>
              <w:t>招标人</w:t>
            </w:r>
            <w:r>
              <w:rPr>
                <w:rFonts w:hint="eastAsia" w:ascii="宋体" w:hAnsi="宋体" w:eastAsia="宋体" w:cs="宋体"/>
                <w:color w:val="auto"/>
                <w:kern w:val="2"/>
                <w:szCs w:val="21"/>
                <w:highlight w:val="none"/>
                <w:lang w:bidi="ar"/>
              </w:rPr>
              <w:t>及监督部门（如有）要求，对</w:t>
            </w: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内容不适当部分的修改，</w:t>
            </w:r>
            <w:r>
              <w:rPr>
                <w:rFonts w:hint="eastAsia" w:ascii="宋体" w:hAnsi="宋体" w:eastAsia="宋体" w:cs="宋体"/>
                <w:highlight w:val="none"/>
                <w:lang w:val="en-US" w:eastAsia="zh-CN"/>
              </w:rPr>
              <w:t>发现并修改</w:t>
            </w:r>
            <w:r>
              <w:rPr>
                <w:rFonts w:hint="eastAsia" w:ascii="宋体" w:hAnsi="宋体" w:eastAsia="宋体" w:cs="宋体"/>
                <w:color w:val="auto"/>
                <w:kern w:val="2"/>
                <w:szCs w:val="21"/>
                <w:highlight w:val="none"/>
                <w:lang w:bidi="ar"/>
              </w:rPr>
              <w:t>错漏情况；</w:t>
            </w:r>
            <w:r>
              <w:rPr>
                <w:rFonts w:hint="eastAsia" w:ascii="宋体" w:hAnsi="宋体" w:eastAsia="宋体" w:cs="宋体"/>
                <w:color w:val="auto"/>
                <w:kern w:val="2"/>
                <w:szCs w:val="21"/>
                <w:highlight w:val="none"/>
                <w:lang w:eastAsia="zh-CN" w:bidi="ar"/>
              </w:rPr>
              <w:t>招标文件</w:t>
            </w:r>
            <w:r>
              <w:rPr>
                <w:rFonts w:hint="eastAsia" w:ascii="宋体" w:hAnsi="宋体" w:eastAsia="宋体" w:cs="宋体"/>
                <w:color w:val="auto"/>
                <w:kern w:val="2"/>
                <w:szCs w:val="21"/>
                <w:highlight w:val="none"/>
                <w:lang w:bidi="ar"/>
              </w:rPr>
              <w:t>的传阅、答辩、定稿情况。</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F1F04B3">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30%</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6BFF8D0C">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7F6CDA5">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4B26E40B">
        <w:tblPrEx>
          <w:tblCellMar>
            <w:top w:w="0" w:type="dxa"/>
            <w:left w:w="108" w:type="dxa"/>
            <w:bottom w:w="0" w:type="dxa"/>
            <w:right w:w="108" w:type="dxa"/>
          </w:tblCellMar>
        </w:tblPrEx>
        <w:trPr>
          <w:trHeight w:val="1528"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508AA6">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C5395F">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C4C4CAA">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招标程序组织情况</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799E1EE7">
            <w:pPr>
              <w:pStyle w:val="138"/>
              <w:keepNext w:val="0"/>
              <w:keepLines w:val="0"/>
              <w:widowControl/>
              <w:suppressLineNumbers w:val="0"/>
              <w:spacing w:before="0" w:beforeAutospacing="0" w:after="0" w:afterAutospacing="0" w:line="400" w:lineRule="exact"/>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横向比较各代理机构组织开展</w:t>
            </w:r>
            <w:r>
              <w:rPr>
                <w:rFonts w:hint="eastAsia" w:ascii="宋体" w:hAnsi="宋体" w:eastAsia="宋体" w:cs="宋体"/>
                <w:color w:val="auto"/>
                <w:kern w:val="2"/>
                <w:szCs w:val="21"/>
                <w:highlight w:val="none"/>
                <w:lang w:eastAsia="zh-CN" w:bidi="ar"/>
              </w:rPr>
              <w:t>招标活动</w:t>
            </w:r>
            <w:r>
              <w:rPr>
                <w:rFonts w:hint="eastAsia" w:ascii="宋体" w:hAnsi="宋体" w:eastAsia="宋体" w:cs="宋体"/>
                <w:color w:val="auto"/>
                <w:kern w:val="2"/>
                <w:szCs w:val="21"/>
                <w:highlight w:val="none"/>
                <w:lang w:bidi="ar"/>
              </w:rPr>
              <w:t>情况；完成各招标进度控制节点工作情况；开标评标等工作情况；现场应变能力，处理问题情况；代理机构人员语言举止及服务态度。</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156FA49">
            <w:pPr>
              <w:pStyle w:val="138"/>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25%</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6088199E">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5DA2D2F">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5500087A">
        <w:tblPrEx>
          <w:tblCellMar>
            <w:top w:w="0" w:type="dxa"/>
            <w:left w:w="108" w:type="dxa"/>
            <w:bottom w:w="0" w:type="dxa"/>
            <w:right w:w="108" w:type="dxa"/>
          </w:tblCellMar>
        </w:tblPrEx>
        <w:trPr>
          <w:trHeight w:val="1110"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49204287">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3</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14:paraId="7A5C9A73">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异议、投诉处理情况</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36BB070C">
            <w:pPr>
              <w:pStyle w:val="138"/>
              <w:keepNext w:val="0"/>
              <w:keepLines w:val="0"/>
              <w:widowControl/>
              <w:suppressLineNumbers w:val="0"/>
              <w:spacing w:before="0" w:beforeAutospacing="0" w:after="0" w:afterAutospacing="0" w:line="400" w:lineRule="exact"/>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横向比较各代理机构受理供应商异议或投诉情况：时效、运用法律法规熟悉程度、效果；协助</w:t>
            </w:r>
            <w:r>
              <w:rPr>
                <w:rFonts w:hint="eastAsia" w:ascii="宋体" w:hAnsi="宋体" w:eastAsia="宋体" w:cs="宋体"/>
                <w:color w:val="auto"/>
                <w:kern w:val="2"/>
                <w:szCs w:val="21"/>
                <w:highlight w:val="none"/>
                <w:lang w:eastAsia="zh-CN" w:bidi="ar"/>
              </w:rPr>
              <w:t>招标人</w:t>
            </w:r>
            <w:r>
              <w:rPr>
                <w:rFonts w:hint="eastAsia" w:ascii="宋体" w:hAnsi="宋体" w:eastAsia="宋体" w:cs="宋体"/>
                <w:color w:val="auto"/>
                <w:kern w:val="2"/>
                <w:szCs w:val="21"/>
                <w:highlight w:val="none"/>
                <w:lang w:bidi="ar"/>
              </w:rPr>
              <w:t>处理投诉及其他事务情况。</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51F3AA5">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10%</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4145EE9F">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1F646AC">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6A75051C">
        <w:tblPrEx>
          <w:tblCellMar>
            <w:top w:w="0" w:type="dxa"/>
            <w:left w:w="108" w:type="dxa"/>
            <w:bottom w:w="0" w:type="dxa"/>
            <w:right w:w="108" w:type="dxa"/>
          </w:tblCellMar>
        </w:tblPrEx>
        <w:trPr>
          <w:trHeight w:val="1110"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23AF8096">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4</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14:paraId="0B4A5977">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资料管理情况</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1B4FAACE">
            <w:pPr>
              <w:pStyle w:val="138"/>
              <w:keepNext w:val="0"/>
              <w:keepLines w:val="0"/>
              <w:widowControl/>
              <w:suppressLineNumbers w:val="0"/>
              <w:spacing w:before="0" w:beforeAutospacing="0" w:after="0" w:afterAutospacing="0" w:line="400" w:lineRule="exact"/>
              <w:ind w:left="0" w:right="0"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横向比较各代理机构发对各招标项目资料收集、移交、备案、保管等管理情况。</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758D935">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5%</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781B2547">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B36569C">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2EF77CD4">
        <w:tblPrEx>
          <w:tblCellMar>
            <w:top w:w="0" w:type="dxa"/>
            <w:left w:w="108" w:type="dxa"/>
            <w:bottom w:w="0" w:type="dxa"/>
            <w:right w:w="108" w:type="dxa"/>
          </w:tblCellMar>
        </w:tblPrEx>
        <w:trPr>
          <w:trHeight w:val="90" w:hRule="atLeast"/>
          <w:jc w:val="cent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0163CB9F">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5</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14:paraId="0444F6D2">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后续配套及咨询服务情况</w:t>
            </w:r>
          </w:p>
        </w:tc>
        <w:tc>
          <w:tcPr>
            <w:tcW w:w="2490" w:type="pct"/>
            <w:tcBorders>
              <w:top w:val="single" w:color="000000" w:sz="4" w:space="0"/>
              <w:left w:val="single" w:color="000000" w:sz="4" w:space="0"/>
              <w:bottom w:val="single" w:color="000000" w:sz="4" w:space="0"/>
              <w:right w:val="single" w:color="000000" w:sz="4" w:space="0"/>
            </w:tcBorders>
            <w:noWrap w:val="0"/>
            <w:vAlign w:val="center"/>
          </w:tcPr>
          <w:p w14:paraId="04C3B14A">
            <w:pPr>
              <w:pStyle w:val="138"/>
              <w:keepNext w:val="0"/>
              <w:keepLines w:val="0"/>
              <w:widowControl/>
              <w:suppressLineNumbers w:val="0"/>
              <w:spacing w:before="0" w:beforeAutospacing="0" w:after="0" w:afterAutospacing="0" w:line="400" w:lineRule="exact"/>
              <w:ind w:left="0" w:right="0"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横向比较各代理机构人员</w:t>
            </w:r>
            <w:r>
              <w:rPr>
                <w:rFonts w:hint="eastAsia" w:ascii="宋体" w:hAnsi="宋体" w:eastAsia="宋体" w:cs="宋体"/>
                <w:color w:val="auto"/>
                <w:szCs w:val="21"/>
                <w:highlight w:val="none"/>
              </w:rPr>
              <w:t>应用专业技术与技能为</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提供完成招标工作相关的咨询服务情况，包括向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宣传有关项目招投标的法律、行政法规和规章，解释合理的招标程序等。</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38FA2F6">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15%</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73565501">
            <w:pPr>
              <w:pStyle w:val="138"/>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14F36FB">
            <w:pPr>
              <w:pStyle w:val="138"/>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r>
      <w:tr w14:paraId="4BB47682">
        <w:tblPrEx>
          <w:tblCellMar>
            <w:top w:w="0" w:type="dxa"/>
            <w:left w:w="108" w:type="dxa"/>
            <w:bottom w:w="0" w:type="dxa"/>
            <w:right w:w="108" w:type="dxa"/>
          </w:tblCellMar>
        </w:tblPrEx>
        <w:trPr>
          <w:trHeight w:val="564" w:hRule="atLeast"/>
          <w:jc w:val="center"/>
        </w:trPr>
        <w:tc>
          <w:tcPr>
            <w:tcW w:w="1306" w:type="pct"/>
            <w:gridSpan w:val="3"/>
            <w:tcBorders>
              <w:top w:val="single" w:color="000000" w:sz="4" w:space="0"/>
              <w:left w:val="single" w:color="000000" w:sz="4" w:space="0"/>
              <w:bottom w:val="single" w:color="000000" w:sz="4" w:space="0"/>
              <w:right w:val="single" w:color="000000" w:sz="4" w:space="0"/>
            </w:tcBorders>
            <w:noWrap w:val="0"/>
            <w:vAlign w:val="center"/>
          </w:tcPr>
          <w:p w14:paraId="32F85545">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bidi="ar"/>
              </w:rPr>
              <w:t>综合得分</w:t>
            </w:r>
          </w:p>
        </w:tc>
        <w:tc>
          <w:tcPr>
            <w:tcW w:w="3693" w:type="pct"/>
            <w:gridSpan w:val="4"/>
            <w:tcBorders>
              <w:top w:val="single" w:color="000000" w:sz="4" w:space="0"/>
              <w:left w:val="single" w:color="000000" w:sz="4" w:space="0"/>
              <w:bottom w:val="single" w:color="000000" w:sz="4" w:space="0"/>
              <w:right w:val="single" w:color="000000" w:sz="4" w:space="0"/>
            </w:tcBorders>
            <w:noWrap w:val="0"/>
            <w:vAlign w:val="center"/>
          </w:tcPr>
          <w:p w14:paraId="1ED8B050">
            <w:pPr>
              <w:pStyle w:val="138"/>
              <w:keepNext w:val="0"/>
              <w:keepLines w:val="0"/>
              <w:widowControl/>
              <w:suppressLineNumbers w:val="0"/>
              <w:spacing w:before="0" w:beforeAutospacing="0" w:after="0" w:afterAutospacing="0" w:line="400" w:lineRule="exact"/>
              <w:ind w:left="0" w:right="0"/>
              <w:jc w:val="both"/>
              <w:textAlignment w:val="center"/>
              <w:rPr>
                <w:rFonts w:hint="eastAsia" w:ascii="宋体" w:hAnsi="宋体" w:eastAsia="宋体" w:cs="宋体"/>
                <w:color w:val="auto"/>
                <w:szCs w:val="21"/>
                <w:highlight w:val="none"/>
              </w:rPr>
            </w:pPr>
          </w:p>
        </w:tc>
      </w:tr>
    </w:tbl>
    <w:p w14:paraId="1F02DA9E">
      <w:pPr>
        <w:pStyle w:val="13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en-US"/>
        </w:rPr>
        <w:t>说明：1、</w:t>
      </w:r>
      <w:r>
        <w:rPr>
          <w:rFonts w:hint="eastAsia" w:ascii="宋体" w:hAnsi="宋体" w:eastAsia="宋体" w:cs="宋体"/>
          <w:color w:val="auto"/>
          <w:szCs w:val="21"/>
          <w:highlight w:val="none"/>
        </w:rPr>
        <w:t>本考核表最终解释权归</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有权调整相关考核方式。</w:t>
      </w:r>
    </w:p>
    <w:p w14:paraId="42888366">
      <w:pPr>
        <w:pStyle w:val="13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highlight w:val="none"/>
        </w:rPr>
      </w:pPr>
      <w:r>
        <w:rPr>
          <w:rFonts w:hint="eastAsia" w:ascii="宋体" w:hAnsi="宋体" w:eastAsia="宋体" w:cs="宋体"/>
          <w:color w:val="auto"/>
          <w:szCs w:val="21"/>
          <w:highlight w:val="none"/>
        </w:rPr>
        <w:t>2</w:t>
      </w:r>
      <w:r>
        <w:rPr>
          <w:rFonts w:hint="eastAsia" w:ascii="宋体" w:hAnsi="宋体" w:eastAsia="宋体" w:cs="宋体"/>
          <w:bCs w:val="0"/>
          <w:color w:val="auto"/>
          <w:szCs w:val="21"/>
          <w:highlight w:val="none"/>
          <w:lang w:eastAsia="zh-CN"/>
        </w:rPr>
        <w:t>、每项考核内容按优[100-90]分、良（90-80]分、中（80-70]分、合格（70-60]分、不合格（60-0]分，进行打分。</w:t>
      </w:r>
    </w:p>
    <w:p w14:paraId="76259917">
      <w:pPr>
        <w:widowControl/>
        <w:rPr>
          <w:rFonts w:hint="eastAsia" w:ascii="宋体" w:hAnsi="宋体" w:eastAsia="宋体" w:cs="宋体"/>
          <w:b/>
          <w:szCs w:val="21"/>
          <w:highlight w:val="none"/>
        </w:rPr>
      </w:pPr>
    </w:p>
    <w:p w14:paraId="5B86C136">
      <w:pP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215FE697">
      <w:pPr>
        <w:widowControl/>
        <w:rPr>
          <w:rFonts w:ascii="宋体" w:hAnsi="宋体" w:eastAsia="宋体" w:cs="宋体"/>
          <w:b/>
          <w:sz w:val="30"/>
          <w:szCs w:val="30"/>
          <w:highlight w:val="none"/>
        </w:rPr>
      </w:pPr>
      <w:r>
        <w:rPr>
          <w:rFonts w:hint="eastAsia" w:ascii="宋体" w:hAnsi="宋体" w:eastAsia="宋体" w:cs="宋体"/>
          <w:b/>
          <w:szCs w:val="21"/>
          <w:highlight w:val="none"/>
        </w:rPr>
        <w:t>附件4：廉洁协议书</w:t>
      </w:r>
    </w:p>
    <w:p w14:paraId="213B6A09">
      <w:pPr>
        <w:spacing w:line="480" w:lineRule="auto"/>
        <w:ind w:right="31" w:rightChars="15"/>
        <w:jc w:val="center"/>
        <w:rPr>
          <w:rFonts w:ascii="宋体" w:hAnsi="宋体" w:eastAsia="宋体" w:cs="宋体"/>
          <w:b/>
          <w:sz w:val="28"/>
          <w:szCs w:val="44"/>
          <w:highlight w:val="none"/>
        </w:rPr>
      </w:pPr>
      <w:r>
        <w:rPr>
          <w:rFonts w:hint="eastAsia" w:ascii="宋体" w:hAnsi="宋体" w:eastAsia="宋体" w:cs="宋体"/>
          <w:b/>
          <w:sz w:val="28"/>
          <w:szCs w:val="44"/>
          <w:highlight w:val="none"/>
        </w:rPr>
        <w:t>廉洁协议书</w:t>
      </w:r>
    </w:p>
    <w:p w14:paraId="64DF574B">
      <w:pPr>
        <w:spacing w:line="480" w:lineRule="auto"/>
        <w:rPr>
          <w:rFonts w:ascii="宋体" w:hAnsi="宋体" w:eastAsia="宋体" w:cs="宋体"/>
          <w:b/>
          <w:bCs/>
          <w:szCs w:val="21"/>
          <w:highlight w:val="none"/>
        </w:rPr>
      </w:pPr>
      <w:r>
        <w:rPr>
          <w:rFonts w:hint="eastAsia" w:ascii="宋体" w:hAnsi="宋体" w:eastAsia="宋体" w:cs="宋体"/>
          <w:b/>
          <w:bCs/>
          <w:szCs w:val="21"/>
          <w:highlight w:val="none"/>
        </w:rPr>
        <w:t>项目名称：</w:t>
      </w:r>
      <w:r>
        <w:rPr>
          <w:rFonts w:hint="eastAsia" w:ascii="宋体" w:hAnsi="宋体" w:eastAsia="宋体" w:cs="宋体"/>
          <w:b/>
          <w:bCs/>
          <w:szCs w:val="21"/>
          <w:highlight w:val="none"/>
          <w:lang w:eastAsia="zh-CN"/>
        </w:rPr>
        <w:t>东莞市水务环境投资控股集团有限公司</w:t>
      </w:r>
      <w:r>
        <w:rPr>
          <w:rFonts w:hint="eastAsia" w:ascii="宋体" w:hAnsi="宋体" w:eastAsia="宋体" w:cs="宋体"/>
          <w:b/>
          <w:bCs/>
          <w:szCs w:val="21"/>
          <w:highlight w:val="none"/>
          <w:lang w:val="en-US" w:eastAsia="zh-CN"/>
        </w:rPr>
        <w:t>招标</w:t>
      </w:r>
      <w:r>
        <w:rPr>
          <w:rFonts w:hint="eastAsia" w:ascii="宋体" w:hAnsi="宋体" w:eastAsia="宋体" w:cs="宋体"/>
          <w:b/>
          <w:bCs/>
          <w:szCs w:val="21"/>
          <w:highlight w:val="none"/>
        </w:rPr>
        <w:t>采购代理协议服务项目(招标编号：</w:t>
      </w:r>
      <w:r>
        <w:rPr>
          <w:rFonts w:hint="eastAsia" w:ascii="宋体" w:hAnsi="宋体" w:eastAsia="宋体" w:cs="宋体"/>
          <w:b/>
          <w:bCs/>
          <w:szCs w:val="21"/>
          <w:highlight w:val="none"/>
          <w:lang w:val="en-US" w:eastAsia="zh-CN"/>
        </w:rPr>
        <w:t xml:space="preserve">         </w:t>
      </w:r>
      <w:r>
        <w:rPr>
          <w:rFonts w:hint="eastAsia" w:ascii="宋体" w:hAnsi="宋体" w:eastAsia="宋体" w:cs="宋体"/>
          <w:b/>
          <w:bCs/>
          <w:szCs w:val="21"/>
          <w:highlight w:val="none"/>
        </w:rPr>
        <w:t>)</w:t>
      </w:r>
    </w:p>
    <w:p w14:paraId="55C398EC">
      <w:pPr>
        <w:autoSpaceDE w:val="0"/>
        <w:autoSpaceDN w:val="0"/>
        <w:adjustRightInd w:val="0"/>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甲方（业主单位）：</w:t>
      </w:r>
      <w:r>
        <w:rPr>
          <w:rFonts w:hint="eastAsia" w:ascii="宋体" w:hAnsi="宋体" w:eastAsia="宋体" w:cs="宋体"/>
          <w:szCs w:val="21"/>
          <w:highlight w:val="none"/>
          <w:lang w:eastAsia="zh-CN"/>
        </w:rPr>
        <w:t>东莞市水务环境投资控股集团有限公司</w:t>
      </w:r>
    </w:p>
    <w:p w14:paraId="0DCF1E03">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乙方：</w:t>
      </w:r>
    </w:p>
    <w:p w14:paraId="1489FBB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2FC0258">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第一条  甲乙双方的权利和义务</w:t>
      </w:r>
    </w:p>
    <w:p w14:paraId="141879FF">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（一）严格遵守党和国家有关法律法规等有关廉洁从业规定。</w:t>
      </w:r>
    </w:p>
    <w:p w14:paraId="4E82F442">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（二）严格执行本项目的合同文件，自觉按合同办事。</w:t>
      </w:r>
    </w:p>
    <w:p w14:paraId="48C99F21">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（三）双方的业务活动坚持公开、公正、诚信、透明的原则（除法律认定的商业秘密和合同文件另有规定之外）不得损害国家和集体利益，违反工程建设管理及其他法律法规规章制度。</w:t>
      </w:r>
    </w:p>
    <w:p w14:paraId="7AD8A5DB">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（四）建立健全廉洁制度，开展廉洁教育，设立廉洁监督公示牌，公布举报电话，监督并认真查处违法违纪行为。</w:t>
      </w:r>
    </w:p>
    <w:p w14:paraId="1165D455">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（五）发现对方在业务活动中有违反廉洁规定的行为，有及时提醒对方纠正的权利和义务。</w:t>
      </w:r>
    </w:p>
    <w:p w14:paraId="1007CC6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（六）发现对方严重违反本协议义务条款的行为，有向其上级有关部门举报、建议给予处理并要求告知处理结果的权利。</w:t>
      </w:r>
    </w:p>
    <w:p w14:paraId="22B5C108">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第二条  甲方的义务</w:t>
      </w:r>
    </w:p>
    <w:p w14:paraId="54F1D659">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（一）甲方及其工作人员不得索要或接受乙方的礼金、有价证券和贵重物品，不得在乙方报销任何应由甲方或个人支付的费用。</w:t>
      </w:r>
    </w:p>
    <w:p w14:paraId="1AAE96C6">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（二）甲方工作人员不得参加乙方安排的高消费宴请和娱乐活动；不得接受乙方提供的通讯工具、交通工具和高档办公用品。</w:t>
      </w:r>
    </w:p>
    <w:p w14:paraId="1B10AC8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（三）甲方及其工作人员不得要求或者接受乙方为其住房装修、婚丧嫁娶活动、家属或亲友的工作安排以及出国出境、旅游等提供方便。</w:t>
      </w:r>
    </w:p>
    <w:p w14:paraId="4874327A">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（四）甲方工作人员不得向乙方介绍其家属或者亲友（包括家属或亲友开办的公司企业）从事于本项目涉及的经济业务活动。</w:t>
      </w:r>
    </w:p>
    <w:p w14:paraId="3361675A">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（五）甲方及其工作人员不得以任何理由向乙方推荐分包单位，不得要求乙方购买合同规定外的材料和设备。</w:t>
      </w:r>
    </w:p>
    <w:p w14:paraId="5552AA0E">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（六）甲方及其工作人员不得进行违反廉洁规定的其他活动。</w:t>
      </w:r>
    </w:p>
    <w:p w14:paraId="54B965F5">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5566A87">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第三条  乙方义务</w:t>
      </w:r>
    </w:p>
    <w:p w14:paraId="4C59B453">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（一）乙方不得以任何理由向甲方及其工作人员馈赠礼金、有价证券、贵重礼品，或报销应由甲方单位或个人支付的任何费用。</w:t>
      </w:r>
    </w:p>
    <w:p w14:paraId="6E58F308">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（二）乙方及其工作人员不得以考察、参观、洽谈业务、签订合同等的借口邀请甲方及其工作人员参加高消费的宴请、娱乐和健身等活动。</w:t>
      </w:r>
    </w:p>
    <w:p w14:paraId="5564EAF0">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（三）乙方不得为甲方单位和个人购置或提供通讯工具、交通工具和高档办公用品等。</w:t>
      </w:r>
    </w:p>
    <w:p w14:paraId="164237FC">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（四）乙方及其工作人员不得为甲方工作人员购买、装修、维修私人住房、汽车等。</w:t>
      </w:r>
    </w:p>
    <w:p w14:paraId="5A0AB6BA">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（五）乙方及其工作人员不得为甲方工作人员的婚丧嫁娶、家属或亲友的工作安排，及出国出境提供方便以及报销任何私人消费的费用。</w:t>
      </w:r>
    </w:p>
    <w:p w14:paraId="51A96CD1">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（六）乙方及其工作人员不得进行影响甲方及其工作人员公正执行合同和履行职务的其他活动。</w:t>
      </w:r>
    </w:p>
    <w:p w14:paraId="694CBC74">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2504F90">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第四条  违约责任</w:t>
      </w:r>
    </w:p>
    <w:p w14:paraId="393FA449">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（一）甲方违反本协议第一、第二条给乙方单位造成经济损失的，应予以赔偿。</w:t>
      </w:r>
    </w:p>
    <w:p w14:paraId="2961C454">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（二）乙方违反本协议第一、第三条给甲方单位造成经济损失的，应予以赔偿。</w:t>
      </w:r>
    </w:p>
    <w:p w14:paraId="2ED7C16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第五条  监督检查</w:t>
      </w:r>
    </w:p>
    <w:p w14:paraId="52D099C4">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甲乙双方的廉洁从业行为由双方或双方上级单位的纪检、监察负责监督，对本协议履行情况进行检查。</w:t>
      </w:r>
    </w:p>
    <w:p w14:paraId="7CA227EC">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第六条  举报信访受理</w:t>
      </w:r>
    </w:p>
    <w:p w14:paraId="6C292375">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（一）举报受理部门: </w:t>
      </w:r>
      <w:r>
        <w:rPr>
          <w:rFonts w:hint="eastAsia" w:ascii="宋体" w:hAnsi="宋体" w:eastAsia="宋体" w:cs="宋体"/>
          <w:szCs w:val="21"/>
          <w:highlight w:val="none"/>
          <w:lang w:eastAsia="zh-CN"/>
        </w:rPr>
        <w:t>东莞市水务环境投资控股集团有限公司</w:t>
      </w:r>
      <w:r>
        <w:rPr>
          <w:rFonts w:hint="eastAsia" w:ascii="宋体" w:hAnsi="宋体" w:eastAsia="宋体" w:cs="宋体"/>
          <w:szCs w:val="21"/>
          <w:highlight w:val="none"/>
        </w:rPr>
        <w:t>纪检监察部。</w:t>
      </w:r>
    </w:p>
    <w:p w14:paraId="5268216C">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（二）举报电话: ( 0769 ) 23076092</w:t>
      </w:r>
    </w:p>
    <w:p w14:paraId="5D83DDFA">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（三）举报邮箱:jcs</w:t>
      </w:r>
      <w:r>
        <w:rPr>
          <w:rFonts w:hint="eastAsia" w:ascii="宋体" w:hAnsi="宋体" w:eastAsia="宋体" w:cs="宋体"/>
          <w:szCs w:val="21"/>
          <w:highlight w:val="none"/>
          <w:lang w:val="en-US" w:eastAsia="zh-CN"/>
        </w:rPr>
        <w:t>j</w:t>
      </w:r>
      <w:r>
        <w:rPr>
          <w:rFonts w:hint="eastAsia" w:ascii="宋体" w:hAnsi="宋体" w:eastAsia="宋体" w:cs="宋体"/>
          <w:szCs w:val="21"/>
          <w:highlight w:val="none"/>
        </w:rPr>
        <w:t>@dgsw</w:t>
      </w:r>
      <w:r>
        <w:rPr>
          <w:rFonts w:hint="eastAsia" w:ascii="宋体" w:hAnsi="宋体" w:eastAsia="宋体" w:cs="宋体"/>
          <w:szCs w:val="21"/>
          <w:highlight w:val="none"/>
          <w:lang w:val="en-US" w:eastAsia="zh-CN"/>
        </w:rPr>
        <w:t>j</w:t>
      </w:r>
      <w:r>
        <w:rPr>
          <w:rFonts w:hint="eastAsia" w:ascii="宋体" w:hAnsi="宋体" w:eastAsia="宋体" w:cs="宋体"/>
          <w:szCs w:val="21"/>
          <w:highlight w:val="none"/>
        </w:rPr>
        <w:t>t.cn.</w:t>
      </w:r>
    </w:p>
    <w:p w14:paraId="3B0BD854">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（四）信访地址: 广东省东莞市东城街道育华路 1 号</w:t>
      </w:r>
    </w:p>
    <w:p w14:paraId="158F4089">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第七条  其他</w:t>
      </w:r>
    </w:p>
    <w:p w14:paraId="38E5E443">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本协议有效期为甲乙双方签字并加盖公章之日起至该工程/采购项目竣工验收完毕，质保期/服务期满后止。本协议一式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份，甲、乙双方各执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份，甲、乙双方上级监督部门各执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p>
    <w:p w14:paraId="219CF732">
      <w:pPr>
        <w:autoSpaceDE w:val="0"/>
        <w:autoSpaceDN w:val="0"/>
        <w:adjustRightInd w:val="0"/>
        <w:spacing w:line="360" w:lineRule="auto"/>
        <w:rPr>
          <w:rFonts w:hint="eastAsia" w:ascii="宋体" w:hAnsi="宋体" w:eastAsia="宋体" w:cs="宋体"/>
          <w:szCs w:val="21"/>
          <w:highlight w:val="none"/>
        </w:rPr>
      </w:pPr>
    </w:p>
    <w:p w14:paraId="235D29E9">
      <w:pPr>
        <w:autoSpaceDE w:val="0"/>
        <w:autoSpaceDN w:val="0"/>
        <w:adjustRightInd w:val="0"/>
        <w:spacing w:line="360" w:lineRule="auto"/>
        <w:rPr>
          <w:rFonts w:hint="eastAsia" w:ascii="宋体" w:hAnsi="宋体" w:eastAsia="宋体" w:cs="宋体"/>
          <w:szCs w:val="21"/>
          <w:highlight w:val="none"/>
        </w:rPr>
      </w:pPr>
    </w:p>
    <w:p w14:paraId="671A3E31">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甲方（盖章）：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乙方（盖章）： </w:t>
      </w:r>
    </w:p>
    <w:p w14:paraId="2E5ACC48">
      <w:pPr>
        <w:autoSpaceDE w:val="0"/>
        <w:autoSpaceDN w:val="0"/>
        <w:adjustRightInd w:val="0"/>
        <w:spacing w:line="360" w:lineRule="auto"/>
        <w:rPr>
          <w:rFonts w:ascii="宋体" w:hAnsi="宋体" w:eastAsia="宋体" w:cs="宋体"/>
          <w:szCs w:val="21"/>
          <w:highlight w:val="none"/>
        </w:rPr>
      </w:pPr>
    </w:p>
    <w:p w14:paraId="5EC09FBD">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法定代表人：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法定代表人：</w:t>
      </w:r>
    </w:p>
    <w:p w14:paraId="6FD655D4">
      <w:pPr>
        <w:autoSpaceDE w:val="0"/>
        <w:autoSpaceDN w:val="0"/>
        <w:adjustRightInd w:val="0"/>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甲方代表：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乙方代表：</w:t>
      </w:r>
    </w:p>
    <w:p w14:paraId="3D97C120">
      <w:pPr>
        <w:autoSpaceDE w:val="0"/>
        <w:autoSpaceDN w:val="0"/>
        <w:adjustRightInd w:val="0"/>
        <w:spacing w:line="360" w:lineRule="auto"/>
        <w:rPr>
          <w:rFonts w:ascii="宋体" w:hAnsi="宋体" w:eastAsia="宋体" w:cs="宋体"/>
          <w:szCs w:val="21"/>
          <w:highlight w:val="none"/>
        </w:rPr>
      </w:pPr>
    </w:p>
    <w:p w14:paraId="064D5E48">
      <w:pPr>
        <w:autoSpaceDE w:val="0"/>
        <w:autoSpaceDN w:val="0"/>
        <w:adjustRightInd w:val="0"/>
        <w:snapToGrid w:val="0"/>
        <w:spacing w:beforeLines="0" w:afterLines="0" w:line="360" w:lineRule="auto"/>
        <w:jc w:val="center"/>
        <w:rPr>
          <w:rFonts w:hint="default" w:ascii="宋体" w:hAnsi="宋体" w:eastAsia="宋体"/>
          <w:color w:val="auto"/>
          <w:kern w:val="0"/>
          <w:sz w:val="24"/>
          <w:szCs w:val="24"/>
          <w:highlight w:val="none"/>
        </w:rPr>
      </w:pPr>
      <w:r>
        <w:rPr>
          <w:rFonts w:hint="eastAsia" w:ascii="宋体" w:hAnsi="宋体" w:eastAsia="宋体" w:cs="宋体"/>
          <w:szCs w:val="21"/>
          <w:highlight w:val="none"/>
        </w:rPr>
        <w:t>签订日期：   年  月  日             年  月  日</w:t>
      </w:r>
    </w:p>
    <w:p w14:paraId="0954E36C">
      <w:pPr>
        <w:widowControl/>
        <w:spacing w:line="240" w:lineRule="auto"/>
        <w:ind w:right="0" w:rightChars="0"/>
        <w:jc w:val="lef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br w:type="page"/>
      </w:r>
    </w:p>
    <w:p w14:paraId="70B3EB1D">
      <w:pPr>
        <w:widowControl/>
        <w:spacing w:line="240" w:lineRule="auto"/>
        <w:ind w:right="0" w:rightChars="0"/>
        <w:jc w:val="lef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附件5：保密和纪律协议</w:t>
      </w:r>
    </w:p>
    <w:p w14:paraId="6ADA4A33">
      <w:pPr>
        <w:spacing w:line="480" w:lineRule="auto"/>
        <w:ind w:right="31" w:rightChars="15"/>
        <w:jc w:val="center"/>
        <w:rPr>
          <w:rFonts w:hint="eastAsia" w:ascii="宋体" w:hAnsi="宋体" w:eastAsia="宋体" w:cs="宋体"/>
          <w:b/>
          <w:sz w:val="28"/>
          <w:szCs w:val="44"/>
          <w:highlight w:val="none"/>
          <w:lang w:val="en-US" w:eastAsia="zh-CN"/>
        </w:rPr>
      </w:pPr>
      <w:r>
        <w:rPr>
          <w:rFonts w:hint="eastAsia" w:ascii="宋体" w:hAnsi="宋体" w:eastAsia="宋体" w:cs="宋体"/>
          <w:b/>
          <w:sz w:val="28"/>
          <w:szCs w:val="44"/>
          <w:highlight w:val="none"/>
          <w:lang w:val="en-US" w:eastAsia="zh-CN"/>
        </w:rPr>
        <w:t>保密和纪律协议</w:t>
      </w:r>
    </w:p>
    <w:p w14:paraId="3992EF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14:paraId="549D71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甲方（采购方）：</w:t>
      </w:r>
      <w:r>
        <w:rPr>
          <w:rFonts w:hint="eastAsia" w:ascii="宋体" w:hAnsi="宋体" w:eastAsia="宋体" w:cs="宋体"/>
          <w:szCs w:val="21"/>
          <w:highlight w:val="none"/>
          <w:lang w:eastAsia="zh-CN"/>
        </w:rPr>
        <w:t>东莞市水务环境投资控股集团有限公司</w:t>
      </w:r>
    </w:p>
    <w:p w14:paraId="3E196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乙方（服务方）：</w:t>
      </w:r>
    </w:p>
    <w:p w14:paraId="63CD62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14:paraId="798C7F79">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甲乙双方于    年    月    日签订了《东莞市水务环境投资控股集团有限公司招标代理协议服务合同》合同（下称原合同），约定由乙方为甲方提供</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服务。</w:t>
      </w:r>
      <w:r>
        <w:rPr>
          <w:rFonts w:hint="eastAsia" w:ascii="宋体" w:hAnsi="宋体" w:eastAsia="宋体" w:cs="宋体"/>
          <w:b/>
          <w:bCs/>
          <w:sz w:val="21"/>
          <w:szCs w:val="21"/>
          <w:highlight w:val="none"/>
          <w:lang w:val="en-US" w:eastAsia="zh-CN"/>
        </w:rPr>
        <w:t>乙方在履行原合同过程中应当遵守保密义务，依据原合同条款内容，再次强调如下：</w:t>
      </w:r>
    </w:p>
    <w:p w14:paraId="654F20A2">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一、乙方应在依法维护社会公众利益的基础上，对招标人负责，勤勉认真、尽职尽责地履行全部代理服务工作和承诺的义务，并恪守职业道德、廉洁自律。</w:t>
      </w:r>
    </w:p>
    <w:p w14:paraId="5275A61C">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二、乙方应保守在代理服务过程中知悉的国家秘密、商业和技术秘密， 以及其他依据法律法规要求或招标代理合同约定应当保密的信息。</w:t>
      </w:r>
    </w:p>
    <w:p w14:paraId="2425008D">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乙方应对招标人委托的项目内容予以严格保密。在代理服务过程中，任何所涉及招标人商业或技术秘密的文件，未经招标人书面同意，乙方不能泄露给任何第三方；在完成代理项目后，未经招标人书面同意，乙方不得留存属于招标人商业或技术秘密等相关文件。</w:t>
      </w:r>
    </w:p>
    <w:p w14:paraId="40F6F680">
      <w:pPr>
        <w:keepNext w:val="0"/>
        <w:keepLines w:val="0"/>
        <w:pageBreakBefore w:val="0"/>
        <w:widowControl w:val="0"/>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乙方违反规定泄露应当保密的与招标活动有关的情况和资料或在所代理的招标项目中投标，代理投标或者向该项目投标人（供应商）提供投标（响应）咨询的，甲方有权单方终止其协议服务资格并解除服务合同且没收其履约担保。</w:t>
      </w:r>
    </w:p>
    <w:p w14:paraId="78E40D3C">
      <w:pPr>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28"/>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现经甲乙双方协商，就乙方在履行原合同过程中应当遵守的保密义务和纪律要求，补充约定如下：</w:t>
      </w:r>
    </w:p>
    <w:p w14:paraId="51E908D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在服务期间必须遵守《中华人民共和国保守国家秘密法》《中华人民共和国保守国家秘密法实施办法》《中华人民共和国反不正当竞争法》《中华人民共和国招标投标法》《中华人民共和国招标投标法实施条例》《中华人民共和国政府采购法》的要求。</w:t>
      </w:r>
    </w:p>
    <w:p w14:paraId="3AF3CE0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保证对其在服务过程中所获悉的属于甲方（甲方属下公司）的且无法从公开渠道获得的文件资料及项目信息予以严格保密并应采取相应的保密措施，保证其自身及工作人员不私自使用或向任何第三方泄露。未经甲方书面同意乙方不得擅自修改、复制或向任何第三人转让或用于原合同项目外的项目。</w:t>
      </w:r>
    </w:p>
    <w:p w14:paraId="5C8073A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乙方保证其在服务过程中不得以任何形式传播不利于项目采购人的信息以及项目非公开的信息。</w:t>
      </w:r>
    </w:p>
    <w:p w14:paraId="12DC103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保密期限自原合同生效之日起至保密信息（甲方文件、技术资料等）成为公开信息（即向公众披露或为公众所知悉）之日止，原合同的终止、解除、撤销或无效均不影响本补充协议对乙方的约束力。</w:t>
      </w:r>
    </w:p>
    <w:p w14:paraId="0119EE8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存在以下行为之一的，甲方有权单方面解除本合同，乙方接受甲方单方面解除原合同及没收乙方全部履约保证金，五年内（解除本合同起）乙方不得参与东莞市水务集团有限公司及其子（分）公司的招标采购代理业务：</w:t>
      </w:r>
    </w:p>
    <w:p w14:paraId="75E41B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（一）乙方被司法、仲裁机构或行政部门认定涉及参与围标串标的；</w:t>
      </w:r>
    </w:p>
    <w:p w14:paraId="60437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（二）乙方操纵或意图操纵本项目投标结果的；</w:t>
      </w:r>
    </w:p>
    <w:p w14:paraId="7B607A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（三）乙方与投标人合谋，损害甲方利益的；</w:t>
      </w:r>
    </w:p>
    <w:p w14:paraId="154119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（四）乙方向本项目投标人收取任何名义费用，收受投标人任何形式利益的；</w:t>
      </w:r>
    </w:p>
    <w:p w14:paraId="3C9E63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（五）乙方在本项目代理行为中获取不当利益的；</w:t>
      </w:r>
    </w:p>
    <w:p w14:paraId="2E4985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（六）乙方向无关人员透露本项目评标委员会成员信息的；</w:t>
      </w:r>
    </w:p>
    <w:p w14:paraId="5555AD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（七）乙方明示或暗示本项目评标委员会成员对投标人偏向性评分的；</w:t>
      </w:r>
    </w:p>
    <w:p w14:paraId="65190E9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乙方不得明示或暗示、劝退、排斥潜在投标人。</w:t>
      </w:r>
    </w:p>
    <w:p w14:paraId="3157544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乙方不得偏袒或歧视任何投标人或供应商。</w:t>
      </w:r>
    </w:p>
    <w:p w14:paraId="2DABB6D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乙方不得参与不正当竞争行为，包括但不限于贿赂、假冒、串通等行为。</w:t>
      </w:r>
    </w:p>
    <w:p w14:paraId="60361D2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乙方不得向供应商或投标人发表带有倾向性、误导性的言论。</w:t>
      </w:r>
    </w:p>
    <w:p w14:paraId="471D958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补充协议自双方签字盖章之日起生效。本补充协议作为原合同的补充，与原合同具有同等效力，乙方未履行本协议或违反本协议有关要求均应视为违约，应当承担原合同的违约责任。本补充协议未约定的，双方按照原合同履行。</w:t>
      </w:r>
    </w:p>
    <w:p w14:paraId="2C32434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8" w:firstLineChars="228"/>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本补充协议一式六份，双方各执三份，均具同等效力。</w:t>
      </w:r>
    </w:p>
    <w:p w14:paraId="09EA2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textAlignment w:val="auto"/>
        <w:rPr>
          <w:rFonts w:hint="eastAsia" w:ascii="宋体" w:hAnsi="宋体" w:eastAsia="宋体" w:cs="宋体"/>
          <w:sz w:val="21"/>
          <w:szCs w:val="21"/>
          <w:highlight w:val="none"/>
          <w:lang w:val="en-US" w:eastAsia="zh-CN"/>
        </w:rPr>
      </w:pPr>
    </w:p>
    <w:p w14:paraId="100A04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甲方：</w:t>
      </w:r>
    </w:p>
    <w:p w14:paraId="596A6B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w:t>
      </w:r>
    </w:p>
    <w:p w14:paraId="3AD81A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1"/>
          <w:szCs w:val="21"/>
          <w:highlight w:val="none"/>
          <w:lang w:val="en-US" w:eastAsia="zh-CN"/>
        </w:rPr>
      </w:pPr>
    </w:p>
    <w:p w14:paraId="02D3E4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w:t>
      </w:r>
    </w:p>
    <w:p w14:paraId="74F2B88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w:t>
      </w:r>
    </w:p>
    <w:p w14:paraId="2A1DEE1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14:paraId="451E33A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签订日期：</w:t>
      </w:r>
    </w:p>
    <w:p w14:paraId="6C88F21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highlight w:val="none"/>
        </w:rPr>
      </w:pPr>
      <w:r>
        <w:rPr>
          <w:rFonts w:hint="eastAsia" w:ascii="宋体" w:hAnsi="宋体" w:eastAsia="宋体" w:cs="宋体"/>
          <w:sz w:val="21"/>
          <w:szCs w:val="21"/>
          <w:highlight w:val="none"/>
          <w:lang w:val="en-US" w:eastAsia="zh-CN"/>
        </w:rPr>
        <w:t>签订地点：</w:t>
      </w:r>
    </w:p>
    <w:p w14:paraId="48E45661">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p>
    <w:p w14:paraId="110B14FA">
      <w:pPr>
        <w:autoSpaceDE w:val="0"/>
        <w:autoSpaceDN w:val="0"/>
        <w:adjustRightInd w:val="0"/>
        <w:snapToGrid w:val="0"/>
        <w:spacing w:beforeLines="0" w:afterLines="0" w:line="360" w:lineRule="auto"/>
        <w:jc w:val="both"/>
        <w:rPr>
          <w:rFonts w:hint="default" w:ascii="宋体" w:hAnsi="宋体" w:eastAsia="宋体"/>
          <w:b/>
          <w:bCs/>
          <w:color w:val="auto"/>
          <w:kern w:val="0"/>
          <w:sz w:val="24"/>
          <w:szCs w:val="24"/>
          <w:highlight w:val="none"/>
          <w:lang w:val="en-US" w:eastAsia="zh-CN"/>
        </w:rPr>
      </w:pPr>
      <w:r>
        <w:rPr>
          <w:rFonts w:hint="eastAsia" w:ascii="宋体" w:hAnsi="宋体" w:eastAsia="宋体"/>
          <w:b/>
          <w:bCs/>
          <w:color w:val="auto"/>
          <w:kern w:val="0"/>
          <w:sz w:val="24"/>
          <w:szCs w:val="24"/>
          <w:highlight w:val="none"/>
          <w:lang w:val="en-US" w:eastAsia="zh-CN"/>
        </w:rPr>
        <w:t>4-4 建设工程招标代理合同（标段二）</w:t>
      </w:r>
    </w:p>
    <w:p w14:paraId="37B545A0">
      <w:pPr>
        <w:spacing w:line="360" w:lineRule="auto"/>
        <w:ind w:firstLine="422" w:firstLineChars="200"/>
        <w:rPr>
          <w:rFonts w:hint="eastAsia" w:ascii="宋体" w:hAnsi="宋体" w:eastAsia="宋体" w:cs="宋体"/>
          <w:b/>
          <w:bCs/>
          <w:color w:val="auto"/>
          <w:highlight w:val="none"/>
        </w:rPr>
      </w:pPr>
    </w:p>
    <w:p w14:paraId="343621EB">
      <w:pPr>
        <w:spacing w:line="360" w:lineRule="auto"/>
        <w:ind w:firstLine="422" w:firstLineChars="200"/>
        <w:rPr>
          <w:rFonts w:ascii="宋体" w:hAnsi="宋体" w:eastAsia="宋体" w:cs="宋体"/>
          <w:b/>
          <w:bCs/>
          <w:color w:val="auto"/>
          <w:highlight w:val="none"/>
        </w:rPr>
      </w:pPr>
      <w:r>
        <w:rPr>
          <w:rFonts w:hint="eastAsia" w:ascii="宋体" w:hAnsi="宋体" w:eastAsia="宋体" w:cs="宋体"/>
          <w:b/>
          <w:bCs/>
          <w:color w:val="auto"/>
          <w:highlight w:val="none"/>
        </w:rPr>
        <w:t>GF-2005-0215</w:t>
      </w:r>
    </w:p>
    <w:p w14:paraId="4A926937">
      <w:pPr>
        <w:spacing w:line="360" w:lineRule="auto"/>
        <w:jc w:val="center"/>
        <w:rPr>
          <w:rFonts w:hint="eastAsia" w:ascii="宋体" w:hAnsi="宋体" w:eastAsia="宋体" w:cs="宋体"/>
          <w:b/>
          <w:bCs/>
          <w:color w:val="auto"/>
          <w:sz w:val="72"/>
          <w:highlight w:val="none"/>
        </w:rPr>
      </w:pPr>
    </w:p>
    <w:p w14:paraId="3E8650BC">
      <w:pPr>
        <w:spacing w:line="360" w:lineRule="auto"/>
        <w:jc w:val="center"/>
        <w:rPr>
          <w:rFonts w:hint="eastAsia" w:ascii="宋体" w:hAnsi="宋体" w:eastAsia="宋体" w:cs="宋体"/>
          <w:b/>
          <w:bCs/>
          <w:color w:val="auto"/>
          <w:sz w:val="72"/>
          <w:highlight w:val="none"/>
        </w:rPr>
      </w:pPr>
    </w:p>
    <w:p w14:paraId="6420CA54">
      <w:pPr>
        <w:spacing w:line="360" w:lineRule="auto"/>
        <w:jc w:val="center"/>
        <w:rPr>
          <w:rFonts w:ascii="宋体" w:hAnsi="宋体" w:eastAsia="宋体" w:cs="宋体"/>
          <w:b/>
          <w:bCs/>
          <w:color w:val="auto"/>
          <w:sz w:val="72"/>
          <w:highlight w:val="none"/>
        </w:rPr>
      </w:pPr>
      <w:r>
        <w:rPr>
          <w:rFonts w:hint="eastAsia" w:ascii="宋体" w:hAnsi="宋体" w:eastAsia="宋体" w:cs="宋体"/>
          <w:b/>
          <w:bCs/>
          <w:color w:val="auto"/>
          <w:sz w:val="72"/>
          <w:highlight w:val="none"/>
        </w:rPr>
        <w:t>建设工程招标代理合同</w:t>
      </w:r>
    </w:p>
    <w:p w14:paraId="3C8A2FD1">
      <w:pPr>
        <w:spacing w:line="360" w:lineRule="auto"/>
        <w:ind w:firstLine="480"/>
        <w:rPr>
          <w:rFonts w:ascii="宋体" w:hAnsi="宋体" w:eastAsia="宋体" w:cs="宋体"/>
          <w:b/>
          <w:bCs/>
          <w:color w:val="auto"/>
          <w:highlight w:val="none"/>
        </w:rPr>
      </w:pPr>
    </w:p>
    <w:p w14:paraId="79617D10">
      <w:pPr>
        <w:spacing w:line="360" w:lineRule="auto"/>
        <w:ind w:firstLine="422" w:firstLineChars="200"/>
        <w:rPr>
          <w:rFonts w:ascii="宋体" w:hAnsi="宋体" w:eastAsia="宋体" w:cs="宋体"/>
          <w:b/>
          <w:bCs/>
          <w:color w:val="auto"/>
          <w:highlight w:val="none"/>
        </w:rPr>
      </w:pPr>
    </w:p>
    <w:p w14:paraId="51EF9B4C">
      <w:pPr>
        <w:spacing w:line="360" w:lineRule="auto"/>
        <w:ind w:firstLine="422" w:firstLineChars="200"/>
        <w:rPr>
          <w:rFonts w:ascii="宋体" w:hAnsi="宋体" w:eastAsia="宋体" w:cs="宋体"/>
          <w:b/>
          <w:bCs/>
          <w:color w:val="auto"/>
          <w:highlight w:val="none"/>
        </w:rPr>
      </w:pPr>
    </w:p>
    <w:p w14:paraId="70986B86">
      <w:pPr>
        <w:spacing w:line="360" w:lineRule="auto"/>
        <w:ind w:firstLine="422" w:firstLineChars="200"/>
        <w:rPr>
          <w:rFonts w:ascii="宋体" w:hAnsi="宋体" w:eastAsia="宋体" w:cs="宋体"/>
          <w:b/>
          <w:bCs/>
          <w:color w:val="auto"/>
          <w:highlight w:val="none"/>
        </w:rPr>
      </w:pPr>
    </w:p>
    <w:p w14:paraId="0F8F1812">
      <w:pPr>
        <w:spacing w:line="360" w:lineRule="auto"/>
        <w:ind w:firstLine="480"/>
        <w:jc w:val="right"/>
        <w:rPr>
          <w:rFonts w:ascii="宋体" w:hAnsi="宋体" w:eastAsia="宋体" w:cs="宋体"/>
          <w:b/>
          <w:bCs/>
          <w:color w:val="auto"/>
          <w:highlight w:val="none"/>
        </w:rPr>
      </w:pPr>
    </w:p>
    <w:p w14:paraId="3C5029D7">
      <w:pPr>
        <w:spacing w:line="360" w:lineRule="auto"/>
        <w:ind w:left="2390" w:leftChars="413" w:hanging="1523" w:hangingChars="544"/>
        <w:rPr>
          <w:rFonts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工程名称：</w:t>
      </w:r>
      <w:r>
        <w:rPr>
          <w:rFonts w:hint="eastAsia" w:ascii="宋体" w:hAnsi="宋体" w:eastAsia="宋体" w:cs="宋体"/>
          <w:bCs/>
          <w:color w:val="auto"/>
          <w:sz w:val="28"/>
          <w:szCs w:val="28"/>
          <w:highlight w:val="none"/>
          <w:u w:val="single"/>
        </w:rPr>
        <w:t xml:space="preserve">                          </w:t>
      </w:r>
    </w:p>
    <w:p w14:paraId="0E1F2B5B">
      <w:pPr>
        <w:spacing w:line="360" w:lineRule="auto"/>
        <w:ind w:left="1830" w:leftChars="413" w:hanging="963" w:hangingChars="344"/>
        <w:rPr>
          <w:rFonts w:ascii="宋体" w:hAnsi="宋体" w:eastAsia="宋体" w:cs="宋体"/>
          <w:bCs/>
          <w:color w:val="auto"/>
          <w:sz w:val="28"/>
          <w:szCs w:val="28"/>
          <w:highlight w:val="none"/>
        </w:rPr>
      </w:pPr>
    </w:p>
    <w:p w14:paraId="0AD3506E">
      <w:pPr>
        <w:spacing w:line="360" w:lineRule="auto"/>
        <w:ind w:left="1830" w:leftChars="413" w:hanging="963" w:hangingChars="344"/>
        <w:rPr>
          <w:rFonts w:ascii="宋体" w:hAnsi="宋体" w:eastAsia="宋体" w:cs="宋体"/>
          <w:color w:val="auto"/>
          <w:sz w:val="28"/>
          <w:szCs w:val="28"/>
          <w:highlight w:val="none"/>
          <w:u w:val="single"/>
        </w:rPr>
      </w:pPr>
      <w:r>
        <w:rPr>
          <w:rFonts w:hint="eastAsia" w:ascii="宋体" w:hAnsi="宋体" w:eastAsia="宋体" w:cs="宋体"/>
          <w:bCs/>
          <w:color w:val="auto"/>
          <w:sz w:val="28"/>
          <w:szCs w:val="28"/>
          <w:highlight w:val="none"/>
        </w:rPr>
        <w:t>委 托 人：</w:t>
      </w:r>
      <w:r>
        <w:rPr>
          <w:rFonts w:hint="eastAsia" w:ascii="宋体" w:hAnsi="宋体" w:eastAsia="宋体" w:cs="宋体"/>
          <w:bCs/>
          <w:color w:val="auto"/>
          <w:sz w:val="28"/>
          <w:szCs w:val="28"/>
          <w:highlight w:val="none"/>
          <w:u w:val="single"/>
        </w:rPr>
        <w:t xml:space="preserve">                           </w:t>
      </w:r>
    </w:p>
    <w:p w14:paraId="6B80CD65">
      <w:pPr>
        <w:spacing w:line="360" w:lineRule="auto"/>
        <w:ind w:left="1830" w:leftChars="413" w:hanging="963" w:hangingChars="344"/>
        <w:rPr>
          <w:rFonts w:ascii="宋体" w:hAnsi="宋体" w:eastAsia="宋体" w:cs="宋体"/>
          <w:bCs/>
          <w:color w:val="auto"/>
          <w:sz w:val="28"/>
          <w:szCs w:val="28"/>
          <w:highlight w:val="none"/>
        </w:rPr>
      </w:pPr>
    </w:p>
    <w:p w14:paraId="1D2DEB0A">
      <w:pPr>
        <w:spacing w:line="360" w:lineRule="auto"/>
        <w:ind w:left="1830" w:leftChars="413" w:hanging="963" w:hangingChars="344"/>
        <w:rPr>
          <w:rFonts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受 托 人：</w:t>
      </w:r>
      <w:r>
        <w:rPr>
          <w:rFonts w:hint="eastAsia" w:ascii="宋体" w:hAnsi="宋体" w:eastAsia="宋体" w:cs="宋体"/>
          <w:bCs/>
          <w:color w:val="auto"/>
          <w:sz w:val="28"/>
          <w:szCs w:val="28"/>
          <w:highlight w:val="none"/>
          <w:u w:val="single"/>
        </w:rPr>
        <w:t xml:space="preserve">                           </w:t>
      </w:r>
    </w:p>
    <w:p w14:paraId="6880E2CC">
      <w:pPr>
        <w:spacing w:line="360" w:lineRule="auto"/>
        <w:ind w:firstLine="643" w:firstLineChars="200"/>
        <w:rPr>
          <w:rFonts w:ascii="宋体" w:hAnsi="宋体" w:eastAsia="宋体" w:cs="宋体"/>
          <w:b/>
          <w:bCs/>
          <w:color w:val="auto"/>
          <w:sz w:val="32"/>
          <w:highlight w:val="none"/>
        </w:rPr>
      </w:pPr>
    </w:p>
    <w:tbl>
      <w:tblPr>
        <w:tblStyle w:val="44"/>
        <w:tblW w:w="0" w:type="auto"/>
        <w:tblInd w:w="0" w:type="dxa"/>
        <w:tblLayout w:type="fixed"/>
        <w:tblCellMar>
          <w:top w:w="0" w:type="dxa"/>
          <w:left w:w="108" w:type="dxa"/>
          <w:bottom w:w="0" w:type="dxa"/>
          <w:right w:w="108" w:type="dxa"/>
        </w:tblCellMar>
      </w:tblPr>
      <w:tblGrid>
        <w:gridCol w:w="5868"/>
        <w:gridCol w:w="3702"/>
      </w:tblGrid>
      <w:tr w14:paraId="156588DF">
        <w:tblPrEx>
          <w:tblCellMar>
            <w:top w:w="0" w:type="dxa"/>
            <w:left w:w="108" w:type="dxa"/>
            <w:bottom w:w="0" w:type="dxa"/>
            <w:right w:w="108" w:type="dxa"/>
          </w:tblCellMar>
        </w:tblPrEx>
        <w:trPr>
          <w:trHeight w:val="1260" w:hRule="atLeast"/>
        </w:trPr>
        <w:tc>
          <w:tcPr>
            <w:tcW w:w="5868" w:type="dxa"/>
          </w:tcPr>
          <w:p w14:paraId="5F7EE09B">
            <w:pPr>
              <w:keepNext w:val="0"/>
              <w:keepLines w:val="0"/>
              <w:suppressLineNumbers w:val="0"/>
              <w:spacing w:before="0" w:beforeAutospacing="0" w:after="0" w:afterAutospacing="0" w:line="360" w:lineRule="auto"/>
              <w:ind w:left="0" w:right="0"/>
              <w:jc w:val="right"/>
              <w:rPr>
                <w:rFonts w:hint="default" w:ascii="宋体" w:hAnsi="宋体" w:eastAsia="宋体" w:cs="宋体"/>
                <w:color w:val="auto"/>
                <w:sz w:val="32"/>
                <w:highlight w:val="none"/>
              </w:rPr>
            </w:pPr>
            <w:r>
              <w:rPr>
                <w:rFonts w:hint="eastAsia" w:ascii="宋体" w:hAnsi="宋体" w:eastAsia="宋体" w:cs="宋体"/>
                <w:color w:val="auto"/>
                <w:sz w:val="32"/>
                <w:highlight w:val="none"/>
              </w:rPr>
              <w:t>中华人民共和国建设部</w:t>
            </w:r>
          </w:p>
          <w:p w14:paraId="2A217DA7">
            <w:pPr>
              <w:keepNext w:val="0"/>
              <w:keepLines w:val="0"/>
              <w:suppressLineNumbers w:val="0"/>
              <w:spacing w:before="0" w:beforeAutospacing="0" w:after="0" w:afterAutospacing="0" w:line="360" w:lineRule="auto"/>
              <w:ind w:left="0" w:right="0"/>
              <w:jc w:val="right"/>
              <w:rPr>
                <w:rFonts w:hint="default" w:ascii="宋体" w:hAnsi="宋体" w:eastAsia="宋体" w:cs="宋体"/>
                <w:color w:val="auto"/>
                <w:sz w:val="32"/>
                <w:highlight w:val="none"/>
              </w:rPr>
            </w:pPr>
            <w:r>
              <w:rPr>
                <w:rFonts w:hint="eastAsia" w:ascii="宋体" w:hAnsi="宋体" w:eastAsia="宋体" w:cs="宋体"/>
                <w:color w:val="auto"/>
                <w:sz w:val="32"/>
                <w:highlight w:val="none"/>
              </w:rPr>
              <w:t>国家工商行政管理总局</w:t>
            </w:r>
          </w:p>
        </w:tc>
        <w:tc>
          <w:tcPr>
            <w:tcW w:w="3702" w:type="dxa"/>
            <w:vAlign w:val="center"/>
          </w:tcPr>
          <w:p w14:paraId="18D936E9">
            <w:pPr>
              <w:keepNext w:val="0"/>
              <w:keepLines w:val="0"/>
              <w:suppressLineNumbers w:val="0"/>
              <w:spacing w:before="0" w:beforeAutospacing="0" w:after="0" w:afterAutospacing="0" w:line="360" w:lineRule="auto"/>
              <w:ind w:left="0" w:right="0"/>
              <w:rPr>
                <w:rFonts w:hint="default" w:ascii="宋体" w:hAnsi="宋体" w:eastAsia="宋体" w:cs="宋体"/>
                <w:color w:val="auto"/>
                <w:sz w:val="32"/>
                <w:highlight w:val="none"/>
              </w:rPr>
            </w:pPr>
            <w:r>
              <w:rPr>
                <w:rFonts w:hint="eastAsia" w:ascii="宋体" w:hAnsi="宋体" w:eastAsia="宋体" w:cs="宋体"/>
                <w:color w:val="auto"/>
                <w:sz w:val="32"/>
                <w:highlight w:val="none"/>
              </w:rPr>
              <w:t>制定</w:t>
            </w:r>
          </w:p>
        </w:tc>
      </w:tr>
    </w:tbl>
    <w:p w14:paraId="2A5EE4BA">
      <w:pPr>
        <w:widowControl/>
        <w:jc w:val="center"/>
        <w:rPr>
          <w:rFonts w:ascii="宋体" w:hAnsi="宋体" w:eastAsia="宋体" w:cs="宋体"/>
          <w:color w:val="auto"/>
          <w:sz w:val="32"/>
          <w:szCs w:val="32"/>
          <w:highlight w:val="none"/>
        </w:rPr>
      </w:pPr>
      <w:r>
        <w:rPr>
          <w:rFonts w:hint="eastAsia" w:ascii="宋体" w:hAnsi="宋体" w:eastAsia="宋体" w:cs="宋体"/>
          <w:b/>
          <w:bCs/>
          <w:color w:val="auto"/>
          <w:sz w:val="32"/>
          <w:highlight w:val="none"/>
        </w:rPr>
        <w:br w:type="page"/>
      </w:r>
      <w:r>
        <w:rPr>
          <w:rFonts w:hint="eastAsia" w:ascii="宋体" w:hAnsi="宋体" w:eastAsia="宋体" w:cs="宋体"/>
          <w:color w:val="auto"/>
          <w:sz w:val="32"/>
          <w:szCs w:val="32"/>
          <w:highlight w:val="none"/>
        </w:rPr>
        <w:t>建设工程招标代理合同</w:t>
      </w:r>
    </w:p>
    <w:p w14:paraId="015BDEAB">
      <w:pPr>
        <w:spacing w:line="540" w:lineRule="exact"/>
        <w:ind w:firstLine="420" w:firstLineChars="200"/>
        <w:rPr>
          <w:rFonts w:ascii="宋体" w:hAnsi="宋体" w:eastAsia="宋体" w:cs="宋体"/>
          <w:color w:val="auto"/>
          <w:szCs w:val="21"/>
          <w:highlight w:val="none"/>
          <w:vertAlign w:val="subscript"/>
        </w:rPr>
      </w:pPr>
      <w:r>
        <w:rPr>
          <w:rFonts w:hint="eastAsia" w:ascii="宋体" w:hAnsi="宋体" w:eastAsia="宋体" w:cs="宋体"/>
          <w:color w:val="auto"/>
          <w:szCs w:val="21"/>
          <w:highlight w:val="none"/>
        </w:rPr>
        <w:t>委托人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以下简称甲方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vertAlign w:val="subscript"/>
        </w:rPr>
        <w:t xml:space="preserve">    </w:t>
      </w:r>
    </w:p>
    <w:p w14:paraId="24940702">
      <w:pPr>
        <w:spacing w:line="5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受托人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以下简称乙方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C97EB0C">
      <w:pPr>
        <w:spacing w:line="54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依照《中华人民共和国民法典》、《中华人民共和国招标投标法》及国家的有关法律、行政法规，遵循平等、自愿、公平和诚实信用的原则，双方就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招标代理事项协商一致，订立本合同。</w:t>
      </w:r>
    </w:p>
    <w:p w14:paraId="5AF706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一、工程概况</w:t>
      </w:r>
    </w:p>
    <w:p w14:paraId="7A90DEF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u w:val="single"/>
        </w:rPr>
        <w:t xml:space="preserve">                            </w:t>
      </w:r>
    </w:p>
    <w:p w14:paraId="1C2D4E0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    点：</w:t>
      </w:r>
      <w:r>
        <w:rPr>
          <w:rFonts w:hint="eastAsia" w:ascii="宋体" w:hAnsi="宋体" w:eastAsia="宋体" w:cs="宋体"/>
          <w:color w:val="auto"/>
          <w:szCs w:val="21"/>
          <w:highlight w:val="none"/>
          <w:u w:val="single"/>
        </w:rPr>
        <w:t xml:space="preserve">                             </w:t>
      </w:r>
    </w:p>
    <w:p w14:paraId="7C90B020">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规    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67F6F9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招标规模：</w:t>
      </w:r>
      <w:r>
        <w:rPr>
          <w:rFonts w:hint="eastAsia" w:ascii="宋体" w:hAnsi="宋体" w:eastAsia="宋体" w:cs="宋体"/>
          <w:color w:val="auto"/>
          <w:szCs w:val="21"/>
          <w:highlight w:val="none"/>
          <w:u w:val="single"/>
        </w:rPr>
        <w:t xml:space="preserve">                             </w:t>
      </w:r>
    </w:p>
    <w:p w14:paraId="60E981E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总投资额：</w:t>
      </w:r>
      <w:r>
        <w:rPr>
          <w:rFonts w:hint="eastAsia" w:ascii="宋体" w:hAnsi="宋体" w:eastAsia="宋体" w:cs="宋体"/>
          <w:color w:val="auto"/>
          <w:szCs w:val="21"/>
          <w:highlight w:val="none"/>
          <w:u w:val="single"/>
        </w:rPr>
        <w:t xml:space="preserve">                            </w:t>
      </w:r>
    </w:p>
    <w:p w14:paraId="475CDE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二、委托人委托受托人为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的招标代理机构，承担本工程的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招标代理工作。</w:t>
      </w:r>
    </w:p>
    <w:p w14:paraId="4CA781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三、合同价款</w:t>
      </w:r>
    </w:p>
    <w:p w14:paraId="771969E0">
      <w:pPr>
        <w:spacing w:line="360" w:lineRule="auto"/>
        <w:ind w:firstLine="420" w:firstLineChars="200"/>
        <w:rPr>
          <w:rFonts w:ascii="宋体" w:hAnsi="宋体" w:eastAsia="宋体" w:cs="宋体"/>
          <w:color w:val="auto"/>
          <w:szCs w:val="21"/>
          <w:highlight w:val="none"/>
          <w:vertAlign w:val="subscript"/>
        </w:rPr>
      </w:pPr>
      <w:r>
        <w:rPr>
          <w:rFonts w:hint="eastAsia" w:ascii="宋体" w:hAnsi="宋体" w:eastAsia="宋体" w:cs="宋体"/>
          <w:color w:val="auto"/>
          <w:szCs w:val="21"/>
          <w:highlight w:val="none"/>
        </w:rPr>
        <w:t>代理报酬暂以经批复的概算为计费额，按本合同专用条款约定的标准和方法暂计为人民币【   】元，最终结算价以招标项目的中标价为计费额按本合同专用条款约定的标准和方法计算。如最终结算价少于暂定价款的，受托人不得向委托人或项目业主主张任何权利、补偿或赔偿。</w:t>
      </w:r>
    </w:p>
    <w:p w14:paraId="0DDE68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四、组成本合同的文件：</w:t>
      </w:r>
    </w:p>
    <w:p w14:paraId="4FCE1C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1、本合同履行过程中双方以书面形式签署的补充和修正文件；</w:t>
      </w:r>
    </w:p>
    <w:p w14:paraId="1B1A13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2、本合同协议书；</w:t>
      </w:r>
    </w:p>
    <w:p w14:paraId="54A620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3、本合同专用条款；</w:t>
      </w:r>
    </w:p>
    <w:p w14:paraId="1D5F7F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4、本合同通用条款。</w:t>
      </w:r>
    </w:p>
    <w:p w14:paraId="17889A0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五、本协议书中的有关词语定义与本合同第一部分《通用条款》中分别赋予它们的定义相同。</w:t>
      </w:r>
    </w:p>
    <w:p w14:paraId="66D8F3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六、受托人向委托人承诺，按照本合同的约定，承担本合同条款中约定范围内的代理业务。</w:t>
      </w:r>
    </w:p>
    <w:p w14:paraId="71DCCC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七、委托人向受托人承诺，按照本合同的约定，确保代理报酬的支付。</w:t>
      </w:r>
    </w:p>
    <w:p w14:paraId="116F388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八、合同订立</w:t>
      </w:r>
    </w:p>
    <w:p w14:paraId="7E886A0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合同订立时间： </w:t>
      </w:r>
      <w:r>
        <w:rPr>
          <w:rFonts w:hint="eastAsia" w:ascii="宋体" w:hAnsi="宋体" w:eastAsia="宋体" w:cs="宋体"/>
          <w:color w:val="auto"/>
          <w:szCs w:val="21"/>
          <w:highlight w:val="none"/>
          <w:u w:val="single"/>
        </w:rPr>
        <w:t xml:space="preserve">     年     月     日</w:t>
      </w:r>
    </w:p>
    <w:p w14:paraId="778C24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 xml:space="preserve"> </w:t>
      </w:r>
    </w:p>
    <w:p w14:paraId="734DA2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九、合同生效</w:t>
      </w:r>
    </w:p>
    <w:p w14:paraId="016456A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本合同双方约定自</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后生效。</w:t>
      </w:r>
    </w:p>
    <w:tbl>
      <w:tblPr>
        <w:tblStyle w:val="44"/>
        <w:tblW w:w="4999" w:type="pct"/>
        <w:tblInd w:w="0" w:type="dxa"/>
        <w:tblLayout w:type="autofit"/>
        <w:tblCellMar>
          <w:top w:w="0" w:type="dxa"/>
          <w:left w:w="108" w:type="dxa"/>
          <w:bottom w:w="0" w:type="dxa"/>
          <w:right w:w="108" w:type="dxa"/>
        </w:tblCellMar>
      </w:tblPr>
      <w:tblGrid>
        <w:gridCol w:w="1854"/>
        <w:gridCol w:w="3289"/>
        <w:gridCol w:w="1978"/>
        <w:gridCol w:w="3247"/>
      </w:tblGrid>
      <w:tr w14:paraId="450FE0A2">
        <w:tblPrEx>
          <w:tblCellMar>
            <w:top w:w="0" w:type="dxa"/>
            <w:left w:w="108" w:type="dxa"/>
            <w:bottom w:w="0" w:type="dxa"/>
            <w:right w:w="108" w:type="dxa"/>
          </w:tblCellMar>
        </w:tblPrEx>
        <w:tc>
          <w:tcPr>
            <w:tcW w:w="2480" w:type="pct"/>
            <w:gridSpan w:val="2"/>
          </w:tcPr>
          <w:p w14:paraId="6A8E2A88">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rPr>
            </w:pPr>
            <w:r>
              <w:rPr>
                <w:rFonts w:hint="eastAsia" w:ascii="宋体" w:hAnsi="宋体" w:eastAsia="宋体" w:cs="宋体"/>
                <w:color w:val="auto"/>
                <w:spacing w:val="22"/>
                <w:szCs w:val="21"/>
                <w:highlight w:val="none"/>
                <w:lang w:val="zh-CN"/>
              </w:rPr>
              <w:t>委　托　人</w:t>
            </w:r>
            <w:r>
              <w:rPr>
                <w:rFonts w:hint="eastAsia" w:ascii="宋体" w:hAnsi="宋体" w:eastAsia="宋体" w:cs="宋体"/>
                <w:color w:val="auto"/>
                <w:spacing w:val="22"/>
                <w:szCs w:val="21"/>
                <w:highlight w:val="none"/>
              </w:rPr>
              <w:t>：（</w:t>
            </w:r>
            <w:r>
              <w:rPr>
                <w:rFonts w:hint="eastAsia" w:ascii="宋体" w:hAnsi="宋体" w:eastAsia="宋体" w:cs="宋体"/>
                <w:color w:val="auto"/>
                <w:spacing w:val="22"/>
                <w:szCs w:val="21"/>
                <w:highlight w:val="none"/>
                <w:lang w:val="zh-CN"/>
              </w:rPr>
              <w:t>盖章</w:t>
            </w:r>
            <w:r>
              <w:rPr>
                <w:rFonts w:hint="eastAsia" w:ascii="宋体" w:hAnsi="宋体" w:eastAsia="宋体" w:cs="宋体"/>
                <w:color w:val="auto"/>
                <w:spacing w:val="22"/>
                <w:szCs w:val="21"/>
                <w:highlight w:val="none"/>
              </w:rPr>
              <w:t>）</w:t>
            </w:r>
          </w:p>
        </w:tc>
        <w:tc>
          <w:tcPr>
            <w:tcW w:w="2519" w:type="pct"/>
            <w:gridSpan w:val="2"/>
          </w:tcPr>
          <w:p w14:paraId="3E44417A">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rPr>
            </w:pPr>
            <w:r>
              <w:rPr>
                <w:rFonts w:hint="eastAsia" w:ascii="宋体" w:hAnsi="宋体" w:eastAsia="宋体" w:cs="宋体"/>
                <w:color w:val="auto"/>
                <w:szCs w:val="21"/>
                <w:highlight w:val="none"/>
              </w:rPr>
              <w:t>受托人</w:t>
            </w:r>
            <w:r>
              <w:rPr>
                <w:rFonts w:hint="eastAsia" w:ascii="宋体" w:hAnsi="宋体" w:eastAsia="宋体" w:cs="宋体"/>
                <w:color w:val="auto"/>
                <w:spacing w:val="22"/>
                <w:szCs w:val="21"/>
                <w:highlight w:val="none"/>
              </w:rPr>
              <w:t>：（</w:t>
            </w:r>
            <w:r>
              <w:rPr>
                <w:rFonts w:hint="eastAsia" w:ascii="宋体" w:hAnsi="宋体" w:eastAsia="宋体" w:cs="宋体"/>
                <w:color w:val="auto"/>
                <w:spacing w:val="22"/>
                <w:szCs w:val="21"/>
                <w:highlight w:val="none"/>
                <w:lang w:val="zh-CN"/>
              </w:rPr>
              <w:t>盖章</w:t>
            </w:r>
            <w:r>
              <w:rPr>
                <w:rFonts w:hint="eastAsia" w:ascii="宋体" w:hAnsi="宋体" w:eastAsia="宋体" w:cs="宋体"/>
                <w:color w:val="auto"/>
                <w:spacing w:val="22"/>
                <w:szCs w:val="21"/>
                <w:highlight w:val="none"/>
              </w:rPr>
              <w:t>）</w:t>
            </w:r>
          </w:p>
        </w:tc>
      </w:tr>
      <w:tr w14:paraId="21A8FBD8">
        <w:tblPrEx>
          <w:tblCellMar>
            <w:top w:w="0" w:type="dxa"/>
            <w:left w:w="108" w:type="dxa"/>
            <w:bottom w:w="0" w:type="dxa"/>
            <w:right w:w="108" w:type="dxa"/>
          </w:tblCellMar>
        </w:tblPrEx>
        <w:trPr>
          <w:trHeight w:val="529" w:hRule="atLeast"/>
        </w:trPr>
        <w:tc>
          <w:tcPr>
            <w:tcW w:w="2480" w:type="pct"/>
            <w:gridSpan w:val="2"/>
          </w:tcPr>
          <w:p w14:paraId="5BEB1FB9">
            <w:pPr>
              <w:keepNext w:val="0"/>
              <w:keepLines w:val="0"/>
              <w:suppressLineNumbers w:val="0"/>
              <w:spacing w:before="0" w:beforeAutospacing="0" w:after="0" w:afterAutospacing="0" w:line="360" w:lineRule="auto"/>
              <w:ind w:left="0" w:right="0"/>
              <w:rPr>
                <w:rFonts w:hint="default" w:ascii="宋体" w:hAnsi="宋体" w:eastAsia="宋体" w:cs="宋体"/>
                <w:b/>
                <w:color w:val="auto"/>
                <w:spacing w:val="22"/>
                <w:szCs w:val="21"/>
                <w:highlight w:val="none"/>
                <w:lang w:val="zh-CN"/>
              </w:rPr>
            </w:pPr>
          </w:p>
        </w:tc>
        <w:tc>
          <w:tcPr>
            <w:tcW w:w="2519" w:type="pct"/>
            <w:gridSpan w:val="2"/>
          </w:tcPr>
          <w:p w14:paraId="1E75FD9A">
            <w:pPr>
              <w:keepNext w:val="0"/>
              <w:keepLines w:val="0"/>
              <w:suppressLineNumbers w:val="0"/>
              <w:spacing w:before="0" w:beforeAutospacing="0" w:after="0" w:afterAutospacing="0" w:line="360" w:lineRule="auto"/>
              <w:ind w:left="0" w:right="0"/>
              <w:rPr>
                <w:rFonts w:hint="default" w:ascii="宋体" w:hAnsi="宋体" w:eastAsia="宋体" w:cs="宋体"/>
                <w:b/>
                <w:color w:val="auto"/>
                <w:spacing w:val="22"/>
                <w:szCs w:val="21"/>
                <w:highlight w:val="none"/>
                <w:lang w:val="zh-CN"/>
              </w:rPr>
            </w:pPr>
          </w:p>
        </w:tc>
      </w:tr>
      <w:tr w14:paraId="1B139806">
        <w:tblPrEx>
          <w:tblCellMar>
            <w:top w:w="0" w:type="dxa"/>
            <w:left w:w="108" w:type="dxa"/>
            <w:bottom w:w="0" w:type="dxa"/>
            <w:right w:w="108" w:type="dxa"/>
          </w:tblCellMar>
        </w:tblPrEx>
        <w:tc>
          <w:tcPr>
            <w:tcW w:w="2480" w:type="pct"/>
            <w:gridSpan w:val="2"/>
          </w:tcPr>
          <w:p w14:paraId="06FB1323">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法定代表人：</w:t>
            </w:r>
            <w:r>
              <w:rPr>
                <w:rFonts w:hint="eastAsia" w:ascii="宋体" w:hAnsi="宋体" w:eastAsia="宋体" w:cs="宋体"/>
                <w:color w:val="auto"/>
                <w:szCs w:val="21"/>
                <w:highlight w:val="none"/>
              </w:rPr>
              <w:t>（签字或盖章）</w:t>
            </w:r>
          </w:p>
        </w:tc>
        <w:tc>
          <w:tcPr>
            <w:tcW w:w="2519" w:type="pct"/>
            <w:gridSpan w:val="2"/>
          </w:tcPr>
          <w:p w14:paraId="518729B5">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法定代表人：</w:t>
            </w:r>
            <w:r>
              <w:rPr>
                <w:rFonts w:hint="eastAsia" w:ascii="宋体" w:hAnsi="宋体" w:eastAsia="宋体" w:cs="宋体"/>
                <w:color w:val="auto"/>
                <w:szCs w:val="21"/>
                <w:highlight w:val="none"/>
              </w:rPr>
              <w:t>（签字或盖章）</w:t>
            </w:r>
          </w:p>
        </w:tc>
      </w:tr>
      <w:tr w14:paraId="18CAC421">
        <w:tblPrEx>
          <w:tblCellMar>
            <w:top w:w="0" w:type="dxa"/>
            <w:left w:w="108" w:type="dxa"/>
            <w:bottom w:w="0" w:type="dxa"/>
            <w:right w:w="108" w:type="dxa"/>
          </w:tblCellMar>
        </w:tblPrEx>
        <w:trPr>
          <w:trHeight w:val="832" w:hRule="atLeast"/>
        </w:trPr>
        <w:tc>
          <w:tcPr>
            <w:tcW w:w="2480" w:type="pct"/>
            <w:gridSpan w:val="2"/>
          </w:tcPr>
          <w:p w14:paraId="7817290C">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p>
        </w:tc>
        <w:tc>
          <w:tcPr>
            <w:tcW w:w="2519" w:type="pct"/>
            <w:gridSpan w:val="2"/>
          </w:tcPr>
          <w:p w14:paraId="60EEBF60">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p>
        </w:tc>
      </w:tr>
      <w:tr w14:paraId="30F2FF06">
        <w:tblPrEx>
          <w:tblCellMar>
            <w:top w:w="0" w:type="dxa"/>
            <w:left w:w="108" w:type="dxa"/>
            <w:bottom w:w="0" w:type="dxa"/>
            <w:right w:w="108" w:type="dxa"/>
          </w:tblCellMar>
        </w:tblPrEx>
        <w:tc>
          <w:tcPr>
            <w:tcW w:w="2480" w:type="pct"/>
            <w:gridSpan w:val="2"/>
          </w:tcPr>
          <w:p w14:paraId="191BE7C0">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zCs w:val="21"/>
                <w:highlight w:val="none"/>
              </w:rPr>
              <w:t>授权代理人（签字或盖章）：</w:t>
            </w:r>
          </w:p>
        </w:tc>
        <w:tc>
          <w:tcPr>
            <w:tcW w:w="2519" w:type="pct"/>
            <w:gridSpan w:val="2"/>
          </w:tcPr>
          <w:p w14:paraId="2B43FCEF">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zCs w:val="21"/>
                <w:highlight w:val="none"/>
              </w:rPr>
              <w:t>授权代理人（签字或盖章）：</w:t>
            </w:r>
          </w:p>
        </w:tc>
      </w:tr>
      <w:tr w14:paraId="2782A269">
        <w:tblPrEx>
          <w:tblCellMar>
            <w:top w:w="0" w:type="dxa"/>
            <w:left w:w="108" w:type="dxa"/>
            <w:bottom w:w="0" w:type="dxa"/>
            <w:right w:w="108" w:type="dxa"/>
          </w:tblCellMar>
        </w:tblPrEx>
        <w:tc>
          <w:tcPr>
            <w:tcW w:w="2480" w:type="pct"/>
            <w:gridSpan w:val="2"/>
          </w:tcPr>
          <w:p w14:paraId="376F6448">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p>
        </w:tc>
        <w:tc>
          <w:tcPr>
            <w:tcW w:w="2519" w:type="pct"/>
            <w:gridSpan w:val="2"/>
          </w:tcPr>
          <w:p w14:paraId="5B13CB40">
            <w:pPr>
              <w:keepNext w:val="0"/>
              <w:keepLines w:val="0"/>
              <w:suppressLineNumbers w:val="0"/>
              <w:spacing w:before="0" w:beforeAutospacing="0" w:after="0" w:afterAutospacing="0" w:line="360" w:lineRule="auto"/>
              <w:ind w:left="0" w:right="0" w:firstLine="508" w:firstLineChars="200"/>
              <w:jc w:val="center"/>
              <w:rPr>
                <w:rFonts w:hint="default" w:ascii="宋体" w:hAnsi="宋体" w:eastAsia="宋体" w:cs="宋体"/>
                <w:color w:val="auto"/>
                <w:spacing w:val="22"/>
                <w:szCs w:val="21"/>
                <w:highlight w:val="none"/>
                <w:lang w:val="zh-CN"/>
              </w:rPr>
            </w:pPr>
          </w:p>
        </w:tc>
      </w:tr>
      <w:tr w14:paraId="42D14D49">
        <w:tblPrEx>
          <w:tblCellMar>
            <w:top w:w="0" w:type="dxa"/>
            <w:left w:w="108" w:type="dxa"/>
            <w:bottom w:w="0" w:type="dxa"/>
            <w:right w:w="108" w:type="dxa"/>
          </w:tblCellMar>
        </w:tblPrEx>
        <w:trPr>
          <w:trHeight w:val="665" w:hRule="atLeast"/>
        </w:trPr>
        <w:tc>
          <w:tcPr>
            <w:tcW w:w="894" w:type="pct"/>
            <w:vAlign w:val="center"/>
          </w:tcPr>
          <w:p w14:paraId="24962886">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单位地址：</w:t>
            </w:r>
          </w:p>
        </w:tc>
        <w:tc>
          <w:tcPr>
            <w:tcW w:w="1586" w:type="pct"/>
            <w:vAlign w:val="center"/>
          </w:tcPr>
          <w:p w14:paraId="092F3A6B">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p>
        </w:tc>
        <w:tc>
          <w:tcPr>
            <w:tcW w:w="954" w:type="pct"/>
            <w:vAlign w:val="center"/>
          </w:tcPr>
          <w:p w14:paraId="4C0152EA">
            <w:pPr>
              <w:keepNext w:val="0"/>
              <w:keepLines w:val="0"/>
              <w:suppressLineNumbers w:val="0"/>
              <w:tabs>
                <w:tab w:val="left" w:pos="1152"/>
              </w:tabs>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单位地址：</w:t>
            </w:r>
          </w:p>
        </w:tc>
        <w:tc>
          <w:tcPr>
            <w:tcW w:w="1565" w:type="pct"/>
            <w:vAlign w:val="center"/>
          </w:tcPr>
          <w:p w14:paraId="67634E68">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p>
        </w:tc>
      </w:tr>
      <w:tr w14:paraId="7EB92BCC">
        <w:tblPrEx>
          <w:tblCellMar>
            <w:top w:w="0" w:type="dxa"/>
            <w:left w:w="108" w:type="dxa"/>
            <w:bottom w:w="0" w:type="dxa"/>
            <w:right w:w="108" w:type="dxa"/>
          </w:tblCellMar>
        </w:tblPrEx>
        <w:trPr>
          <w:trHeight w:val="645" w:hRule="atLeast"/>
        </w:trPr>
        <w:tc>
          <w:tcPr>
            <w:tcW w:w="894" w:type="pct"/>
            <w:vAlign w:val="center"/>
          </w:tcPr>
          <w:p w14:paraId="451E7396">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邮政编码：</w:t>
            </w:r>
          </w:p>
        </w:tc>
        <w:tc>
          <w:tcPr>
            <w:tcW w:w="1586" w:type="pct"/>
            <w:vAlign w:val="center"/>
          </w:tcPr>
          <w:p w14:paraId="5587449A">
            <w:pPr>
              <w:keepNext w:val="0"/>
              <w:keepLines w:val="0"/>
              <w:suppressLineNumbers w:val="0"/>
              <w:spacing w:before="0" w:beforeAutospacing="0" w:after="0" w:afterAutospacing="0" w:line="360" w:lineRule="auto"/>
              <w:ind w:left="0" w:right="0" w:firstLine="508" w:firstLineChars="200"/>
              <w:rPr>
                <w:rFonts w:hint="default" w:ascii="宋体" w:hAnsi="宋体" w:eastAsia="宋体" w:cs="宋体"/>
                <w:color w:val="auto"/>
                <w:spacing w:val="22"/>
                <w:szCs w:val="21"/>
                <w:highlight w:val="none"/>
                <w:lang w:val="zh-CN"/>
              </w:rPr>
            </w:pPr>
          </w:p>
        </w:tc>
        <w:tc>
          <w:tcPr>
            <w:tcW w:w="954" w:type="pct"/>
            <w:vAlign w:val="center"/>
          </w:tcPr>
          <w:p w14:paraId="7612DACD">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邮政编码：</w:t>
            </w:r>
          </w:p>
        </w:tc>
        <w:tc>
          <w:tcPr>
            <w:tcW w:w="1565" w:type="pct"/>
            <w:vAlign w:val="center"/>
          </w:tcPr>
          <w:p w14:paraId="4CA5501B">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rPr>
            </w:pPr>
            <w:r>
              <w:rPr>
                <w:rFonts w:hint="eastAsia" w:ascii="宋体" w:hAnsi="宋体" w:eastAsia="宋体" w:cs="宋体"/>
                <w:color w:val="auto"/>
                <w:spacing w:val="22"/>
                <w:szCs w:val="21"/>
                <w:highlight w:val="none"/>
                <w:lang w:val="zh-CN"/>
              </w:rPr>
              <w:t xml:space="preserve"> </w:t>
            </w:r>
          </w:p>
        </w:tc>
      </w:tr>
      <w:tr w14:paraId="3610C986">
        <w:tblPrEx>
          <w:tblCellMar>
            <w:top w:w="0" w:type="dxa"/>
            <w:left w:w="108" w:type="dxa"/>
            <w:bottom w:w="0" w:type="dxa"/>
            <w:right w:w="108" w:type="dxa"/>
          </w:tblCellMar>
        </w:tblPrEx>
        <w:trPr>
          <w:trHeight w:val="665" w:hRule="atLeast"/>
        </w:trPr>
        <w:tc>
          <w:tcPr>
            <w:tcW w:w="894" w:type="pct"/>
            <w:vAlign w:val="center"/>
          </w:tcPr>
          <w:p w14:paraId="7F233B28">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联系电话：</w:t>
            </w:r>
          </w:p>
        </w:tc>
        <w:tc>
          <w:tcPr>
            <w:tcW w:w="1586" w:type="pct"/>
            <w:vAlign w:val="center"/>
          </w:tcPr>
          <w:p w14:paraId="547E2AE7">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rPr>
            </w:pPr>
          </w:p>
        </w:tc>
        <w:tc>
          <w:tcPr>
            <w:tcW w:w="954" w:type="pct"/>
            <w:vAlign w:val="center"/>
          </w:tcPr>
          <w:p w14:paraId="0FCB0F5C">
            <w:pPr>
              <w:keepNext w:val="0"/>
              <w:keepLines w:val="0"/>
              <w:suppressLineNumbers w:val="0"/>
              <w:tabs>
                <w:tab w:val="left" w:pos="1032"/>
              </w:tabs>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联系电话：</w:t>
            </w:r>
          </w:p>
        </w:tc>
        <w:tc>
          <w:tcPr>
            <w:tcW w:w="1565" w:type="pct"/>
            <w:vAlign w:val="center"/>
          </w:tcPr>
          <w:p w14:paraId="34B80DCC">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 xml:space="preserve"> </w:t>
            </w:r>
          </w:p>
        </w:tc>
      </w:tr>
      <w:tr w14:paraId="77290B82">
        <w:tblPrEx>
          <w:tblCellMar>
            <w:top w:w="0" w:type="dxa"/>
            <w:left w:w="108" w:type="dxa"/>
            <w:bottom w:w="0" w:type="dxa"/>
            <w:right w:w="108" w:type="dxa"/>
          </w:tblCellMar>
        </w:tblPrEx>
        <w:trPr>
          <w:trHeight w:val="532" w:hRule="atLeast"/>
        </w:trPr>
        <w:tc>
          <w:tcPr>
            <w:tcW w:w="894" w:type="pct"/>
            <w:vAlign w:val="center"/>
          </w:tcPr>
          <w:p w14:paraId="624ED72B">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传真：</w:t>
            </w:r>
          </w:p>
        </w:tc>
        <w:tc>
          <w:tcPr>
            <w:tcW w:w="1586" w:type="pct"/>
            <w:vAlign w:val="center"/>
          </w:tcPr>
          <w:p w14:paraId="6EF3EDDD">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p>
        </w:tc>
        <w:tc>
          <w:tcPr>
            <w:tcW w:w="954" w:type="pct"/>
            <w:vAlign w:val="center"/>
          </w:tcPr>
          <w:p w14:paraId="485C3E08">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传真：</w:t>
            </w:r>
          </w:p>
        </w:tc>
        <w:tc>
          <w:tcPr>
            <w:tcW w:w="1565" w:type="pct"/>
            <w:vAlign w:val="center"/>
          </w:tcPr>
          <w:p w14:paraId="67F4E283">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 xml:space="preserve"> </w:t>
            </w:r>
          </w:p>
        </w:tc>
      </w:tr>
      <w:tr w14:paraId="759B06CB">
        <w:tblPrEx>
          <w:tblCellMar>
            <w:top w:w="0" w:type="dxa"/>
            <w:left w:w="108" w:type="dxa"/>
            <w:bottom w:w="0" w:type="dxa"/>
            <w:right w:w="108" w:type="dxa"/>
          </w:tblCellMar>
        </w:tblPrEx>
        <w:trPr>
          <w:trHeight w:val="428" w:hRule="atLeast"/>
        </w:trPr>
        <w:tc>
          <w:tcPr>
            <w:tcW w:w="894" w:type="pct"/>
            <w:vAlign w:val="center"/>
          </w:tcPr>
          <w:p w14:paraId="6FCFEAF7">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zCs w:val="21"/>
                <w:highlight w:val="none"/>
              </w:rPr>
              <w:t>电子信箱：</w:t>
            </w:r>
          </w:p>
        </w:tc>
        <w:tc>
          <w:tcPr>
            <w:tcW w:w="1586" w:type="pct"/>
            <w:vAlign w:val="center"/>
          </w:tcPr>
          <w:p w14:paraId="344DF40D">
            <w:pPr>
              <w:keepNext w:val="0"/>
              <w:keepLines w:val="0"/>
              <w:suppressLineNumbers w:val="0"/>
              <w:spacing w:before="0" w:beforeAutospacing="0" w:after="0" w:afterAutospacing="0" w:line="360" w:lineRule="auto"/>
              <w:ind w:left="0" w:right="0" w:firstLine="508" w:firstLineChars="200"/>
              <w:rPr>
                <w:rFonts w:hint="default" w:ascii="宋体" w:hAnsi="宋体" w:eastAsia="宋体" w:cs="宋体"/>
                <w:color w:val="auto"/>
                <w:spacing w:val="22"/>
                <w:szCs w:val="21"/>
                <w:highlight w:val="none"/>
                <w:lang w:val="zh-CN"/>
              </w:rPr>
            </w:pPr>
          </w:p>
        </w:tc>
        <w:tc>
          <w:tcPr>
            <w:tcW w:w="954" w:type="pct"/>
            <w:vAlign w:val="center"/>
          </w:tcPr>
          <w:p w14:paraId="431139F2">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zCs w:val="21"/>
                <w:highlight w:val="none"/>
              </w:rPr>
              <w:t>电子信箱：</w:t>
            </w:r>
          </w:p>
        </w:tc>
        <w:tc>
          <w:tcPr>
            <w:tcW w:w="1565" w:type="pct"/>
            <w:vAlign w:val="center"/>
          </w:tcPr>
          <w:p w14:paraId="2ABD512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tc>
      </w:tr>
      <w:tr w14:paraId="741B7070">
        <w:tblPrEx>
          <w:tblCellMar>
            <w:top w:w="0" w:type="dxa"/>
            <w:left w:w="108" w:type="dxa"/>
            <w:bottom w:w="0" w:type="dxa"/>
            <w:right w:w="108" w:type="dxa"/>
          </w:tblCellMar>
        </w:tblPrEx>
        <w:trPr>
          <w:trHeight w:val="1027" w:hRule="atLeast"/>
        </w:trPr>
        <w:tc>
          <w:tcPr>
            <w:tcW w:w="894" w:type="pct"/>
            <w:vAlign w:val="center"/>
          </w:tcPr>
          <w:p w14:paraId="378FD9F5">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开户名称：</w:t>
            </w:r>
          </w:p>
        </w:tc>
        <w:tc>
          <w:tcPr>
            <w:tcW w:w="1586" w:type="pct"/>
            <w:vAlign w:val="center"/>
          </w:tcPr>
          <w:p w14:paraId="41799FFE">
            <w:pPr>
              <w:keepNext w:val="0"/>
              <w:keepLines w:val="0"/>
              <w:suppressLineNumbers w:val="0"/>
              <w:spacing w:before="0" w:beforeAutospacing="0" w:after="0" w:afterAutospacing="0" w:line="360" w:lineRule="auto"/>
              <w:ind w:left="0" w:right="0" w:firstLine="508" w:firstLineChars="200"/>
              <w:rPr>
                <w:rFonts w:hint="default" w:ascii="宋体" w:hAnsi="宋体" w:eastAsia="宋体" w:cs="宋体"/>
                <w:color w:val="auto"/>
                <w:spacing w:val="22"/>
                <w:szCs w:val="21"/>
                <w:highlight w:val="none"/>
                <w:lang w:val="zh-CN"/>
              </w:rPr>
            </w:pPr>
          </w:p>
        </w:tc>
        <w:tc>
          <w:tcPr>
            <w:tcW w:w="954" w:type="pct"/>
            <w:vAlign w:val="center"/>
          </w:tcPr>
          <w:p w14:paraId="52A8A31B">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开户名称：</w:t>
            </w:r>
          </w:p>
        </w:tc>
        <w:tc>
          <w:tcPr>
            <w:tcW w:w="1565" w:type="pct"/>
            <w:vAlign w:val="center"/>
          </w:tcPr>
          <w:p w14:paraId="41318CA1">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p>
        </w:tc>
      </w:tr>
      <w:tr w14:paraId="380C3673">
        <w:tblPrEx>
          <w:tblCellMar>
            <w:top w:w="0" w:type="dxa"/>
            <w:left w:w="108" w:type="dxa"/>
            <w:bottom w:w="0" w:type="dxa"/>
            <w:right w:w="108" w:type="dxa"/>
          </w:tblCellMar>
        </w:tblPrEx>
        <w:trPr>
          <w:trHeight w:val="452" w:hRule="atLeast"/>
        </w:trPr>
        <w:tc>
          <w:tcPr>
            <w:tcW w:w="894" w:type="pct"/>
            <w:vAlign w:val="center"/>
          </w:tcPr>
          <w:p w14:paraId="3D95708B">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开户银行：</w:t>
            </w:r>
          </w:p>
        </w:tc>
        <w:tc>
          <w:tcPr>
            <w:tcW w:w="1586" w:type="pct"/>
            <w:vAlign w:val="center"/>
          </w:tcPr>
          <w:p w14:paraId="57DF2FED">
            <w:pPr>
              <w:keepNext w:val="0"/>
              <w:keepLines w:val="0"/>
              <w:suppressLineNumbers w:val="0"/>
              <w:spacing w:before="0" w:beforeAutospacing="0" w:after="0" w:afterAutospacing="0" w:line="360" w:lineRule="auto"/>
              <w:ind w:left="0" w:right="0" w:firstLine="508" w:firstLineChars="200"/>
              <w:rPr>
                <w:rFonts w:hint="default" w:ascii="宋体" w:hAnsi="宋体" w:eastAsia="宋体" w:cs="宋体"/>
                <w:color w:val="auto"/>
                <w:spacing w:val="22"/>
                <w:szCs w:val="21"/>
                <w:highlight w:val="none"/>
                <w:lang w:val="zh-CN"/>
              </w:rPr>
            </w:pPr>
          </w:p>
        </w:tc>
        <w:tc>
          <w:tcPr>
            <w:tcW w:w="954" w:type="pct"/>
            <w:vAlign w:val="center"/>
          </w:tcPr>
          <w:p w14:paraId="4DE77536">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开户银行：</w:t>
            </w:r>
          </w:p>
        </w:tc>
        <w:tc>
          <w:tcPr>
            <w:tcW w:w="1565" w:type="pct"/>
            <w:vAlign w:val="center"/>
          </w:tcPr>
          <w:p w14:paraId="6FFFA0AA">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p>
        </w:tc>
      </w:tr>
      <w:tr w14:paraId="2F6A79DC">
        <w:tblPrEx>
          <w:tblCellMar>
            <w:top w:w="0" w:type="dxa"/>
            <w:left w:w="108" w:type="dxa"/>
            <w:bottom w:w="0" w:type="dxa"/>
            <w:right w:w="108" w:type="dxa"/>
          </w:tblCellMar>
        </w:tblPrEx>
        <w:trPr>
          <w:trHeight w:val="568" w:hRule="atLeast"/>
        </w:trPr>
        <w:tc>
          <w:tcPr>
            <w:tcW w:w="894" w:type="pct"/>
            <w:vAlign w:val="center"/>
          </w:tcPr>
          <w:p w14:paraId="0AEA8324">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银行账号：</w:t>
            </w:r>
          </w:p>
        </w:tc>
        <w:tc>
          <w:tcPr>
            <w:tcW w:w="1586" w:type="pct"/>
            <w:vAlign w:val="center"/>
          </w:tcPr>
          <w:p w14:paraId="50A24D8E">
            <w:pPr>
              <w:keepNext w:val="0"/>
              <w:keepLines w:val="0"/>
              <w:suppressLineNumbers w:val="0"/>
              <w:spacing w:before="0" w:beforeAutospacing="0" w:after="0" w:afterAutospacing="0" w:line="360" w:lineRule="auto"/>
              <w:ind w:left="0" w:right="0" w:firstLine="508" w:firstLineChars="200"/>
              <w:rPr>
                <w:rFonts w:hint="default" w:ascii="宋体" w:hAnsi="宋体" w:eastAsia="宋体" w:cs="宋体"/>
                <w:color w:val="auto"/>
                <w:spacing w:val="22"/>
                <w:szCs w:val="21"/>
                <w:highlight w:val="none"/>
                <w:lang w:val="zh-CN"/>
              </w:rPr>
            </w:pPr>
          </w:p>
        </w:tc>
        <w:tc>
          <w:tcPr>
            <w:tcW w:w="954" w:type="pct"/>
            <w:vAlign w:val="center"/>
          </w:tcPr>
          <w:p w14:paraId="39D95F5F">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银行账号：</w:t>
            </w:r>
          </w:p>
        </w:tc>
        <w:tc>
          <w:tcPr>
            <w:tcW w:w="1565" w:type="pct"/>
            <w:vAlign w:val="center"/>
          </w:tcPr>
          <w:p w14:paraId="607E88D5">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p>
        </w:tc>
      </w:tr>
      <w:tr w14:paraId="1B4A46DE">
        <w:tblPrEx>
          <w:tblCellMar>
            <w:top w:w="0" w:type="dxa"/>
            <w:left w:w="108" w:type="dxa"/>
            <w:bottom w:w="0" w:type="dxa"/>
            <w:right w:w="108" w:type="dxa"/>
          </w:tblCellMar>
        </w:tblPrEx>
        <w:trPr>
          <w:trHeight w:val="500" w:hRule="atLeast"/>
        </w:trPr>
        <w:tc>
          <w:tcPr>
            <w:tcW w:w="5000" w:type="pct"/>
            <w:gridSpan w:val="4"/>
            <w:vAlign w:val="center"/>
          </w:tcPr>
          <w:p w14:paraId="311560FA">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合同签订日期：    年    月   日</w:t>
            </w:r>
          </w:p>
        </w:tc>
      </w:tr>
      <w:tr w14:paraId="7DC7C43A">
        <w:tblPrEx>
          <w:tblCellMar>
            <w:top w:w="0" w:type="dxa"/>
            <w:left w:w="108" w:type="dxa"/>
            <w:bottom w:w="0" w:type="dxa"/>
            <w:right w:w="108" w:type="dxa"/>
          </w:tblCellMar>
        </w:tblPrEx>
        <w:trPr>
          <w:trHeight w:val="342" w:hRule="atLeast"/>
        </w:trPr>
        <w:tc>
          <w:tcPr>
            <w:tcW w:w="5000" w:type="pct"/>
            <w:gridSpan w:val="4"/>
            <w:vAlign w:val="center"/>
          </w:tcPr>
          <w:p w14:paraId="1F0C86E2">
            <w:pPr>
              <w:keepNext w:val="0"/>
              <w:keepLines w:val="0"/>
              <w:suppressLineNumbers w:val="0"/>
              <w:spacing w:before="0" w:beforeAutospacing="0" w:after="0" w:afterAutospacing="0" w:line="360" w:lineRule="auto"/>
              <w:ind w:left="0" w:right="0"/>
              <w:rPr>
                <w:rFonts w:hint="default" w:ascii="宋体" w:hAnsi="宋体" w:eastAsia="宋体" w:cs="宋体"/>
                <w:color w:val="auto"/>
                <w:spacing w:val="22"/>
                <w:szCs w:val="21"/>
                <w:highlight w:val="none"/>
                <w:lang w:val="zh-CN"/>
              </w:rPr>
            </w:pPr>
            <w:r>
              <w:rPr>
                <w:rFonts w:hint="eastAsia" w:ascii="宋体" w:hAnsi="宋体" w:eastAsia="宋体" w:cs="宋体"/>
                <w:color w:val="auto"/>
                <w:spacing w:val="22"/>
                <w:szCs w:val="21"/>
                <w:highlight w:val="none"/>
                <w:lang w:val="zh-CN"/>
              </w:rPr>
              <w:t xml:space="preserve">合同签订地点： </w:t>
            </w:r>
          </w:p>
        </w:tc>
      </w:tr>
    </w:tbl>
    <w:p w14:paraId="76A87698">
      <w:pPr>
        <w:spacing w:line="360" w:lineRule="auto"/>
        <w:ind w:firstLine="883" w:firstLineChars="200"/>
        <w:rPr>
          <w:rFonts w:ascii="宋体" w:hAnsi="宋体" w:eastAsia="宋体" w:cs="宋体"/>
          <w:b/>
          <w:bCs/>
          <w:color w:val="auto"/>
          <w:sz w:val="44"/>
          <w:highlight w:val="none"/>
        </w:rPr>
      </w:pPr>
    </w:p>
    <w:p w14:paraId="28F708EF">
      <w:pPr>
        <w:widowControl/>
        <w:rPr>
          <w:rFonts w:ascii="宋体" w:hAnsi="宋体" w:eastAsia="宋体" w:cs="宋体"/>
          <w:b/>
          <w:bCs/>
          <w:color w:val="auto"/>
          <w:sz w:val="44"/>
          <w:highlight w:val="none"/>
        </w:rPr>
      </w:pPr>
      <w:r>
        <w:rPr>
          <w:rFonts w:hint="eastAsia" w:ascii="宋体" w:hAnsi="宋体" w:eastAsia="宋体" w:cs="宋体"/>
          <w:b/>
          <w:bCs/>
          <w:color w:val="auto"/>
          <w:sz w:val="44"/>
          <w:highlight w:val="none"/>
        </w:rPr>
        <w:br w:type="page"/>
      </w:r>
    </w:p>
    <w:p w14:paraId="088AE7BD">
      <w:pPr>
        <w:widowControl/>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第一部分通用条款</w:t>
      </w:r>
    </w:p>
    <w:p w14:paraId="4FD9D38D">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一、词语定义和适用法律</w:t>
      </w:r>
    </w:p>
    <w:p w14:paraId="321A32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1、词语定义</w:t>
      </w:r>
    </w:p>
    <w:p w14:paraId="16F4F5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下列词语除本合同专用条款另有约定外，应具有本条款所赋予的定义：</w:t>
      </w:r>
    </w:p>
    <w:p w14:paraId="5B398E8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l</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1招标代理合同：委托人将工程建设项目招标工作委托给具有相应招标代理资质的受托人，实施招标活动签订的委托合同</w:t>
      </w:r>
      <w:r>
        <w:rPr>
          <w:rFonts w:hint="eastAsia" w:ascii="宋体" w:hAnsi="宋体" w:eastAsia="宋体" w:cs="宋体"/>
          <w:color w:val="auto"/>
          <w:szCs w:val="21"/>
          <w:highlight w:val="none"/>
          <w:lang w:eastAsia="zh-CN"/>
        </w:rPr>
        <w:t>。</w:t>
      </w:r>
    </w:p>
    <w:p w14:paraId="4B2F55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l</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2通用条款：是根据有关法律、行政法规和工程建设项目招标代理的需要所订立，通用于各类工程建设项目招标代理的条款。</w:t>
      </w:r>
    </w:p>
    <w:p w14:paraId="5939F4E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3专用条款：是委托人与受托人根据有关法律、行政法规规定，结合具体工程建设项目招标代理的实际，经协商达成一致意见的条款，是对通用条款的具体化、补充或修改。</w:t>
      </w:r>
    </w:p>
    <w:p w14:paraId="0CDD598D">
      <w:pPr>
        <w:tabs>
          <w:tab w:val="left" w:pos="360"/>
          <w:tab w:val="left" w:pos="54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l</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4委托人：指在合同中约定的，具有建设项目招标委托主体资格的当事人，以及取得该当事人资格的合法继承人。</w:t>
      </w:r>
    </w:p>
    <w:p w14:paraId="539BC678">
      <w:pPr>
        <w:tabs>
          <w:tab w:val="left" w:pos="360"/>
          <w:tab w:val="left" w:pos="54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5受托人：指在合同中约定的，被委托人接受的具有建设项目招标代理主体资格的当事人，以及取得该当事人资格的合法继承人。</w:t>
      </w:r>
    </w:p>
    <w:p w14:paraId="29FE695D">
      <w:pPr>
        <w:tabs>
          <w:tab w:val="left" w:pos="360"/>
          <w:tab w:val="left" w:pos="54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6招标代理项目负责人：指受托人在专用条款中指定的负责合同履行的代表。</w:t>
      </w:r>
    </w:p>
    <w:p w14:paraId="22836D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7工程建设项目：指由委托人和受托人在合同中约定的委托代理招标的工程。</w:t>
      </w:r>
    </w:p>
    <w:p w14:paraId="7735AD7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8招标代理业务：委托人委托受托人代理实施工程建设项目招标的工作内容。</w:t>
      </w:r>
    </w:p>
    <w:p w14:paraId="7C075A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9附加服务：指委托人和受托人在本合同通用条款4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1款和专用条款4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1款中双方约定工作范围之外的附加工作。</w:t>
      </w:r>
    </w:p>
    <w:p w14:paraId="622FB07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10代理报酬：代理报酬又称招标代理费/中标服务费，委托人和受托人在合同中约定的，受托人按照约定应</w:t>
      </w:r>
      <w:r>
        <w:rPr>
          <w:rFonts w:hint="eastAsia" w:ascii="宋体" w:hAnsi="宋体" w:eastAsia="宋体" w:cs="宋体"/>
          <w:color w:val="auto"/>
          <w:szCs w:val="21"/>
          <w:highlight w:val="none"/>
          <w:lang w:eastAsia="zh-CN"/>
        </w:rPr>
        <w:t>向中标人</w:t>
      </w:r>
      <w:r>
        <w:rPr>
          <w:rFonts w:hint="eastAsia" w:ascii="宋体" w:hAnsi="宋体" w:eastAsia="宋体" w:cs="宋体"/>
          <w:color w:val="auto"/>
          <w:szCs w:val="21"/>
          <w:highlight w:val="none"/>
        </w:rPr>
        <w:t>收取的代理报酬总额。</w:t>
      </w:r>
    </w:p>
    <w:p w14:paraId="5C7BF9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11图纸：指由委托人提供的满足招标需要的所有图纸、计算书、配套说明以及相关的技术资料。</w:t>
      </w:r>
    </w:p>
    <w:p w14:paraId="75FF0E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12书面形式：指具有公章、法定代表人或授权代理人签字的合同书、信件和数据电文（包括电报、电传、传真）等可以有形地表现所载内容的形式。</w:t>
      </w:r>
    </w:p>
    <w:p w14:paraId="72D530BE">
      <w:pPr>
        <w:tabs>
          <w:tab w:val="left" w:pos="54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13违约责任：指合同一方不履行合同义务或履行合同义务不符合约定所应承担的责任。</w:t>
      </w:r>
    </w:p>
    <w:p w14:paraId="5CE96D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14索赔：指在合同履行过程中，对于并非自己的过错，而是应由对方承担责任的情况造成的实际损失，向对方提出经济补偿或其他的要求。</w:t>
      </w:r>
    </w:p>
    <w:p w14:paraId="19D339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15不可抗力：指双方无法控制和不可预见的事件，但不包括双方的违约或疏忽。这些事件包括但不限于战争、严重火灾、洪水、台风、地震，或其他双方一致认为属于不可抗力的事件。</w:t>
      </w:r>
    </w:p>
    <w:p w14:paraId="029186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34109362">
      <w:pPr>
        <w:spacing w:line="360" w:lineRule="auto"/>
        <w:ind w:firstLine="420" w:firstLineChars="200"/>
        <w:rPr>
          <w:rFonts w:ascii="宋体" w:hAnsi="宋体" w:eastAsia="宋体" w:cs="宋体"/>
          <w:color w:val="auto"/>
          <w:szCs w:val="21"/>
          <w:highlight w:val="none"/>
        </w:rPr>
      </w:pPr>
    </w:p>
    <w:p w14:paraId="5F2792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2、合同文件及解释顺序</w:t>
      </w:r>
    </w:p>
    <w:p w14:paraId="6A666C68">
      <w:pPr>
        <w:tabs>
          <w:tab w:val="left" w:pos="54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l合同文件应能互相解释，互为说明。除本合同专用条款另有约定外，组成本合同的文件及优先解释顺序如下：</w:t>
      </w:r>
    </w:p>
    <w:p w14:paraId="720556F7">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（1）本合同履行过程中双方以书面形式签署的补充和修正文件；</w:t>
      </w:r>
    </w:p>
    <w:p w14:paraId="578AC7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（2）本合同协议书：</w:t>
      </w:r>
    </w:p>
    <w:p w14:paraId="0AFEB41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（3）本合同专用条款；</w:t>
      </w:r>
    </w:p>
    <w:p w14:paraId="11605A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（4）本合同通用条款。</w:t>
      </w:r>
    </w:p>
    <w:p w14:paraId="2342D0A2">
      <w:pPr>
        <w:tabs>
          <w:tab w:val="left" w:pos="54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2当合同文件内容出现含糊不清或不相一致时，应在不影响招标代理业务正常进行的情况下，由委托人和受托人协商解决。双方协商不成时，按本合同通用条款第12条关于争议的约定处理。</w:t>
      </w:r>
    </w:p>
    <w:p w14:paraId="0CCAB67F">
      <w:pPr>
        <w:tabs>
          <w:tab w:val="left" w:pos="540"/>
        </w:tabs>
        <w:spacing w:line="360" w:lineRule="auto"/>
        <w:ind w:firstLine="420" w:firstLineChars="200"/>
        <w:rPr>
          <w:rFonts w:ascii="宋体" w:hAnsi="宋体" w:eastAsia="宋体" w:cs="宋体"/>
          <w:color w:val="auto"/>
          <w:szCs w:val="21"/>
          <w:highlight w:val="none"/>
        </w:rPr>
      </w:pPr>
    </w:p>
    <w:p w14:paraId="1E36DF2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3、语言文字和适用法律</w:t>
      </w:r>
    </w:p>
    <w:p w14:paraId="365969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1语言文字</w:t>
      </w:r>
    </w:p>
    <w:p w14:paraId="3647F14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除本合同专用条款中另有约定，本合同文件使用汉语语言文字书写、解释和说明。如本合同专用条款约定使用两种以上（含两种）语言文字时，汉语应为解释和说明本合同的标准语言文字。</w:t>
      </w:r>
    </w:p>
    <w:p w14:paraId="26D8734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2适用法律和行政法规</w:t>
      </w:r>
    </w:p>
    <w:p w14:paraId="7C8E90A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本合同文件适用有关法律和行政法规。需要明示的法律和行政法规，双方可在本合同专用条款中约定。</w:t>
      </w:r>
    </w:p>
    <w:p w14:paraId="29ADF969">
      <w:pPr>
        <w:spacing w:line="360" w:lineRule="auto"/>
        <w:ind w:firstLine="420" w:firstLineChars="200"/>
        <w:rPr>
          <w:rFonts w:ascii="宋体" w:hAnsi="宋体" w:eastAsia="宋体" w:cs="宋体"/>
          <w:color w:val="auto"/>
          <w:szCs w:val="21"/>
          <w:highlight w:val="none"/>
        </w:rPr>
      </w:pPr>
    </w:p>
    <w:p w14:paraId="480627F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二、双方一般权利和义务</w:t>
      </w:r>
    </w:p>
    <w:p w14:paraId="0BB674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4、委托人的义务</w:t>
      </w:r>
    </w:p>
    <w:p w14:paraId="3782ED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4.1委托人将委托招标代理工作的具体范围和内容在本合同专用条款中约定。</w:t>
      </w:r>
    </w:p>
    <w:p w14:paraId="047AFE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2委托人按本合同专用条款约定的内容和时间完成下列工作：</w:t>
      </w:r>
    </w:p>
    <w:p w14:paraId="3E68B0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（1）向受托人提供本工程招标代理业务应具备的相关工程前期资料（如立项批准手续规划许可、报建证等）及资金落实情况资料；</w:t>
      </w:r>
    </w:p>
    <w:p w14:paraId="544761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（2）向受托人提供完成本工程招标代理业务所需的全部技术资料和图纸，需要交底的须向受托人详细交底，并对提供资料的真实性、完整性、准确性负责；</w:t>
      </w:r>
    </w:p>
    <w:p w14:paraId="0F5E72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（3）向受托人提供保证招标工作顺利完成的条件，提供的条件在本合同专用条款内约定；</w:t>
      </w:r>
    </w:p>
    <w:p w14:paraId="666CE2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（4）指定专人与受托人联系，指定人员的姓名、职务、职称在本合同专用条款内约定；</w:t>
      </w:r>
    </w:p>
    <w:p w14:paraId="43247CD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（5）根据需要，作好与第三方的协调工作；</w:t>
      </w:r>
    </w:p>
    <w:p w14:paraId="0EE080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（6）按本合同专用条款的约定支付代理报酬；</w:t>
      </w:r>
    </w:p>
    <w:p w14:paraId="4CBBCE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（7）依法应尽的其他义务，双方在本合同专用条款内约定。</w:t>
      </w:r>
    </w:p>
    <w:p w14:paraId="47DB4FE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3受托人在履行招标代理业务过程中，提出的超出招标代理范围的合理化建议，经委托人同意并取得经济效益，委托人应向受托人支付一定的经济奖励。</w:t>
      </w:r>
    </w:p>
    <w:p w14:paraId="12042C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4委托人负有对受托人为本合同提供的技术服务进行知识产权保护的责任。</w:t>
      </w:r>
    </w:p>
    <w:p w14:paraId="66DCA2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5委托人未能履行以上各项义务，给受托人造成损失的，应当赔偿受托人的有关损失。</w:t>
      </w:r>
    </w:p>
    <w:p w14:paraId="65B53C98">
      <w:pPr>
        <w:spacing w:line="360" w:lineRule="auto"/>
        <w:ind w:firstLine="420" w:firstLineChars="200"/>
        <w:rPr>
          <w:rFonts w:ascii="宋体" w:hAnsi="宋体" w:eastAsia="宋体" w:cs="宋体"/>
          <w:color w:val="auto"/>
          <w:szCs w:val="21"/>
          <w:highlight w:val="none"/>
        </w:rPr>
      </w:pPr>
    </w:p>
    <w:p w14:paraId="5BF8B2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5、受托人的义务</w:t>
      </w:r>
    </w:p>
    <w:p w14:paraId="3119C04F">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2C07BE71">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2受托人按本合同专用条款约定的内容和时间完成下列工作：</w:t>
      </w:r>
    </w:p>
    <w:p w14:paraId="67DD4E6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（1）依法按照公开、公平、公正和诚实信用原则，组织招标工作，维护各方的合法权益；</w:t>
      </w:r>
    </w:p>
    <w:p w14:paraId="47E9F2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（2）应用专业技术与技能为委托人提供完成招标工作相关的咨询服务；</w:t>
      </w:r>
    </w:p>
    <w:p w14:paraId="2E11CA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（3）向委托人宣传有关工程招标的法律、行政法规和规章，解释合理的招标程序，以便得到委托人的支持和配合；</w:t>
      </w:r>
    </w:p>
    <w:p w14:paraId="56965E3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（4）依法应尽的其他义务，双方在本合同专用条款内约定。</w:t>
      </w:r>
    </w:p>
    <w:p w14:paraId="63CF3105">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3受托人应对招标工作中受托人所出具有关数据的计算、技术经济资料等的科学性和准确性负责。</w:t>
      </w:r>
    </w:p>
    <w:p w14:paraId="6C0068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4受托人不得接受与本合同工程建设项目中委托招标范围之内的相关的投标咨询业务。</w:t>
      </w:r>
    </w:p>
    <w:p w14:paraId="2A40B7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受托人为本合同提供技术服务的知识产权应属受托人专有。如第三方以本合同产品侵权为由提起诉讼，由乙方承担相应的法律责任；若因此造成甲方损失的，甲方有权向乙方追偿（包括且不限于律师费、诉讼费等）。</w:t>
      </w:r>
    </w:p>
    <w:p w14:paraId="11C1D9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6未经委托人同意，受托人不得分包或转让本合同的任何权利和义务。</w:t>
      </w:r>
    </w:p>
    <w:p w14:paraId="261A80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7受托人不得接受所有投标人的礼品、宴请和任何其他好处，不得泄露招标、评标、定标过程中依法需要保密的内容。合同终止后，未经委托人同意，受托人不得泄漏与本合同工程相关的任何招标资料和情况。</w:t>
      </w:r>
    </w:p>
    <w:p w14:paraId="2F9277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8受托人未能履行以上各项义务，给委托人造成损失的，应当赔偿委托人的有关损失。</w:t>
      </w:r>
    </w:p>
    <w:p w14:paraId="63C58A9C">
      <w:pPr>
        <w:spacing w:line="360" w:lineRule="auto"/>
        <w:ind w:firstLine="420" w:firstLineChars="200"/>
        <w:rPr>
          <w:rFonts w:ascii="宋体" w:hAnsi="宋体" w:eastAsia="宋体" w:cs="宋体"/>
          <w:color w:val="auto"/>
          <w:szCs w:val="21"/>
          <w:highlight w:val="none"/>
        </w:rPr>
      </w:pPr>
    </w:p>
    <w:p w14:paraId="793A1C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6、委托人的权利</w:t>
      </w:r>
    </w:p>
    <w:p w14:paraId="444810B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1委托人拥有下列权利：</w:t>
      </w:r>
    </w:p>
    <w:p w14:paraId="46C284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（1）按合同约定，接收招标代理成果；</w:t>
      </w:r>
    </w:p>
    <w:p w14:paraId="704FE3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（2）向受托人询问本合同工程招标工作进展情况和相关内容或提出不违反法律、行政法规的建议；</w:t>
      </w:r>
    </w:p>
    <w:p w14:paraId="40CF57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（3）审查受托人为本合同工程编制的各种文件，并提出修正意见；</w:t>
      </w:r>
    </w:p>
    <w:p w14:paraId="08EF04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（4）要求受托人提交书面招标代理业务工作报告；</w:t>
      </w:r>
    </w:p>
    <w:p w14:paraId="189A12B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（5）与受托人协商，要求更换其不称职的招标代理从业人员；</w:t>
      </w:r>
    </w:p>
    <w:p w14:paraId="113CA0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（6）依法选择中标人；</w:t>
      </w:r>
    </w:p>
    <w:p w14:paraId="428B6EB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（7）本合同履行期间，由于受托人不履行合同约定的内容，给委托人造成损失或影响招标工作正常进行的，委托人有权终止本合同，并依法向受托人追索经济赔偿、追究法律责任；</w:t>
      </w:r>
    </w:p>
    <w:p w14:paraId="5D9BEF5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（8）依法享有的其他权利，双方在本合同专用条款内约定。</w:t>
      </w:r>
    </w:p>
    <w:p w14:paraId="60274B69">
      <w:pPr>
        <w:spacing w:line="360" w:lineRule="auto"/>
        <w:ind w:firstLine="420" w:firstLineChars="200"/>
        <w:rPr>
          <w:rFonts w:ascii="宋体" w:hAnsi="宋体" w:eastAsia="宋体" w:cs="宋体"/>
          <w:color w:val="auto"/>
          <w:szCs w:val="21"/>
          <w:highlight w:val="none"/>
        </w:rPr>
      </w:pPr>
    </w:p>
    <w:p w14:paraId="49DB41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7、受托人的权利</w:t>
      </w:r>
    </w:p>
    <w:p w14:paraId="241CE2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1受托人拥有下列权利：</w:t>
      </w:r>
    </w:p>
    <w:p w14:paraId="3073FA1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（1）按合同约定</w:t>
      </w:r>
      <w:r>
        <w:rPr>
          <w:rFonts w:hint="eastAsia" w:ascii="宋体" w:hAnsi="宋体" w:eastAsia="宋体" w:cs="宋体"/>
          <w:color w:val="auto"/>
          <w:szCs w:val="21"/>
          <w:highlight w:val="none"/>
          <w:lang w:eastAsia="zh-CN"/>
        </w:rPr>
        <w:t>向中标人</w:t>
      </w:r>
      <w:r>
        <w:rPr>
          <w:rFonts w:hint="eastAsia" w:ascii="宋体" w:hAnsi="宋体" w:eastAsia="宋体" w:cs="宋体"/>
          <w:color w:val="auto"/>
          <w:szCs w:val="21"/>
          <w:highlight w:val="none"/>
        </w:rPr>
        <w:t>收取委托代理报酬；</w:t>
      </w:r>
    </w:p>
    <w:p w14:paraId="25B825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（2）对招标过程中应由委托人做出的决定，受托人有权提出建议；</w:t>
      </w:r>
    </w:p>
    <w:p w14:paraId="539271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（3）当委托人提供的资料不足或不明确时，有权要求委托人补足资料或作出明确的答复；</w:t>
      </w:r>
    </w:p>
    <w:p w14:paraId="688C89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（4）拒绝委托人提出的违反法律、行政法规的要求，并向委托人作出解释；</w:t>
      </w:r>
    </w:p>
    <w:p w14:paraId="4897C3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（5）有权参加委托人组织的涉及招标工作的所有会议和活动；</w:t>
      </w:r>
    </w:p>
    <w:p w14:paraId="3CA38E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（6）对于为本合同工程编制的所有文件拥有知识产权，委托人仅有使用或复制的权利；</w:t>
      </w:r>
    </w:p>
    <w:p w14:paraId="2D8387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（7）依法享有的其他权利，双方在本合同专用条款内约定。</w:t>
      </w:r>
    </w:p>
    <w:p w14:paraId="5BF4C92D">
      <w:pPr>
        <w:spacing w:line="360" w:lineRule="auto"/>
        <w:ind w:firstLine="420" w:firstLineChars="200"/>
        <w:rPr>
          <w:rFonts w:ascii="宋体" w:hAnsi="宋体" w:eastAsia="宋体" w:cs="宋体"/>
          <w:color w:val="auto"/>
          <w:szCs w:val="21"/>
          <w:highlight w:val="none"/>
        </w:rPr>
      </w:pPr>
    </w:p>
    <w:p w14:paraId="3A3FA643">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三、委托代理报酬与收取</w:t>
      </w:r>
    </w:p>
    <w:p w14:paraId="1958E3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8、委托代理报酬</w:t>
      </w:r>
    </w:p>
    <w:p w14:paraId="1B15CA6F">
      <w:pPr>
        <w:tabs>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1双方按照本合同约定的招标代理业务范围，在本合同专用条款内约定委托代理报酬的计算方法、金额、币种、汇率和支付方式、支付时间。</w:t>
      </w:r>
    </w:p>
    <w:p w14:paraId="6D626F2E">
      <w:pPr>
        <w:tabs>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2受托人对所承接的招标代理业务需要出外考察的，其外出人员数量和费用，经委托人同意后，向委托人实报实销。</w:t>
      </w:r>
    </w:p>
    <w:p w14:paraId="2656A7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3在招标代理业务范围内所发生的费用（如：评标会务费、评标专家的差旅费、劳务费、公证费等），由委托人与受托人在专用条款中约定。</w:t>
      </w:r>
    </w:p>
    <w:p w14:paraId="6101B766">
      <w:pPr>
        <w:spacing w:line="360" w:lineRule="auto"/>
        <w:ind w:firstLine="420" w:firstLineChars="200"/>
        <w:rPr>
          <w:rFonts w:ascii="宋体" w:hAnsi="宋体" w:eastAsia="宋体" w:cs="宋体"/>
          <w:color w:val="auto"/>
          <w:szCs w:val="21"/>
          <w:highlight w:val="none"/>
        </w:rPr>
      </w:pPr>
    </w:p>
    <w:p w14:paraId="2CEB5E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9、委托代理报酬的收取</w:t>
      </w:r>
    </w:p>
    <w:p w14:paraId="6BADB5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由中标人支付代理报酬，在中标人</w:t>
      </w:r>
      <w:r>
        <w:rPr>
          <w:rFonts w:hint="eastAsia" w:ascii="宋体" w:hAnsi="宋体" w:eastAsia="宋体" w:cs="宋体"/>
          <w:color w:val="auto"/>
          <w:szCs w:val="21"/>
          <w:highlight w:val="none"/>
          <w:lang w:eastAsia="zh-CN"/>
        </w:rPr>
        <w:t>领取《中标通知书》原件时</w:t>
      </w:r>
      <w:r>
        <w:rPr>
          <w:rFonts w:hint="eastAsia" w:ascii="宋体" w:hAnsi="宋体" w:eastAsia="宋体" w:cs="宋体"/>
          <w:color w:val="auto"/>
          <w:szCs w:val="21"/>
          <w:highlight w:val="none"/>
        </w:rPr>
        <w:t>，将本合同约定的全部委托代理报酬一次性支付给受托人。</w:t>
      </w:r>
    </w:p>
    <w:p w14:paraId="1DC3E6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2受托人完成委托人委托的招标代理工作范围以外的工作，为附加服务项目，应收取的报酬由双方协商，签订补充协议。</w:t>
      </w:r>
    </w:p>
    <w:p w14:paraId="547488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3委托人在本合同专用条款约定的支付时间内，未能如期支付代理预付费用，自应支付之日起，按同期银行贷款利率，计算支付代理预付费用的利息。</w:t>
      </w:r>
    </w:p>
    <w:p w14:paraId="63AD37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4委托人在本合同专用条款约定的支付时间内，未能如期支付代理报酬，除应承担违约责任外，还应按同期银行贷款利率，计算支付应付代理报酬的利息。</w:t>
      </w:r>
    </w:p>
    <w:p w14:paraId="61BC5C6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5委托代理报酬应由受托人按本合同专用条款约定的支付方法和时间，直接向中标人收取。</w:t>
      </w:r>
    </w:p>
    <w:p w14:paraId="7CD20185">
      <w:pPr>
        <w:spacing w:line="360" w:lineRule="auto"/>
        <w:ind w:firstLine="420" w:firstLineChars="200"/>
        <w:rPr>
          <w:rFonts w:ascii="宋体" w:hAnsi="宋体" w:eastAsia="宋体" w:cs="宋体"/>
          <w:color w:val="auto"/>
          <w:szCs w:val="21"/>
          <w:highlight w:val="none"/>
        </w:rPr>
      </w:pPr>
    </w:p>
    <w:p w14:paraId="34EC3AE3">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四、违约、索赔和争议</w:t>
      </w:r>
    </w:p>
    <w:p w14:paraId="781898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10、违约</w:t>
      </w:r>
    </w:p>
    <w:p w14:paraId="40F7A2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1委托人违约。当发生下列情况时：</w:t>
      </w:r>
    </w:p>
    <w:p w14:paraId="0FCD05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（1）本合同通用条款第4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2-（3）款提到的委托人未按本合同专用条款的约定向委托人提供为保证招标工作顺利完成的条件，致使招标工作无法进行；</w:t>
      </w:r>
    </w:p>
    <w:p w14:paraId="705F4D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（2）本合同通用条款第4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2-（6）款提到的委托人未按本合同专用条款的约定向受托人支付委托代理报酬；</w:t>
      </w:r>
    </w:p>
    <w:p w14:paraId="07DFFD6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（3）委托人不履行合同义务或不按合同约定履行义务的其他情况。</w:t>
      </w:r>
    </w:p>
    <w:p w14:paraId="6E0627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委托人需承担的违约责任，由双方在本合同专用条款内约定。</w:t>
      </w:r>
    </w:p>
    <w:p w14:paraId="2768C8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2受托人违约。当发生下列情况时：</w:t>
      </w:r>
    </w:p>
    <w:p w14:paraId="45AEA8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（1）本合同通用条款第5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2-（2）款提到的受托人未按本合同专用条款的约定，向委托人提供为完成招标工作的咨询服务；</w:t>
      </w:r>
    </w:p>
    <w:p w14:paraId="0E2907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（2）本合同通用条款第5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4款提到的受托人未按本合同专用条款的约定，接受了与本合同工程建设项目有关的投标咨询业务；</w:t>
      </w:r>
    </w:p>
    <w:p w14:paraId="448528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（3）本合同通用条款第5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7款提到的受托人未按本合同专用条款的约定，泄露了与本合同工程相关的任何招标资料和情况；</w:t>
      </w:r>
    </w:p>
    <w:p w14:paraId="2BA94C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（4）受托人不履行合同义务或不按合同约定履行义务的其他情况。</w:t>
      </w:r>
    </w:p>
    <w:p w14:paraId="33BD61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2DD335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3第三方违约。如果一方的违约被认定为是与第三方共同造成的，则应由合同双方中有违约的一方先行向另一方承担全部违约责任，再由承担违约责任的一方向第三方追索。</w:t>
      </w:r>
    </w:p>
    <w:p w14:paraId="05E7920C">
      <w:pPr>
        <w:spacing w:line="360" w:lineRule="auto"/>
        <w:ind w:firstLine="420" w:firstLineChars="200"/>
        <w:rPr>
          <w:rFonts w:ascii="宋体" w:hAnsi="宋体" w:eastAsia="宋体" w:cs="宋体"/>
          <w:color w:val="auto"/>
          <w:szCs w:val="21"/>
          <w:highlight w:val="none"/>
        </w:rPr>
      </w:pPr>
    </w:p>
    <w:p w14:paraId="1D5FA8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11、索赔</w:t>
      </w:r>
    </w:p>
    <w:p w14:paraId="44AC59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1当事人一方向另一方提出索赔时，要有正当的索赔理由，且有索赔事件发生时的有效证据。</w:t>
      </w:r>
    </w:p>
    <w:p w14:paraId="67DB37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2委托人未能按合同约定履行自己的各项义务，或者发生应由委托人承担责任的其他情况，给受托人造成损失，受托人可按下列程序以书面形式向委托人索赔：</w:t>
      </w:r>
    </w:p>
    <w:p w14:paraId="01608D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（1）索赔事件发生后7天内，向委托人发出索赔报告及有关资料；</w:t>
      </w:r>
    </w:p>
    <w:p w14:paraId="5E8962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（2）委托人收到受托人的索赔报告及有关资料后，于7天内给予答复，或要求受托人进一步补充索赔理由和证据；</w:t>
      </w:r>
    </w:p>
    <w:p w14:paraId="513455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（3）委托人在收到受托人送交的索赔报告和有关资料后7天内未予答复，或未对受托人作进一步要求，视为该项索赔已经认可。</w:t>
      </w:r>
    </w:p>
    <w:p w14:paraId="44E23B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3受托人未能按合同约定履行自己的各项义务，或者发生应由受托人承担责任的其他情况，给委托人造成经济损失，委托人可按11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2款确定的时限和程序向受托人提出索赔。</w:t>
      </w:r>
    </w:p>
    <w:p w14:paraId="04188879">
      <w:pPr>
        <w:spacing w:line="360" w:lineRule="auto"/>
        <w:ind w:firstLine="420" w:firstLineChars="200"/>
        <w:rPr>
          <w:rFonts w:ascii="宋体" w:hAnsi="宋体" w:eastAsia="宋体" w:cs="宋体"/>
          <w:color w:val="auto"/>
          <w:szCs w:val="21"/>
          <w:highlight w:val="none"/>
        </w:rPr>
      </w:pPr>
    </w:p>
    <w:p w14:paraId="0014A53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12、争议</w:t>
      </w:r>
    </w:p>
    <w:p w14:paraId="65EDB9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1委托人和受托人履行合同时发生争议，可以和解或者向有关部门或机构申请调解。当事人不愿和解、调解或者和解、调解不成的，双方可以在本合同专用条款约定以下一种方式解决争议：</w:t>
      </w:r>
    </w:p>
    <w:p w14:paraId="62B920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（1）双方达成仲裁协议，向约定的仲裁委员会申请仲裁；</w:t>
      </w:r>
    </w:p>
    <w:p w14:paraId="682D7A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（2）向有管辖权的人民法院起诉。</w:t>
      </w:r>
    </w:p>
    <w:p w14:paraId="6B67B0E2">
      <w:pPr>
        <w:spacing w:line="360" w:lineRule="auto"/>
        <w:ind w:firstLine="420" w:firstLineChars="200"/>
        <w:rPr>
          <w:rFonts w:ascii="宋体" w:hAnsi="宋体" w:eastAsia="宋体" w:cs="宋体"/>
          <w:color w:val="auto"/>
          <w:szCs w:val="21"/>
          <w:highlight w:val="none"/>
        </w:rPr>
      </w:pPr>
    </w:p>
    <w:p w14:paraId="46E8EA66">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五、合同变更、生效与终止</w:t>
      </w:r>
    </w:p>
    <w:p w14:paraId="1CDFBA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13、合同变更或解除</w:t>
      </w:r>
    </w:p>
    <w:p w14:paraId="70BFB5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1本合同签订后，由于委托人原因，使得受托人不能持续履行招标代理业务时，委托人应及时通知受托人暂停招标代理业务。当需要恢复招标代理业务时，应当在正式恢复前7天通知受托人。</w:t>
      </w:r>
    </w:p>
    <w:p w14:paraId="01B3C7AD">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若暂停时间超过六个月，当需要恢复招标代理业务时，委托人应向受托人</w:t>
      </w:r>
      <w:r>
        <w:rPr>
          <w:rFonts w:hint="eastAsia" w:ascii="宋体" w:hAnsi="宋体" w:eastAsia="宋体" w:cs="宋体"/>
          <w:color w:val="auto"/>
          <w:szCs w:val="21"/>
          <w:highlight w:val="none"/>
          <w:lang w:val="zh-CN"/>
        </w:rPr>
        <w:t>支付重新启动该招标代理工作一定的补偿费用，具体计算方式经双方协商以补充协议确定。</w:t>
      </w:r>
    </w:p>
    <w:p w14:paraId="744B1C7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13.2本合同签订后，如因法律、行政法规发生变化或由于任何后续新颁布的法律、行政法规导致服务所需的成本或时间发生改变，则本合同约定的服务报酬和服务期限由双方签订补充协议进行相应调整。</w:t>
      </w:r>
    </w:p>
    <w:p w14:paraId="036B658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13.3本合同当事人一方要求变更或解除合同时，除法律、行政法规另有规定外，应与对方当事人协商一致并达成书面协议。未达成书面协议的，本合同依然有效。</w:t>
      </w:r>
    </w:p>
    <w:p w14:paraId="165A6E4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13.4因解除合同使当事人一</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val="zh-CN"/>
        </w:rPr>
        <w:t>遭受损失的，除依法或依合同约定可以免除责任外，应由责任方负责赔偿对方的损失，赔偿方法与金额由双方在协议书中约定。</w:t>
      </w:r>
    </w:p>
    <w:p w14:paraId="1E7A7B0C">
      <w:pPr>
        <w:spacing w:line="360" w:lineRule="auto"/>
        <w:ind w:firstLine="420" w:firstLineChars="200"/>
        <w:rPr>
          <w:rFonts w:ascii="宋体" w:hAnsi="宋体" w:eastAsia="宋体" w:cs="宋体"/>
          <w:color w:val="auto"/>
          <w:szCs w:val="21"/>
          <w:highlight w:val="none"/>
          <w:lang w:val="zh-CN"/>
        </w:rPr>
      </w:pPr>
    </w:p>
    <w:p w14:paraId="1499EC2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14、合同生效</w:t>
      </w:r>
    </w:p>
    <w:p w14:paraId="5C09A1B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14.1除生效条件双方在协议书中另有约定外，本合同自双方签字并盖章之日起生效。</w:t>
      </w:r>
    </w:p>
    <w:p w14:paraId="4C61836B">
      <w:pPr>
        <w:spacing w:line="360" w:lineRule="auto"/>
        <w:ind w:firstLine="420" w:firstLineChars="200"/>
        <w:rPr>
          <w:rFonts w:ascii="宋体" w:hAnsi="宋体" w:eastAsia="宋体" w:cs="宋体"/>
          <w:color w:val="auto"/>
          <w:szCs w:val="21"/>
          <w:highlight w:val="none"/>
          <w:lang w:val="zh-CN"/>
        </w:rPr>
      </w:pPr>
    </w:p>
    <w:p w14:paraId="326EDC0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15、合同终止</w:t>
      </w:r>
    </w:p>
    <w:p w14:paraId="3D48AF7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15.1受托人完成委托人全部委托招标代理业务，且委托人或中标人支付了全部代理报酬（含附加服务的报酬）后本合同终止。</w:t>
      </w:r>
    </w:p>
    <w:p w14:paraId="3E4E20F8">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15.2本合同终止并不影响各方应有的权利和应承担的义务。</w:t>
      </w:r>
    </w:p>
    <w:p w14:paraId="4AEE574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2F99CC4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15.4本合同的权利和义务终止后，委托人和受托人应当遵循诚实信用原则，履行通知、协助、保密等义务。</w:t>
      </w:r>
    </w:p>
    <w:p w14:paraId="15DFC0BD">
      <w:pPr>
        <w:spacing w:line="360" w:lineRule="auto"/>
        <w:ind w:firstLine="420" w:firstLineChars="200"/>
        <w:rPr>
          <w:rFonts w:ascii="宋体" w:hAnsi="宋体" w:eastAsia="宋体" w:cs="宋体"/>
          <w:color w:val="auto"/>
          <w:szCs w:val="21"/>
          <w:highlight w:val="none"/>
          <w:lang w:val="zh-CN"/>
        </w:rPr>
      </w:pPr>
    </w:p>
    <w:p w14:paraId="2BC264D9">
      <w:pPr>
        <w:spacing w:line="360" w:lineRule="auto"/>
        <w:ind w:firstLine="422" w:firstLineChars="2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六、其他</w:t>
      </w:r>
    </w:p>
    <w:p w14:paraId="672B941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16、合同的份数</w:t>
      </w:r>
    </w:p>
    <w:p w14:paraId="5FF2C4A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16.1本合同正本一式两份，委托人和受托人各执一份。副本根据双方需要在本合同专用条款内约定。</w:t>
      </w:r>
    </w:p>
    <w:p w14:paraId="3E7D8D4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17、补充条款</w:t>
      </w:r>
    </w:p>
    <w:p w14:paraId="1BD1A471">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双方根据有关法律、行政法规规定，结合本合同招标工程实际，经协商一致后，可对本合同通用条款未涉及的内容进行补充。</w:t>
      </w:r>
    </w:p>
    <w:p w14:paraId="217F9479">
      <w:pPr>
        <w:spacing w:line="360" w:lineRule="auto"/>
        <w:ind w:firstLine="420" w:firstLineChars="200"/>
        <w:jc w:val="center"/>
        <w:rPr>
          <w:rFonts w:ascii="宋体" w:hAnsi="宋体" w:eastAsia="宋体" w:cs="宋体"/>
          <w:color w:val="auto"/>
          <w:szCs w:val="21"/>
          <w:highlight w:val="none"/>
          <w:lang w:val="zh-CN"/>
        </w:rPr>
      </w:pPr>
    </w:p>
    <w:p w14:paraId="35CA352D">
      <w:pPr>
        <w:spacing w:line="360" w:lineRule="auto"/>
        <w:ind w:firstLine="420" w:firstLineChars="200"/>
        <w:jc w:val="center"/>
        <w:rPr>
          <w:rFonts w:ascii="宋体" w:hAnsi="宋体" w:eastAsia="宋体" w:cs="宋体"/>
          <w:color w:val="auto"/>
          <w:szCs w:val="21"/>
          <w:highlight w:val="none"/>
          <w:lang w:val="zh-CN"/>
        </w:rPr>
      </w:pPr>
    </w:p>
    <w:p w14:paraId="36238250">
      <w:pPr>
        <w:spacing w:line="360" w:lineRule="auto"/>
        <w:ind w:firstLine="420" w:firstLineChars="200"/>
        <w:jc w:val="center"/>
        <w:rPr>
          <w:rFonts w:ascii="宋体" w:hAnsi="宋体" w:eastAsia="宋体" w:cs="宋体"/>
          <w:color w:val="auto"/>
          <w:szCs w:val="21"/>
          <w:highlight w:val="none"/>
          <w:lang w:val="zh-CN"/>
        </w:rPr>
      </w:pPr>
    </w:p>
    <w:p w14:paraId="27999A46">
      <w:pPr>
        <w:spacing w:line="360" w:lineRule="auto"/>
        <w:ind w:firstLine="420" w:firstLineChars="200"/>
        <w:jc w:val="center"/>
        <w:rPr>
          <w:rFonts w:ascii="宋体" w:hAnsi="宋体" w:eastAsia="宋体" w:cs="宋体"/>
          <w:color w:val="auto"/>
          <w:szCs w:val="30"/>
          <w:highlight w:val="none"/>
          <w:lang w:val="zh-CN"/>
        </w:rPr>
      </w:pPr>
    </w:p>
    <w:p w14:paraId="3E26909F">
      <w:pPr>
        <w:spacing w:line="360" w:lineRule="auto"/>
        <w:rPr>
          <w:rFonts w:ascii="宋体" w:hAnsi="宋体" w:eastAsia="宋体" w:cs="宋体"/>
          <w:color w:val="auto"/>
          <w:szCs w:val="30"/>
          <w:highlight w:val="none"/>
          <w:lang w:val="zh-CN"/>
        </w:rPr>
      </w:pPr>
    </w:p>
    <w:p w14:paraId="1DB41C67">
      <w:pPr>
        <w:spacing w:line="360" w:lineRule="auto"/>
        <w:ind w:firstLine="883" w:firstLineChars="200"/>
        <w:jc w:val="center"/>
        <w:rPr>
          <w:rFonts w:ascii="宋体" w:hAnsi="宋体" w:eastAsia="宋体" w:cs="宋体"/>
          <w:b/>
          <w:bCs/>
          <w:color w:val="auto"/>
          <w:sz w:val="32"/>
          <w:szCs w:val="32"/>
          <w:highlight w:val="none"/>
        </w:rPr>
      </w:pPr>
      <w:r>
        <w:rPr>
          <w:rFonts w:hint="eastAsia" w:ascii="宋体" w:hAnsi="宋体" w:eastAsia="宋体" w:cs="宋体"/>
          <w:b/>
          <w:bCs/>
          <w:color w:val="auto"/>
          <w:sz w:val="44"/>
          <w:szCs w:val="30"/>
          <w:highlight w:val="none"/>
          <w:lang w:val="zh-CN"/>
        </w:rPr>
        <w:br w:type="page"/>
      </w:r>
      <w:r>
        <w:rPr>
          <w:rFonts w:hint="eastAsia" w:ascii="宋体" w:hAnsi="宋体" w:eastAsia="宋体" w:cs="宋体"/>
          <w:b/>
          <w:bCs/>
          <w:color w:val="auto"/>
          <w:sz w:val="32"/>
          <w:szCs w:val="32"/>
          <w:highlight w:val="none"/>
        </w:rPr>
        <w:t>第二部分专用条款</w:t>
      </w:r>
    </w:p>
    <w:p w14:paraId="77D77E53">
      <w:pPr>
        <w:spacing w:line="360" w:lineRule="auto"/>
        <w:ind w:firstLine="422" w:firstLineChars="2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一、词语定义和适用法律</w:t>
      </w:r>
    </w:p>
    <w:p w14:paraId="399A199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2、合同文件及解释顺序</w:t>
      </w:r>
    </w:p>
    <w:p w14:paraId="0909B156">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2.1合同文件及解释顺序：</w:t>
      </w:r>
      <w:r>
        <w:rPr>
          <w:rFonts w:hint="eastAsia" w:ascii="宋体" w:hAnsi="宋体" w:eastAsia="宋体" w:cs="宋体"/>
          <w:b/>
          <w:color w:val="auto"/>
          <w:szCs w:val="21"/>
          <w:highlight w:val="none"/>
          <w:u w:val="single"/>
        </w:rPr>
        <w:t>按通用条款</w:t>
      </w:r>
    </w:p>
    <w:p w14:paraId="734E35E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3、语言文字和适用法律</w:t>
      </w:r>
    </w:p>
    <w:p w14:paraId="65BA2CC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3.1语言文字</w:t>
      </w:r>
    </w:p>
    <w:p w14:paraId="57F5FA7D">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本合同采用的文字为：简体中文</w:t>
      </w:r>
    </w:p>
    <w:p w14:paraId="55565A1B">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 xml:space="preserve">3.2本合同需要明示的法律、行政法规：无 </w:t>
      </w:r>
    </w:p>
    <w:p w14:paraId="4E8C3509">
      <w:pPr>
        <w:spacing w:line="360" w:lineRule="auto"/>
        <w:ind w:firstLine="422" w:firstLineChars="200"/>
        <w:rPr>
          <w:rFonts w:ascii="宋体" w:hAnsi="宋体" w:eastAsia="宋体" w:cs="宋体"/>
          <w:b/>
          <w:color w:val="auto"/>
          <w:szCs w:val="21"/>
          <w:highlight w:val="none"/>
          <w:u w:val="single"/>
        </w:rPr>
      </w:pPr>
    </w:p>
    <w:p w14:paraId="2920B9C3">
      <w:pPr>
        <w:spacing w:line="360" w:lineRule="auto"/>
        <w:ind w:firstLine="422" w:firstLineChars="2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二、双方一般权利和义务</w:t>
      </w:r>
    </w:p>
    <w:p w14:paraId="30AC9D88">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4、委托人的义务</w:t>
      </w:r>
    </w:p>
    <w:p w14:paraId="70E515E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4.1委托招标代理工作的具体范围和内容：</w:t>
      </w:r>
    </w:p>
    <w:p w14:paraId="113F9CC4">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委托项目招标全过程的代理，包括但不限于对项目全过程进行统筹规划、提出合理化建议、协助委托人开展招标需求调查，编制招标文件、办理招标文件核备手续（如需）、提出招标申请、预订开标、入围筛选（如需）、评标和定标场地（如需）和发布招标公告、</w:t>
      </w:r>
      <w:r>
        <w:rPr>
          <w:rFonts w:hint="eastAsia" w:ascii="宋体" w:hAnsi="宋体" w:eastAsia="宋体" w:cs="宋体"/>
          <w:b/>
          <w:color w:val="auto"/>
          <w:szCs w:val="21"/>
          <w:highlight w:val="none"/>
          <w:u w:val="single"/>
          <w:lang w:val="en-US" w:eastAsia="zh-CN"/>
        </w:rPr>
        <w:t>发布招标文件、</w:t>
      </w:r>
      <w:r>
        <w:rPr>
          <w:rFonts w:hint="eastAsia" w:ascii="宋体" w:hAnsi="宋体" w:eastAsia="宋体" w:cs="宋体"/>
          <w:b/>
          <w:color w:val="auto"/>
          <w:szCs w:val="21"/>
          <w:highlight w:val="none"/>
          <w:u w:val="single"/>
        </w:rPr>
        <w:t>协助委托人审查投标人资格、答疑和整理答疑回复、申请评标及评标专家抽取（委托人专家代表，非评标项目除外）、（进行技术暗标评审或按监督部门或委托人有要求时）申请及办理公证、组织开标、入围筛选、评标和定标、</w:t>
      </w:r>
      <w:r>
        <w:rPr>
          <w:rFonts w:hint="eastAsia" w:ascii="宋体" w:hAnsi="宋体" w:eastAsia="宋体" w:cs="宋体"/>
          <w:b/>
          <w:bCs/>
          <w:color w:val="auto"/>
          <w:szCs w:val="21"/>
          <w:highlight w:val="none"/>
          <w:u w:val="single"/>
        </w:rPr>
        <w:t>结果公示</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签发中标通知书、提交招投标书面情况报告及办理行业监督部门核备手续（如需）、审核预中标单位投标文件的不平衡报价、草拟合同及征询合同双方意见进行修订并装订、合同公示、退回投标保证金</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如需</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组织签订合同、办理合同等相应备案手续、招标全过程资料整理（含档案数字化）和存档保管、处理招标项目相关异议、投诉，处理招标工程后续工作、协助调解招标过程及招标合同实施过程中的争议，以及其他保证招标工作按时按质顺利进行的其他事项</w:t>
      </w:r>
      <w:r>
        <w:rPr>
          <w:rFonts w:hint="eastAsia" w:ascii="宋体" w:hAnsi="宋体" w:eastAsia="宋体" w:cs="宋体"/>
          <w:color w:val="auto"/>
          <w:szCs w:val="21"/>
          <w:highlight w:val="none"/>
        </w:rPr>
        <w:t>。</w:t>
      </w:r>
    </w:p>
    <w:p w14:paraId="3926ED9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4.2委托人应按约定的时间和要求完成下列工作：</w:t>
      </w:r>
    </w:p>
    <w:p w14:paraId="54829D7C">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（1）委托人应根据招标工作的需要，在招标前及时提供有关资料（包括：相关工程前期资料、资金落实情况、完成招标代理业务所需的全部技术资料和图纸等），并保证资料的准确、可靠和完整。</w:t>
      </w:r>
    </w:p>
    <w:p w14:paraId="4438024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（2）向受托人提供完全代理招标业务所需的全部资料的时间：</w:t>
      </w:r>
      <w:r>
        <w:rPr>
          <w:rFonts w:hint="eastAsia" w:ascii="宋体" w:hAnsi="宋体" w:eastAsia="宋体" w:cs="宋体"/>
          <w:b/>
          <w:color w:val="auto"/>
          <w:szCs w:val="21"/>
          <w:highlight w:val="none"/>
          <w:u w:val="single"/>
        </w:rPr>
        <w:t>发布招标公告前</w:t>
      </w:r>
      <w:r>
        <w:rPr>
          <w:rFonts w:hint="eastAsia" w:ascii="宋体" w:hAnsi="宋体" w:eastAsia="宋体" w:cs="宋体"/>
          <w:b/>
          <w:color w:val="auto"/>
          <w:szCs w:val="21"/>
          <w:highlight w:val="none"/>
        </w:rPr>
        <w:t>。</w:t>
      </w:r>
    </w:p>
    <w:p w14:paraId="7288AA7D">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（3）向受托人提供保证招标工作顺利完成的条件：</w:t>
      </w:r>
    </w:p>
    <w:p w14:paraId="6F225C42">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①在受托人开展招标代理业务前应按规定办好招标所需有关审批手续，使招标具备条件。</w:t>
      </w:r>
    </w:p>
    <w:p w14:paraId="4F810729">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②委托代理项目中如内容、时间、要求等进行调整，委托人应当提前通知受托人，以便调整相应的工作安排，如因此造成的时间延长，相应招标工作时间顺延。</w:t>
      </w:r>
    </w:p>
    <w:p w14:paraId="4DC82ED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（4）指定的与受托人联系的人员</w:t>
      </w:r>
    </w:p>
    <w:p w14:paraId="3CFDF5D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lang w:val="zh-CN"/>
        </w:rPr>
        <w:t>姓名：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p>
    <w:p w14:paraId="49624AE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职务：</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p>
    <w:p w14:paraId="211EB0B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lang w:val="zh-CN"/>
        </w:rPr>
        <w:t>职称：</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p>
    <w:p w14:paraId="520BB18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p>
    <w:p w14:paraId="1DC54C0F">
      <w:pPr>
        <w:spacing w:line="360" w:lineRule="auto"/>
        <w:ind w:firstLine="315" w:firstLineChars="150"/>
        <w:rPr>
          <w:rFonts w:ascii="宋体" w:hAnsi="宋体" w:eastAsia="宋体" w:cs="宋体"/>
          <w:color w:val="auto"/>
          <w:szCs w:val="21"/>
          <w:highlight w:val="none"/>
          <w:vertAlign w:val="subscript"/>
        </w:rPr>
      </w:pPr>
      <w:r>
        <w:rPr>
          <w:rFonts w:hint="eastAsia" w:ascii="宋体" w:hAnsi="宋体" w:eastAsia="宋体" w:cs="宋体"/>
          <w:color w:val="auto"/>
          <w:szCs w:val="21"/>
          <w:highlight w:val="none"/>
          <w:lang w:val="zh-CN"/>
        </w:rPr>
        <w:t>（5）需要与第三方协调的工作：</w:t>
      </w:r>
    </w:p>
    <w:p w14:paraId="47C13D25">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委托人负责与本工程招标有关的第三方协调，为受托人工作提供外部条件；受托人要求第三方提供有关资料时，委托人可协助转达及资料转送。</w:t>
      </w:r>
    </w:p>
    <w:p w14:paraId="04DB0E72">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）应尽的其他义务：</w:t>
      </w:r>
      <w:r>
        <w:rPr>
          <w:rFonts w:hint="eastAsia" w:ascii="宋体" w:hAnsi="宋体" w:eastAsia="宋体" w:cs="宋体"/>
          <w:b/>
          <w:color w:val="auto"/>
          <w:szCs w:val="21"/>
          <w:highlight w:val="none"/>
          <w:u w:val="single"/>
        </w:rPr>
        <w:t xml:space="preserve">对招标投标过程及有关事项对外保密；如果委托代理项目的内容、时间等有重大调整，应提前通知受托人，以便调整相应的工作安排。 </w:t>
      </w:r>
    </w:p>
    <w:p w14:paraId="7A01B4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3受托人在履行招标代理业务过程中，提出的超出招标代理范围的合理化建议，委托人无需向受托人支付任何奖励。</w:t>
      </w:r>
    </w:p>
    <w:p w14:paraId="2AE3707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5、受托人的义务</w:t>
      </w:r>
    </w:p>
    <w:p w14:paraId="4616811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5.1招标代理项目负责人姓名：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p>
    <w:p w14:paraId="0BC5E26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lang w:val="zh-CN"/>
        </w:rPr>
        <w:t>联系电话：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p>
    <w:p w14:paraId="6A27BCE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5.2受托人应按约定的时间和要求完</w:t>
      </w:r>
      <w:r>
        <w:rPr>
          <w:rFonts w:hint="eastAsia" w:ascii="宋体" w:hAnsi="宋体" w:eastAsia="宋体" w:cs="宋体"/>
          <w:color w:val="auto"/>
          <w:szCs w:val="21"/>
          <w:highlight w:val="none"/>
        </w:rPr>
        <w:t>成</w:t>
      </w:r>
      <w:r>
        <w:rPr>
          <w:rFonts w:hint="eastAsia" w:ascii="宋体" w:hAnsi="宋体" w:eastAsia="宋体" w:cs="宋体"/>
          <w:color w:val="auto"/>
          <w:szCs w:val="21"/>
          <w:highlight w:val="none"/>
          <w:lang w:val="zh-CN"/>
        </w:rPr>
        <w:t>下列工作：</w:t>
      </w:r>
    </w:p>
    <w:p w14:paraId="59D8A264">
      <w:pPr>
        <w:tabs>
          <w:tab w:val="left" w:pos="1080"/>
        </w:tabs>
        <w:spacing w:line="360" w:lineRule="auto"/>
        <w:ind w:firstLine="367" w:firstLineChars="175"/>
        <w:rPr>
          <w:rFonts w:ascii="宋体" w:hAnsi="宋体" w:eastAsia="宋体" w:cs="宋体"/>
          <w:color w:val="auto"/>
          <w:szCs w:val="21"/>
          <w:highlight w:val="none"/>
        </w:rPr>
      </w:pPr>
      <w:r>
        <w:rPr>
          <w:rFonts w:hint="eastAsia" w:ascii="宋体" w:hAnsi="宋体" w:eastAsia="宋体" w:cs="宋体"/>
          <w:color w:val="auto"/>
          <w:szCs w:val="21"/>
          <w:highlight w:val="none"/>
          <w:lang w:val="zh-CN"/>
        </w:rPr>
        <w:t>（1）组织招标工作的内容和时间：</w:t>
      </w:r>
      <w:r>
        <w:rPr>
          <w:rFonts w:hint="eastAsia" w:ascii="宋体" w:hAnsi="宋体" w:eastAsia="宋体" w:cs="宋体"/>
          <w:b/>
          <w:color w:val="auto"/>
          <w:szCs w:val="21"/>
          <w:highlight w:val="none"/>
          <w:u w:val="single"/>
        </w:rPr>
        <w:t>工作内容详见“本合同专用条款4.1”，在本合同签署之日起7个工作日内完成招标文件初稿的编制，并保证招标文件的合法合规性、完整性、准确性</w:t>
      </w:r>
      <w:r>
        <w:rPr>
          <w:rFonts w:hint="eastAsia" w:ascii="宋体" w:hAnsi="宋体" w:eastAsia="宋体" w:cs="宋体"/>
          <w:color w:val="auto"/>
          <w:szCs w:val="21"/>
          <w:highlight w:val="none"/>
          <w:lang w:val="zh-CN"/>
        </w:rPr>
        <w:t>。</w:t>
      </w:r>
    </w:p>
    <w:p w14:paraId="23941494">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（2）为委托人提供的为完成招标工作的相关咨询服务：</w:t>
      </w:r>
      <w:r>
        <w:rPr>
          <w:rFonts w:hint="eastAsia" w:ascii="宋体" w:hAnsi="宋体" w:eastAsia="宋体" w:cs="宋体"/>
          <w:b/>
          <w:bCs/>
          <w:color w:val="auto"/>
          <w:szCs w:val="21"/>
          <w:highlight w:val="none"/>
          <w:u w:val="single"/>
          <w:lang w:val="zh-CN"/>
        </w:rPr>
        <w:t>对</w:t>
      </w:r>
      <w:r>
        <w:rPr>
          <w:rFonts w:hint="eastAsia" w:ascii="宋体" w:hAnsi="宋体" w:eastAsia="宋体" w:cs="宋体"/>
          <w:b/>
          <w:bCs/>
          <w:color w:val="auto"/>
          <w:szCs w:val="21"/>
          <w:highlight w:val="none"/>
          <w:u w:val="single"/>
        </w:rPr>
        <w:t>委托</w:t>
      </w:r>
      <w:r>
        <w:rPr>
          <w:rFonts w:hint="eastAsia" w:ascii="宋体" w:hAnsi="宋体" w:eastAsia="宋体" w:cs="宋体"/>
          <w:b/>
          <w:bCs/>
          <w:color w:val="auto"/>
          <w:szCs w:val="21"/>
          <w:highlight w:val="none"/>
          <w:u w:val="single"/>
          <w:lang w:val="zh-CN"/>
        </w:rPr>
        <w:t>人提供的用户需求书、招标控制价、图纸、清单等基础资料进行复核并提出合理化建议，并确保编制的招标文件与</w:t>
      </w:r>
      <w:r>
        <w:rPr>
          <w:rFonts w:hint="eastAsia" w:ascii="宋体" w:hAnsi="宋体" w:eastAsia="宋体" w:cs="宋体"/>
          <w:b/>
          <w:bCs/>
          <w:color w:val="auto"/>
          <w:szCs w:val="21"/>
          <w:highlight w:val="none"/>
          <w:u w:val="single"/>
        </w:rPr>
        <w:t>委托</w:t>
      </w:r>
      <w:r>
        <w:rPr>
          <w:rFonts w:hint="eastAsia" w:ascii="宋体" w:hAnsi="宋体" w:eastAsia="宋体" w:cs="宋体"/>
          <w:b/>
          <w:bCs/>
          <w:color w:val="auto"/>
          <w:szCs w:val="21"/>
          <w:highlight w:val="none"/>
          <w:u w:val="single"/>
          <w:lang w:val="zh-CN"/>
        </w:rPr>
        <w:t>人提供的基础资料相匹配；</w:t>
      </w:r>
      <w:r>
        <w:rPr>
          <w:rFonts w:hint="eastAsia" w:ascii="宋体" w:hAnsi="宋体" w:eastAsia="宋体" w:cs="宋体"/>
          <w:b/>
          <w:color w:val="auto"/>
          <w:szCs w:val="21"/>
          <w:highlight w:val="none"/>
          <w:u w:val="single"/>
        </w:rPr>
        <w:t>应用专业技术与技能为委托人提供完成招标工作相关的咨询服务；协助委托人开展招标需求调查；向委托人宣传有关招标采购的法律、行政法规和规章，解释合理的招标程序，以便得到委托人的支持和配合</w:t>
      </w:r>
      <w:r>
        <w:rPr>
          <w:rFonts w:hint="eastAsia" w:ascii="宋体" w:hAnsi="宋体" w:eastAsia="宋体" w:cs="宋体"/>
          <w:b/>
          <w:color w:val="auto"/>
          <w:szCs w:val="21"/>
          <w:highlight w:val="none"/>
        </w:rPr>
        <w:t>。</w:t>
      </w:r>
    </w:p>
    <w:p w14:paraId="192AF739">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（3）承担招标代理业务过程中，应由受托人支付的费用：包括但不限于</w:t>
      </w:r>
      <w:r>
        <w:rPr>
          <w:rFonts w:hint="eastAsia" w:ascii="宋体" w:hAnsi="宋体" w:eastAsia="宋体" w:cs="宋体"/>
          <w:b/>
          <w:color w:val="auto"/>
          <w:szCs w:val="21"/>
          <w:highlight w:val="none"/>
          <w:u w:val="single"/>
          <w:lang w:val="zh-CN"/>
        </w:rPr>
        <w:t>资料查阅与调查费、现场勘查费、招标咨询费，招标方案及</w:t>
      </w:r>
      <w:r>
        <w:rPr>
          <w:rFonts w:hint="eastAsia" w:ascii="宋体" w:hAnsi="宋体" w:eastAsia="宋体" w:cs="宋体"/>
          <w:b/>
          <w:color w:val="auto"/>
          <w:szCs w:val="21"/>
          <w:highlight w:val="none"/>
          <w:u w:val="single"/>
        </w:rPr>
        <w:t>招标文件编制费用、招标过程中所需文件的印刷装订费用，公告公示费、合同编制、印刷及组织签订费用，受托人代理人员费用（人员薪酬、福利、交通、通信、保险、驻场服务等费用）、税金，开标、筛选、评标、定标所需工具、材料，筛选、评标、定标现场的饮品、水果等会务食品费用，抽取及接送专家、开标、在评标时的餐饮费，公证费用、专家评标费用（含差旅费、食宿费、交通费、保险费等）、招标过程（含筛选、评标、定标）场地使用费，档案整理（含档案数字化）、招标全过程档案（含所有单位的投标文件）的保管费以及其他应由受托人支付的费用（含开具增值税专用发票税费）。</w:t>
      </w:r>
    </w:p>
    <w:p w14:paraId="46F7AC2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严格执行《中华人民共和国招标投标法》及其实施条例等法律法规的相关规定，保证招标程序、结果合法有效。招标过程中任何因违反法律、法规、规章及招标投标相关政策的责任，全部由受托人负责（非受托人责任除外），并由受托人承担因此而产生的一切经济损失和赔偿责任。</w:t>
      </w:r>
    </w:p>
    <w:p w14:paraId="433492D1">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根据招标项目的特点和需要编制各类招标文件，并保证编制文件的合法性、完整性、准确性负责。</w:t>
      </w:r>
    </w:p>
    <w:p w14:paraId="7E00A2A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（5）按照招标要求组织会议和组织招标工作。组织招标工作的内容和时间按项目招标文件及委托人要求执行。</w:t>
      </w:r>
    </w:p>
    <w:p w14:paraId="0DA147A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在招标过程中向委托人提供与项目招标有关的全方位法律、法规及政策咨询，包括提醒（或纠正）委托人在招标过程中的任何违反法律、法规及政策的行为，否则，因此而导致违法违规、招标无效等责任，全部由受托人负责（受托人已向委托人书面提出除外）。</w:t>
      </w:r>
    </w:p>
    <w:p w14:paraId="28D72C96">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7）在委托授权范围内组织本项目的招标工作，为委托人提供优质的招标代理服务。未经委托人书面同意，不得将本合同所确定的招标代理服务转让至任何第三方，不得擅自就招标答疑、修改澄清及中标结果等实质性内容对外作任何形式承诺或确定。受托人工作人员如与本招标项目潜在投标人有任何利益关系应主动提出回避。</w:t>
      </w:r>
    </w:p>
    <w:p w14:paraId="6E9E40EA">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（8）制定招标工作的进度计划，严格按进度计划、招标文件及委托人的要求按时认真完成各项代理事项。</w:t>
      </w:r>
    </w:p>
    <w:p w14:paraId="3B5D18FD">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（9）负责组织实施招标工作，包括但不限于印刷、发</w:t>
      </w:r>
      <w:r>
        <w:rPr>
          <w:rFonts w:hint="eastAsia" w:ascii="宋体" w:hAnsi="宋体" w:cs="宋体"/>
          <w:color w:val="auto"/>
          <w:szCs w:val="21"/>
          <w:highlight w:val="none"/>
          <w:lang w:val="en-US" w:eastAsia="zh-CN"/>
        </w:rPr>
        <w:t>布</w:t>
      </w:r>
      <w:r>
        <w:rPr>
          <w:rFonts w:hint="eastAsia" w:ascii="宋体" w:hAnsi="宋体" w:cs="宋体"/>
          <w:color w:val="auto"/>
          <w:szCs w:val="21"/>
          <w:highlight w:val="none"/>
          <w:lang w:val="zh-CN"/>
        </w:rPr>
        <w:t>、解释或答疑招标文件的各项工作。接受投标人的</w:t>
      </w:r>
      <w:r>
        <w:rPr>
          <w:rFonts w:hint="eastAsia" w:ascii="宋体" w:hAnsi="宋体" w:cs="宋体"/>
          <w:color w:val="auto"/>
          <w:szCs w:val="21"/>
          <w:highlight w:val="none"/>
          <w:lang w:val="en-US" w:eastAsia="zh-CN"/>
        </w:rPr>
        <w:t>不记名</w:t>
      </w:r>
      <w:r>
        <w:rPr>
          <w:rFonts w:hint="eastAsia" w:ascii="宋体" w:hAnsi="宋体" w:cs="宋体"/>
          <w:color w:val="auto"/>
          <w:szCs w:val="21"/>
          <w:highlight w:val="none"/>
          <w:lang w:val="zh-CN"/>
        </w:rPr>
        <w:t>报名登记，向投标人发</w:t>
      </w:r>
      <w:r>
        <w:rPr>
          <w:rFonts w:hint="eastAsia" w:ascii="宋体" w:hAnsi="宋体" w:cs="宋体"/>
          <w:color w:val="auto"/>
          <w:szCs w:val="21"/>
          <w:highlight w:val="none"/>
          <w:lang w:val="en-US" w:eastAsia="zh-CN"/>
        </w:rPr>
        <w:t>布</w:t>
      </w:r>
      <w:r>
        <w:rPr>
          <w:rFonts w:hint="eastAsia" w:ascii="宋体" w:hAnsi="宋体" w:cs="宋体"/>
          <w:color w:val="auto"/>
          <w:szCs w:val="21"/>
          <w:highlight w:val="none"/>
          <w:lang w:val="zh-CN"/>
        </w:rPr>
        <w:t>项目文件。</w:t>
      </w:r>
    </w:p>
    <w:p w14:paraId="0E19B62E">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（10）负责接受投标人的投标文件，组织并主持开标。开标后，负责将开标记录书面送达委托人。</w:t>
      </w:r>
    </w:p>
    <w:p w14:paraId="1250AF03">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（11）负责组织招标项目的评标工作，邀请评审专家、澄清评标过程中所发现的投标文件中的有关问题等。必要时，负责邀请有关投标人前来进行现场澄清。</w:t>
      </w:r>
    </w:p>
    <w:p w14:paraId="6E4ADA5C">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（12）负责编制评标报告，向委托人及有关主管部门（如需）汇报评标结果，解答相关问题。</w:t>
      </w:r>
    </w:p>
    <w:p w14:paraId="1444D638">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w:t>
      </w:r>
      <w:r>
        <w:rPr>
          <w:rFonts w:hint="eastAsia" w:ascii="宋体" w:hAnsi="宋体" w:cs="宋体"/>
          <w:color w:val="auto"/>
          <w:szCs w:val="21"/>
          <w:highlight w:val="none"/>
        </w:rPr>
        <w:t>根据法律法规、招标文件等规定的</w:t>
      </w:r>
      <w:r>
        <w:rPr>
          <w:rFonts w:hint="eastAsia" w:ascii="宋体" w:hAnsi="宋体" w:cs="宋体"/>
          <w:color w:val="auto"/>
          <w:szCs w:val="21"/>
          <w:highlight w:val="none"/>
          <w:lang w:val="zh-CN"/>
        </w:rPr>
        <w:t>时间，代委托人向投标人收取和退还投标保证金。</w:t>
      </w:r>
    </w:p>
    <w:p w14:paraId="3E2C5C68">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（14）向中标人发出中标通知书，并将结果在法定期限内通知所有本项目未中标的投标人。</w:t>
      </w:r>
    </w:p>
    <w:p w14:paraId="06B06767">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（15）在规定的时间起草招标合同、征询合同双方意见、协调修订、印刷、装订合同，协助委托人收取履约担保金，组织合同签订</w:t>
      </w:r>
      <w:r>
        <w:rPr>
          <w:rFonts w:hint="eastAsia" w:ascii="宋体" w:hAnsi="宋体" w:cs="宋体"/>
          <w:color w:val="auto"/>
          <w:szCs w:val="21"/>
          <w:highlight w:val="none"/>
        </w:rPr>
        <w:t>，</w:t>
      </w:r>
      <w:r>
        <w:rPr>
          <w:rFonts w:hint="eastAsia" w:ascii="宋体" w:hAnsi="宋体" w:cs="宋体"/>
          <w:color w:val="auto"/>
          <w:szCs w:val="21"/>
          <w:highlight w:val="none"/>
          <w:lang w:val="zh-CN"/>
        </w:rPr>
        <w:t>并向相关招标管理部门办理合同的备案手续。</w:t>
      </w:r>
    </w:p>
    <w:p w14:paraId="26A0DC46">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（16）负责本招标项目相关的异议、投诉、纠纷处理，并承担责任及后果。</w:t>
      </w:r>
    </w:p>
    <w:p w14:paraId="04D5287D">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（17）如招标项目未能确定中标人的，应按委托人要求负责重新进行组织招标，直至确定中标人。</w:t>
      </w:r>
    </w:p>
    <w:p w14:paraId="58BB781E">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（18）招标全过程资料整理（含档案数字化）和存档保管，包括但不限于整理及汇集招标、投标、开标、</w:t>
      </w:r>
      <w:r>
        <w:rPr>
          <w:rFonts w:hint="eastAsia" w:ascii="宋体" w:hAnsi="宋体" w:cs="宋体"/>
          <w:color w:val="auto"/>
          <w:szCs w:val="21"/>
          <w:highlight w:val="none"/>
        </w:rPr>
        <w:t>入围筛选、</w:t>
      </w:r>
      <w:r>
        <w:rPr>
          <w:rFonts w:hint="eastAsia" w:ascii="宋体" w:hAnsi="宋体" w:cs="宋体"/>
          <w:color w:val="auto"/>
          <w:szCs w:val="21"/>
          <w:highlight w:val="none"/>
          <w:lang w:val="zh-CN"/>
        </w:rPr>
        <w:t>评标、定标等全过程书面资料（含编制对应的清单目录），并将投标文件电子资料、招标全过程书面资料扫描成PDF格式电子文档并储存于光盘，统一移交委托人，并保证PDF格式电子文档与书面材料一致。</w:t>
      </w:r>
    </w:p>
    <w:p w14:paraId="18AACA3A">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19）负责存档保管招标过程中的所有文件（含所有投标人的投标文件），并在招标完成后向委托人移交副本，并保证副本与受托人留存的正本一致（按规定在东莞市公共资源交易中心存档的资料，由受托人向东莞市公共资源交易中心移交存档）。受托人对资料的整理、存档、保管年限不低于《广东省政府采购项目档案管理暂行办法》&lt;粤财采购〔2004〕14号&gt;的要求。</w:t>
      </w:r>
    </w:p>
    <w:p w14:paraId="2C9339CD">
      <w:pPr>
        <w:pStyle w:val="20"/>
        <w:tabs>
          <w:tab w:val="left" w:pos="900"/>
        </w:tabs>
        <w:spacing w:line="360" w:lineRule="auto"/>
        <w:ind w:left="0" w:leftChars="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（20）对代理事项内严格遵守保密义务，受托人的保密义务不因本合同的终止而终止，直至该等保密信息被合法公开之日止。</w:t>
      </w:r>
    </w:p>
    <w:p w14:paraId="0BEABD4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（21）接受招投标监督管理部门的监督管理。</w:t>
      </w:r>
    </w:p>
    <w:p w14:paraId="3114132C">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（22）应尽的其他义务：</w:t>
      </w:r>
      <w:r>
        <w:rPr>
          <w:rFonts w:hint="eastAsia" w:ascii="宋体" w:hAnsi="宋体" w:eastAsia="宋体" w:cs="宋体"/>
          <w:b/>
          <w:color w:val="auto"/>
          <w:szCs w:val="21"/>
          <w:highlight w:val="none"/>
          <w:u w:val="single"/>
        </w:rPr>
        <w:t>其他保证招标工作按时按质顺利进行的事项</w:t>
      </w:r>
      <w:r>
        <w:rPr>
          <w:rFonts w:hint="eastAsia" w:ascii="宋体" w:hAnsi="宋体" w:eastAsia="宋体" w:cs="宋体"/>
          <w:b/>
          <w:color w:val="auto"/>
          <w:szCs w:val="21"/>
          <w:highlight w:val="none"/>
        </w:rPr>
        <w:t>。</w:t>
      </w:r>
    </w:p>
    <w:p w14:paraId="59E885BD">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6、委托人的权利</w:t>
      </w:r>
    </w:p>
    <w:p w14:paraId="2BF2E4FD">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6.1委托人拥有的权利：</w:t>
      </w:r>
      <w:r>
        <w:rPr>
          <w:rFonts w:hint="eastAsia" w:ascii="宋体" w:hAnsi="宋体" w:eastAsia="宋体" w:cs="宋体"/>
          <w:b/>
          <w:color w:val="auto"/>
          <w:szCs w:val="21"/>
          <w:highlight w:val="none"/>
          <w:u w:val="single"/>
        </w:rPr>
        <w:t>按合同通用条款约定</w:t>
      </w:r>
      <w:r>
        <w:rPr>
          <w:rFonts w:hint="eastAsia" w:ascii="宋体" w:hAnsi="宋体" w:eastAsia="宋体" w:cs="宋体"/>
          <w:color w:val="auto"/>
          <w:szCs w:val="21"/>
          <w:highlight w:val="none"/>
          <w:lang w:val="zh-CN"/>
        </w:rPr>
        <w:t>。</w:t>
      </w:r>
    </w:p>
    <w:p w14:paraId="5B3B8F2C">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6.2委托人拥有的其他权利：</w:t>
      </w:r>
      <w:r>
        <w:rPr>
          <w:rFonts w:hint="eastAsia" w:ascii="宋体" w:hAnsi="宋体" w:eastAsia="宋体" w:cs="宋体"/>
          <w:b/>
          <w:color w:val="auto"/>
          <w:szCs w:val="21"/>
          <w:highlight w:val="none"/>
          <w:u w:val="single"/>
        </w:rPr>
        <w:t xml:space="preserve"> </w:t>
      </w:r>
    </w:p>
    <w:p w14:paraId="463ED32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（1）有权参与招投标的有关活动，对中标人进行最终确定；</w:t>
      </w:r>
    </w:p>
    <w:p w14:paraId="362C7805">
      <w:pPr>
        <w:pStyle w:val="20"/>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（2）有权要求受托人及时提供代理工作阶段性的进展情况；</w:t>
      </w:r>
    </w:p>
    <w:p w14:paraId="3A39E298">
      <w:pPr>
        <w:pStyle w:val="20"/>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（3）有权要求受托人更换不称职的人员或应回避的人员；</w:t>
      </w:r>
    </w:p>
    <w:p w14:paraId="3CF2113C">
      <w:pPr>
        <w:pStyle w:val="20"/>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（4）有权确定受托人的具体代理事项；</w:t>
      </w:r>
    </w:p>
    <w:p w14:paraId="23487924">
      <w:pPr>
        <w:pStyle w:val="20"/>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（5）有权参加投标申请人的资格审查和考察工作并有最终决定权；</w:t>
      </w:r>
    </w:p>
    <w:p w14:paraId="45193A69">
      <w:pPr>
        <w:pStyle w:val="20"/>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（6）有权参加开标、评标以及评标委员会评标、定标的全过程工作并有最终决定权；</w:t>
      </w:r>
    </w:p>
    <w:p w14:paraId="6B4AFADB">
      <w:pPr>
        <w:pStyle w:val="20"/>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（7）如委托人或有关主管部门发现受托人在代理活动中违反有关的法律、法规或招标程序的，委托人有权要求受托人纠正，直至终止合同；</w:t>
      </w:r>
    </w:p>
    <w:p w14:paraId="6D692592">
      <w:pPr>
        <w:pStyle w:val="20"/>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（8）委托人有权指定受托人项目具体实施人员，有权对受托人的代理活动进行不定期现场抽查，如发现有违约行为的，有权要求受托人纠正；</w:t>
      </w:r>
    </w:p>
    <w:p w14:paraId="06869FB6">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（9）其他根据合同及法律法规享有的权利。</w:t>
      </w:r>
    </w:p>
    <w:p w14:paraId="165B194C">
      <w:pPr>
        <w:tabs>
          <w:tab w:val="left" w:pos="540"/>
        </w:tabs>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7、受托人的权利</w:t>
      </w:r>
    </w:p>
    <w:p w14:paraId="21E326B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7.1受托人拥有的权利：按合同通用条款约定。</w:t>
      </w:r>
    </w:p>
    <w:p w14:paraId="3F5E70C1">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7.2受托人拥有的其他权利：</w:t>
      </w:r>
      <w:r>
        <w:rPr>
          <w:rFonts w:hint="eastAsia" w:ascii="宋体" w:hAnsi="宋体" w:eastAsia="宋体" w:cs="宋体"/>
          <w:b/>
          <w:color w:val="auto"/>
          <w:szCs w:val="21"/>
          <w:highlight w:val="none"/>
          <w:u w:val="single"/>
        </w:rPr>
        <w:t>拒绝违反国家法律、法规和规章以及建设行政主管部门、有关行政主管部门规定的人为干预；依据国家有关法律法规的规定，在授权范围内办理招标代理工作；与委托人协商，建议更换其不称职或有其他原因不宜参与招标活动的委托人人员</w:t>
      </w:r>
      <w:r>
        <w:rPr>
          <w:rFonts w:hint="eastAsia" w:ascii="宋体" w:hAnsi="宋体" w:eastAsia="宋体" w:cs="宋体"/>
          <w:b/>
          <w:color w:val="auto"/>
          <w:szCs w:val="21"/>
          <w:highlight w:val="none"/>
        </w:rPr>
        <w:t>。</w:t>
      </w:r>
    </w:p>
    <w:p w14:paraId="406100AC">
      <w:pPr>
        <w:spacing w:line="360" w:lineRule="auto"/>
        <w:ind w:firstLine="422" w:firstLineChars="200"/>
        <w:rPr>
          <w:rFonts w:ascii="宋体" w:hAnsi="宋体" w:eastAsia="宋体" w:cs="宋体"/>
          <w:b/>
          <w:bCs/>
          <w:color w:val="auto"/>
          <w:szCs w:val="21"/>
          <w:highlight w:val="none"/>
          <w:lang w:val="zh-CN"/>
        </w:rPr>
      </w:pPr>
    </w:p>
    <w:p w14:paraId="123226DA">
      <w:pPr>
        <w:spacing w:line="360" w:lineRule="auto"/>
        <w:ind w:firstLine="422" w:firstLineChars="2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三、委托代理报酬与收取</w:t>
      </w:r>
    </w:p>
    <w:p w14:paraId="6AB2959F">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8、委托代理报酬</w:t>
      </w:r>
    </w:p>
    <w:p w14:paraId="15C162B7">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8.1 受托人应在开展代理服务前与委托人（或其下属企业）签订书面《招标代理合同》（即单项招标代理合同），</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以中标金额计算服务费基价，</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以中标金额计算，依次按以下第（1）（2）款计算得出服务费基价，服务费基价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按第（3）款计算折扣得出代理服务费</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具体如下。</w:t>
      </w:r>
    </w:p>
    <w:p w14:paraId="677C2589">
      <w:pPr>
        <w:tabs>
          <w:tab w:val="left" w:pos="567"/>
        </w:tabs>
        <w:autoSpaceDE w:val="0"/>
        <w:autoSpaceDN w:val="0"/>
        <w:adjustRightInd w:val="0"/>
        <w:spacing w:line="360" w:lineRule="auto"/>
        <w:ind w:left="0" w:leftChars="0"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lang w:val="zh-CN"/>
        </w:rPr>
        <w:t>参照</w:t>
      </w:r>
      <w:r>
        <w:rPr>
          <w:rFonts w:hint="eastAsia" w:ascii="宋体" w:hAnsi="宋体" w:eastAsia="宋体" w:cs="宋体"/>
          <w:b/>
          <w:color w:val="000000"/>
          <w:szCs w:val="21"/>
          <w:highlight w:val="none"/>
          <w:lang w:val="en-US" w:eastAsia="zh-CN"/>
        </w:rPr>
        <w:t>以下标准按差额定率累进法计算：</w:t>
      </w:r>
    </w:p>
    <w:tbl>
      <w:tblPr>
        <w:tblStyle w:val="44"/>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4C62E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restart"/>
            <w:shd w:val="clear" w:color="auto" w:fill="FFEEBB"/>
            <w:tcMar>
              <w:top w:w="0" w:type="dxa"/>
              <w:left w:w="0" w:type="dxa"/>
              <w:bottom w:w="0" w:type="dxa"/>
              <w:right w:w="0" w:type="dxa"/>
            </w:tcMar>
            <w:vAlign w:val="center"/>
          </w:tcPr>
          <w:p w14:paraId="0CA8372F">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5FCC3DD6">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服务类型</w:t>
            </w:r>
          </w:p>
        </w:tc>
      </w:tr>
      <w:tr w14:paraId="2E6FC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171801D0">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7C83A820">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费率</w:t>
            </w:r>
          </w:p>
        </w:tc>
      </w:tr>
      <w:tr w14:paraId="0FFC18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341AB83D">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FFEEBB"/>
            <w:tcMar>
              <w:top w:w="0" w:type="dxa"/>
              <w:left w:w="0" w:type="dxa"/>
              <w:bottom w:w="0" w:type="dxa"/>
              <w:right w:w="0" w:type="dxa"/>
            </w:tcMar>
            <w:vAlign w:val="center"/>
          </w:tcPr>
          <w:p w14:paraId="15994250">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0712A430">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27EB8A9B">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工程招标</w:t>
            </w:r>
          </w:p>
        </w:tc>
      </w:tr>
      <w:tr w14:paraId="239245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38D8FD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177CB3B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5B08CF8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39218CD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2D0A01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E7937A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3366407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3F20365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7079723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40D04B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28D0B9F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40CD30F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3B23EDF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4B880C5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7341E7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1902C6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045ECE9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0E62D10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37FAD1D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5C2A38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7B36F2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6010FE1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4C5A505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2E31735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0A5C9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F55835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5E8E3F3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11CAED3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7C6F84B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7C2097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22938E9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29C7768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09261A7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7E468E7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7359DDD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en-US" w:eastAsia="zh-CN"/>
        </w:rPr>
        <w:t>（2）</w:t>
      </w:r>
      <w:r>
        <w:rPr>
          <w:rFonts w:hint="default" w:ascii="宋体" w:hAnsi="宋体" w:eastAsia="宋体" w:cs="宋体"/>
          <w:b/>
          <w:color w:val="000000"/>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1703642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（3）服务费基价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得出代理服务费。</w:t>
      </w:r>
      <w:r>
        <w:rPr>
          <w:rFonts w:hint="eastAsia" w:ascii="宋体" w:hAnsi="宋体" w:eastAsia="宋体" w:cs="宋体"/>
          <w:b/>
          <w:color w:val="000000"/>
          <w:szCs w:val="21"/>
          <w:highlight w:val="none"/>
          <w:lang w:val="zh-CN" w:eastAsia="zh-CN"/>
        </w:rPr>
        <w:t>具体为：</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10万元（不含）以下的，按80%执行；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10万元（含）—20万元（不含）的，按70%执行；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20万元（含）—30万元（不含）的，按60%执行；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30万元（含）以上的，按50%计取，且单个项目最高代理费为30万元封顶</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同时，</w:t>
      </w:r>
      <w:r>
        <w:rPr>
          <w:rFonts w:hint="eastAsia" w:ascii="宋体" w:hAnsi="宋体" w:eastAsia="宋体" w:cs="宋体"/>
          <w:b/>
          <w:color w:val="000000"/>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
          <w:color w:val="000000"/>
          <w:szCs w:val="21"/>
          <w:highlight w:val="none"/>
          <w:lang w:val="en-US" w:eastAsia="zh-CN"/>
        </w:rPr>
        <w:t>委托人</w:t>
      </w:r>
      <w:r>
        <w:rPr>
          <w:rFonts w:hint="eastAsia" w:ascii="宋体" w:hAnsi="宋体" w:eastAsia="宋体" w:cs="宋体"/>
          <w:b/>
          <w:color w:val="000000"/>
          <w:sz w:val="21"/>
          <w:szCs w:val="21"/>
          <w:highlight w:val="none"/>
          <w:lang w:val="en-US" w:eastAsia="zh-CN"/>
        </w:rPr>
        <w:t>或其</w:t>
      </w:r>
      <w:r>
        <w:rPr>
          <w:rFonts w:hint="eastAsia" w:ascii="宋体" w:hAnsi="宋体" w:eastAsia="宋体" w:cs="宋体"/>
          <w:b/>
          <w:color w:val="000000"/>
          <w:sz w:val="21"/>
          <w:szCs w:val="21"/>
          <w:highlight w:val="none"/>
        </w:rPr>
        <w:t>下属企业</w:t>
      </w:r>
      <w:r>
        <w:rPr>
          <w:rFonts w:hint="eastAsia" w:ascii="宋体" w:hAnsi="宋体" w:eastAsia="宋体" w:cs="宋体"/>
          <w:b/>
          <w:color w:val="000000"/>
          <w:szCs w:val="21"/>
          <w:highlight w:val="none"/>
          <w:lang w:val="zh-CN" w:eastAsia="zh-CN"/>
        </w:rPr>
        <w:t>与</w:t>
      </w:r>
      <w:r>
        <w:rPr>
          <w:rFonts w:hint="eastAsia" w:ascii="宋体" w:hAnsi="宋体" w:eastAsia="宋体" w:cs="宋体"/>
          <w:b/>
          <w:color w:val="000000"/>
          <w:szCs w:val="21"/>
          <w:highlight w:val="none"/>
          <w:lang w:val="en-US" w:eastAsia="zh-CN"/>
        </w:rPr>
        <w:t>受托人</w:t>
      </w:r>
      <w:r>
        <w:rPr>
          <w:rFonts w:hint="eastAsia" w:ascii="宋体" w:hAnsi="宋体" w:eastAsia="宋体" w:cs="宋体"/>
          <w:b/>
          <w:color w:val="000000"/>
          <w:szCs w:val="21"/>
          <w:highlight w:val="none"/>
          <w:lang w:val="zh-CN" w:eastAsia="zh-CN"/>
        </w:rPr>
        <w:t>另行商定代理费用。</w:t>
      </w:r>
    </w:p>
    <w:p w14:paraId="3E7F551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代理报酬的币种：</w:t>
      </w:r>
      <w:r>
        <w:rPr>
          <w:rFonts w:hint="eastAsia" w:ascii="宋体" w:hAnsi="宋体" w:eastAsia="宋体" w:cs="宋体"/>
          <w:b/>
          <w:color w:val="auto"/>
          <w:szCs w:val="21"/>
          <w:highlight w:val="none"/>
          <w:u w:val="single"/>
          <w:lang w:val="zh-CN"/>
        </w:rPr>
        <w:t>人民币</w:t>
      </w:r>
    </w:p>
    <w:p w14:paraId="7EBC43A6">
      <w:pPr>
        <w:spacing w:line="360" w:lineRule="auto"/>
        <w:ind w:firstLine="420" w:firstLineChars="200"/>
        <w:rPr>
          <w:rFonts w:ascii="宋体" w:hAnsi="宋体" w:eastAsia="宋体" w:cs="宋体"/>
          <w:b/>
          <w:color w:val="auto"/>
          <w:szCs w:val="21"/>
          <w:highlight w:val="none"/>
          <w:lang w:val="zh-CN"/>
        </w:rPr>
      </w:pPr>
      <w:r>
        <w:rPr>
          <w:rFonts w:hint="eastAsia" w:ascii="宋体" w:hAnsi="宋体" w:eastAsia="宋体" w:cs="宋体"/>
          <w:bCs/>
          <w:color w:val="auto"/>
          <w:szCs w:val="21"/>
          <w:highlight w:val="none"/>
          <w:lang w:val="zh-CN"/>
        </w:rPr>
        <w:t>代理报酬的支付方：</w:t>
      </w:r>
      <w:r>
        <w:rPr>
          <w:rFonts w:hint="eastAsia" w:ascii="宋体" w:hAnsi="宋体" w:eastAsia="宋体" w:cs="宋体"/>
          <w:b/>
          <w:color w:val="auto"/>
          <w:szCs w:val="21"/>
          <w:highlight w:val="none"/>
          <w:u w:val="single"/>
          <w:lang w:val="zh-CN"/>
        </w:rPr>
        <w:t>由本项目的</w:t>
      </w:r>
      <w:r>
        <w:rPr>
          <w:rFonts w:hint="eastAsia" w:ascii="宋体" w:hAnsi="宋体" w:eastAsia="宋体" w:cs="宋体"/>
          <w:b/>
          <w:color w:val="auto"/>
          <w:szCs w:val="21"/>
          <w:highlight w:val="none"/>
          <w:u w:val="single"/>
          <w:lang w:eastAsia="zh-CN"/>
        </w:rPr>
        <w:t>中标人</w:t>
      </w:r>
      <w:r>
        <w:rPr>
          <w:rFonts w:hint="eastAsia" w:ascii="宋体" w:hAnsi="宋体" w:eastAsia="宋体" w:cs="宋体"/>
          <w:b/>
          <w:color w:val="auto"/>
          <w:szCs w:val="21"/>
          <w:highlight w:val="none"/>
          <w:u w:val="single"/>
          <w:lang w:val="zh-CN"/>
        </w:rPr>
        <w:t>支付代理报酬</w:t>
      </w:r>
      <w:r>
        <w:rPr>
          <w:rFonts w:hint="eastAsia" w:ascii="宋体" w:hAnsi="宋体" w:eastAsia="宋体" w:cs="宋体"/>
          <w:b/>
          <w:color w:val="auto"/>
          <w:szCs w:val="21"/>
          <w:highlight w:val="none"/>
          <w:lang w:val="zh-CN"/>
        </w:rPr>
        <w:t>。</w:t>
      </w:r>
    </w:p>
    <w:p w14:paraId="37ABEE59">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代理报酬的支付方式：</w:t>
      </w:r>
      <w:r>
        <w:rPr>
          <w:rFonts w:hint="eastAsia" w:ascii="宋体" w:hAnsi="宋体" w:eastAsia="宋体" w:cs="宋体"/>
          <w:b/>
          <w:color w:val="auto"/>
          <w:szCs w:val="21"/>
          <w:highlight w:val="none"/>
          <w:u w:val="single"/>
        </w:rPr>
        <w:t>详见专用条款第9.5款约定。</w:t>
      </w:r>
    </w:p>
    <w:p w14:paraId="3138BFF3">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代理报酬的支付时间：</w:t>
      </w:r>
      <w:r>
        <w:rPr>
          <w:rFonts w:hint="eastAsia" w:ascii="宋体" w:hAnsi="宋体" w:eastAsia="宋体" w:cs="宋体"/>
          <w:b/>
          <w:color w:val="auto"/>
          <w:szCs w:val="21"/>
          <w:highlight w:val="none"/>
          <w:u w:val="single"/>
        </w:rPr>
        <w:t>详见专用条款第9.5款约定。</w:t>
      </w:r>
    </w:p>
    <w:p w14:paraId="1AE03D88">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本代理报酬为包干价，已包含受托人完成本合同招标工作所需的全部费用等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包括但不是限于各种税费、招标文件编制费用、招标过程中所需文件的印刷费用、受托人代理人员费用（人员薪酬、福利、交通、通信、保险等费用）、税金及本专用条款第5.2（3）款规定的应由受托人支付的费用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w:t>
      </w:r>
    </w:p>
    <w:p w14:paraId="50DD0E1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在招标过程中，如本合同解除的，委托人无需向受托人支付任何费用。</w:t>
      </w:r>
    </w:p>
    <w:p w14:paraId="6762FB3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9、委托代理报酬的收取</w:t>
      </w:r>
    </w:p>
    <w:p w14:paraId="43CC9E7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9.1预</w:t>
      </w:r>
      <w:r>
        <w:rPr>
          <w:rFonts w:hint="eastAsia" w:ascii="宋体" w:hAnsi="宋体" w:eastAsia="宋体" w:cs="宋体"/>
          <w:color w:val="auto"/>
          <w:szCs w:val="21"/>
          <w:highlight w:val="none"/>
        </w:rPr>
        <w:t>付</w:t>
      </w:r>
      <w:r>
        <w:rPr>
          <w:rFonts w:hint="eastAsia" w:ascii="宋体" w:hAnsi="宋体" w:eastAsia="宋体" w:cs="宋体"/>
          <w:color w:val="auto"/>
          <w:szCs w:val="21"/>
          <w:highlight w:val="none"/>
          <w:lang w:val="zh-CN"/>
        </w:rPr>
        <w:t>委托代理服务费用额度（比例）：</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w:t>
      </w:r>
    </w:p>
    <w:p w14:paraId="4BFF513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9.3逾期支付时，银行贷款利率：</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lang w:val="zh-CN"/>
        </w:rPr>
        <w:t>。</w:t>
      </w:r>
    </w:p>
    <w:p w14:paraId="7CA8AC44">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lang w:val="zh-CN"/>
        </w:rPr>
        <w:t>9.4逾期支付时，应收取的利息：</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
          <w:color w:val="auto"/>
          <w:szCs w:val="21"/>
          <w:highlight w:val="none"/>
          <w:u w:val="single"/>
        </w:rPr>
        <w:t xml:space="preserve"> /  </w:t>
      </w:r>
      <w:r>
        <w:rPr>
          <w:rFonts w:hint="eastAsia" w:ascii="宋体" w:hAnsi="宋体" w:eastAsia="宋体" w:cs="宋体"/>
          <w:b/>
          <w:color w:val="auto"/>
          <w:szCs w:val="21"/>
          <w:highlight w:val="none"/>
        </w:rPr>
        <w:t>。</w:t>
      </w:r>
    </w:p>
    <w:p w14:paraId="274C72B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9.5</w:t>
      </w:r>
      <w:r>
        <w:rPr>
          <w:rFonts w:hint="eastAsia" w:ascii="宋体" w:hAnsi="宋体" w:eastAsia="宋体" w:cs="宋体"/>
          <w:sz w:val="21"/>
          <w:szCs w:val="21"/>
          <w:highlight w:val="none"/>
        </w:rPr>
        <w:t>代理服务费由中标人在</w:t>
      </w:r>
      <w:r>
        <w:rPr>
          <w:rFonts w:hint="eastAsia" w:ascii="宋体" w:hAnsi="宋体" w:eastAsia="宋体" w:cs="宋体"/>
          <w:color w:val="auto"/>
          <w:szCs w:val="21"/>
          <w:highlight w:val="none"/>
          <w:lang w:eastAsia="zh-CN"/>
        </w:rPr>
        <w:t>领取《中标通知书》原件时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向乙方一次性支付代理服务费。</w:t>
      </w:r>
    </w:p>
    <w:p w14:paraId="53DDA4F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10、</w:t>
      </w:r>
      <w:r>
        <w:rPr>
          <w:rFonts w:hint="eastAsia" w:ascii="宋体" w:hAnsi="宋体" w:eastAsia="宋体" w:cs="宋体"/>
          <w:b/>
          <w:color w:val="000000"/>
          <w:szCs w:val="21"/>
          <w:highlight w:val="none"/>
          <w:lang w:val="zh-CN" w:eastAsia="zh-CN"/>
        </w:rPr>
        <w:t>乙方完成全部合同内容，且提交成果资料并经甲方复核完毕后，甲方根据附件《单项招标代理项目质量考核表》对乙方进行履约考核，考评[70,80)分的，处经甲方确认的代理服务费的10%作为违约金，考评[60,70)分的，处经甲方确认的代理服务费的20%作为违约金，考评60分以下的，处经甲方确认的代理服务费的30%作为违约金。上述“[”代表闭区间，“)”代表开区间，如[70,80)代表该分数段范围为大于等于70且小于80。</w:t>
      </w:r>
    </w:p>
    <w:p w14:paraId="6B08EBA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11、</w:t>
      </w:r>
      <w:r>
        <w:rPr>
          <w:rFonts w:hint="eastAsia" w:ascii="宋体" w:hAnsi="宋体" w:eastAsia="宋体" w:cs="宋体"/>
          <w:b/>
          <w:color w:val="000000"/>
          <w:szCs w:val="21"/>
          <w:highlight w:val="none"/>
          <w:lang w:val="zh-CN" w:eastAsia="zh-CN"/>
        </w:rPr>
        <w:t>在合同履行期间，对于</w:t>
      </w:r>
      <w:r>
        <w:rPr>
          <w:rFonts w:hint="eastAsia" w:ascii="宋体" w:hAnsi="宋体" w:eastAsia="宋体" w:cs="宋体"/>
          <w:b/>
          <w:color w:val="000000"/>
          <w:szCs w:val="21"/>
          <w:highlight w:val="none"/>
          <w:lang w:val="en-US" w:eastAsia="zh-CN"/>
        </w:rPr>
        <w:t>乙方</w:t>
      </w:r>
      <w:r>
        <w:rPr>
          <w:rFonts w:hint="eastAsia" w:ascii="宋体" w:hAnsi="宋体" w:eastAsia="宋体" w:cs="宋体"/>
          <w:b/>
          <w:color w:val="000000"/>
          <w:szCs w:val="21"/>
          <w:highlight w:val="none"/>
          <w:lang w:val="zh-CN" w:eastAsia="zh-CN"/>
        </w:rPr>
        <w:t>违约产生的违约金、赔偿、扣款或其他应付费用等款项</w:t>
      </w:r>
      <w:r>
        <w:rPr>
          <w:rFonts w:hint="eastAsia" w:ascii="宋体" w:hAnsi="宋体" w:eastAsia="宋体" w:cs="宋体"/>
          <w:b/>
          <w:color w:val="000000"/>
          <w:szCs w:val="21"/>
          <w:highlight w:val="none"/>
          <w:lang w:val="en-US" w:eastAsia="zh-CN"/>
        </w:rPr>
        <w:t>，</w:t>
      </w:r>
      <w:r>
        <w:rPr>
          <w:rFonts w:hint="eastAsia" w:ascii="宋体" w:hAnsi="宋体" w:eastAsia="宋体" w:cs="宋体"/>
          <w:b/>
          <w:color w:val="000000"/>
          <w:szCs w:val="21"/>
          <w:highlight w:val="none"/>
          <w:lang w:val="zh-CN" w:eastAsia="zh-CN"/>
        </w:rPr>
        <w:t>乙方应在收到《单项招标代理项目质量考核表》之日起的五个工作日内以银行转账或电汇方式支付至甲方指定账户，甲方向乙方提供收据。</w:t>
      </w:r>
    </w:p>
    <w:p w14:paraId="2F6E403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zh-CN" w:eastAsia="zh-CN"/>
        </w:rPr>
        <w:t>开户名称：</w:t>
      </w:r>
    </w:p>
    <w:p w14:paraId="37056BE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zh-CN" w:eastAsia="zh-CN"/>
        </w:rPr>
        <w:t>开户银行：</w:t>
      </w:r>
    </w:p>
    <w:p w14:paraId="50B1E14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zh-CN" w:eastAsia="zh-CN"/>
        </w:rPr>
        <w:t>银行账号：</w:t>
      </w:r>
    </w:p>
    <w:p w14:paraId="4F8AEB9A">
      <w:pPr>
        <w:spacing w:line="360" w:lineRule="auto"/>
        <w:ind w:firstLine="422" w:firstLineChars="2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四、违约、索赔和争议</w:t>
      </w:r>
    </w:p>
    <w:p w14:paraId="07EC6E3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、违约</w:t>
      </w:r>
    </w:p>
    <w:p w14:paraId="20B99B5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10.1本合同关于委托人违约的具体责任：</w:t>
      </w:r>
    </w:p>
    <w:p w14:paraId="6439BF0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（1）委托人未按照本合同通用条款第4.2－（3）款的约定，向受托人提供保证招标工作顺利完成的条件应承担的违约责任：</w:t>
      </w:r>
      <w:r>
        <w:rPr>
          <w:rFonts w:hint="eastAsia" w:ascii="宋体" w:hAnsi="宋体" w:eastAsia="宋体" w:cs="宋体"/>
          <w:b/>
          <w:color w:val="auto"/>
          <w:szCs w:val="21"/>
          <w:highlight w:val="none"/>
          <w:u w:val="single"/>
        </w:rPr>
        <w:t>无。</w:t>
      </w:r>
    </w:p>
    <w:p w14:paraId="1601D1D9">
      <w:pPr>
        <w:spacing w:line="360" w:lineRule="auto"/>
        <w:ind w:firstLine="420" w:firstLineChars="200"/>
        <w:rPr>
          <w:rFonts w:ascii="宋体" w:hAnsi="宋体" w:eastAsia="宋体" w:cs="宋体"/>
          <w:color w:val="auto"/>
          <w:szCs w:val="21"/>
          <w:highlight w:val="none"/>
          <w:vertAlign w:val="subscript"/>
        </w:rPr>
      </w:pPr>
      <w:r>
        <w:rPr>
          <w:rFonts w:hint="eastAsia" w:ascii="宋体" w:hAnsi="宋体" w:eastAsia="宋体" w:cs="宋体"/>
          <w:color w:val="auto"/>
          <w:szCs w:val="21"/>
          <w:highlight w:val="none"/>
          <w:lang w:val="zh-CN"/>
        </w:rPr>
        <w:t>（2）委托人未按本合同通用条款第4.2－（6）款的约定，向受托人支付委托代理报酬应承担的违约责任：</w:t>
      </w:r>
      <w:r>
        <w:rPr>
          <w:rFonts w:hint="eastAsia" w:ascii="宋体" w:hAnsi="宋体" w:eastAsia="宋体" w:cs="宋体"/>
          <w:b/>
          <w:color w:val="auto"/>
          <w:szCs w:val="21"/>
          <w:highlight w:val="none"/>
          <w:u w:val="single"/>
        </w:rPr>
        <w:t>无。</w:t>
      </w:r>
    </w:p>
    <w:p w14:paraId="029AC552">
      <w:pPr>
        <w:spacing w:line="360" w:lineRule="auto"/>
        <w:ind w:firstLine="420" w:firstLineChars="200"/>
        <w:rPr>
          <w:rFonts w:ascii="宋体" w:hAnsi="宋体" w:eastAsia="宋体" w:cs="宋体"/>
          <w:color w:val="auto"/>
          <w:szCs w:val="21"/>
          <w:highlight w:val="none"/>
          <w:vertAlign w:val="subscript"/>
        </w:rPr>
      </w:pPr>
      <w:r>
        <w:rPr>
          <w:rFonts w:hint="eastAsia" w:ascii="宋体" w:hAnsi="宋体" w:eastAsia="宋体" w:cs="宋体"/>
          <w:color w:val="auto"/>
          <w:szCs w:val="21"/>
          <w:highlight w:val="none"/>
          <w:lang w:val="zh-CN"/>
        </w:rPr>
        <w:t>（3）双方约定的委托人的其他违约责任：</w:t>
      </w:r>
      <w:r>
        <w:rPr>
          <w:rFonts w:hint="eastAsia" w:ascii="宋体" w:hAnsi="宋体" w:eastAsia="宋体" w:cs="宋体"/>
          <w:b/>
          <w:color w:val="auto"/>
          <w:szCs w:val="21"/>
          <w:highlight w:val="none"/>
          <w:u w:val="single"/>
        </w:rPr>
        <w:t>无。</w:t>
      </w:r>
    </w:p>
    <w:p w14:paraId="1E7B047F">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10.2本合同关于受托人违约的具体责任：</w:t>
      </w:r>
    </w:p>
    <w:p w14:paraId="0A60444E">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val="zh-CN"/>
        </w:rPr>
        <w:t>（1）受托人未按照本合同通用条款第5.2－（2）款的约定，向委托人提供为完成招标工作的咨询服务应承担的责任：</w:t>
      </w:r>
      <w:r>
        <w:rPr>
          <w:rFonts w:hint="eastAsia" w:ascii="宋体" w:hAnsi="宋体" w:eastAsia="宋体" w:cs="宋体"/>
          <w:b/>
          <w:color w:val="auto"/>
          <w:szCs w:val="21"/>
          <w:highlight w:val="none"/>
          <w:u w:val="single"/>
        </w:rPr>
        <w:t>按委托代理报酬的20%向委托人支付违约金。</w:t>
      </w:r>
    </w:p>
    <w:p w14:paraId="3ACF7824">
      <w:pPr>
        <w:spacing w:line="360" w:lineRule="auto"/>
        <w:ind w:firstLine="420" w:firstLineChars="200"/>
        <w:rPr>
          <w:rFonts w:ascii="宋体" w:hAnsi="宋体" w:eastAsia="宋体" w:cs="宋体"/>
          <w:color w:val="auto"/>
          <w:szCs w:val="21"/>
          <w:highlight w:val="none"/>
          <w:vertAlign w:val="subscript"/>
        </w:rPr>
      </w:pPr>
      <w:r>
        <w:rPr>
          <w:rFonts w:hint="eastAsia" w:ascii="宋体" w:hAnsi="宋体" w:eastAsia="宋体" w:cs="宋体"/>
          <w:color w:val="auto"/>
          <w:szCs w:val="21"/>
          <w:highlight w:val="none"/>
          <w:lang w:val="zh-CN"/>
        </w:rPr>
        <w:t>（2）受托人违反本合同通用条款第5.4款的约定，接受了与本合同工程建设项目有关的投标咨询业务应承担的违约责任：</w:t>
      </w:r>
      <w:r>
        <w:rPr>
          <w:rFonts w:hint="eastAsia" w:ascii="宋体" w:hAnsi="宋体" w:eastAsia="宋体" w:cs="宋体"/>
          <w:b/>
          <w:color w:val="auto"/>
          <w:szCs w:val="21"/>
          <w:highlight w:val="none"/>
          <w:u w:val="single"/>
        </w:rPr>
        <w:t>按《招标代理协议服务合同》相关违约规定执行，同时委托人将依法向有关部门投诉、举报相关违规行为。</w:t>
      </w:r>
    </w:p>
    <w:p w14:paraId="18CCAE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（3）受托人违反本合同通用条款第5.7款的约定，泄露了与本合同工程有关的任何不应泄露的招标资料和情况应承担的违约责任：</w:t>
      </w:r>
      <w:r>
        <w:rPr>
          <w:rFonts w:hint="eastAsia" w:ascii="宋体" w:hAnsi="宋体" w:eastAsia="宋体" w:cs="宋体"/>
          <w:b/>
          <w:color w:val="auto"/>
          <w:szCs w:val="21"/>
          <w:highlight w:val="none"/>
          <w:u w:val="single"/>
        </w:rPr>
        <w:t>按《招标代理协议服务合同》相关违约规定执行。</w:t>
      </w:r>
    </w:p>
    <w:p w14:paraId="12A1A69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（4）双方约定的受托人的其他违约责任：按本合同其他条款约定。 </w:t>
      </w:r>
    </w:p>
    <w:p w14:paraId="657F33E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12、争议</w:t>
      </w:r>
    </w:p>
    <w:p w14:paraId="74884BC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12.1双方约定，凡因执行本合同所发生的与本合同有关的一切争议，当和解或调解不成时，选择下列第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
          <w:color w:val="auto"/>
          <w:szCs w:val="21"/>
          <w:highlight w:val="none"/>
          <w:u w:val="single"/>
        </w:rPr>
        <w:t xml:space="preserve">（2） </w:t>
      </w:r>
      <w:r>
        <w:rPr>
          <w:rFonts w:hint="eastAsia" w:ascii="宋体" w:hAnsi="宋体" w:eastAsia="宋体" w:cs="宋体"/>
          <w:color w:val="auto"/>
          <w:szCs w:val="21"/>
          <w:highlight w:val="none"/>
          <w:lang w:val="zh-CN"/>
        </w:rPr>
        <w:t>种方式解决：</w:t>
      </w:r>
    </w:p>
    <w:p w14:paraId="4C221C1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（1）将争议提交</w:t>
      </w:r>
      <w:r>
        <w:rPr>
          <w:rFonts w:hint="eastAsia" w:ascii="宋体" w:hAnsi="宋体" w:eastAsia="宋体" w:cs="宋体"/>
          <w:b/>
          <w:color w:val="auto"/>
          <w:szCs w:val="21"/>
          <w:highlight w:val="none"/>
          <w:u w:val="single"/>
        </w:rPr>
        <w:t xml:space="preserve"> / </w:t>
      </w:r>
      <w:r>
        <w:rPr>
          <w:rFonts w:hint="eastAsia" w:ascii="宋体" w:hAnsi="宋体" w:eastAsia="宋体" w:cs="宋体"/>
          <w:color w:val="auto"/>
          <w:szCs w:val="21"/>
          <w:highlight w:val="none"/>
          <w:lang w:val="zh-CN"/>
        </w:rPr>
        <w:t>仲裁委员会仲裁；</w:t>
      </w:r>
    </w:p>
    <w:p w14:paraId="4BAE1D3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（2）依法向</w:t>
      </w:r>
      <w:r>
        <w:rPr>
          <w:rFonts w:hint="eastAsia" w:ascii="宋体" w:hAnsi="宋体" w:eastAsia="宋体" w:cs="宋体"/>
          <w:b/>
          <w:color w:val="auto"/>
          <w:szCs w:val="21"/>
          <w:highlight w:val="none"/>
          <w:u w:val="single"/>
        </w:rPr>
        <w:t>委托人住所地有管辖权的</w:t>
      </w:r>
      <w:r>
        <w:rPr>
          <w:rFonts w:hint="eastAsia" w:ascii="宋体" w:hAnsi="宋体" w:eastAsia="宋体" w:cs="宋体"/>
          <w:color w:val="auto"/>
          <w:szCs w:val="21"/>
          <w:highlight w:val="none"/>
          <w:lang w:val="zh-CN"/>
        </w:rPr>
        <w:t>人民法院提起诉讼。</w:t>
      </w:r>
    </w:p>
    <w:p w14:paraId="272EA057">
      <w:pPr>
        <w:spacing w:line="360" w:lineRule="auto"/>
        <w:ind w:firstLine="422" w:firstLineChars="200"/>
        <w:rPr>
          <w:rFonts w:ascii="宋体" w:hAnsi="宋体" w:eastAsia="宋体" w:cs="宋体"/>
          <w:b/>
          <w:bCs/>
          <w:color w:val="auto"/>
          <w:szCs w:val="21"/>
          <w:highlight w:val="none"/>
          <w:lang w:val="zh-CN"/>
        </w:rPr>
      </w:pPr>
    </w:p>
    <w:p w14:paraId="2214A3E5">
      <w:pPr>
        <w:spacing w:line="360" w:lineRule="auto"/>
        <w:ind w:firstLine="422" w:firstLineChars="2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六、其他</w:t>
      </w:r>
    </w:p>
    <w:p w14:paraId="4B907DB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16、合同份数</w:t>
      </w:r>
    </w:p>
    <w:p w14:paraId="4673DD1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16.2双方约定本合同</w:t>
      </w:r>
      <w:r>
        <w:rPr>
          <w:rFonts w:hint="eastAsia" w:ascii="宋体" w:hAnsi="宋体" w:eastAsia="宋体" w:cs="宋体"/>
          <w:b/>
          <w:color w:val="auto"/>
          <w:szCs w:val="21"/>
          <w:highlight w:val="none"/>
          <w:u w:val="single"/>
        </w:rPr>
        <w:t>陆</w:t>
      </w:r>
      <w:r>
        <w:rPr>
          <w:rFonts w:hint="eastAsia" w:ascii="宋体" w:hAnsi="宋体" w:eastAsia="宋体" w:cs="宋体"/>
          <w:color w:val="auto"/>
          <w:szCs w:val="21"/>
          <w:highlight w:val="none"/>
          <w:lang w:val="zh-CN"/>
        </w:rPr>
        <w:t>份，其中，委托人</w:t>
      </w:r>
      <w:r>
        <w:rPr>
          <w:rFonts w:hint="eastAsia" w:ascii="宋体" w:hAnsi="宋体" w:eastAsia="宋体" w:cs="宋体"/>
          <w:b/>
          <w:color w:val="auto"/>
          <w:szCs w:val="21"/>
          <w:highlight w:val="none"/>
          <w:u w:val="single"/>
        </w:rPr>
        <w:t>叁</w:t>
      </w:r>
      <w:r>
        <w:rPr>
          <w:rFonts w:hint="eastAsia" w:ascii="宋体" w:hAnsi="宋体" w:eastAsia="宋体" w:cs="宋体"/>
          <w:color w:val="auto"/>
          <w:szCs w:val="21"/>
          <w:highlight w:val="none"/>
          <w:lang w:val="zh-CN"/>
        </w:rPr>
        <w:t>份，受托人</w:t>
      </w:r>
      <w:r>
        <w:rPr>
          <w:rFonts w:hint="eastAsia" w:ascii="宋体" w:hAnsi="宋体" w:eastAsia="宋体" w:cs="宋体"/>
          <w:b/>
          <w:color w:val="auto"/>
          <w:szCs w:val="21"/>
          <w:highlight w:val="none"/>
          <w:u w:val="single"/>
        </w:rPr>
        <w:t>叁</w:t>
      </w:r>
      <w:r>
        <w:rPr>
          <w:rFonts w:hint="eastAsia" w:ascii="宋体" w:hAnsi="宋体" w:eastAsia="宋体" w:cs="宋体"/>
          <w:color w:val="auto"/>
          <w:szCs w:val="21"/>
          <w:highlight w:val="none"/>
          <w:lang w:val="zh-CN"/>
        </w:rPr>
        <w:t>份。</w:t>
      </w:r>
    </w:p>
    <w:p w14:paraId="1DD82778">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17、补充条款：</w:t>
      </w:r>
    </w:p>
    <w:p w14:paraId="156C8C6A">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17.1 在本合同履行过程中，因受托人原因造成的延期开评标、重新评审、已评审但要取消或重新招标等情况，由受托人承担相应费用，并需按委托代理报酬的20%向委托人支付违约金。</w:t>
      </w:r>
    </w:p>
    <w:p w14:paraId="2929795C">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17.2 受托人未按本合同约定或招标进度计划完成招标工作的，每逾期1日按委托代理报酬的0.5%向委托人支付违约金。逾期超过30日的，受托人需按委托代理报酬的20%向委托人支付违约金，同时委托人有权解除本合同。</w:t>
      </w:r>
      <w:r>
        <w:rPr>
          <w:rFonts w:hint="eastAsia" w:ascii="宋体" w:hAnsi="宋体" w:eastAsia="宋体" w:cs="宋体"/>
          <w:b/>
          <w:color w:val="auto"/>
          <w:szCs w:val="21"/>
          <w:highlight w:val="none"/>
          <w:u w:val="single"/>
          <w:lang w:val="zh-CN"/>
        </w:rPr>
        <w:t>受托人</w:t>
      </w:r>
      <w:r>
        <w:rPr>
          <w:rFonts w:hint="eastAsia" w:ascii="宋体" w:hAnsi="宋体" w:eastAsia="宋体" w:cs="宋体"/>
          <w:b/>
          <w:color w:val="auto"/>
          <w:szCs w:val="21"/>
          <w:highlight w:val="none"/>
          <w:u w:val="single"/>
        </w:rPr>
        <w:t>违反本条款给委托人造成的经济损失，由受托人承担全部赔偿责任。</w:t>
      </w:r>
    </w:p>
    <w:p w14:paraId="26FACABE">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17.3 在本合同履行过程中，如受托人违反本合同约定的保证义务，由此导致的所有法律责任由受托人承担。受托人违反本合同约定的保证义务时，受托人需按委托代理报酬的20%向委托人支付违约金，同时委托人有权解除本合同。如给委托人造成经济损失的，由受托人承担全部赔偿责任。</w:t>
      </w:r>
    </w:p>
    <w:p w14:paraId="7B909721">
      <w:pPr>
        <w:spacing w:line="360" w:lineRule="auto"/>
        <w:ind w:firstLine="422" w:firstLineChars="200"/>
        <w:rPr>
          <w:rFonts w:ascii="宋体" w:hAnsi="宋体" w:eastAsia="宋体" w:cs="宋体"/>
          <w:color w:val="auto"/>
          <w:szCs w:val="21"/>
          <w:highlight w:val="none"/>
          <w:vertAlign w:val="subscript"/>
        </w:rPr>
      </w:pPr>
      <w:r>
        <w:rPr>
          <w:rFonts w:hint="eastAsia" w:ascii="宋体" w:hAnsi="宋体" w:eastAsia="宋体" w:cs="宋体"/>
          <w:b/>
          <w:color w:val="auto"/>
          <w:szCs w:val="21"/>
          <w:highlight w:val="none"/>
          <w:u w:val="single"/>
        </w:rPr>
        <w:t>17.4 受托人未按本合同约定全面履行合同义务的，委托人有权要求限期改正，如受托人限期仍未改正的，受托人需按委托代理报酬的20%向委托人支付违约金，同时委托人有权解除本合同。如给委托人造成的经济损失，由受托人承担全部赔偿责任。</w:t>
      </w:r>
    </w:p>
    <w:p w14:paraId="0A647338">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17.5 因受托人原因导致招标文件及合同修改，使项目不能如期开标或签订合同的，除按本合同约定追究违约责任外，同时每延期一天向委托人承担1000元的违约金</w:t>
      </w:r>
      <w:r>
        <w:rPr>
          <w:rFonts w:hint="eastAsia" w:ascii="宋体" w:hAnsi="宋体" w:eastAsia="宋体" w:cs="宋体"/>
          <w:b/>
          <w:color w:val="auto"/>
          <w:szCs w:val="21"/>
          <w:highlight w:val="none"/>
          <w:u w:val="single"/>
          <w:lang w:eastAsia="zh-CN"/>
        </w:rPr>
        <w:t>，累计超过</w:t>
      </w:r>
      <w:r>
        <w:rPr>
          <w:rFonts w:hint="eastAsia" w:ascii="宋体" w:hAnsi="宋体" w:eastAsia="宋体" w:cs="宋体"/>
          <w:b/>
          <w:color w:val="auto"/>
          <w:szCs w:val="21"/>
          <w:highlight w:val="none"/>
          <w:u w:val="single"/>
        </w:rPr>
        <w:t>委托代理报酬20%</w:t>
      </w:r>
      <w:r>
        <w:rPr>
          <w:rFonts w:hint="eastAsia" w:ascii="宋体" w:hAnsi="宋体" w:eastAsia="宋体" w:cs="宋体"/>
          <w:b/>
          <w:color w:val="auto"/>
          <w:szCs w:val="21"/>
          <w:highlight w:val="none"/>
          <w:u w:val="single"/>
          <w:lang w:eastAsia="zh-CN"/>
        </w:rPr>
        <w:t>的，按</w:t>
      </w:r>
      <w:r>
        <w:rPr>
          <w:rFonts w:hint="eastAsia" w:ascii="宋体" w:hAnsi="宋体" w:eastAsia="宋体" w:cs="宋体"/>
          <w:b/>
          <w:color w:val="auto"/>
          <w:szCs w:val="21"/>
          <w:highlight w:val="none"/>
          <w:u w:val="single"/>
        </w:rPr>
        <w:t>委托代理报酬20%</w:t>
      </w:r>
      <w:r>
        <w:rPr>
          <w:rFonts w:hint="eastAsia" w:ascii="宋体" w:hAnsi="宋体" w:eastAsia="宋体" w:cs="宋体"/>
          <w:b/>
          <w:color w:val="auto"/>
          <w:szCs w:val="21"/>
          <w:highlight w:val="none"/>
          <w:u w:val="single"/>
          <w:lang w:eastAsia="zh-CN"/>
        </w:rPr>
        <w:t>计算违约金</w:t>
      </w:r>
      <w:r>
        <w:rPr>
          <w:rFonts w:hint="eastAsia" w:ascii="宋体" w:hAnsi="宋体" w:eastAsia="宋体" w:cs="宋体"/>
          <w:b/>
          <w:color w:val="auto"/>
          <w:szCs w:val="21"/>
          <w:highlight w:val="none"/>
          <w:u w:val="single"/>
        </w:rPr>
        <w:t>。</w:t>
      </w:r>
    </w:p>
    <w:p w14:paraId="3BC510B1">
      <w:pPr>
        <w:tabs>
          <w:tab w:val="left" w:pos="540"/>
          <w:tab w:val="left" w:pos="993"/>
          <w:tab w:val="left" w:pos="1134"/>
        </w:tabs>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17.6 受托人未经委托人同意，擅自修改招标文件实质性条款或合同条款，导致工程纠纷或其他损害委托人利益的情况发生，受托人需按委托代理报酬的20%向委托人支付违约金，同时委托人有权解除本合同，如给委托人造成的经济损失，由受托人承担全部赔偿责任。</w:t>
      </w:r>
    </w:p>
    <w:p w14:paraId="74A1C0FA">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17.7 在本合同履行过程中，如受托人违反本专用合同第5.2（15）款备案义务、第5.2（18）款归档义务，由此而导致的所有法律责任由受托人承担。同时，委托人有权要求受托人按委托代理报酬的20%支付违约金。如给委托人造成经济损失的，由受托人承担全部赔偿责任。</w:t>
      </w:r>
    </w:p>
    <w:p w14:paraId="11175C66">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17.8 如受托人违反本合同第5.2（19）款档案保管义务，导致部分或全部档案遗失，由此而导致的所有法律责任由受托人承担。同时，委托人有权要求受托人按委托代理报酬的20%承担违约金，并采取相关的补救措施。如给委托人造成经济损失的，由受托人承担全部赔偿责任。</w:t>
      </w:r>
    </w:p>
    <w:p w14:paraId="03A4D276">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17.9 受托人违反合同及附件中任何一项义务，由此而导致的所有法律责任均由受托人承担。同时，委托人有权要求受托人按委托代理报酬的20%承担违约金，本合同对违约金比例另有约定的，从其约定。如给委托人造成经济损失的，由受托人承担全部赔偿责任。</w:t>
      </w:r>
    </w:p>
    <w:p w14:paraId="13215F4B">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17.10 受托人应按本合同第5.2条款约定的时间和内容完成相应工作，如有违反的，委托人有权按《招标代理协议服务合同》相关违约规定执行。</w:t>
      </w:r>
    </w:p>
    <w:p w14:paraId="678DCC5D">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17.11 受托人承接本合同项目接受建设行业监督部门监管时，须贯彻执行建设行业监督部门所颁发的相关规定。</w:t>
      </w:r>
    </w:p>
    <w:p w14:paraId="64790F3C">
      <w:pPr>
        <w:spacing w:line="360" w:lineRule="auto"/>
        <w:ind w:firstLine="464" w:firstLineChars="22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17.12 因不可抗力原因，致使一方不能履行合同，不承担违约责任，但应将情况在不可抗力发生的48小时内通知另一方，并应采取措施尽量减少由此发生的损失，否则应就损失扩大部分承担责任。</w:t>
      </w:r>
    </w:p>
    <w:p w14:paraId="4950B51B">
      <w:pPr>
        <w:spacing w:line="360" w:lineRule="auto"/>
        <w:ind w:firstLine="464" w:firstLineChars="22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17.13在合同履行期间，对于受托人违约产生的违约金、赔偿、扣款或其他应付费用等款项，受托人应在收到违约（赔偿或扣款等）处理通知书之日起5个工作日内以银行转账或电汇方式支付至委托人账户，否则，委托人有权直接从</w:t>
      </w:r>
      <w:r>
        <w:rPr>
          <w:rFonts w:hint="eastAsia" w:ascii="宋体" w:hAnsi="宋体" w:eastAsia="宋体" w:cs="宋体"/>
          <w:b/>
          <w:color w:val="auto"/>
          <w:szCs w:val="21"/>
          <w:highlight w:val="none"/>
          <w:u w:val="single"/>
          <w:lang w:eastAsia="zh-CN"/>
        </w:rPr>
        <w:t>履约担保</w:t>
      </w:r>
      <w:r>
        <w:rPr>
          <w:rFonts w:hint="eastAsia" w:ascii="宋体" w:hAnsi="宋体" w:eastAsia="宋体" w:cs="宋体"/>
          <w:b/>
          <w:color w:val="auto"/>
          <w:szCs w:val="21"/>
          <w:highlight w:val="none"/>
          <w:u w:val="single"/>
        </w:rPr>
        <w:t>中直接扣除予以支付。</w:t>
      </w:r>
    </w:p>
    <w:p w14:paraId="2EF86894">
      <w:pPr>
        <w:spacing w:line="360" w:lineRule="auto"/>
        <w:ind w:firstLine="464" w:firstLineChars="22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17.14 本合同附件与本合同同时生效，同具法律效力，附件约定与本合同不一致的，以本合同约定为准。</w:t>
      </w:r>
    </w:p>
    <w:p w14:paraId="2CC2FD69">
      <w:pPr>
        <w:spacing w:line="360" w:lineRule="auto"/>
        <w:ind w:firstLine="464" w:firstLineChars="22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lang w:eastAsia="zh-CN"/>
        </w:rPr>
        <w:t>1</w:t>
      </w:r>
      <w:r>
        <w:rPr>
          <w:rFonts w:hint="eastAsia" w:ascii="宋体" w:hAnsi="宋体" w:eastAsia="宋体" w:cs="宋体"/>
          <w:b/>
          <w:color w:val="auto"/>
          <w:szCs w:val="21"/>
          <w:highlight w:val="none"/>
          <w:u w:val="single"/>
          <w:lang w:val="en-US" w:eastAsia="zh-CN"/>
        </w:rPr>
        <w:t xml:space="preserve">7.15 </w:t>
      </w:r>
      <w:r>
        <w:rPr>
          <w:rFonts w:hint="eastAsia" w:ascii="宋体" w:hAnsi="宋体" w:eastAsia="宋体" w:cs="宋体"/>
          <w:b/>
          <w:color w:val="auto"/>
          <w:szCs w:val="21"/>
          <w:highlight w:val="none"/>
          <w:u w:val="single"/>
        </w:rPr>
        <w:t>乙方存在以下行为之一的，甲方有权单方面解除本合同，乙方接受</w:t>
      </w:r>
      <w:r>
        <w:rPr>
          <w:rFonts w:hint="eastAsia" w:ascii="宋体" w:hAnsi="宋体" w:eastAsia="宋体" w:cs="宋体"/>
          <w:b/>
          <w:color w:val="auto"/>
          <w:szCs w:val="21"/>
          <w:highlight w:val="none"/>
          <w:u w:val="single"/>
          <w:lang w:eastAsia="zh-CN"/>
        </w:rPr>
        <w:t>东莞市水务环境投资控股集团有限公司</w:t>
      </w:r>
      <w:r>
        <w:rPr>
          <w:rFonts w:hint="eastAsia" w:ascii="宋体" w:hAnsi="宋体" w:eastAsia="宋体" w:cs="宋体"/>
          <w:b/>
          <w:color w:val="auto"/>
          <w:szCs w:val="21"/>
          <w:highlight w:val="none"/>
          <w:u w:val="single"/>
        </w:rPr>
        <w:t>单方面解除《招标代理协议服务合同》及没收乙方全部</w:t>
      </w:r>
      <w:r>
        <w:rPr>
          <w:rFonts w:hint="eastAsia" w:ascii="宋体" w:hAnsi="宋体" w:eastAsia="宋体" w:cs="宋体"/>
          <w:b/>
          <w:color w:val="auto"/>
          <w:szCs w:val="21"/>
          <w:highlight w:val="none"/>
          <w:u w:val="single"/>
          <w:lang w:eastAsia="zh-CN"/>
        </w:rPr>
        <w:t>履约</w:t>
      </w:r>
      <w:r>
        <w:rPr>
          <w:rFonts w:hint="eastAsia" w:ascii="宋体" w:hAnsi="宋体" w:eastAsia="宋体" w:cs="宋体"/>
          <w:b/>
          <w:color w:val="auto"/>
          <w:szCs w:val="21"/>
          <w:highlight w:val="none"/>
          <w:u w:val="single"/>
        </w:rPr>
        <w:t>保证金，</w:t>
      </w:r>
      <w:r>
        <w:rPr>
          <w:rFonts w:hint="eastAsia" w:ascii="宋体" w:hAnsi="宋体" w:eastAsia="宋体" w:cs="宋体"/>
          <w:b/>
          <w:color w:val="auto"/>
          <w:szCs w:val="21"/>
          <w:highlight w:val="none"/>
          <w:u w:val="single"/>
          <w:lang w:eastAsia="zh-CN"/>
        </w:rPr>
        <w:t>五年</w:t>
      </w:r>
      <w:r>
        <w:rPr>
          <w:rFonts w:hint="eastAsia" w:ascii="宋体" w:hAnsi="宋体" w:eastAsia="宋体" w:cs="宋体"/>
          <w:b/>
          <w:color w:val="auto"/>
          <w:szCs w:val="21"/>
          <w:highlight w:val="none"/>
          <w:u w:val="single"/>
        </w:rPr>
        <w:t>内（解除本合同起）乙方不得参与</w:t>
      </w:r>
      <w:r>
        <w:rPr>
          <w:rFonts w:hint="eastAsia" w:ascii="宋体" w:hAnsi="宋体" w:eastAsia="宋体" w:cs="宋体"/>
          <w:b/>
          <w:color w:val="auto"/>
          <w:szCs w:val="21"/>
          <w:highlight w:val="none"/>
          <w:u w:val="single"/>
          <w:lang w:eastAsia="zh-CN"/>
        </w:rPr>
        <w:t>东莞市水务环境投资控股集团有限公司</w:t>
      </w:r>
      <w:r>
        <w:rPr>
          <w:rFonts w:hint="eastAsia" w:ascii="宋体" w:hAnsi="宋体" w:eastAsia="宋体" w:cs="宋体"/>
          <w:b/>
          <w:color w:val="auto"/>
          <w:szCs w:val="21"/>
          <w:highlight w:val="none"/>
          <w:u w:val="single"/>
        </w:rPr>
        <w:t>及其子（分）公司的招标采购代理业务：</w:t>
      </w:r>
    </w:p>
    <w:p w14:paraId="246CEC35">
      <w:pPr>
        <w:spacing w:line="360" w:lineRule="auto"/>
        <w:ind w:firstLine="464" w:firstLineChars="220"/>
        <w:jc w:val="left"/>
        <w:rPr>
          <w:rFonts w:hint="eastAsia" w:ascii="宋体" w:hAnsi="宋体" w:eastAsia="宋体" w:cs="宋体"/>
          <w:b/>
          <w:color w:val="auto"/>
          <w:szCs w:val="21"/>
          <w:highlight w:val="none"/>
          <w:u w:val="single"/>
          <w:lang w:eastAsia="zh-CN"/>
        </w:rPr>
      </w:pPr>
      <w:r>
        <w:rPr>
          <w:rFonts w:hint="eastAsia" w:ascii="宋体" w:hAnsi="宋体" w:eastAsia="宋体" w:cs="宋体"/>
          <w:b/>
          <w:color w:val="auto"/>
          <w:szCs w:val="21"/>
          <w:highlight w:val="none"/>
          <w:u w:val="single"/>
        </w:rPr>
        <w:t>（1）乙方被司法、仲裁机构或行政部门认定涉及参与围标串标的</w:t>
      </w:r>
      <w:r>
        <w:rPr>
          <w:rFonts w:hint="eastAsia" w:ascii="宋体" w:hAnsi="宋体" w:eastAsia="宋体" w:cs="宋体"/>
          <w:b/>
          <w:color w:val="auto"/>
          <w:szCs w:val="21"/>
          <w:highlight w:val="none"/>
          <w:u w:val="single"/>
          <w:lang w:eastAsia="zh-CN"/>
        </w:rPr>
        <w:t>；</w:t>
      </w:r>
    </w:p>
    <w:p w14:paraId="5A9417EA">
      <w:pPr>
        <w:spacing w:line="360" w:lineRule="auto"/>
        <w:ind w:firstLine="464" w:firstLineChars="22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（2）乙方操纵或意图操纵本项目投标结果的；</w:t>
      </w:r>
    </w:p>
    <w:p w14:paraId="67331DCD">
      <w:pPr>
        <w:spacing w:line="360" w:lineRule="auto"/>
        <w:ind w:firstLine="464" w:firstLineChars="22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（3）乙方与投标人合谋，损害甲方利益的；</w:t>
      </w:r>
    </w:p>
    <w:p w14:paraId="677A7D2F">
      <w:pPr>
        <w:spacing w:line="360" w:lineRule="auto"/>
        <w:ind w:firstLine="464" w:firstLineChars="22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（4）乙方向本项目投标人收取任何名义费用，收受投标人任何形式利益的；</w:t>
      </w:r>
    </w:p>
    <w:p w14:paraId="65E70CFE">
      <w:pPr>
        <w:spacing w:line="360" w:lineRule="auto"/>
        <w:ind w:firstLine="464" w:firstLineChars="22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（5）乙方在本项目代理行为中获取不当利益的；</w:t>
      </w:r>
    </w:p>
    <w:p w14:paraId="0F156A11">
      <w:pPr>
        <w:spacing w:line="360" w:lineRule="auto"/>
        <w:ind w:firstLine="464" w:firstLineChars="22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（6）乙方向无关人员透露本项目评标委员会成员信息的；</w:t>
      </w:r>
    </w:p>
    <w:p w14:paraId="10D206A2">
      <w:pPr>
        <w:spacing w:line="360" w:lineRule="auto"/>
        <w:ind w:firstLine="464" w:firstLineChars="22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（7）乙方明示或暗示本项目评标委员会成员对投标人偏向性评分的；</w:t>
      </w:r>
    </w:p>
    <w:p w14:paraId="614BCAF2">
      <w:pPr>
        <w:spacing w:line="360" w:lineRule="auto"/>
        <w:ind w:firstLine="464" w:firstLineChars="220"/>
        <w:jc w:val="left"/>
        <w:rPr>
          <w:rFonts w:hint="eastAsia" w:ascii="宋体" w:hAnsi="宋体" w:eastAsia="宋体" w:cs="宋体"/>
          <w:b/>
          <w:color w:val="auto"/>
          <w:szCs w:val="21"/>
          <w:highlight w:val="none"/>
          <w:u w:val="single"/>
        </w:rPr>
      </w:pPr>
    </w:p>
    <w:p w14:paraId="0B084192">
      <w:pPr>
        <w:spacing w:line="360" w:lineRule="auto"/>
        <w:ind w:firstLine="464" w:firstLineChars="220"/>
        <w:jc w:val="left"/>
        <w:rPr>
          <w:rFonts w:hint="default"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u w:val="single"/>
          <w:lang w:val="en-US" w:eastAsia="zh-CN"/>
        </w:rPr>
        <w:t>附件1单项招标代理项目质量考核表</w:t>
      </w:r>
    </w:p>
    <w:p w14:paraId="558E1822">
      <w:pPr>
        <w:spacing w:line="360" w:lineRule="auto"/>
        <w:ind w:firstLine="464" w:firstLineChars="22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附件</w:t>
      </w:r>
      <w:r>
        <w:rPr>
          <w:rFonts w:hint="eastAsia" w:ascii="宋体" w:hAnsi="宋体" w:eastAsia="宋体" w:cs="宋体"/>
          <w:b/>
          <w:color w:val="auto"/>
          <w:szCs w:val="21"/>
          <w:highlight w:val="none"/>
          <w:u w:val="single"/>
          <w:lang w:val="en-US" w:eastAsia="zh-CN"/>
        </w:rPr>
        <w:t>2</w:t>
      </w:r>
      <w:r>
        <w:rPr>
          <w:rFonts w:hint="eastAsia" w:ascii="宋体" w:hAnsi="宋体" w:eastAsia="宋体" w:cs="宋体"/>
          <w:b/>
          <w:color w:val="auto"/>
          <w:szCs w:val="21"/>
          <w:highlight w:val="none"/>
          <w:u w:val="single"/>
        </w:rPr>
        <w:t>廉洁协议书</w:t>
      </w:r>
    </w:p>
    <w:p w14:paraId="7ED1EF98">
      <w:pPr>
        <w:autoSpaceDE w:val="0"/>
        <w:autoSpaceDN w:val="0"/>
        <w:adjustRightInd w:val="0"/>
        <w:jc w:val="left"/>
        <w:rPr>
          <w:rFonts w:ascii="宋体" w:hAnsi="宋体" w:eastAsia="宋体" w:cs="宋体"/>
          <w:b/>
          <w:bCs/>
          <w:color w:val="auto"/>
          <w:kern w:val="0"/>
          <w:sz w:val="28"/>
          <w:szCs w:val="28"/>
          <w:highlight w:val="none"/>
        </w:rPr>
      </w:pPr>
    </w:p>
    <w:p w14:paraId="601F4B0C">
      <w:pPr>
        <w:jc w:val="left"/>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14:paraId="44DE0359">
      <w:pPr>
        <w:rPr>
          <w:rFonts w:hint="eastAsia" w:ascii="宋体" w:hAnsi="宋体" w:eastAsia="宋体" w:cs="宋体"/>
          <w:b/>
          <w:color w:val="auto"/>
          <w:szCs w:val="21"/>
          <w:highlight w:val="none"/>
          <w:u w:val="single"/>
          <w:lang w:val="en-US" w:eastAsia="zh-CN"/>
        </w:rPr>
      </w:pPr>
      <w:r>
        <w:rPr>
          <w:rFonts w:hint="eastAsia" w:ascii="宋体" w:hAnsi="宋体" w:eastAsia="宋体" w:cs="宋体"/>
          <w:b/>
          <w:bCs/>
          <w:color w:val="auto"/>
          <w:szCs w:val="21"/>
          <w:highlight w:val="none"/>
          <w:lang w:val="en-US" w:eastAsia="zh-CN"/>
        </w:rPr>
        <w:t>附件1：</w:t>
      </w:r>
      <w:r>
        <w:rPr>
          <w:rFonts w:hint="eastAsia" w:ascii="宋体" w:hAnsi="宋体" w:eastAsia="宋体" w:cs="宋体"/>
          <w:b/>
          <w:color w:val="auto"/>
          <w:szCs w:val="21"/>
          <w:highlight w:val="none"/>
          <w:u w:val="single"/>
          <w:lang w:val="en-US" w:eastAsia="zh-CN"/>
        </w:rPr>
        <w:t>单项招标代理项目质量考核表</w:t>
      </w:r>
    </w:p>
    <w:p w14:paraId="7D1F8F5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lang w:eastAsia="zh-CN"/>
        </w:rPr>
      </w:pPr>
    </w:p>
    <w:p w14:paraId="5AA1DD2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lang w:eastAsia="zh-CN"/>
        </w:rPr>
      </w:pPr>
      <w:r>
        <w:rPr>
          <w:rFonts w:hint="eastAsia" w:ascii="宋体" w:hAnsi="宋体" w:eastAsia="宋体" w:cs="宋体"/>
          <w:b/>
          <w:bCs/>
          <w:color w:val="000000"/>
          <w:szCs w:val="21"/>
          <w:highlight w:val="none"/>
          <w:lang w:eastAsia="zh-CN"/>
        </w:rPr>
        <w:t>单项招标代理项目质量考核表</w:t>
      </w:r>
    </w:p>
    <w:p w14:paraId="79342827">
      <w:pPr>
        <w:pStyle w:val="138"/>
        <w:spacing w:after="160" w:line="400" w:lineRule="exact"/>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lang w:val="en-US" w:eastAsia="zh-CN"/>
        </w:rPr>
        <w:t>招标</w:t>
      </w:r>
      <w:r>
        <w:rPr>
          <w:rFonts w:hint="eastAsia" w:ascii="宋体" w:hAnsi="宋体" w:eastAsia="宋体" w:cs="宋体"/>
          <w:bCs w:val="0"/>
          <w:color w:val="auto"/>
          <w:szCs w:val="21"/>
          <w:highlight w:val="none"/>
        </w:rPr>
        <w:t>代理机构：</w:t>
      </w:r>
    </w:p>
    <w:p w14:paraId="52EC85C6">
      <w:pPr>
        <w:pStyle w:val="138"/>
        <w:spacing w:after="160" w:line="400" w:lineRule="exact"/>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项目名称：</w:t>
      </w:r>
    </w:p>
    <w:p w14:paraId="6AD84533">
      <w:pPr>
        <w:pStyle w:val="138"/>
        <w:spacing w:after="160" w:line="400" w:lineRule="exact"/>
        <w:rPr>
          <w:rFonts w:hint="default"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招标编号：</w:t>
      </w:r>
    </w:p>
    <w:tbl>
      <w:tblPr>
        <w:tblStyle w:val="44"/>
        <w:tblW w:w="4998" w:type="pct"/>
        <w:tblInd w:w="0" w:type="dxa"/>
        <w:tblLayout w:type="autofit"/>
        <w:tblCellMar>
          <w:top w:w="0" w:type="dxa"/>
          <w:left w:w="108" w:type="dxa"/>
          <w:bottom w:w="0" w:type="dxa"/>
          <w:right w:w="108" w:type="dxa"/>
        </w:tblCellMar>
      </w:tblPr>
      <w:tblGrid>
        <w:gridCol w:w="647"/>
        <w:gridCol w:w="1758"/>
        <w:gridCol w:w="3388"/>
        <w:gridCol w:w="1292"/>
        <w:gridCol w:w="1051"/>
        <w:gridCol w:w="929"/>
        <w:gridCol w:w="1301"/>
      </w:tblGrid>
      <w:tr w14:paraId="3C553DE7">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02B9FC1E">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序号</w:t>
            </w:r>
          </w:p>
        </w:tc>
        <w:tc>
          <w:tcPr>
            <w:tcW w:w="847" w:type="pct"/>
            <w:tcBorders>
              <w:top w:val="single" w:color="auto" w:sz="4" w:space="0"/>
              <w:left w:val="nil"/>
              <w:bottom w:val="single" w:color="auto" w:sz="4" w:space="0"/>
              <w:right w:val="single" w:color="auto" w:sz="4" w:space="0"/>
            </w:tcBorders>
            <w:noWrap w:val="0"/>
            <w:vAlign w:val="center"/>
          </w:tcPr>
          <w:p w14:paraId="1A3B2F17">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考核内容</w:t>
            </w:r>
          </w:p>
        </w:tc>
        <w:tc>
          <w:tcPr>
            <w:tcW w:w="2257" w:type="pct"/>
            <w:gridSpan w:val="2"/>
            <w:tcBorders>
              <w:top w:val="single" w:color="auto" w:sz="4" w:space="0"/>
              <w:left w:val="nil"/>
              <w:bottom w:val="single" w:color="auto" w:sz="4" w:space="0"/>
              <w:right w:val="single" w:color="auto" w:sz="4" w:space="0"/>
            </w:tcBorders>
            <w:noWrap w:val="0"/>
            <w:vAlign w:val="center"/>
          </w:tcPr>
          <w:p w14:paraId="74E70D9B">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考核标准</w:t>
            </w:r>
          </w:p>
        </w:tc>
        <w:tc>
          <w:tcPr>
            <w:tcW w:w="507" w:type="pct"/>
            <w:tcBorders>
              <w:top w:val="single" w:color="auto" w:sz="4" w:space="0"/>
              <w:left w:val="nil"/>
              <w:bottom w:val="single" w:color="auto" w:sz="4" w:space="0"/>
              <w:right w:val="single" w:color="auto" w:sz="4" w:space="0"/>
            </w:tcBorders>
            <w:noWrap w:val="0"/>
            <w:vAlign w:val="center"/>
          </w:tcPr>
          <w:p w14:paraId="02EA445B">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权重</w:t>
            </w:r>
          </w:p>
        </w:tc>
        <w:tc>
          <w:tcPr>
            <w:tcW w:w="448" w:type="pct"/>
            <w:tcBorders>
              <w:top w:val="single" w:color="auto" w:sz="4" w:space="0"/>
              <w:left w:val="nil"/>
              <w:bottom w:val="single" w:color="auto" w:sz="4" w:space="0"/>
              <w:right w:val="single" w:color="auto" w:sz="4" w:space="0"/>
            </w:tcBorders>
            <w:noWrap w:val="0"/>
            <w:vAlign w:val="center"/>
          </w:tcPr>
          <w:p w14:paraId="0BBE626C">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得分</w:t>
            </w:r>
          </w:p>
        </w:tc>
        <w:tc>
          <w:tcPr>
            <w:tcW w:w="625" w:type="pct"/>
            <w:tcBorders>
              <w:top w:val="single" w:color="auto" w:sz="4" w:space="0"/>
              <w:left w:val="nil"/>
              <w:bottom w:val="single" w:color="auto" w:sz="4" w:space="0"/>
              <w:right w:val="single" w:color="auto" w:sz="4" w:space="0"/>
            </w:tcBorders>
            <w:noWrap w:val="0"/>
            <w:vAlign w:val="center"/>
          </w:tcPr>
          <w:p w14:paraId="5615E332">
            <w:pPr>
              <w:pStyle w:val="138"/>
              <w:keepNext w:val="0"/>
              <w:keepLines w:val="0"/>
              <w:suppressLineNumbers w:val="0"/>
              <w:spacing w:before="0" w:beforeAutospacing="0" w:after="160" w:afterAutospacing="0" w:line="400" w:lineRule="exact"/>
              <w:ind w:left="0" w:right="0" w:firstLine="0" w:firstLineChars="0"/>
              <w:jc w:val="center"/>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加权得分</w:t>
            </w:r>
          </w:p>
        </w:tc>
      </w:tr>
      <w:tr w14:paraId="1E69F954">
        <w:tblPrEx>
          <w:tblCellMar>
            <w:top w:w="0" w:type="dxa"/>
            <w:left w:w="108" w:type="dxa"/>
            <w:bottom w:w="0" w:type="dxa"/>
            <w:right w:w="108" w:type="dxa"/>
          </w:tblCellMar>
        </w:tblPrEx>
        <w:trPr>
          <w:trHeight w:val="454" w:hRule="atLeast"/>
        </w:trPr>
        <w:tc>
          <w:tcPr>
            <w:tcW w:w="312" w:type="pct"/>
            <w:tcBorders>
              <w:top w:val="nil"/>
              <w:left w:val="single" w:color="auto" w:sz="4" w:space="0"/>
              <w:bottom w:val="single" w:color="auto" w:sz="4" w:space="0"/>
              <w:right w:val="single" w:color="auto" w:sz="4" w:space="0"/>
            </w:tcBorders>
            <w:noWrap w:val="0"/>
            <w:vAlign w:val="center"/>
          </w:tcPr>
          <w:p w14:paraId="6D337AED">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58" w:type="dxa"/>
            <w:tcBorders>
              <w:top w:val="nil"/>
              <w:left w:val="nil"/>
              <w:bottom w:val="single" w:color="auto" w:sz="4" w:space="0"/>
              <w:right w:val="single" w:color="auto" w:sz="4" w:space="0"/>
            </w:tcBorders>
            <w:noWrap w:val="0"/>
            <w:vAlign w:val="center"/>
          </w:tcPr>
          <w:p w14:paraId="6668ABE0">
            <w:pPr>
              <w:pStyle w:val="138"/>
              <w:keepNext w:val="0"/>
              <w:keepLines w:val="0"/>
              <w:suppressLineNumbers w:val="0"/>
              <w:snapToGrid w:val="0"/>
              <w:spacing w:before="0" w:beforeAutospacing="0" w:after="160" w:afterAutospacing="0" w:line="400" w:lineRule="exact"/>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招标代理机构运作情况</w:t>
            </w:r>
          </w:p>
        </w:tc>
        <w:tc>
          <w:tcPr>
            <w:tcW w:w="4680" w:type="dxa"/>
            <w:gridSpan w:val="2"/>
            <w:tcBorders>
              <w:top w:val="nil"/>
              <w:left w:val="nil"/>
              <w:bottom w:val="single" w:color="auto" w:sz="4" w:space="0"/>
              <w:right w:val="single" w:color="auto" w:sz="4" w:space="0"/>
            </w:tcBorders>
            <w:noWrap w:val="0"/>
            <w:vAlign w:val="center"/>
          </w:tcPr>
          <w:p w14:paraId="53986500">
            <w:pPr>
              <w:pStyle w:val="138"/>
              <w:keepNext w:val="0"/>
              <w:keepLines w:val="0"/>
              <w:suppressLineNumbers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编制人或复核人到位情况；代理机构主要负责人组织协调能力；代理机构人员业务能力、工作态度、主动性。</w:t>
            </w:r>
          </w:p>
        </w:tc>
        <w:tc>
          <w:tcPr>
            <w:tcW w:w="507" w:type="pct"/>
            <w:tcBorders>
              <w:top w:val="nil"/>
              <w:left w:val="nil"/>
              <w:bottom w:val="single" w:color="auto" w:sz="4" w:space="0"/>
              <w:right w:val="single" w:color="auto" w:sz="4" w:space="0"/>
            </w:tcBorders>
            <w:noWrap w:val="0"/>
            <w:vAlign w:val="center"/>
          </w:tcPr>
          <w:p w14:paraId="4046BAC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48" w:type="pct"/>
            <w:tcBorders>
              <w:top w:val="nil"/>
              <w:left w:val="nil"/>
              <w:bottom w:val="single" w:color="auto" w:sz="4" w:space="0"/>
              <w:right w:val="single" w:color="auto" w:sz="4" w:space="0"/>
            </w:tcBorders>
            <w:noWrap w:val="0"/>
            <w:vAlign w:val="top"/>
          </w:tcPr>
          <w:p w14:paraId="0BC3C64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nil"/>
              <w:left w:val="nil"/>
              <w:bottom w:val="single" w:color="auto" w:sz="4" w:space="0"/>
              <w:right w:val="single" w:color="auto" w:sz="4" w:space="0"/>
            </w:tcBorders>
            <w:noWrap w:val="0"/>
            <w:vAlign w:val="top"/>
          </w:tcPr>
          <w:p w14:paraId="72B428A0">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0F808A6F">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right w:val="single" w:color="auto" w:sz="4" w:space="0"/>
            </w:tcBorders>
            <w:noWrap w:val="0"/>
            <w:vAlign w:val="center"/>
          </w:tcPr>
          <w:p w14:paraId="0F4061E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58" w:type="dxa"/>
            <w:tcBorders>
              <w:top w:val="single" w:color="auto" w:sz="4" w:space="0"/>
              <w:left w:val="nil"/>
              <w:bottom w:val="single" w:color="auto" w:sz="4" w:space="0"/>
              <w:right w:val="single" w:color="auto" w:sz="4" w:space="0"/>
            </w:tcBorders>
            <w:noWrap w:val="0"/>
            <w:vAlign w:val="center"/>
          </w:tcPr>
          <w:p w14:paraId="58C5503D">
            <w:pPr>
              <w:pStyle w:val="138"/>
              <w:keepNext w:val="0"/>
              <w:keepLines w:val="0"/>
              <w:suppressLineNumbers w:val="0"/>
              <w:snapToGrid w:val="0"/>
              <w:spacing w:before="0" w:beforeAutospacing="0" w:after="160" w:afterAutospacing="0" w:line="400" w:lineRule="exact"/>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编制情况</w:t>
            </w:r>
          </w:p>
        </w:tc>
        <w:tc>
          <w:tcPr>
            <w:tcW w:w="4680" w:type="dxa"/>
            <w:gridSpan w:val="2"/>
            <w:tcBorders>
              <w:top w:val="single" w:color="auto" w:sz="4" w:space="0"/>
              <w:left w:val="nil"/>
              <w:bottom w:val="single" w:color="auto" w:sz="4" w:space="0"/>
              <w:right w:val="single" w:color="auto" w:sz="4" w:space="0"/>
            </w:tcBorders>
            <w:noWrap w:val="0"/>
            <w:vAlign w:val="center"/>
          </w:tcPr>
          <w:p w14:paraId="1B8870A0">
            <w:pPr>
              <w:pStyle w:val="138"/>
              <w:keepNext w:val="0"/>
              <w:keepLines w:val="0"/>
              <w:suppressLineNumbers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代理机构提出合理化建议，配合项目组做好划分标段计划及拟定招标方案情况；收集与招标项目有关的技术、图纸、最新法律法规等资料，理解项目需求情况；根据工程需求编制</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，对资质等级、工程范围、费用包干等重点环节核实情况；根据项目</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及监督部门（如有）要求，对</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内容不适当部分的修改，</w:t>
            </w:r>
            <w:r>
              <w:rPr>
                <w:rFonts w:hint="eastAsia" w:ascii="宋体" w:hAnsi="宋体" w:eastAsia="宋体" w:cs="宋体"/>
                <w:highlight w:val="none"/>
                <w:lang w:val="en-US" w:eastAsia="zh-CN"/>
              </w:rPr>
              <w:t>发现并修改</w:t>
            </w:r>
            <w:r>
              <w:rPr>
                <w:rFonts w:hint="eastAsia" w:ascii="宋体" w:hAnsi="宋体" w:eastAsia="宋体" w:cs="宋体"/>
                <w:color w:val="auto"/>
                <w:szCs w:val="21"/>
                <w:highlight w:val="none"/>
              </w:rPr>
              <w:t>错漏情况；</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的传阅、答辩、定稿情况，项目合同的编制情况；招标公告、专家申请、开评标表格、评标报告、结果公示、中标通知书等招标过程文件的编制情况。</w:t>
            </w:r>
          </w:p>
        </w:tc>
        <w:tc>
          <w:tcPr>
            <w:tcW w:w="507" w:type="pct"/>
            <w:tcBorders>
              <w:top w:val="single" w:color="auto" w:sz="4" w:space="0"/>
              <w:left w:val="nil"/>
              <w:bottom w:val="single" w:color="auto" w:sz="4" w:space="0"/>
              <w:right w:val="single" w:color="auto" w:sz="4" w:space="0"/>
            </w:tcBorders>
            <w:noWrap w:val="0"/>
            <w:vAlign w:val="center"/>
          </w:tcPr>
          <w:p w14:paraId="2920C4C5">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448" w:type="pct"/>
            <w:tcBorders>
              <w:top w:val="single" w:color="auto" w:sz="4" w:space="0"/>
              <w:left w:val="nil"/>
              <w:bottom w:val="single" w:color="auto" w:sz="4" w:space="0"/>
              <w:right w:val="single" w:color="auto" w:sz="4" w:space="0"/>
            </w:tcBorders>
            <w:noWrap w:val="0"/>
            <w:vAlign w:val="top"/>
          </w:tcPr>
          <w:p w14:paraId="46AAB9B5">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1CB0AEB3">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11F56870">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6439AA1D">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58" w:type="dxa"/>
            <w:tcBorders>
              <w:top w:val="single" w:color="auto" w:sz="4" w:space="0"/>
              <w:left w:val="nil"/>
              <w:bottom w:val="single" w:color="auto" w:sz="4" w:space="0"/>
              <w:right w:val="single" w:color="auto" w:sz="4" w:space="0"/>
            </w:tcBorders>
            <w:noWrap w:val="0"/>
            <w:vAlign w:val="center"/>
          </w:tcPr>
          <w:p w14:paraId="3E62A5AF">
            <w:pPr>
              <w:pStyle w:val="138"/>
              <w:keepNext w:val="0"/>
              <w:keepLines w:val="0"/>
              <w:suppressLineNumbers w:val="0"/>
              <w:snapToGrid w:val="0"/>
              <w:spacing w:before="0" w:beforeAutospacing="0" w:after="160" w:afterAutospacing="0" w:line="400" w:lineRule="exact"/>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招标程序组织情况</w:t>
            </w:r>
          </w:p>
        </w:tc>
        <w:tc>
          <w:tcPr>
            <w:tcW w:w="4680" w:type="dxa"/>
            <w:gridSpan w:val="2"/>
            <w:tcBorders>
              <w:top w:val="single" w:color="auto" w:sz="4" w:space="0"/>
              <w:left w:val="nil"/>
              <w:bottom w:val="single" w:color="auto" w:sz="4" w:space="0"/>
              <w:right w:val="single" w:color="auto" w:sz="4" w:space="0"/>
            </w:tcBorders>
            <w:noWrap w:val="0"/>
            <w:vAlign w:val="center"/>
          </w:tcPr>
          <w:p w14:paraId="0816E164">
            <w:pPr>
              <w:pStyle w:val="138"/>
              <w:keepNext w:val="0"/>
              <w:keepLines w:val="0"/>
              <w:suppressLineNumbers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代理机构合法合规办理招标公告发布所需具备的各项手续情况；完成各招标进度控制节点工作情况；向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反馈潜在投标人（供应商）情况，开标评标等工作情况；项目合同签订的组织、协调、备案情况。现场应变能力，处理问题情况；代理机构人员语言举止及服务态度。</w:t>
            </w:r>
          </w:p>
        </w:tc>
        <w:tc>
          <w:tcPr>
            <w:tcW w:w="507" w:type="pct"/>
            <w:tcBorders>
              <w:top w:val="single" w:color="auto" w:sz="4" w:space="0"/>
              <w:left w:val="nil"/>
              <w:bottom w:val="single" w:color="auto" w:sz="4" w:space="0"/>
              <w:right w:val="single" w:color="auto" w:sz="4" w:space="0"/>
            </w:tcBorders>
            <w:noWrap w:val="0"/>
            <w:vAlign w:val="center"/>
          </w:tcPr>
          <w:p w14:paraId="5C926CB4">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448" w:type="pct"/>
            <w:tcBorders>
              <w:top w:val="single" w:color="auto" w:sz="4" w:space="0"/>
              <w:left w:val="nil"/>
              <w:bottom w:val="single" w:color="auto" w:sz="4" w:space="0"/>
              <w:right w:val="single" w:color="auto" w:sz="4" w:space="0"/>
            </w:tcBorders>
            <w:noWrap w:val="0"/>
            <w:vAlign w:val="top"/>
          </w:tcPr>
          <w:p w14:paraId="57ECC67F">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0AB1CE09">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0FF4941A">
        <w:tblPrEx>
          <w:tblCellMar>
            <w:top w:w="0" w:type="dxa"/>
            <w:left w:w="108" w:type="dxa"/>
            <w:bottom w:w="0" w:type="dxa"/>
            <w:right w:w="108" w:type="dxa"/>
          </w:tblCellMar>
        </w:tblPrEx>
        <w:trPr>
          <w:trHeight w:val="331"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08D01D84">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58" w:type="dxa"/>
            <w:tcBorders>
              <w:top w:val="single" w:color="auto" w:sz="4" w:space="0"/>
              <w:left w:val="nil"/>
              <w:bottom w:val="single" w:color="auto" w:sz="4" w:space="0"/>
              <w:right w:val="single" w:color="auto" w:sz="4" w:space="0"/>
            </w:tcBorders>
            <w:noWrap w:val="0"/>
            <w:vAlign w:val="center"/>
          </w:tcPr>
          <w:p w14:paraId="3A32A758">
            <w:pPr>
              <w:pStyle w:val="138"/>
              <w:keepNext w:val="0"/>
              <w:keepLines w:val="0"/>
              <w:suppressLineNumbers w:val="0"/>
              <w:snapToGrid w:val="0"/>
              <w:spacing w:before="0" w:beforeAutospacing="0" w:after="160" w:afterAutospacing="0" w:line="400" w:lineRule="exact"/>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异议、投诉处理情况</w:t>
            </w:r>
          </w:p>
        </w:tc>
        <w:tc>
          <w:tcPr>
            <w:tcW w:w="4680" w:type="dxa"/>
            <w:gridSpan w:val="2"/>
            <w:tcBorders>
              <w:top w:val="single" w:color="auto" w:sz="4" w:space="0"/>
              <w:left w:val="nil"/>
              <w:bottom w:val="single" w:color="auto" w:sz="4" w:space="0"/>
              <w:right w:val="single" w:color="auto" w:sz="4" w:space="0"/>
            </w:tcBorders>
            <w:noWrap w:val="0"/>
            <w:vAlign w:val="center"/>
          </w:tcPr>
          <w:p w14:paraId="13B4C22F">
            <w:pPr>
              <w:pStyle w:val="138"/>
              <w:keepNext w:val="0"/>
              <w:keepLines w:val="0"/>
              <w:suppressLineNumbers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代理机构受理供应商异议或投诉情况：时效、运用法律法规熟悉程度、效果；协助</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处理投诉情况。</w:t>
            </w:r>
          </w:p>
        </w:tc>
        <w:tc>
          <w:tcPr>
            <w:tcW w:w="507" w:type="pct"/>
            <w:tcBorders>
              <w:top w:val="single" w:color="auto" w:sz="4" w:space="0"/>
              <w:left w:val="nil"/>
              <w:bottom w:val="single" w:color="auto" w:sz="4" w:space="0"/>
              <w:right w:val="single" w:color="auto" w:sz="4" w:space="0"/>
            </w:tcBorders>
            <w:noWrap w:val="0"/>
            <w:vAlign w:val="center"/>
          </w:tcPr>
          <w:p w14:paraId="64055523">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48" w:type="pct"/>
            <w:tcBorders>
              <w:top w:val="single" w:color="auto" w:sz="4" w:space="0"/>
              <w:left w:val="nil"/>
              <w:bottom w:val="single" w:color="auto" w:sz="4" w:space="0"/>
              <w:right w:val="single" w:color="auto" w:sz="4" w:space="0"/>
            </w:tcBorders>
            <w:noWrap w:val="0"/>
            <w:vAlign w:val="top"/>
          </w:tcPr>
          <w:p w14:paraId="269A2AB2">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6FABE55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048961B1">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1854A711">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58" w:type="dxa"/>
            <w:tcBorders>
              <w:top w:val="single" w:color="auto" w:sz="4" w:space="0"/>
              <w:left w:val="nil"/>
              <w:bottom w:val="single" w:color="auto" w:sz="4" w:space="0"/>
              <w:right w:val="single" w:color="auto" w:sz="4" w:space="0"/>
            </w:tcBorders>
            <w:noWrap w:val="0"/>
            <w:vAlign w:val="center"/>
          </w:tcPr>
          <w:p w14:paraId="6265D55F">
            <w:pPr>
              <w:pStyle w:val="138"/>
              <w:keepNext w:val="0"/>
              <w:keepLines w:val="0"/>
              <w:suppressLineNumbers w:val="0"/>
              <w:snapToGrid w:val="0"/>
              <w:spacing w:before="0" w:beforeAutospacing="0" w:after="160" w:afterAutospacing="0" w:line="400" w:lineRule="exact"/>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资料管理情况</w:t>
            </w:r>
          </w:p>
        </w:tc>
        <w:tc>
          <w:tcPr>
            <w:tcW w:w="4680" w:type="dxa"/>
            <w:gridSpan w:val="2"/>
            <w:tcBorders>
              <w:top w:val="single" w:color="auto" w:sz="4" w:space="0"/>
              <w:left w:val="nil"/>
              <w:bottom w:val="single" w:color="auto" w:sz="4" w:space="0"/>
              <w:right w:val="single" w:color="auto" w:sz="4" w:space="0"/>
            </w:tcBorders>
            <w:noWrap w:val="0"/>
            <w:vAlign w:val="center"/>
          </w:tcPr>
          <w:p w14:paraId="6AA74E49">
            <w:pPr>
              <w:pStyle w:val="138"/>
              <w:keepNext w:val="0"/>
              <w:keepLines w:val="0"/>
              <w:suppressLineNumbers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代理机构发放中标通知书，草拟合同，审核严重不平衡报价，编写招标情况报告情况；招标资料制作、收集、移交、备案，招标全过程资料整理（含档案数字化）和存档保管等管理情况。</w:t>
            </w:r>
          </w:p>
        </w:tc>
        <w:tc>
          <w:tcPr>
            <w:tcW w:w="507" w:type="pct"/>
            <w:tcBorders>
              <w:top w:val="single" w:color="auto" w:sz="4" w:space="0"/>
              <w:left w:val="nil"/>
              <w:bottom w:val="single" w:color="auto" w:sz="4" w:space="0"/>
              <w:right w:val="single" w:color="auto" w:sz="4" w:space="0"/>
            </w:tcBorders>
            <w:noWrap w:val="0"/>
            <w:vAlign w:val="center"/>
          </w:tcPr>
          <w:p w14:paraId="749E195A">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48" w:type="pct"/>
            <w:tcBorders>
              <w:top w:val="single" w:color="auto" w:sz="4" w:space="0"/>
              <w:left w:val="nil"/>
              <w:bottom w:val="single" w:color="auto" w:sz="4" w:space="0"/>
              <w:right w:val="single" w:color="auto" w:sz="4" w:space="0"/>
            </w:tcBorders>
            <w:noWrap w:val="0"/>
            <w:vAlign w:val="top"/>
          </w:tcPr>
          <w:p w14:paraId="7B81FCC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40FF9CD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157BAAFF">
        <w:tblPrEx>
          <w:tblCellMar>
            <w:top w:w="0" w:type="dxa"/>
            <w:left w:w="108" w:type="dxa"/>
            <w:bottom w:w="0" w:type="dxa"/>
            <w:right w:w="108" w:type="dxa"/>
          </w:tblCellMar>
        </w:tblPrEx>
        <w:trPr>
          <w:trHeight w:val="454"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6025276D">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758" w:type="dxa"/>
            <w:tcBorders>
              <w:top w:val="single" w:color="auto" w:sz="4" w:space="0"/>
              <w:left w:val="nil"/>
              <w:bottom w:val="single" w:color="auto" w:sz="4" w:space="0"/>
              <w:right w:val="single" w:color="auto" w:sz="4" w:space="0"/>
            </w:tcBorders>
            <w:noWrap w:val="0"/>
            <w:vAlign w:val="center"/>
          </w:tcPr>
          <w:p w14:paraId="142897FA">
            <w:pPr>
              <w:pStyle w:val="138"/>
              <w:keepNext w:val="0"/>
              <w:keepLines w:val="0"/>
              <w:suppressLineNumbers w:val="0"/>
              <w:snapToGrid w:val="0"/>
              <w:spacing w:before="0" w:beforeAutospacing="0" w:after="160" w:afterAutospacing="0" w:line="400" w:lineRule="exact"/>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后续配套服务情况</w:t>
            </w:r>
          </w:p>
        </w:tc>
        <w:tc>
          <w:tcPr>
            <w:tcW w:w="4680" w:type="dxa"/>
            <w:gridSpan w:val="2"/>
            <w:tcBorders>
              <w:top w:val="single" w:color="auto" w:sz="4" w:space="0"/>
              <w:left w:val="nil"/>
              <w:bottom w:val="single" w:color="auto" w:sz="4" w:space="0"/>
              <w:right w:val="single" w:color="auto" w:sz="4" w:space="0"/>
            </w:tcBorders>
            <w:noWrap w:val="0"/>
            <w:vAlign w:val="center"/>
          </w:tcPr>
          <w:p w14:paraId="47E6F218">
            <w:pPr>
              <w:pStyle w:val="138"/>
              <w:keepNext w:val="0"/>
              <w:keepLines w:val="0"/>
              <w:suppressLineNumbers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代理机构人员后续配套服务情况。</w:t>
            </w:r>
          </w:p>
        </w:tc>
        <w:tc>
          <w:tcPr>
            <w:tcW w:w="507" w:type="pct"/>
            <w:tcBorders>
              <w:top w:val="single" w:color="auto" w:sz="4" w:space="0"/>
              <w:left w:val="nil"/>
              <w:bottom w:val="single" w:color="auto" w:sz="4" w:space="0"/>
              <w:right w:val="single" w:color="auto" w:sz="4" w:space="0"/>
            </w:tcBorders>
            <w:noWrap w:val="0"/>
            <w:vAlign w:val="center"/>
          </w:tcPr>
          <w:p w14:paraId="15218D68">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48" w:type="pct"/>
            <w:tcBorders>
              <w:top w:val="single" w:color="auto" w:sz="4" w:space="0"/>
              <w:left w:val="nil"/>
              <w:bottom w:val="single" w:color="auto" w:sz="4" w:space="0"/>
              <w:right w:val="single" w:color="auto" w:sz="4" w:space="0"/>
            </w:tcBorders>
            <w:noWrap w:val="0"/>
            <w:vAlign w:val="top"/>
          </w:tcPr>
          <w:p w14:paraId="5FB32A9D">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c>
          <w:tcPr>
            <w:tcW w:w="625" w:type="pct"/>
            <w:tcBorders>
              <w:top w:val="single" w:color="auto" w:sz="4" w:space="0"/>
              <w:left w:val="nil"/>
              <w:bottom w:val="single" w:color="auto" w:sz="4" w:space="0"/>
              <w:right w:val="single" w:color="auto" w:sz="4" w:space="0"/>
            </w:tcBorders>
            <w:noWrap w:val="0"/>
            <w:vAlign w:val="top"/>
          </w:tcPr>
          <w:p w14:paraId="04DB0E96">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p>
        </w:tc>
      </w:tr>
      <w:tr w14:paraId="362A3DC5">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56F97168">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c>
          <w:tcPr>
            <w:tcW w:w="3839" w:type="pct"/>
            <w:gridSpan w:val="5"/>
            <w:tcBorders>
              <w:top w:val="nil"/>
              <w:left w:val="nil"/>
              <w:bottom w:val="single" w:color="auto" w:sz="4" w:space="0"/>
              <w:right w:val="single" w:color="auto" w:sz="4" w:space="0"/>
            </w:tcBorders>
            <w:noWrap w:val="0"/>
            <w:vAlign w:val="center"/>
          </w:tcPr>
          <w:p w14:paraId="7D8492DF">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1B54B48F">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0641E6BC">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扣分项</w:t>
            </w:r>
          </w:p>
        </w:tc>
        <w:tc>
          <w:tcPr>
            <w:tcW w:w="1634" w:type="pct"/>
            <w:tcBorders>
              <w:top w:val="nil"/>
              <w:left w:val="nil"/>
              <w:bottom w:val="single" w:color="auto" w:sz="4" w:space="0"/>
              <w:right w:val="single" w:color="auto" w:sz="4" w:space="0"/>
            </w:tcBorders>
            <w:noWrap w:val="0"/>
            <w:vAlign w:val="center"/>
          </w:tcPr>
          <w:p w14:paraId="0B231A44">
            <w:pPr>
              <w:pStyle w:val="138"/>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22" w:type="pct"/>
            <w:tcBorders>
              <w:top w:val="nil"/>
              <w:left w:val="nil"/>
              <w:bottom w:val="single" w:color="auto" w:sz="4" w:space="0"/>
              <w:right w:val="single" w:color="auto" w:sz="4" w:space="0"/>
            </w:tcBorders>
            <w:noWrap w:val="0"/>
            <w:vAlign w:val="center"/>
          </w:tcPr>
          <w:p w14:paraId="33C118F9">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分值</w:t>
            </w:r>
          </w:p>
        </w:tc>
        <w:tc>
          <w:tcPr>
            <w:tcW w:w="1582" w:type="pct"/>
            <w:gridSpan w:val="3"/>
            <w:tcBorders>
              <w:top w:val="nil"/>
              <w:left w:val="nil"/>
              <w:bottom w:val="single" w:color="auto" w:sz="4" w:space="0"/>
              <w:right w:val="single" w:color="auto" w:sz="4" w:space="0"/>
            </w:tcBorders>
            <w:noWrap w:val="0"/>
            <w:vAlign w:val="center"/>
          </w:tcPr>
          <w:p w14:paraId="0F4AED5C">
            <w:pPr>
              <w:pStyle w:val="138"/>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404D92F6">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0B9B6EB8">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88" w:type="dxa"/>
            <w:tcBorders>
              <w:top w:val="nil"/>
              <w:left w:val="nil"/>
              <w:bottom w:val="single" w:color="auto" w:sz="4" w:space="0"/>
              <w:right w:val="single" w:color="auto" w:sz="4" w:space="0"/>
            </w:tcBorders>
            <w:noWrap w:val="0"/>
            <w:vAlign w:val="center"/>
          </w:tcPr>
          <w:p w14:paraId="0144F17E">
            <w:pPr>
              <w:pStyle w:val="138"/>
              <w:keepNext w:val="0"/>
              <w:keepLines w:val="0"/>
              <w:suppressLineNumbers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对代理机构提供的服务质量及效率不满意，并发出警告信。</w:t>
            </w:r>
          </w:p>
        </w:tc>
        <w:tc>
          <w:tcPr>
            <w:tcW w:w="622" w:type="pct"/>
            <w:tcBorders>
              <w:top w:val="nil"/>
              <w:left w:val="nil"/>
              <w:bottom w:val="single" w:color="auto" w:sz="4" w:space="0"/>
              <w:right w:val="single" w:color="auto" w:sz="4" w:space="0"/>
            </w:tcBorders>
            <w:noWrap w:val="0"/>
            <w:vAlign w:val="center"/>
          </w:tcPr>
          <w:p w14:paraId="3BF481A6">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10</w:t>
            </w:r>
          </w:p>
        </w:tc>
        <w:tc>
          <w:tcPr>
            <w:tcW w:w="1582" w:type="pct"/>
            <w:gridSpan w:val="3"/>
            <w:tcBorders>
              <w:top w:val="nil"/>
              <w:left w:val="nil"/>
              <w:bottom w:val="single" w:color="auto" w:sz="4" w:space="0"/>
              <w:right w:val="single" w:color="auto" w:sz="4" w:space="0"/>
            </w:tcBorders>
            <w:noWrap w:val="0"/>
            <w:vAlign w:val="center"/>
          </w:tcPr>
          <w:p w14:paraId="3A194B62">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2F09AB32">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267D803A">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88" w:type="dxa"/>
            <w:tcBorders>
              <w:top w:val="nil"/>
              <w:left w:val="nil"/>
              <w:bottom w:val="single" w:color="auto" w:sz="4" w:space="0"/>
              <w:right w:val="single" w:color="auto" w:sz="4" w:space="0"/>
            </w:tcBorders>
            <w:noWrap w:val="0"/>
            <w:vAlign w:val="center"/>
          </w:tcPr>
          <w:p w14:paraId="1BD8C73C">
            <w:pPr>
              <w:pStyle w:val="138"/>
              <w:keepNext w:val="0"/>
              <w:keepLines w:val="0"/>
              <w:suppressLineNumbers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代理机构人为原因导致招标过程出现明显错漏致使</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项目延期。</w:t>
            </w:r>
          </w:p>
        </w:tc>
        <w:tc>
          <w:tcPr>
            <w:tcW w:w="622" w:type="pct"/>
            <w:tcBorders>
              <w:top w:val="nil"/>
              <w:left w:val="nil"/>
              <w:bottom w:val="single" w:color="auto" w:sz="4" w:space="0"/>
              <w:right w:val="single" w:color="auto" w:sz="4" w:space="0"/>
            </w:tcBorders>
            <w:noWrap w:val="0"/>
            <w:vAlign w:val="center"/>
          </w:tcPr>
          <w:p w14:paraId="23C3BAD2">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10</w:t>
            </w:r>
          </w:p>
        </w:tc>
        <w:tc>
          <w:tcPr>
            <w:tcW w:w="1582" w:type="pct"/>
            <w:gridSpan w:val="3"/>
            <w:tcBorders>
              <w:top w:val="nil"/>
              <w:left w:val="nil"/>
              <w:bottom w:val="single" w:color="auto" w:sz="4" w:space="0"/>
              <w:right w:val="single" w:color="auto" w:sz="4" w:space="0"/>
            </w:tcBorders>
            <w:noWrap w:val="0"/>
            <w:vAlign w:val="center"/>
          </w:tcPr>
          <w:p w14:paraId="3BB6D420">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3528E536">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414E6E6B">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88" w:type="dxa"/>
            <w:tcBorders>
              <w:top w:val="nil"/>
              <w:left w:val="nil"/>
              <w:bottom w:val="single" w:color="auto" w:sz="4" w:space="0"/>
              <w:right w:val="single" w:color="auto" w:sz="4" w:space="0"/>
            </w:tcBorders>
            <w:noWrap w:val="0"/>
            <w:vAlign w:val="center"/>
          </w:tcPr>
          <w:p w14:paraId="3D9A2CE5">
            <w:pPr>
              <w:pStyle w:val="138"/>
              <w:keepNext w:val="0"/>
              <w:keepLines w:val="0"/>
              <w:suppressLineNumbers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未经同意，擅自对已定稿的</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进行更改。</w:t>
            </w:r>
          </w:p>
        </w:tc>
        <w:tc>
          <w:tcPr>
            <w:tcW w:w="622" w:type="pct"/>
            <w:tcBorders>
              <w:top w:val="nil"/>
              <w:left w:val="nil"/>
              <w:bottom w:val="single" w:color="auto" w:sz="4" w:space="0"/>
              <w:right w:val="single" w:color="auto" w:sz="4" w:space="0"/>
            </w:tcBorders>
            <w:noWrap w:val="0"/>
            <w:vAlign w:val="center"/>
          </w:tcPr>
          <w:p w14:paraId="026751F9">
            <w:pPr>
              <w:pStyle w:val="138"/>
              <w:keepNext w:val="0"/>
              <w:keepLines w:val="0"/>
              <w:widowControl/>
              <w:suppressLineNumbers w:val="0"/>
              <w:spacing w:before="0" w:beforeAutospacing="0" w:after="0" w:afterAutospacing="0" w:line="400" w:lineRule="exact"/>
              <w:ind w:left="0" w:right="0" w:firstLine="0" w:firstLineChars="0"/>
              <w:jc w:val="center"/>
              <w:textAlignment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10</w:t>
            </w:r>
          </w:p>
        </w:tc>
        <w:tc>
          <w:tcPr>
            <w:tcW w:w="1582" w:type="pct"/>
            <w:gridSpan w:val="3"/>
            <w:tcBorders>
              <w:top w:val="nil"/>
              <w:left w:val="nil"/>
              <w:bottom w:val="single" w:color="auto" w:sz="4" w:space="0"/>
              <w:right w:val="single" w:color="auto" w:sz="4" w:space="0"/>
            </w:tcBorders>
            <w:noWrap w:val="0"/>
            <w:vAlign w:val="center"/>
          </w:tcPr>
          <w:p w14:paraId="46D7780F">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r w14:paraId="29D6DE1D">
        <w:tblPrEx>
          <w:tblCellMar>
            <w:top w:w="0" w:type="dxa"/>
            <w:left w:w="108" w:type="dxa"/>
            <w:bottom w:w="0" w:type="dxa"/>
            <w:right w:w="108" w:type="dxa"/>
          </w:tblCellMar>
        </w:tblPrEx>
        <w:trPr>
          <w:trHeight w:val="454" w:hRule="atLeast"/>
        </w:trPr>
        <w:tc>
          <w:tcPr>
            <w:tcW w:w="1160" w:type="pct"/>
            <w:gridSpan w:val="2"/>
            <w:tcBorders>
              <w:top w:val="nil"/>
              <w:left w:val="single" w:color="auto" w:sz="4" w:space="0"/>
              <w:bottom w:val="single" w:color="auto" w:sz="4" w:space="0"/>
              <w:right w:val="single" w:color="auto" w:sz="4" w:space="0"/>
            </w:tcBorders>
            <w:noWrap w:val="0"/>
            <w:vAlign w:val="center"/>
          </w:tcPr>
          <w:p w14:paraId="166DF567">
            <w:pPr>
              <w:pStyle w:val="138"/>
              <w:keepNext w:val="0"/>
              <w:keepLines w:val="0"/>
              <w:suppressLineNumbers w:val="0"/>
              <w:snapToGrid w:val="0"/>
              <w:spacing w:before="0" w:beforeAutospacing="0" w:after="16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综合得分</w:t>
            </w:r>
          </w:p>
        </w:tc>
        <w:tc>
          <w:tcPr>
            <w:tcW w:w="3839" w:type="pct"/>
            <w:gridSpan w:val="5"/>
            <w:tcBorders>
              <w:top w:val="nil"/>
              <w:left w:val="nil"/>
              <w:bottom w:val="single" w:color="auto" w:sz="4" w:space="0"/>
              <w:right w:val="single" w:color="auto" w:sz="4" w:space="0"/>
            </w:tcBorders>
            <w:noWrap w:val="0"/>
            <w:vAlign w:val="center"/>
          </w:tcPr>
          <w:p w14:paraId="72DD64EF">
            <w:pPr>
              <w:pStyle w:val="138"/>
              <w:keepNext w:val="0"/>
              <w:keepLines w:val="0"/>
              <w:suppressLineNumbers w:val="0"/>
              <w:snapToGrid w:val="0"/>
              <w:spacing w:before="0" w:beforeAutospacing="0" w:after="160" w:afterAutospacing="0" w:line="400" w:lineRule="exact"/>
              <w:ind w:left="0" w:right="0"/>
              <w:jc w:val="center"/>
              <w:rPr>
                <w:rFonts w:hint="eastAsia" w:ascii="宋体" w:hAnsi="宋体" w:eastAsia="宋体" w:cs="宋体"/>
                <w:color w:val="auto"/>
                <w:szCs w:val="21"/>
                <w:highlight w:val="none"/>
              </w:rPr>
            </w:pPr>
          </w:p>
        </w:tc>
      </w:tr>
    </w:tbl>
    <w:p w14:paraId="3054B60E">
      <w:pPr>
        <w:pStyle w:val="13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val="0"/>
          <w:color w:val="auto"/>
          <w:szCs w:val="21"/>
          <w:highlight w:val="none"/>
          <w:lang w:eastAsia="zh-CN"/>
        </w:rPr>
      </w:pPr>
      <w:r>
        <w:rPr>
          <w:rFonts w:hint="eastAsia" w:ascii="宋体" w:hAnsi="宋体" w:eastAsia="宋体" w:cs="宋体"/>
          <w:bCs w:val="0"/>
          <w:color w:val="auto"/>
          <w:szCs w:val="21"/>
          <w:highlight w:val="none"/>
          <w:lang w:eastAsia="zh-CN"/>
        </w:rPr>
        <w:t>说明：1、本考核表最终解释权归招标人，招标人有权调整相关考核方式。</w:t>
      </w:r>
    </w:p>
    <w:p w14:paraId="18845049">
      <w:pPr>
        <w:rPr>
          <w:rFonts w:hint="eastAsia" w:ascii="宋体" w:hAnsi="宋体" w:eastAsia="宋体" w:cs="宋体"/>
          <w:b/>
          <w:bCs/>
          <w:color w:val="auto"/>
          <w:szCs w:val="21"/>
          <w:highlight w:val="none"/>
        </w:rPr>
      </w:pPr>
      <w:r>
        <w:rPr>
          <w:rFonts w:hint="eastAsia" w:ascii="宋体" w:hAnsi="宋体" w:eastAsia="宋体" w:cs="宋体"/>
          <w:bCs w:val="0"/>
          <w:color w:val="auto"/>
          <w:szCs w:val="21"/>
          <w:highlight w:val="none"/>
          <w:lang w:eastAsia="zh-CN"/>
        </w:rPr>
        <w:t xml:space="preserve">      2、每项考核内容按优[100-90]分、良（90-80]分、中（80-70]分、合格（70-60]分、不合格（60-0]分，进行打分。</w:t>
      </w:r>
      <w:r>
        <w:rPr>
          <w:rFonts w:hint="eastAsia" w:ascii="宋体" w:hAnsi="宋体" w:eastAsia="宋体" w:cs="宋体"/>
          <w:b/>
          <w:bCs/>
          <w:color w:val="auto"/>
          <w:szCs w:val="21"/>
          <w:highlight w:val="none"/>
        </w:rPr>
        <w:br w:type="page"/>
      </w:r>
    </w:p>
    <w:p w14:paraId="1BF042E0">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：廉洁协议书</w:t>
      </w:r>
    </w:p>
    <w:p w14:paraId="5F7D0E60">
      <w:pPr>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廉洁协议书</w:t>
      </w:r>
    </w:p>
    <w:p w14:paraId="0040AF91">
      <w:pPr>
        <w:spacing w:line="360" w:lineRule="auto"/>
        <w:rPr>
          <w:rFonts w:ascii="宋体" w:hAnsi="宋体" w:eastAsia="宋体" w:cs="宋体"/>
          <w:color w:val="auto"/>
          <w:szCs w:val="21"/>
          <w:highlight w:val="none"/>
        </w:rPr>
      </w:pPr>
    </w:p>
    <w:p w14:paraId="5DC77C57">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szCs w:val="21"/>
          <w:highlight w:val="none"/>
          <w:u w:val="non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882EEA9">
      <w:pPr>
        <w:autoSpaceDE w:val="0"/>
        <w:autoSpaceDN w:val="0"/>
        <w:adjustRightIn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w:t>
      </w:r>
    </w:p>
    <w:p w14:paraId="34CDB422">
      <w:pPr>
        <w:autoSpaceDE w:val="0"/>
        <w:autoSpaceDN w:val="0"/>
        <w:adjustRightIn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0E3BFD2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3D76222">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6A09B66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38A4F50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7512D96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10A9100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012251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0403DAF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2DE8D810">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1801B0F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0FD87DF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2BDC22A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7B42464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0C05864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760B064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4DB07DE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503050B">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73018A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25A071F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1AE5BD4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3D76117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07A738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03D305F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42439DC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C97A116">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7062582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2425FD8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0A9CC4B7">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626F700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甲乙双方的廉洁从业行为由双方或双方上级单位的纪检、监察负责监督，对本协议履行情况进行检查。</w:t>
      </w:r>
    </w:p>
    <w:p w14:paraId="211E3053">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45AA164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hint="eastAsia" w:ascii="宋体" w:hAnsi="宋体" w:eastAsia="宋体" w:cs="宋体"/>
          <w:color w:val="auto"/>
          <w:szCs w:val="21"/>
          <w:highlight w:val="none"/>
        </w:rPr>
        <w:t>纪检监察部。</w:t>
      </w:r>
    </w:p>
    <w:p w14:paraId="38EFA85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（二）举报电话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( 0769 ) 23076092</w:t>
      </w:r>
      <w:r>
        <w:rPr>
          <w:rFonts w:hint="eastAsia" w:ascii="宋体" w:hAnsi="宋体" w:eastAsia="宋体" w:cs="宋体"/>
          <w:color w:val="auto"/>
          <w:szCs w:val="21"/>
          <w:highlight w:val="none"/>
          <w:lang w:eastAsia="zh-CN"/>
        </w:rPr>
        <w:t>。</w:t>
      </w:r>
    </w:p>
    <w:p w14:paraId="3BEB90B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（三）举报邮箱</w:t>
      </w:r>
      <w:r>
        <w:rPr>
          <w:rFonts w:hint="eastAsia" w:ascii="宋体" w:hAnsi="宋体" w:eastAsia="宋体" w:cs="宋体"/>
          <w:color w:val="auto"/>
          <w:szCs w:val="21"/>
          <w:highlight w:val="none"/>
          <w:lang w:eastAsia="zh-CN"/>
        </w:rPr>
        <w:t>：jcsj@dgswjt.cn</w:t>
      </w:r>
    </w:p>
    <w:p w14:paraId="16D750E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（四）信访地址: 广东省东莞市东城街道育华路 1 号</w:t>
      </w:r>
      <w:r>
        <w:rPr>
          <w:rFonts w:hint="eastAsia" w:ascii="宋体" w:hAnsi="宋体" w:eastAsia="宋体" w:cs="宋体"/>
          <w:color w:val="auto"/>
          <w:szCs w:val="21"/>
          <w:highlight w:val="none"/>
          <w:lang w:eastAsia="zh-CN"/>
        </w:rPr>
        <w:t>。</w:t>
      </w:r>
    </w:p>
    <w:p w14:paraId="4035CF04">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632976B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份，甲、乙双方上级监督部门各执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1E62394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乙方（盖章）： </w:t>
      </w:r>
    </w:p>
    <w:p w14:paraId="5ED2361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p>
    <w:p w14:paraId="5D17695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64BE438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甲方代表：                      乙方代表：</w:t>
      </w:r>
    </w:p>
    <w:p w14:paraId="1DB71BC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Cs w:val="21"/>
          <w:highlight w:val="none"/>
        </w:rPr>
        <w:t>签订日期：   年  月  日             年  月  日</w:t>
      </w:r>
    </w:p>
    <w:p w14:paraId="07AC70C0">
      <w:pPr>
        <w:pStyle w:val="19"/>
        <w:spacing w:beforeLines="0" w:afterLines="0"/>
        <w:rPr>
          <w:rFonts w:hint="default"/>
          <w:color w:val="auto"/>
          <w:sz w:val="84"/>
          <w:szCs w:val="84"/>
          <w:highlight w:val="none"/>
        </w:rPr>
      </w:pPr>
    </w:p>
    <w:p w14:paraId="17009100">
      <w:pPr>
        <w:spacing w:beforeLines="0" w:afterLines="0"/>
        <w:rPr>
          <w:rFonts w:hint="eastAsia"/>
          <w:color w:val="auto"/>
          <w:sz w:val="21"/>
          <w:szCs w:val="22"/>
          <w:highlight w:val="none"/>
        </w:rPr>
      </w:pPr>
      <w:r>
        <w:rPr>
          <w:rFonts w:hint="eastAsia"/>
          <w:color w:val="auto"/>
          <w:sz w:val="21"/>
          <w:szCs w:val="22"/>
          <w:highlight w:val="none"/>
        </w:rPr>
        <w:br w:type="page"/>
      </w:r>
    </w:p>
    <w:p w14:paraId="54E296F2">
      <w:pPr>
        <w:pageBreakBefore/>
        <w:spacing w:before="120" w:beforeLines="50" w:after="120" w:afterLines="50" w:line="360" w:lineRule="auto"/>
        <w:ind w:firstLine="641"/>
        <w:jc w:val="center"/>
        <w:outlineLvl w:val="0"/>
        <w:rPr>
          <w:rFonts w:hint="default" w:ascii="宋体" w:hAnsi="宋体" w:eastAsia="宋体"/>
          <w:b/>
          <w:color w:val="auto"/>
          <w:sz w:val="32"/>
          <w:szCs w:val="32"/>
          <w:highlight w:val="none"/>
          <w:lang w:val="zh-CN"/>
        </w:rPr>
      </w:pPr>
      <w:bookmarkStart w:id="407" w:name="_Toc15890"/>
      <w:r>
        <w:rPr>
          <w:rFonts w:hint="default" w:ascii="宋体" w:hAnsi="宋体" w:eastAsia="宋体"/>
          <w:b/>
          <w:color w:val="auto"/>
          <w:sz w:val="32"/>
          <w:szCs w:val="32"/>
          <w:highlight w:val="none"/>
          <w:lang w:val="zh-CN"/>
        </w:rPr>
        <w:t>第五篇 相关保函格式</w:t>
      </w:r>
      <w:bookmarkEnd w:id="407"/>
    </w:p>
    <w:p w14:paraId="0C3BCCE0">
      <w:pPr>
        <w:autoSpaceDE w:val="0"/>
        <w:autoSpaceDN w:val="0"/>
        <w:adjustRightInd w:val="0"/>
        <w:spacing w:beforeLines="0" w:after="120" w:afterLines="50" w:line="360" w:lineRule="auto"/>
        <w:jc w:val="left"/>
        <w:rPr>
          <w:rFonts w:hint="default" w:ascii="宋体" w:hAnsi="宋体" w:eastAsia="宋体"/>
          <w:b/>
          <w:color w:val="auto"/>
          <w:kern w:val="0"/>
          <w:sz w:val="28"/>
          <w:szCs w:val="28"/>
          <w:highlight w:val="none"/>
        </w:rPr>
      </w:pPr>
      <w:r>
        <w:rPr>
          <w:rFonts w:hint="default" w:ascii="宋体" w:hAnsi="宋体" w:eastAsia="宋体"/>
          <w:b/>
          <w:color w:val="auto"/>
          <w:kern w:val="0"/>
          <w:sz w:val="28"/>
          <w:szCs w:val="28"/>
          <w:highlight w:val="none"/>
        </w:rPr>
        <w:t>一、不可撤销银行履约保函格式</w:t>
      </w:r>
    </w:p>
    <w:p w14:paraId="7AE8A5BA">
      <w:pPr>
        <w:autoSpaceDE w:val="0"/>
        <w:autoSpaceDN w:val="0"/>
        <w:adjustRightInd w:val="0"/>
        <w:spacing w:beforeLines="0" w:afterLines="0"/>
        <w:jc w:val="center"/>
        <w:rPr>
          <w:rFonts w:hint="default" w:ascii="宋体" w:hAnsi="宋体" w:eastAsia="宋体"/>
          <w:b/>
          <w:color w:val="auto"/>
          <w:kern w:val="0"/>
          <w:sz w:val="30"/>
          <w:szCs w:val="30"/>
          <w:highlight w:val="none"/>
        </w:rPr>
      </w:pPr>
      <w:r>
        <w:rPr>
          <w:rFonts w:hint="default" w:ascii="宋体" w:hAnsi="宋体" w:eastAsia="宋体"/>
          <w:b/>
          <w:color w:val="auto"/>
          <w:kern w:val="0"/>
          <w:sz w:val="30"/>
          <w:szCs w:val="30"/>
          <w:highlight w:val="none"/>
        </w:rPr>
        <w:t>不可撤销银行履约保函</w:t>
      </w:r>
    </w:p>
    <w:p w14:paraId="7011A134">
      <w:pPr>
        <w:widowControl/>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p>
    <w:p w14:paraId="07659927">
      <w:pPr>
        <w:autoSpaceDE w:val="0"/>
        <w:autoSpaceDN w:val="0"/>
        <w:adjustRightInd w:val="0"/>
        <w:spacing w:beforeLines="0" w:afterLines="0" w:line="360" w:lineRule="auto"/>
        <w:ind w:firstLine="6300"/>
        <w:jc w:val="left"/>
        <w:rPr>
          <w:rFonts w:hint="default" w:ascii="宋体" w:hAnsi="宋体" w:eastAsia="宋体"/>
          <w:color w:val="auto"/>
          <w:kern w:val="0"/>
          <w:sz w:val="21"/>
          <w:szCs w:val="21"/>
          <w:highlight w:val="none"/>
          <w:u w:val="single"/>
        </w:rPr>
      </w:pPr>
      <w:r>
        <w:rPr>
          <w:rFonts w:hint="default" w:ascii="宋体" w:hAnsi="宋体" w:eastAsia="宋体"/>
          <w:color w:val="auto"/>
          <w:kern w:val="0"/>
          <w:sz w:val="21"/>
          <w:szCs w:val="21"/>
          <w:highlight w:val="none"/>
        </w:rPr>
        <w:t>银行编号：</w:t>
      </w:r>
    </w:p>
    <w:p w14:paraId="50E0F39E">
      <w:pPr>
        <w:widowControl/>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致：</w:t>
      </w:r>
      <w:r>
        <w:rPr>
          <w:rFonts w:hint="default"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rPr>
        <w:t>（下称“受益人”）</w:t>
      </w:r>
    </w:p>
    <w:p w14:paraId="32294F63">
      <w:pPr>
        <w:widowControl/>
        <w:autoSpaceDE w:val="0"/>
        <w:autoSpaceDN w:val="0"/>
        <w:adjustRightInd w:val="0"/>
        <w:spacing w:beforeLines="0" w:afterLines="0" w:line="360" w:lineRule="auto"/>
        <w:ind w:firstLine="567" w:firstLineChars="27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鉴于</w:t>
      </w:r>
      <w:r>
        <w:rPr>
          <w:rFonts w:hint="default" w:ascii="宋体" w:hAnsi="宋体" w:eastAsia="宋体" w:cs="宋体"/>
          <w:color w:val="auto"/>
          <w:kern w:val="0"/>
          <w:sz w:val="21"/>
          <w:szCs w:val="21"/>
          <w:highlight w:val="none"/>
          <w:u w:val="single"/>
        </w:rPr>
        <w:t xml:space="preserve">  （申请人的名称与地址）  </w:t>
      </w:r>
      <w:r>
        <w:rPr>
          <w:rFonts w:hint="default" w:ascii="宋体" w:hAnsi="宋体" w:eastAsia="宋体" w:cs="宋体"/>
          <w:color w:val="auto"/>
          <w:kern w:val="0"/>
          <w:sz w:val="21"/>
          <w:szCs w:val="21"/>
          <w:highlight w:val="none"/>
        </w:rPr>
        <w:t>（下称“申请人”），已保证按拟签订的</w:t>
      </w:r>
      <w:r>
        <w:rPr>
          <w:rFonts w:hint="default" w:ascii="宋体" w:hAnsi="宋体" w:eastAsia="宋体" w:cs="宋体"/>
          <w:color w:val="auto"/>
          <w:kern w:val="0"/>
          <w:sz w:val="21"/>
          <w:szCs w:val="21"/>
          <w:highlight w:val="none"/>
          <w:u w:val="single"/>
        </w:rPr>
        <w:t xml:space="preserve"> 项目名称       （招标编号：         ）</w:t>
      </w:r>
      <w:r>
        <w:rPr>
          <w:rFonts w:hint="default" w:ascii="宋体" w:hAnsi="宋体" w:eastAsia="宋体" w:cs="宋体"/>
          <w:color w:val="auto"/>
          <w:kern w:val="0"/>
          <w:sz w:val="21"/>
          <w:szCs w:val="21"/>
          <w:highlight w:val="none"/>
        </w:rPr>
        <w:t>合同（招标文件）中规定的义务履行合同。</w:t>
      </w:r>
    </w:p>
    <w:p w14:paraId="754A0CA6">
      <w:pPr>
        <w:widowControl/>
        <w:autoSpaceDE w:val="0"/>
        <w:autoSpaceDN w:val="0"/>
        <w:adjustRightInd w:val="0"/>
        <w:spacing w:line="360" w:lineRule="auto"/>
        <w:ind w:firstLine="567" w:firstLine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根据上述合同（招标文件）规定，申请人应向受益人提供一份金额为人民币（大写）</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u w:val="single"/>
        </w:rPr>
        <w:t xml:space="preserve">   元）</w:t>
      </w:r>
      <w:r>
        <w:rPr>
          <w:rFonts w:hint="eastAsia" w:ascii="宋体" w:hAnsi="宋体" w:eastAsia="宋体" w:cs="宋体"/>
          <w:color w:val="000000"/>
          <w:kern w:val="0"/>
          <w:szCs w:val="21"/>
          <w:highlight w:val="none"/>
        </w:rPr>
        <w:t>的无条件、不可撤销银行履约保函，作为申请人履行上述合同的担保。</w:t>
      </w:r>
    </w:p>
    <w:p w14:paraId="6086E169">
      <w:pPr>
        <w:widowControl/>
        <w:autoSpaceDE w:val="0"/>
        <w:autoSpaceDN w:val="0"/>
        <w:adjustRightInd w:val="0"/>
        <w:spacing w:line="360" w:lineRule="auto"/>
        <w:ind w:firstLine="567" w:firstLine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我方</w:t>
      </w:r>
      <w:r>
        <w:rPr>
          <w:rFonts w:hint="eastAsia" w:ascii="宋体" w:hAnsi="宋体" w:eastAsia="宋体" w:cs="宋体"/>
          <w:color w:val="000000"/>
          <w:kern w:val="0"/>
          <w:szCs w:val="21"/>
          <w:highlight w:val="none"/>
          <w:u w:val="single"/>
        </w:rPr>
        <w:t xml:space="preserve">     （银行名称）</w:t>
      </w:r>
      <w:r>
        <w:rPr>
          <w:rFonts w:hint="eastAsia" w:ascii="宋体" w:hAnsi="宋体" w:eastAsia="宋体" w:cs="宋体"/>
          <w:color w:val="000000"/>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B4EA074">
      <w:pPr>
        <w:widowControl/>
        <w:autoSpaceDE w:val="0"/>
        <w:autoSpaceDN w:val="0"/>
        <w:adjustRightInd w:val="0"/>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在向我行提出要求前，我行将不坚持要求受益人首先向申请人提出上述款项的索赔。</w:t>
      </w:r>
    </w:p>
    <w:p w14:paraId="7EA80B2A">
      <w:pPr>
        <w:widowControl/>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eastAsia" w:ascii="宋体" w:hAnsi="宋体" w:eastAsia="宋体" w:cs="宋体"/>
          <w:color w:val="000000"/>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r>
        <w:rPr>
          <w:rFonts w:hint="default" w:ascii="宋体" w:hAnsi="宋体" w:eastAsia="宋体" w:cs="宋体"/>
          <w:color w:val="auto"/>
          <w:kern w:val="0"/>
          <w:sz w:val="21"/>
          <w:szCs w:val="21"/>
          <w:highlight w:val="none"/>
        </w:rPr>
        <w:t>。</w:t>
      </w:r>
    </w:p>
    <w:p w14:paraId="7BD397BD">
      <w:pPr>
        <w:widowControl/>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ascii="宋体" w:hAnsi="宋体" w:eastAsia="宋体" w:cs="Times New Roman"/>
          <w:kern w:val="0"/>
          <w:szCs w:val="21"/>
          <w:highlight w:val="none"/>
        </w:rPr>
        <w:t>本保函</w:t>
      </w:r>
      <w:r>
        <w:rPr>
          <w:rFonts w:hint="eastAsia" w:ascii="宋体" w:hAnsi="宋体" w:eastAsia="宋体" w:cs="Times New Roman"/>
          <w:kern w:val="0"/>
          <w:szCs w:val="21"/>
          <w:highlight w:val="none"/>
          <w:lang w:val="en-US" w:eastAsia="zh-CN"/>
        </w:rPr>
        <w:t>应</w:t>
      </w:r>
      <w:r>
        <w:rPr>
          <w:rFonts w:hint="eastAsia" w:ascii="宋体" w:hAnsi="宋体" w:eastAsia="宋体" w:cs="Times New Roman"/>
          <w:kern w:val="0"/>
          <w:szCs w:val="21"/>
          <w:highlight w:val="none"/>
        </w:rPr>
        <w:t>在合同期限届满并完成</w:t>
      </w:r>
      <w:r>
        <w:rPr>
          <w:rFonts w:hint="eastAsia" w:ascii="宋体" w:hAnsi="宋体" w:eastAsia="宋体" w:cs="Times New Roman"/>
          <w:kern w:val="0"/>
          <w:szCs w:val="21"/>
          <w:highlight w:val="none"/>
          <w:lang w:val="en-US" w:eastAsia="zh-CN"/>
        </w:rPr>
        <w:t>本项目</w:t>
      </w:r>
      <w:r>
        <w:rPr>
          <w:rFonts w:hint="eastAsia" w:ascii="宋体" w:hAnsi="宋体" w:eastAsia="宋体" w:cs="Times New Roman"/>
          <w:kern w:val="0"/>
          <w:szCs w:val="21"/>
          <w:highlight w:val="none"/>
        </w:rPr>
        <w:t>合同及</w:t>
      </w:r>
      <w:r>
        <w:rPr>
          <w:rFonts w:hint="eastAsia" w:ascii="宋体" w:hAnsi="宋体" w:eastAsia="宋体" w:cs="Times New Roman"/>
          <w:kern w:val="0"/>
          <w:szCs w:val="21"/>
          <w:highlight w:val="none"/>
          <w:lang w:val="en-US" w:eastAsia="zh-CN"/>
        </w:rPr>
        <w:t>单项</w:t>
      </w:r>
      <w:r>
        <w:rPr>
          <w:rFonts w:hint="eastAsia" w:ascii="宋体" w:hAnsi="宋体" w:eastAsia="宋体" w:cs="Times New Roman"/>
          <w:kern w:val="0"/>
          <w:szCs w:val="21"/>
          <w:highlight w:val="none"/>
        </w:rPr>
        <w:t>代理合同相关服务义务后28日内保持有效</w:t>
      </w:r>
      <w:r>
        <w:rPr>
          <w:rFonts w:hint="default" w:ascii="宋体" w:hAnsi="宋体" w:eastAsia="宋体" w:cs="宋体"/>
          <w:color w:val="auto"/>
          <w:kern w:val="0"/>
          <w:sz w:val="21"/>
          <w:szCs w:val="21"/>
          <w:highlight w:val="none"/>
        </w:rPr>
        <w:t>。</w:t>
      </w:r>
    </w:p>
    <w:p w14:paraId="0C1771EE">
      <w:pPr>
        <w:widowControl/>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p>
    <w:p w14:paraId="3F662E26">
      <w:pPr>
        <w:widowControl/>
        <w:autoSpaceDE w:val="0"/>
        <w:autoSpaceDN w:val="0"/>
        <w:adjustRightInd w:val="0"/>
        <w:spacing w:line="360" w:lineRule="auto"/>
        <w:ind w:firstLine="2520" w:firstLineChars="1200"/>
        <w:jc w:val="left"/>
        <w:rPr>
          <w:rFonts w:hint="eastAsia" w:ascii="宋体" w:hAnsi="宋体" w:eastAsia="宋体" w:cs="宋体"/>
          <w:color w:val="000000"/>
          <w:kern w:val="0"/>
          <w:szCs w:val="21"/>
          <w:highlight w:val="none"/>
        </w:rPr>
      </w:pPr>
    </w:p>
    <w:p w14:paraId="5BEBBF3F">
      <w:pPr>
        <w:widowControl/>
        <w:autoSpaceDE w:val="0"/>
        <w:autoSpaceDN w:val="0"/>
        <w:adjustRightInd w:val="0"/>
        <w:spacing w:line="360" w:lineRule="auto"/>
        <w:ind w:firstLine="2520" w:firstLineChars="1200"/>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担 保 银 行：</w:t>
      </w:r>
      <w:r>
        <w:rPr>
          <w:rFonts w:hint="eastAsia" w:ascii="宋体" w:hAnsi="宋体" w:eastAsia="宋体" w:cs="宋体"/>
          <w:color w:val="000000"/>
          <w:kern w:val="0"/>
          <w:szCs w:val="21"/>
          <w:highlight w:val="none"/>
          <w:u w:val="single"/>
        </w:rPr>
        <w:t xml:space="preserve">          银行全称          (盖章)   </w:t>
      </w:r>
    </w:p>
    <w:p w14:paraId="21AFCD35">
      <w:pPr>
        <w:widowControl/>
        <w:autoSpaceDE w:val="0"/>
        <w:autoSpaceDN w:val="0"/>
        <w:adjustRightInd w:val="0"/>
        <w:spacing w:line="360" w:lineRule="auto"/>
        <w:ind w:firstLine="2520" w:firstLineChars="1200"/>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联系电话：</w:t>
      </w:r>
      <w:r>
        <w:rPr>
          <w:rFonts w:hint="eastAsia" w:ascii="宋体" w:hAnsi="宋体" w:eastAsia="宋体" w:cs="宋体"/>
          <w:color w:val="000000"/>
          <w:szCs w:val="21"/>
          <w:highlight w:val="none"/>
          <w:u w:val="single"/>
        </w:rPr>
        <w:t xml:space="preserve">                                        </w:t>
      </w:r>
    </w:p>
    <w:p w14:paraId="1CCD5FD7">
      <w:pPr>
        <w:widowControl/>
        <w:autoSpaceDE w:val="0"/>
        <w:autoSpaceDN w:val="0"/>
        <w:adjustRightInd w:val="0"/>
        <w:spacing w:line="360" w:lineRule="auto"/>
        <w:ind w:firstLine="2520" w:firstLineChars="1200"/>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联系人：</w:t>
      </w:r>
      <w:r>
        <w:rPr>
          <w:rFonts w:hint="eastAsia" w:ascii="宋体" w:hAnsi="宋体" w:eastAsia="宋体" w:cs="宋体"/>
          <w:color w:val="000000"/>
          <w:kern w:val="0"/>
          <w:szCs w:val="21"/>
          <w:highlight w:val="none"/>
          <w:u w:val="single"/>
        </w:rPr>
        <w:t xml:space="preserve">                                          </w:t>
      </w:r>
    </w:p>
    <w:p w14:paraId="54F8A512">
      <w:pPr>
        <w:widowControl/>
        <w:autoSpaceDE w:val="0"/>
        <w:autoSpaceDN w:val="0"/>
        <w:adjustRightInd w:val="0"/>
        <w:spacing w:line="360" w:lineRule="auto"/>
        <w:ind w:firstLine="2520" w:firstLineChars="1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法定代表人或其授权的代表人：</w:t>
      </w:r>
      <w:r>
        <w:rPr>
          <w:rFonts w:hint="eastAsia" w:ascii="宋体" w:hAnsi="宋体" w:eastAsia="宋体" w:cs="宋体"/>
          <w:color w:val="000000"/>
          <w:kern w:val="0"/>
          <w:szCs w:val="21"/>
          <w:highlight w:val="none"/>
          <w:u w:val="single"/>
        </w:rPr>
        <w:t xml:space="preserve">       (职务)         </w:t>
      </w:r>
    </w:p>
    <w:p w14:paraId="05D1BB81">
      <w:pPr>
        <w:widowControl/>
        <w:autoSpaceDE w:val="0"/>
        <w:autoSpaceDN w:val="0"/>
        <w:adjustRightInd w:val="0"/>
        <w:spacing w:line="360" w:lineRule="auto"/>
        <w:ind w:firstLine="5502" w:firstLineChars="2620"/>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u w:val="single"/>
        </w:rPr>
        <w:t xml:space="preserve">       (姓名)         </w:t>
      </w:r>
    </w:p>
    <w:p w14:paraId="38DC642E">
      <w:pPr>
        <w:widowControl/>
        <w:autoSpaceDE w:val="0"/>
        <w:autoSpaceDN w:val="0"/>
        <w:adjustRightInd w:val="0"/>
        <w:spacing w:line="360" w:lineRule="auto"/>
        <w:ind w:firstLine="5502" w:firstLineChars="2620"/>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u w:val="single"/>
        </w:rPr>
        <w:t xml:space="preserve">       (签章)         </w:t>
      </w:r>
    </w:p>
    <w:p w14:paraId="46D19A85">
      <w:pPr>
        <w:widowControl/>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r>
        <w:rPr>
          <w:rFonts w:hint="eastAsia" w:ascii="宋体" w:hAnsi="宋体" w:eastAsia="宋体" w:cs="宋体"/>
          <w:color w:val="000000"/>
          <w:kern w:val="0"/>
          <w:szCs w:val="21"/>
          <w:highlight w:val="none"/>
        </w:rPr>
        <w:t xml:space="preserve">                                        </w:t>
      </w:r>
      <w:r>
        <w:rPr>
          <w:rFonts w:hint="eastAsia" w:ascii="宋体" w:hAnsi="宋体" w:eastAsia="宋体" w:cs="宋体"/>
          <w:color w:val="000000"/>
          <w:kern w:val="0"/>
          <w:szCs w:val="21"/>
          <w:highlight w:val="none"/>
          <w:lang w:val="en-US" w:eastAsia="zh-CN"/>
        </w:rPr>
        <w:t xml:space="preserve">            </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14:paraId="1F95F9F2">
      <w:pPr>
        <w:widowControl/>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p>
    <w:p w14:paraId="22CF1825">
      <w:pPr>
        <w:autoSpaceDE w:val="0"/>
        <w:autoSpaceDN w:val="0"/>
        <w:adjustRightInd w:val="0"/>
        <w:spacing w:beforeLines="0" w:afterLines="0" w:line="360" w:lineRule="auto"/>
        <w:ind w:right="368" w:rightChars="175"/>
        <w:jc w:val="left"/>
        <w:rPr>
          <w:rFonts w:hint="default" w:ascii="宋体" w:hAnsi="宋体" w:eastAsia="宋体"/>
          <w:color w:val="auto"/>
          <w:kern w:val="0"/>
          <w:sz w:val="21"/>
          <w:szCs w:val="21"/>
          <w:highlight w:val="none"/>
        </w:rPr>
        <w:sectPr>
          <w:footerReference r:id="rId4" w:type="first"/>
          <w:footerReference r:id="rId3" w:type="default"/>
          <w:pgSz w:w="12240" w:h="15840"/>
          <w:pgMar w:top="1191" w:right="1043" w:bottom="1191" w:left="1043" w:header="720" w:footer="720" w:gutter="0"/>
          <w:lnNumType w:countBy="0" w:distance="360"/>
          <w:cols w:space="720" w:num="1"/>
          <w:titlePg/>
          <w:docGrid w:linePitch="326" w:charSpace="0"/>
        </w:sectPr>
      </w:pPr>
    </w:p>
    <w:p w14:paraId="146189FB">
      <w:pPr>
        <w:spacing w:beforeLines="0" w:afterLines="0"/>
        <w:rPr>
          <w:rFonts w:hint="default" w:ascii="宋体" w:hAnsi="宋体" w:eastAsia="宋体"/>
          <w:b/>
          <w:color w:val="auto"/>
          <w:kern w:val="0"/>
          <w:sz w:val="28"/>
          <w:szCs w:val="28"/>
          <w:highlight w:val="none"/>
        </w:rPr>
      </w:pPr>
      <w:r>
        <w:rPr>
          <w:rFonts w:hint="default" w:ascii="宋体" w:hAnsi="宋体" w:eastAsia="宋体"/>
          <w:b/>
          <w:color w:val="auto"/>
          <w:kern w:val="0"/>
          <w:sz w:val="28"/>
          <w:szCs w:val="28"/>
          <w:highlight w:val="none"/>
        </w:rPr>
        <w:t>二、履约保证保险凭证格式</w:t>
      </w:r>
    </w:p>
    <w:p w14:paraId="3609EE78">
      <w:pPr>
        <w:autoSpaceDE w:val="0"/>
        <w:autoSpaceDN w:val="0"/>
        <w:adjustRightInd w:val="0"/>
        <w:spacing w:beforeLines="0" w:afterLines="0"/>
        <w:jc w:val="center"/>
        <w:rPr>
          <w:rFonts w:hint="default" w:ascii="宋体" w:hAnsi="宋体" w:eastAsia="宋体"/>
          <w:b/>
          <w:color w:val="auto"/>
          <w:kern w:val="0"/>
          <w:sz w:val="30"/>
          <w:szCs w:val="30"/>
          <w:highlight w:val="none"/>
        </w:rPr>
      </w:pPr>
    </w:p>
    <w:p w14:paraId="1C010D91">
      <w:pPr>
        <w:autoSpaceDE w:val="0"/>
        <w:autoSpaceDN w:val="0"/>
        <w:adjustRightInd w:val="0"/>
        <w:spacing w:beforeLines="0" w:afterLines="0"/>
        <w:jc w:val="center"/>
        <w:rPr>
          <w:rFonts w:hint="default" w:ascii="宋体" w:hAnsi="宋体" w:eastAsia="宋体"/>
          <w:b/>
          <w:color w:val="auto"/>
          <w:kern w:val="0"/>
          <w:sz w:val="30"/>
          <w:szCs w:val="30"/>
          <w:highlight w:val="none"/>
        </w:rPr>
      </w:pPr>
      <w:r>
        <w:rPr>
          <w:rFonts w:hint="default" w:ascii="宋体" w:hAnsi="宋体" w:eastAsia="宋体"/>
          <w:b/>
          <w:color w:val="auto"/>
          <w:kern w:val="0"/>
          <w:sz w:val="30"/>
          <w:szCs w:val="30"/>
          <w:highlight w:val="none"/>
        </w:rPr>
        <w:t>履约保证保险凭证</w:t>
      </w:r>
    </w:p>
    <w:p w14:paraId="2BD49E79">
      <w:pPr>
        <w:autoSpaceDE w:val="0"/>
        <w:autoSpaceDN w:val="0"/>
        <w:adjustRightInd w:val="0"/>
        <w:spacing w:beforeLines="0" w:afterLines="0" w:line="360" w:lineRule="auto"/>
        <w:ind w:firstLine="437"/>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                                      </w:t>
      </w:r>
    </w:p>
    <w:p w14:paraId="5D6A5355">
      <w:pPr>
        <w:autoSpaceDE w:val="0"/>
        <w:autoSpaceDN w:val="0"/>
        <w:adjustRightInd w:val="0"/>
        <w:spacing w:beforeLines="0" w:afterLines="0" w:line="360" w:lineRule="auto"/>
        <w:ind w:firstLine="437"/>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                               编号：</w:t>
      </w:r>
    </w:p>
    <w:p w14:paraId="5D1D5517">
      <w:pPr>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致：</w:t>
      </w:r>
      <w:r>
        <w:rPr>
          <w:rFonts w:hint="default"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rPr>
        <w:t xml:space="preserve">（下称“受益人”）： </w:t>
      </w:r>
    </w:p>
    <w:p w14:paraId="1043B1C9">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p>
    <w:p w14:paraId="65C6C3FE">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鉴于</w:t>
      </w:r>
      <w:r>
        <w:rPr>
          <w:rFonts w:hint="eastAsia" w:ascii="宋体" w:hAnsi="宋体" w:eastAsia="宋体" w:cs="宋体"/>
          <w:b/>
          <w:color w:val="000000"/>
          <w:kern w:val="0"/>
          <w:szCs w:val="21"/>
          <w:highlight w:val="none"/>
          <w:u w:val="single"/>
        </w:rPr>
        <w:t xml:space="preserve">                    </w:t>
      </w:r>
      <w:r>
        <w:rPr>
          <w:rFonts w:hint="eastAsia" w:ascii="宋体" w:hAnsi="宋体" w:eastAsia="宋体" w:cs="宋体"/>
          <w:color w:val="000000"/>
          <w:kern w:val="0"/>
          <w:szCs w:val="21"/>
          <w:highlight w:val="none"/>
        </w:rPr>
        <w:t>（下称“申请人”）已与贵方签订了</w:t>
      </w:r>
      <w:r>
        <w:rPr>
          <w:rFonts w:hint="eastAsia" w:ascii="宋体" w:hAnsi="宋体" w:eastAsia="宋体" w:cs="宋体"/>
          <w:color w:val="000000"/>
          <w:kern w:val="0"/>
          <w:szCs w:val="21"/>
          <w:highlight w:val="none"/>
          <w:u w:val="single"/>
        </w:rPr>
        <w:t xml:space="preserve">         项目（招标编号：        ）</w:t>
      </w:r>
      <w:r>
        <w:rPr>
          <w:rFonts w:hint="eastAsia" w:ascii="宋体" w:hAnsi="宋体" w:eastAsia="宋体" w:cs="宋体"/>
          <w:color w:val="000000"/>
          <w:kern w:val="0"/>
          <w:szCs w:val="21"/>
          <w:highlight w:val="none"/>
        </w:rPr>
        <w:t xml:space="preserve">合同。我方已接受申请人的请求，并出具《履约保证保险》保险单。 </w:t>
      </w:r>
    </w:p>
    <w:p w14:paraId="62DD7896">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一、保证保险金额 </w:t>
      </w:r>
    </w:p>
    <w:p w14:paraId="10D5D002">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我方承担的履约保证保险的保险金额（最高限额）为人民币（大写）</w:t>
      </w:r>
      <w:r>
        <w:rPr>
          <w:rFonts w:hint="eastAsia" w:ascii="宋体" w:hAnsi="宋体" w:eastAsia="宋体" w:cs="宋体"/>
          <w:b/>
          <w:color w:val="000000"/>
          <w:kern w:val="0"/>
          <w:szCs w:val="21"/>
          <w:highlight w:val="none"/>
          <w:u w:val="single"/>
        </w:rPr>
        <w:t xml:space="preserve">                </w:t>
      </w:r>
      <w:r>
        <w:rPr>
          <w:rFonts w:hint="eastAsia" w:ascii="宋体" w:hAnsi="宋体" w:eastAsia="宋体" w:cs="宋体"/>
          <w:color w:val="000000"/>
          <w:kern w:val="0"/>
          <w:szCs w:val="21"/>
          <w:highlight w:val="none"/>
        </w:rPr>
        <w:t>元 （¥</w:t>
      </w:r>
      <w:r>
        <w:rPr>
          <w:rFonts w:hint="eastAsia" w:ascii="宋体" w:hAnsi="宋体" w:eastAsia="宋体" w:cs="宋体"/>
          <w:b/>
          <w:color w:val="000000"/>
          <w:kern w:val="0"/>
          <w:szCs w:val="21"/>
          <w:highlight w:val="none"/>
          <w:u w:val="single"/>
        </w:rPr>
        <w:t xml:space="preserve">               </w:t>
      </w:r>
      <w:r>
        <w:rPr>
          <w:rFonts w:hint="eastAsia" w:ascii="宋体" w:hAnsi="宋体" w:eastAsia="宋体" w:cs="宋体"/>
          <w:color w:val="000000"/>
          <w:kern w:val="0"/>
          <w:szCs w:val="21"/>
          <w:highlight w:val="none"/>
        </w:rPr>
        <w:t xml:space="preserve"> ）。 </w:t>
      </w:r>
    </w:p>
    <w:p w14:paraId="575CFD53">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二、保证保险的责任范围 </w:t>
      </w:r>
    </w:p>
    <w:p w14:paraId="66CF385F">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在保险期间内，申请人因自身原因未按照与贵方签订的</w:t>
      </w:r>
      <w:r>
        <w:rPr>
          <w:rFonts w:hint="eastAsia" w:ascii="宋体" w:hAnsi="宋体" w:eastAsia="宋体" w:cs="宋体"/>
          <w:color w:val="000000"/>
          <w:kern w:val="0"/>
          <w:szCs w:val="21"/>
          <w:highlight w:val="none"/>
          <w:u w:val="single"/>
        </w:rPr>
        <w:t xml:space="preserve">         项目（招标编号：        ）</w:t>
      </w:r>
      <w:r>
        <w:rPr>
          <w:rFonts w:hint="eastAsia" w:ascii="宋体" w:hAnsi="宋体" w:eastAsia="宋体" w:cs="宋体"/>
          <w:color w:val="000000"/>
          <w:kern w:val="0"/>
          <w:szCs w:val="21"/>
          <w:highlight w:val="none"/>
        </w:rPr>
        <w:t xml:space="preserve">合同履行相关义务，给贵方造成损失的，贵方可向我方提出索赔，我方按照保险合同的约定承担损失赔偿责任。 </w:t>
      </w:r>
    </w:p>
    <w:p w14:paraId="0355FADE">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三、代偿的安排 </w:t>
      </w:r>
    </w:p>
    <w:p w14:paraId="44C8D85F">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6EEED52">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四、生效时间 </w:t>
      </w:r>
    </w:p>
    <w:p w14:paraId="135A01E4">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本保险凭证自我方法定代表人（或其授权代理人）签字并加盖保险承保章之日起生效。 </w:t>
      </w:r>
    </w:p>
    <w:p w14:paraId="7BFD0FEB">
      <w:pPr>
        <w:autoSpaceDE w:val="0"/>
        <w:autoSpaceDN w:val="0"/>
        <w:adjustRightInd w:val="0"/>
        <w:snapToGri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五、其他</w:t>
      </w:r>
    </w:p>
    <w:p w14:paraId="13B0A6A0">
      <w:pPr>
        <w:autoSpaceDE w:val="0"/>
        <w:autoSpaceDN w:val="0"/>
        <w:adjustRightInd w:val="0"/>
        <w:spacing w:beforeLines="0" w:afterLines="0" w:line="360" w:lineRule="auto"/>
        <w:ind w:firstLine="437"/>
        <w:jc w:val="left"/>
        <w:rPr>
          <w:rFonts w:hint="default" w:ascii="宋体" w:hAnsi="宋体" w:eastAsia="宋体"/>
          <w:color w:val="auto"/>
          <w:kern w:val="0"/>
          <w:sz w:val="21"/>
          <w:szCs w:val="21"/>
          <w:highlight w:val="none"/>
        </w:rPr>
      </w:pPr>
      <w:r>
        <w:rPr>
          <w:rFonts w:ascii="宋体" w:hAnsi="宋体" w:eastAsia="宋体" w:cs="Times New Roman"/>
          <w:kern w:val="0"/>
          <w:szCs w:val="21"/>
          <w:highlight w:val="none"/>
        </w:rPr>
        <w:t>本</w:t>
      </w:r>
      <w:r>
        <w:rPr>
          <w:rFonts w:hint="eastAsia" w:ascii="宋体" w:hAnsi="宋体" w:eastAsia="宋体" w:cs="宋体"/>
          <w:kern w:val="0"/>
          <w:szCs w:val="21"/>
          <w:highlight w:val="none"/>
        </w:rPr>
        <w:t>履约保证保险</w:t>
      </w:r>
      <w:r>
        <w:rPr>
          <w:rFonts w:hint="eastAsia" w:ascii="宋体" w:hAnsi="宋体" w:eastAsia="宋体" w:cs="Times New Roman"/>
          <w:kern w:val="0"/>
          <w:szCs w:val="21"/>
          <w:highlight w:val="none"/>
        </w:rPr>
        <w:t>应在合同期限届满并完成</w:t>
      </w:r>
      <w:r>
        <w:rPr>
          <w:rFonts w:hint="eastAsia" w:ascii="宋体" w:hAnsi="宋体" w:eastAsia="宋体" w:cs="Times New Roman"/>
          <w:kern w:val="0"/>
          <w:szCs w:val="21"/>
          <w:highlight w:val="none"/>
          <w:lang w:val="en-US" w:eastAsia="zh-CN"/>
        </w:rPr>
        <w:t>本项目</w:t>
      </w:r>
      <w:r>
        <w:rPr>
          <w:rFonts w:hint="eastAsia" w:ascii="宋体" w:hAnsi="宋体" w:eastAsia="宋体" w:cs="Times New Roman"/>
          <w:kern w:val="0"/>
          <w:szCs w:val="21"/>
          <w:highlight w:val="none"/>
        </w:rPr>
        <w:t>合同及单项代理合同相关服务义务后28日内保持有效</w:t>
      </w:r>
      <w:r>
        <w:rPr>
          <w:rFonts w:hint="default" w:ascii="宋体" w:hAnsi="宋体" w:eastAsia="宋体" w:cs="宋体"/>
          <w:color w:val="auto"/>
          <w:kern w:val="0"/>
          <w:sz w:val="21"/>
          <w:szCs w:val="21"/>
          <w:highlight w:val="none"/>
        </w:rPr>
        <w:t>。</w:t>
      </w:r>
    </w:p>
    <w:p w14:paraId="7567F7BC">
      <w:pPr>
        <w:autoSpaceDE w:val="0"/>
        <w:autoSpaceDN w:val="0"/>
        <w:adjustRightInd w:val="0"/>
        <w:spacing w:beforeLines="0" w:afterLines="0" w:line="360" w:lineRule="auto"/>
        <w:ind w:firstLine="437"/>
        <w:jc w:val="left"/>
        <w:rPr>
          <w:rFonts w:hint="eastAsia"/>
          <w:color w:val="auto"/>
          <w:sz w:val="21"/>
          <w:szCs w:val="22"/>
          <w:highlight w:val="none"/>
        </w:rPr>
      </w:pPr>
    </w:p>
    <w:p w14:paraId="72FF9D43">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附：《XXX 保险有限公司履约保证保险（X 款）条款》及保单 </w:t>
      </w:r>
    </w:p>
    <w:p w14:paraId="76623CBF">
      <w:pPr>
        <w:autoSpaceDE w:val="0"/>
        <w:autoSpaceDN w:val="0"/>
        <w:adjustRightInd w:val="0"/>
        <w:spacing w:beforeLines="0" w:afterLines="0" w:line="360" w:lineRule="auto"/>
        <w:ind w:firstLine="437"/>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                                            </w:t>
      </w:r>
    </w:p>
    <w:p w14:paraId="723C73EA">
      <w:pPr>
        <w:autoSpaceDE w:val="0"/>
        <w:autoSpaceDN w:val="0"/>
        <w:adjustRightInd w:val="0"/>
        <w:snapToGrid w:val="0"/>
        <w:spacing w:line="300" w:lineRule="auto"/>
        <w:ind w:left="6316" w:leftChars="3000" w:hanging="16" w:hangingChars="8"/>
        <w:jc w:val="left"/>
        <w:rPr>
          <w:rFonts w:hint="eastAsia" w:ascii="宋体" w:hAnsi="宋体" w:eastAsia="宋体" w:cs="宋体"/>
          <w:color w:val="000000"/>
          <w:kern w:val="0"/>
          <w:szCs w:val="21"/>
          <w:highlight w:val="none"/>
          <w:u w:val="single"/>
        </w:rPr>
      </w:pPr>
      <w:r>
        <w:rPr>
          <w:rFonts w:hint="default" w:ascii="宋体" w:hAnsi="宋体" w:eastAsia="宋体" w:cs="宋体"/>
          <w:color w:val="auto"/>
          <w:kern w:val="0"/>
          <w:sz w:val="21"/>
          <w:szCs w:val="21"/>
          <w:highlight w:val="none"/>
        </w:rPr>
        <w:t xml:space="preserve">                                           </w:t>
      </w:r>
      <w:r>
        <w:rPr>
          <w:rFonts w:hint="eastAsia" w:ascii="宋体" w:hAnsi="宋体" w:eastAsia="宋体" w:cs="宋体"/>
          <w:color w:val="000000"/>
          <w:kern w:val="0"/>
          <w:szCs w:val="21"/>
          <w:highlight w:val="none"/>
        </w:rPr>
        <w:t>保险人：</w:t>
      </w:r>
      <w:r>
        <w:rPr>
          <w:rFonts w:hint="eastAsia" w:ascii="宋体" w:hAnsi="宋体" w:eastAsia="宋体" w:cs="宋体"/>
          <w:color w:val="000000"/>
          <w:kern w:val="0"/>
          <w:szCs w:val="21"/>
          <w:highlight w:val="none"/>
          <w:u w:val="single"/>
        </w:rPr>
        <w:t xml:space="preserve">         （盖章）        </w:t>
      </w:r>
    </w:p>
    <w:p w14:paraId="0AF83DC9">
      <w:pPr>
        <w:autoSpaceDE w:val="0"/>
        <w:autoSpaceDN w:val="0"/>
        <w:adjustRightInd w:val="0"/>
        <w:snapToGrid w:val="0"/>
        <w:spacing w:line="300" w:lineRule="auto"/>
        <w:ind w:left="6316" w:leftChars="3000" w:hanging="16" w:hangingChars="8"/>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联系电话：</w:t>
      </w:r>
      <w:r>
        <w:rPr>
          <w:rFonts w:hint="eastAsia" w:ascii="宋体" w:hAnsi="宋体" w:eastAsia="宋体" w:cs="宋体"/>
          <w:color w:val="000000"/>
          <w:szCs w:val="21"/>
          <w:highlight w:val="none"/>
          <w:u w:val="single"/>
        </w:rPr>
        <w:t xml:space="preserve">                    </w:t>
      </w:r>
    </w:p>
    <w:p w14:paraId="4B10EC2D">
      <w:pPr>
        <w:autoSpaceDE w:val="0"/>
        <w:autoSpaceDN w:val="0"/>
        <w:adjustRightInd w:val="0"/>
        <w:snapToGrid w:val="0"/>
        <w:spacing w:line="300" w:lineRule="auto"/>
        <w:ind w:left="6316" w:leftChars="3000" w:hanging="16" w:hangingChars="8"/>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联系人：</w:t>
      </w:r>
      <w:r>
        <w:rPr>
          <w:rFonts w:hint="eastAsia" w:ascii="宋体" w:hAnsi="宋体" w:eastAsia="宋体" w:cs="宋体"/>
          <w:color w:val="000000"/>
          <w:kern w:val="0"/>
          <w:szCs w:val="21"/>
          <w:highlight w:val="none"/>
          <w:u w:val="single"/>
        </w:rPr>
        <w:t xml:space="preserve">                        </w:t>
      </w:r>
    </w:p>
    <w:p w14:paraId="5FC84F38">
      <w:pPr>
        <w:autoSpaceDE w:val="0"/>
        <w:autoSpaceDN w:val="0"/>
        <w:adjustRightInd w:val="0"/>
        <w:snapToGrid w:val="0"/>
        <w:spacing w:line="300" w:lineRule="auto"/>
        <w:ind w:left="6316" w:leftChars="3000" w:hanging="16" w:hangingChars="8"/>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法定代表人或授权代理人：</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w:t>
      </w:r>
    </w:p>
    <w:p w14:paraId="34546BE3">
      <w:pPr>
        <w:autoSpaceDE w:val="0"/>
        <w:autoSpaceDN w:val="0"/>
        <w:adjustRightInd w:val="0"/>
        <w:snapToGrid w:val="0"/>
        <w:spacing w:line="300" w:lineRule="auto"/>
        <w:ind w:left="6316" w:leftChars="3000" w:hanging="16" w:hangingChars="8"/>
        <w:jc w:val="left"/>
        <w:rPr>
          <w:rFonts w:hint="default" w:ascii="宋体" w:hAnsi="宋体" w:eastAsia="宋体" w:cs="宋体"/>
          <w:color w:val="auto"/>
          <w:kern w:val="0"/>
          <w:sz w:val="21"/>
          <w:szCs w:val="21"/>
          <w:highlight w:val="none"/>
        </w:rPr>
      </w:pPr>
      <w:r>
        <w:rPr>
          <w:rFonts w:hint="eastAsia" w:ascii="宋体" w:hAnsi="宋体" w:eastAsia="宋体" w:cs="宋体"/>
          <w:color w:val="000000"/>
          <w:kern w:val="0"/>
          <w:szCs w:val="21"/>
          <w:highlight w:val="none"/>
        </w:rPr>
        <w:t>年 月 日</w:t>
      </w:r>
    </w:p>
    <w:p w14:paraId="0AC30D0D">
      <w:pPr>
        <w:widowControl/>
        <w:autoSpaceDE w:val="0"/>
        <w:autoSpaceDN w:val="0"/>
        <w:adjustRightInd w:val="0"/>
        <w:spacing w:before="100" w:beforeLines="0" w:beforeAutospacing="1" w:after="100" w:afterLines="0" w:afterAutospacing="1" w:line="360" w:lineRule="auto"/>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br w:type="page"/>
      </w:r>
    </w:p>
    <w:p w14:paraId="265A459E">
      <w:pPr>
        <w:autoSpaceDE w:val="0"/>
        <w:autoSpaceDN w:val="0"/>
        <w:adjustRightInd w:val="0"/>
        <w:spacing w:beforeLines="0" w:after="120" w:afterLines="50" w:line="360" w:lineRule="auto"/>
        <w:jc w:val="left"/>
        <w:rPr>
          <w:rFonts w:hint="default" w:ascii="宋体" w:hAnsi="宋体" w:eastAsia="宋体"/>
          <w:b/>
          <w:color w:val="auto"/>
          <w:kern w:val="0"/>
          <w:sz w:val="28"/>
          <w:szCs w:val="28"/>
          <w:highlight w:val="none"/>
        </w:rPr>
      </w:pPr>
      <w:r>
        <w:rPr>
          <w:rFonts w:hint="default" w:ascii="宋体" w:hAnsi="宋体" w:eastAsia="宋体"/>
          <w:b/>
          <w:color w:val="auto"/>
          <w:kern w:val="0"/>
          <w:sz w:val="28"/>
          <w:szCs w:val="28"/>
          <w:highlight w:val="none"/>
        </w:rPr>
        <w:t>三、担保公司履约担保书格式</w:t>
      </w:r>
    </w:p>
    <w:p w14:paraId="38B624C1">
      <w:pPr>
        <w:autoSpaceDE w:val="0"/>
        <w:autoSpaceDN w:val="0"/>
        <w:adjustRightInd w:val="0"/>
        <w:spacing w:beforeLines="0" w:afterLines="0"/>
        <w:jc w:val="center"/>
        <w:rPr>
          <w:rFonts w:hint="default" w:ascii="宋体" w:hAnsi="宋体" w:eastAsia="宋体"/>
          <w:b/>
          <w:color w:val="auto"/>
          <w:kern w:val="0"/>
          <w:sz w:val="30"/>
          <w:szCs w:val="30"/>
          <w:highlight w:val="none"/>
        </w:rPr>
      </w:pPr>
      <w:r>
        <w:rPr>
          <w:rFonts w:hint="default" w:ascii="宋体" w:hAnsi="宋体" w:eastAsia="宋体"/>
          <w:b/>
          <w:color w:val="auto"/>
          <w:kern w:val="0"/>
          <w:sz w:val="30"/>
          <w:szCs w:val="30"/>
          <w:highlight w:val="none"/>
        </w:rPr>
        <w:t>担保公司履约担保书</w:t>
      </w:r>
    </w:p>
    <w:p w14:paraId="491BCFD6">
      <w:pPr>
        <w:widowControl/>
        <w:autoSpaceDE w:val="0"/>
        <w:autoSpaceDN w:val="0"/>
        <w:adjustRightInd w:val="0"/>
        <w:spacing w:before="100" w:beforeLines="0" w:beforeAutospacing="1" w:after="100" w:afterLines="0" w:afterAutospacing="1" w:line="360" w:lineRule="auto"/>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致：</w:t>
      </w:r>
      <w:r>
        <w:rPr>
          <w:rFonts w:hint="default"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rPr>
        <w:t>（下称“受益人”）</w:t>
      </w:r>
    </w:p>
    <w:p w14:paraId="02A805B4">
      <w:pPr>
        <w:autoSpaceDE w:val="0"/>
        <w:autoSpaceDN w:val="0"/>
        <w:adjustRightIn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鉴于</w:t>
      </w:r>
      <w:r>
        <w:rPr>
          <w:rFonts w:hint="eastAsia" w:ascii="宋体" w:hAnsi="宋体" w:eastAsia="宋体" w:cs="宋体"/>
          <w:color w:val="000000"/>
          <w:kern w:val="0"/>
          <w:szCs w:val="21"/>
          <w:highlight w:val="none"/>
          <w:u w:val="single"/>
        </w:rPr>
        <w:t xml:space="preserve">  （申请人的名称与地址）  </w:t>
      </w:r>
      <w:r>
        <w:rPr>
          <w:rFonts w:hint="eastAsia" w:ascii="宋体" w:hAnsi="宋体" w:eastAsia="宋体" w:cs="宋体"/>
          <w:color w:val="000000"/>
          <w:kern w:val="0"/>
          <w:szCs w:val="21"/>
          <w:highlight w:val="none"/>
        </w:rPr>
        <w:t>（下称“申请人”），已保证按拟签订的</w:t>
      </w:r>
      <w:r>
        <w:rPr>
          <w:rFonts w:hint="eastAsia" w:ascii="宋体" w:hAnsi="宋体" w:eastAsia="宋体" w:cs="宋体"/>
          <w:color w:val="000000"/>
          <w:kern w:val="0"/>
          <w:szCs w:val="21"/>
          <w:highlight w:val="none"/>
          <w:u w:val="single"/>
        </w:rPr>
        <w:t xml:space="preserve">          项目（招标编号：        ）</w:t>
      </w:r>
      <w:r>
        <w:rPr>
          <w:rFonts w:hint="eastAsia" w:ascii="宋体" w:hAnsi="宋体" w:eastAsia="宋体" w:cs="宋体"/>
          <w:color w:val="000000"/>
          <w:kern w:val="0"/>
          <w:szCs w:val="21"/>
          <w:highlight w:val="none"/>
        </w:rPr>
        <w:t>合同（招标文件）中规定的义务履行合同。</w:t>
      </w:r>
    </w:p>
    <w:p w14:paraId="66ECF730">
      <w:pPr>
        <w:widowControl/>
        <w:autoSpaceDE w:val="0"/>
        <w:autoSpaceDN w:val="0"/>
        <w:adjustRightInd w:val="0"/>
        <w:spacing w:line="360" w:lineRule="auto"/>
        <w:ind w:firstLine="567" w:firstLineChars="27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根据上述合同（招标文件）规定，申请人应向受益人提供一份金额为人民币（大写）</w:t>
      </w:r>
      <w:r>
        <w:rPr>
          <w:rFonts w:hint="eastAsia" w:ascii="宋体" w:hAnsi="宋体" w:eastAsia="宋体" w:cs="宋体"/>
          <w:color w:val="000000"/>
          <w:kern w:val="0"/>
          <w:szCs w:val="21"/>
          <w:highlight w:val="none"/>
          <w:u w:val="single"/>
        </w:rPr>
        <w:t xml:space="preserve">     （RMB元）</w:t>
      </w:r>
      <w:r>
        <w:rPr>
          <w:rFonts w:hint="eastAsia" w:ascii="宋体" w:hAnsi="宋体" w:eastAsia="宋体" w:cs="宋体"/>
          <w:color w:val="000000"/>
          <w:kern w:val="0"/>
          <w:szCs w:val="21"/>
          <w:highlight w:val="none"/>
        </w:rPr>
        <w:t>的无条件、</w:t>
      </w:r>
      <w:r>
        <w:rPr>
          <w:rFonts w:hint="eastAsia" w:ascii="宋体" w:hAnsi="宋体" w:eastAsia="宋体" w:cs="宋体"/>
          <w:bCs/>
          <w:color w:val="000000"/>
          <w:kern w:val="0"/>
          <w:szCs w:val="21"/>
          <w:highlight w:val="none"/>
        </w:rPr>
        <w:t>不可撤销</w:t>
      </w:r>
      <w:r>
        <w:rPr>
          <w:rFonts w:hint="eastAsia" w:ascii="宋体" w:hAnsi="宋体" w:eastAsia="宋体" w:cs="宋体"/>
          <w:color w:val="000000"/>
          <w:kern w:val="0"/>
          <w:szCs w:val="21"/>
          <w:highlight w:val="none"/>
        </w:rPr>
        <w:t>履约担保，作为申请人履行上述合同的担保，</w:t>
      </w:r>
      <w:r>
        <w:rPr>
          <w:rFonts w:hint="eastAsia" w:ascii="宋体" w:hAnsi="宋体" w:eastAsia="宋体" w:cs="宋体"/>
          <w:color w:val="000000"/>
          <w:kern w:val="0"/>
          <w:szCs w:val="21"/>
          <w:highlight w:val="none"/>
          <w:lang w:eastAsia="zh-Hans"/>
        </w:rPr>
        <w:t>我方</w:t>
      </w:r>
      <w:r>
        <w:rPr>
          <w:rFonts w:hint="eastAsia" w:ascii="宋体" w:hAnsi="宋体" w:eastAsia="宋体" w:cs="宋体"/>
          <w:color w:val="000000"/>
          <w:kern w:val="0"/>
          <w:szCs w:val="21"/>
          <w:highlight w:val="none"/>
          <w:u w:val="single"/>
        </w:rPr>
        <w:t xml:space="preserve">  （担保公司名称）  </w:t>
      </w:r>
      <w:r>
        <w:rPr>
          <w:rFonts w:hint="eastAsia" w:ascii="宋体" w:hAnsi="宋体" w:eastAsia="宋体" w:cs="宋体"/>
          <w:color w:val="000000"/>
          <w:kern w:val="0"/>
          <w:szCs w:val="21"/>
          <w:highlight w:val="none"/>
        </w:rPr>
        <w:t>在</w:t>
      </w:r>
      <w:r>
        <w:rPr>
          <w:rFonts w:hint="eastAsia" w:ascii="宋体" w:hAnsi="宋体" w:eastAsia="宋体" w:cs="宋体"/>
          <w:color w:val="000000"/>
          <w:kern w:val="0"/>
          <w:szCs w:val="21"/>
          <w:highlight w:val="none"/>
          <w:lang w:eastAsia="zh-Hans"/>
        </w:rPr>
        <w:t>本合同项下的保证责任为连带责任保证</w:t>
      </w:r>
      <w:r>
        <w:rPr>
          <w:rFonts w:hint="eastAsia" w:ascii="宋体" w:hAnsi="宋体" w:eastAsia="宋体" w:cs="宋体"/>
          <w:color w:val="000000"/>
          <w:kern w:val="0"/>
          <w:szCs w:val="21"/>
          <w:highlight w:val="none"/>
        </w:rPr>
        <w:t>。</w:t>
      </w:r>
    </w:p>
    <w:p w14:paraId="50E54595">
      <w:pPr>
        <w:autoSpaceDE w:val="0"/>
        <w:autoSpaceDN w:val="0"/>
        <w:adjustRightInd w:val="0"/>
        <w:spacing w:line="360" w:lineRule="auto"/>
        <w:ind w:firstLine="43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我方</w:t>
      </w:r>
      <w:r>
        <w:rPr>
          <w:rFonts w:hint="eastAsia" w:ascii="宋体" w:hAnsi="宋体" w:eastAsia="宋体" w:cs="宋体"/>
          <w:color w:val="000000"/>
          <w:kern w:val="0"/>
          <w:szCs w:val="21"/>
          <w:highlight w:val="none"/>
          <w:u w:val="single"/>
        </w:rPr>
        <w:t xml:space="preserve">  （担保公司名称）  </w:t>
      </w:r>
      <w:r>
        <w:rPr>
          <w:rFonts w:hint="eastAsia" w:ascii="宋体" w:hAnsi="宋体" w:eastAsia="宋体" w:cs="宋体"/>
          <w:color w:val="000000"/>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7FFD6F09">
      <w:pPr>
        <w:autoSpaceDE w:val="0"/>
        <w:autoSpaceDN w:val="0"/>
        <w:adjustRightInd w:val="0"/>
        <w:spacing w:beforeLines="0" w:afterLines="0" w:line="360" w:lineRule="auto"/>
        <w:ind w:firstLine="437"/>
        <w:jc w:val="left"/>
        <w:rPr>
          <w:rFonts w:hint="default" w:ascii="宋体" w:hAnsi="宋体" w:eastAsia="宋体"/>
          <w:color w:val="auto"/>
          <w:kern w:val="0"/>
          <w:sz w:val="21"/>
          <w:szCs w:val="21"/>
          <w:highlight w:val="none"/>
        </w:rPr>
      </w:pPr>
      <w:r>
        <w:rPr>
          <w:rFonts w:hint="eastAsia" w:ascii="宋体" w:hAnsi="宋体" w:eastAsia="宋体" w:cs="宋体"/>
          <w:color w:val="000000"/>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r>
        <w:rPr>
          <w:rFonts w:hint="default" w:ascii="宋体" w:hAnsi="宋体" w:eastAsia="宋体"/>
          <w:color w:val="auto"/>
          <w:kern w:val="0"/>
          <w:sz w:val="21"/>
          <w:szCs w:val="21"/>
          <w:highlight w:val="none"/>
        </w:rPr>
        <w:t>。</w:t>
      </w:r>
    </w:p>
    <w:p w14:paraId="481FFC5E">
      <w:pPr>
        <w:autoSpaceDE w:val="0"/>
        <w:autoSpaceDN w:val="0"/>
        <w:adjustRightInd w:val="0"/>
        <w:spacing w:beforeLines="0" w:afterLines="0" w:line="360" w:lineRule="auto"/>
        <w:ind w:firstLine="437"/>
        <w:jc w:val="left"/>
        <w:rPr>
          <w:rFonts w:hint="default" w:ascii="宋体" w:hAnsi="宋体" w:eastAsia="宋体"/>
          <w:color w:val="auto"/>
          <w:kern w:val="0"/>
          <w:sz w:val="21"/>
          <w:szCs w:val="21"/>
          <w:highlight w:val="none"/>
        </w:rPr>
      </w:pPr>
      <w:r>
        <w:rPr>
          <w:rFonts w:ascii="宋体" w:hAnsi="宋体" w:eastAsia="宋体" w:cs="Times New Roman"/>
          <w:kern w:val="0"/>
          <w:szCs w:val="21"/>
          <w:highlight w:val="none"/>
        </w:rPr>
        <w:t>本保函</w:t>
      </w:r>
      <w:r>
        <w:rPr>
          <w:rFonts w:hint="eastAsia" w:ascii="宋体" w:hAnsi="宋体" w:eastAsia="宋体" w:cs="Times New Roman"/>
          <w:kern w:val="0"/>
          <w:szCs w:val="21"/>
          <w:highlight w:val="none"/>
        </w:rPr>
        <w:t>应在合同期限届满并完成</w:t>
      </w:r>
      <w:r>
        <w:rPr>
          <w:rFonts w:hint="eastAsia" w:ascii="宋体" w:hAnsi="宋体" w:eastAsia="宋体" w:cs="Times New Roman"/>
          <w:kern w:val="0"/>
          <w:szCs w:val="21"/>
          <w:highlight w:val="none"/>
          <w:lang w:val="en-US" w:eastAsia="zh-CN"/>
        </w:rPr>
        <w:t>本项目</w:t>
      </w:r>
      <w:r>
        <w:rPr>
          <w:rFonts w:hint="eastAsia" w:ascii="宋体" w:hAnsi="宋体" w:eastAsia="宋体" w:cs="Times New Roman"/>
          <w:kern w:val="0"/>
          <w:szCs w:val="21"/>
          <w:highlight w:val="none"/>
        </w:rPr>
        <w:t>合同及单项代理合同相关服务义务后28日内保持有效</w:t>
      </w:r>
      <w:r>
        <w:rPr>
          <w:rFonts w:hint="default" w:ascii="宋体" w:hAnsi="宋体" w:eastAsia="宋体" w:cs="宋体"/>
          <w:color w:val="auto"/>
          <w:kern w:val="0"/>
          <w:sz w:val="21"/>
          <w:szCs w:val="21"/>
          <w:highlight w:val="none"/>
        </w:rPr>
        <w:t>。</w:t>
      </w:r>
    </w:p>
    <w:p w14:paraId="148AFA07">
      <w:pPr>
        <w:autoSpaceDE w:val="0"/>
        <w:autoSpaceDN w:val="0"/>
        <w:adjustRightInd w:val="0"/>
        <w:spacing w:beforeLines="0" w:afterLines="0" w:line="360" w:lineRule="auto"/>
        <w:jc w:val="left"/>
        <w:rPr>
          <w:rFonts w:hint="default" w:ascii="宋体" w:hAnsi="宋体" w:eastAsia="宋体"/>
          <w:color w:val="auto"/>
          <w:kern w:val="0"/>
          <w:sz w:val="21"/>
          <w:szCs w:val="21"/>
          <w:highlight w:val="none"/>
        </w:rPr>
      </w:pPr>
    </w:p>
    <w:p w14:paraId="757B9A58">
      <w:pPr>
        <w:autoSpaceDE w:val="0"/>
        <w:autoSpaceDN w:val="0"/>
        <w:adjustRightInd w:val="0"/>
        <w:spacing w:line="360" w:lineRule="auto"/>
        <w:ind w:firstLine="3990" w:firstLineChars="1900"/>
        <w:jc w:val="left"/>
        <w:rPr>
          <w:rFonts w:hint="default"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法定代表人或其授权的代理人：</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kern w:val="0"/>
          <w:szCs w:val="21"/>
          <w:highlight w:val="none"/>
          <w:u w:val="single"/>
        </w:rPr>
        <w:t>（签字或盖私章）</w:t>
      </w:r>
      <w:r>
        <w:rPr>
          <w:rFonts w:hint="eastAsia" w:ascii="宋体" w:hAnsi="宋体" w:eastAsia="宋体" w:cs="宋体"/>
          <w:color w:val="000000"/>
          <w:kern w:val="0"/>
          <w:szCs w:val="21"/>
          <w:highlight w:val="none"/>
          <w:u w:val="single"/>
          <w:lang w:val="en-US" w:eastAsia="zh-CN"/>
        </w:rPr>
        <w:t xml:space="preserve">  </w:t>
      </w:r>
    </w:p>
    <w:p w14:paraId="004FE3B7">
      <w:pPr>
        <w:autoSpaceDE w:val="0"/>
        <w:autoSpaceDN w:val="0"/>
        <w:adjustRightInd w:val="0"/>
        <w:spacing w:line="360" w:lineRule="auto"/>
        <w:ind w:firstLine="3990" w:firstLineChars="1900"/>
        <w:jc w:val="left"/>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担保公司盖章：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p>
    <w:p w14:paraId="5EA88694">
      <w:pPr>
        <w:autoSpaceDE w:val="0"/>
        <w:autoSpaceDN w:val="0"/>
        <w:adjustRightInd w:val="0"/>
        <w:spacing w:line="360" w:lineRule="auto"/>
        <w:ind w:firstLine="3990" w:firstLineChars="1900"/>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 xml:space="preserve">联系人：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kern w:val="0"/>
          <w:szCs w:val="21"/>
          <w:highlight w:val="none"/>
        </w:rPr>
        <w:t xml:space="preserve">                       </w:t>
      </w:r>
    </w:p>
    <w:p w14:paraId="5957608C">
      <w:pPr>
        <w:autoSpaceDE w:val="0"/>
        <w:autoSpaceDN w:val="0"/>
        <w:adjustRightInd w:val="0"/>
        <w:spacing w:line="360" w:lineRule="auto"/>
        <w:ind w:firstLine="3990" w:firstLineChars="19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3EA7093C">
      <w:pPr>
        <w:autoSpaceDE w:val="0"/>
        <w:autoSpaceDN w:val="0"/>
        <w:adjustRightInd w:val="0"/>
        <w:spacing w:line="360" w:lineRule="auto"/>
        <w:ind w:firstLine="3990" w:firstLineChars="19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1F82E50D">
      <w:pPr>
        <w:autoSpaceDE w:val="0"/>
        <w:autoSpaceDN w:val="0"/>
        <w:adjustRightInd w:val="0"/>
        <w:spacing w:beforeLines="0" w:afterLines="0" w:line="360" w:lineRule="auto"/>
        <w:ind w:firstLine="3990" w:firstLineChars="1900"/>
        <w:jc w:val="left"/>
        <w:rPr>
          <w:rFonts w:hint="default" w:ascii="宋体" w:hAnsi="宋体" w:eastAsia="宋体"/>
          <w:color w:val="auto"/>
          <w:kern w:val="0"/>
          <w:sz w:val="21"/>
          <w:szCs w:val="21"/>
          <w:highlight w:val="none"/>
        </w:rPr>
      </w:pPr>
      <w:r>
        <w:rPr>
          <w:rFonts w:hint="eastAsia" w:ascii="宋体" w:hAnsi="宋体" w:eastAsia="宋体" w:cs="宋体"/>
          <w:color w:val="000000"/>
          <w:kern w:val="0"/>
          <w:szCs w:val="21"/>
          <w:highlight w:val="none"/>
        </w:rPr>
        <w:t>日期：    年   月   日</w:t>
      </w:r>
    </w:p>
    <w:p w14:paraId="0C077245">
      <w:pPr>
        <w:autoSpaceDE w:val="0"/>
        <w:autoSpaceDN w:val="0"/>
        <w:adjustRightInd w:val="0"/>
        <w:spacing w:beforeLines="0" w:afterLines="0" w:line="360" w:lineRule="auto"/>
        <w:ind w:right="368" w:rightChars="175"/>
        <w:jc w:val="left"/>
        <w:rPr>
          <w:rFonts w:hint="default" w:ascii="宋体" w:hAnsi="宋体" w:eastAsia="宋体"/>
          <w:color w:val="auto"/>
          <w:kern w:val="0"/>
          <w:sz w:val="21"/>
          <w:szCs w:val="21"/>
          <w:highlight w:val="none"/>
        </w:rPr>
      </w:pPr>
    </w:p>
    <w:p w14:paraId="3B760F3C">
      <w:pPr>
        <w:autoSpaceDE w:val="0"/>
        <w:autoSpaceDN w:val="0"/>
        <w:adjustRightInd w:val="0"/>
        <w:spacing w:beforeLines="0" w:afterLines="0" w:line="360" w:lineRule="auto"/>
        <w:jc w:val="left"/>
        <w:rPr>
          <w:rFonts w:hint="default" w:ascii="宋体" w:hAnsi="宋体" w:eastAsia="宋体"/>
          <w:color w:val="auto"/>
          <w:kern w:val="0"/>
          <w:sz w:val="21"/>
          <w:szCs w:val="21"/>
          <w:highlight w:val="none"/>
        </w:rPr>
      </w:pPr>
    </w:p>
    <w:p w14:paraId="41FEC6B6">
      <w:pPr>
        <w:autoSpaceDE w:val="0"/>
        <w:autoSpaceDN w:val="0"/>
        <w:adjustRightInd w:val="0"/>
        <w:spacing w:beforeLines="0" w:afterLines="0" w:line="360" w:lineRule="auto"/>
        <w:ind w:firstLine="5775" w:firstLineChars="2750"/>
        <w:jc w:val="left"/>
        <w:rPr>
          <w:rFonts w:hint="default" w:ascii="宋体" w:hAnsi="宋体" w:eastAsia="宋体"/>
          <w:color w:val="auto"/>
          <w:kern w:val="0"/>
          <w:sz w:val="21"/>
          <w:szCs w:val="21"/>
          <w:highlight w:val="none"/>
        </w:rPr>
      </w:pPr>
    </w:p>
    <w:p w14:paraId="488E4A86">
      <w:pPr>
        <w:autoSpaceDE w:val="0"/>
        <w:autoSpaceDN w:val="0"/>
        <w:adjustRightInd w:val="0"/>
        <w:spacing w:beforeLines="0" w:afterLines="0" w:line="360" w:lineRule="auto"/>
        <w:ind w:firstLine="5775" w:firstLineChars="2750"/>
        <w:jc w:val="left"/>
        <w:rPr>
          <w:rFonts w:hint="default" w:ascii="宋体" w:hAnsi="宋体" w:eastAsia="宋体"/>
          <w:color w:val="auto"/>
          <w:kern w:val="0"/>
          <w:sz w:val="21"/>
          <w:szCs w:val="21"/>
          <w:highlight w:val="none"/>
        </w:rPr>
      </w:pPr>
    </w:p>
    <w:p w14:paraId="4F258C35">
      <w:pPr>
        <w:widowControl/>
        <w:spacing w:beforeLines="0" w:afterLines="0"/>
        <w:jc w:val="left"/>
        <w:rPr>
          <w:rFonts w:hint="default" w:ascii="宋体" w:hAnsi="宋体" w:eastAsia="宋体" w:cs="宋体"/>
          <w:color w:val="auto"/>
          <w:sz w:val="21"/>
          <w:szCs w:val="24"/>
          <w:highlight w:val="none"/>
          <w:lang w:val="zh-CN"/>
        </w:rPr>
      </w:pPr>
    </w:p>
    <w:p w14:paraId="37FEB6A9">
      <w:pPr>
        <w:keepNext w:val="0"/>
        <w:keepLines w:val="0"/>
        <w:pageBreakBefore w:val="0"/>
        <w:tabs>
          <w:tab w:val="left" w:pos="208"/>
        </w:tabs>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p>
    <w:bookmarkEnd w:id="397"/>
    <w:p w14:paraId="64361137">
      <w:pPr>
        <w:kinsoku/>
        <w:overflowPunct/>
        <w:autoSpaceDE w:val="0"/>
        <w:autoSpaceDN w:val="0"/>
        <w:bidi w:val="0"/>
        <w:adjustRightInd w:val="0"/>
        <w:spacing w:line="360" w:lineRule="auto"/>
        <w:ind w:firstLine="5775" w:firstLineChars="2750"/>
        <w:jc w:val="left"/>
        <w:outlineLvl w:val="9"/>
        <w:rPr>
          <w:rFonts w:ascii="宋体" w:hAnsi="宋体" w:eastAsia="宋体" w:cs="Times New Roman"/>
          <w:color w:val="auto"/>
          <w:kern w:val="0"/>
          <w:szCs w:val="21"/>
          <w:highlight w:val="none"/>
        </w:rPr>
      </w:pPr>
    </w:p>
    <w:p w14:paraId="6B7E4160">
      <w:pPr>
        <w:kinsoku/>
        <w:overflowPunct/>
        <w:bidi w:val="0"/>
        <w:jc w:val="left"/>
        <w:outlineLvl w:val="9"/>
        <w:rPr>
          <w:rFonts w:ascii="宋体" w:hAnsi="宋体" w:eastAsia="宋体"/>
          <w:b/>
          <w:color w:val="auto"/>
          <w:kern w:val="0"/>
          <w:sz w:val="28"/>
          <w:szCs w:val="28"/>
          <w:highlight w:val="none"/>
        </w:rPr>
      </w:pPr>
      <w:bookmarkStart w:id="408" w:name="_Toc89552416"/>
      <w:bookmarkStart w:id="409" w:name="_Toc9085"/>
      <w:r>
        <w:rPr>
          <w:rFonts w:ascii="宋体" w:hAnsi="宋体" w:eastAsia="宋体"/>
          <w:b/>
          <w:color w:val="auto"/>
          <w:kern w:val="0"/>
          <w:sz w:val="28"/>
          <w:szCs w:val="28"/>
          <w:highlight w:val="none"/>
        </w:rPr>
        <w:br w:type="page"/>
      </w:r>
    </w:p>
    <w:bookmarkEnd w:id="408"/>
    <w:bookmarkEnd w:id="409"/>
    <w:p w14:paraId="162AA3BF">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firstLineChars="0"/>
        <w:jc w:val="center"/>
        <w:textAlignment w:val="auto"/>
        <w:outlineLvl w:val="0"/>
        <w:rPr>
          <w:rFonts w:ascii="宋体" w:hAnsi="宋体" w:eastAsia="宋体" w:cs="宋体"/>
          <w:b/>
          <w:bCs/>
          <w:color w:val="auto"/>
          <w:kern w:val="44"/>
          <w:sz w:val="32"/>
          <w:szCs w:val="32"/>
          <w:highlight w:val="none"/>
        </w:rPr>
      </w:pPr>
      <w:bookmarkStart w:id="410" w:name="_Toc486167708"/>
      <w:bookmarkStart w:id="411" w:name="_Toc142508361"/>
      <w:bookmarkStart w:id="412" w:name="_Toc9840"/>
      <w:bookmarkStart w:id="413" w:name="_Toc32761_WPSOffice_Level1"/>
      <w:bookmarkStart w:id="414" w:name="_Toc195714372"/>
      <w:bookmarkStart w:id="415" w:name="_Toc450662895"/>
      <w:bookmarkStart w:id="416" w:name="_Toc15817"/>
      <w:bookmarkStart w:id="417" w:name="_Toc4580"/>
      <w:r>
        <w:rPr>
          <w:rFonts w:hint="eastAsia" w:ascii="宋体" w:hAnsi="宋体" w:eastAsia="宋体" w:cs="宋体"/>
          <w:b/>
          <w:bCs/>
          <w:color w:val="auto"/>
          <w:kern w:val="44"/>
          <w:sz w:val="32"/>
          <w:szCs w:val="32"/>
          <w:highlight w:val="none"/>
          <w:lang w:val="zh-CN"/>
        </w:rPr>
        <w:t>第六篇 投标文件格式</w:t>
      </w:r>
      <w:bookmarkEnd w:id="410"/>
      <w:bookmarkEnd w:id="411"/>
      <w:bookmarkEnd w:id="412"/>
      <w:bookmarkEnd w:id="413"/>
      <w:bookmarkEnd w:id="414"/>
      <w:bookmarkEnd w:id="415"/>
      <w:bookmarkEnd w:id="416"/>
      <w:bookmarkEnd w:id="417"/>
    </w:p>
    <w:p w14:paraId="4114FB8F">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kern w:val="0"/>
          <w:sz w:val="32"/>
          <w:szCs w:val="32"/>
          <w:highlight w:val="none"/>
        </w:rPr>
      </w:pPr>
      <w:bookmarkStart w:id="418" w:name="_Toc195714373"/>
      <w:bookmarkStart w:id="419" w:name="_Toc21249"/>
      <w:bookmarkStart w:id="420" w:name="_Toc12879"/>
      <w:bookmarkStart w:id="421" w:name="_Toc13130"/>
      <w:bookmarkStart w:id="422" w:name="_Toc31978"/>
      <w:bookmarkStart w:id="423" w:name="_Toc5778"/>
      <w:bookmarkStart w:id="424" w:name="_Toc21648"/>
      <w:bookmarkStart w:id="425" w:name="_Toc94107202"/>
      <w:bookmarkStart w:id="426" w:name="_Toc486167709"/>
      <w:bookmarkStart w:id="427" w:name="_Toc140596921"/>
      <w:bookmarkStart w:id="428" w:name="_Toc104991868"/>
      <w:bookmarkStart w:id="429" w:name="_Toc21133_WPSOffice_Level2"/>
      <w:bookmarkStart w:id="430" w:name="_Toc533708121"/>
      <w:bookmarkStart w:id="431" w:name="_Toc102860411"/>
      <w:bookmarkStart w:id="432" w:name="_Toc1977721"/>
      <w:bookmarkStart w:id="433" w:name="_Toc102860067"/>
      <w:bookmarkStart w:id="434" w:name="_Toc142508362"/>
      <w:r>
        <w:rPr>
          <w:rFonts w:hint="eastAsia" w:ascii="宋体" w:hAnsi="宋体" w:eastAsia="宋体" w:cs="宋体"/>
          <w:b/>
          <w:color w:val="auto"/>
          <w:kern w:val="0"/>
          <w:sz w:val="32"/>
          <w:szCs w:val="32"/>
          <w:highlight w:val="none"/>
        </w:rPr>
        <w:t>一  商务标格式</w:t>
      </w:r>
      <w:bookmarkEnd w:id="418"/>
      <w:bookmarkEnd w:id="419"/>
      <w:bookmarkEnd w:id="420"/>
      <w:bookmarkEnd w:id="421"/>
      <w:bookmarkEnd w:id="422"/>
      <w:bookmarkEnd w:id="423"/>
      <w:bookmarkEnd w:id="424"/>
    </w:p>
    <w:p w14:paraId="19847C0D">
      <w:pPr>
        <w:kinsoku/>
        <w:overflowPunct/>
        <w:bidi w:val="0"/>
        <w:outlineLvl w:val="9"/>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2D398819">
      <w:pPr>
        <w:pStyle w:val="20"/>
        <w:kinsoku/>
        <w:overflowPunct/>
        <w:bidi w:val="0"/>
        <w:spacing w:line="360" w:lineRule="auto"/>
        <w:jc w:val="center"/>
        <w:outlineLvl w:val="9"/>
        <w:rPr>
          <w:rFonts w:ascii="宋体" w:hAnsi="宋体" w:cs="宋体"/>
          <w:color w:val="auto"/>
          <w:sz w:val="84"/>
          <w:highlight w:val="none"/>
        </w:rPr>
      </w:pPr>
    </w:p>
    <w:p w14:paraId="55B3D6F3">
      <w:pPr>
        <w:pStyle w:val="20"/>
        <w:kinsoku/>
        <w:overflowPunct/>
        <w:bidi w:val="0"/>
        <w:spacing w:line="360" w:lineRule="auto"/>
        <w:jc w:val="center"/>
        <w:outlineLvl w:val="9"/>
        <w:rPr>
          <w:rFonts w:ascii="宋体" w:hAnsi="宋体" w:cs="宋体"/>
          <w:color w:val="auto"/>
          <w:sz w:val="84"/>
          <w:highlight w:val="none"/>
        </w:rPr>
      </w:pPr>
    </w:p>
    <w:p w14:paraId="7D0F9D35">
      <w:pPr>
        <w:pStyle w:val="20"/>
        <w:kinsoku/>
        <w:overflowPunct/>
        <w:bidi w:val="0"/>
        <w:spacing w:line="360" w:lineRule="auto"/>
        <w:jc w:val="center"/>
        <w:outlineLvl w:val="9"/>
        <w:rPr>
          <w:rFonts w:ascii="宋体" w:hAnsi="宋体" w:cs="宋体"/>
          <w:color w:val="auto"/>
          <w:sz w:val="84"/>
          <w:highlight w:val="none"/>
        </w:rPr>
      </w:pPr>
      <w:r>
        <w:rPr>
          <w:rFonts w:hint="eastAsia" w:ascii="宋体" w:hAnsi="宋体" w:cs="宋体"/>
          <w:color w:val="auto"/>
          <w:sz w:val="84"/>
          <w:highlight w:val="none"/>
        </w:rPr>
        <w:t>投 标 文 件</w:t>
      </w:r>
    </w:p>
    <w:p w14:paraId="3BEF9B85">
      <w:pPr>
        <w:pStyle w:val="20"/>
        <w:kinsoku/>
        <w:overflowPunct/>
        <w:bidi w:val="0"/>
        <w:spacing w:line="360" w:lineRule="auto"/>
        <w:outlineLvl w:val="9"/>
        <w:rPr>
          <w:rFonts w:ascii="宋体" w:hAnsi="宋体" w:cs="宋体"/>
          <w:color w:val="auto"/>
          <w:highlight w:val="none"/>
        </w:rPr>
      </w:pPr>
    </w:p>
    <w:p w14:paraId="39FEF845">
      <w:pPr>
        <w:pStyle w:val="20"/>
        <w:kinsoku/>
        <w:overflowPunct/>
        <w:bidi w:val="0"/>
        <w:spacing w:line="360" w:lineRule="auto"/>
        <w:outlineLvl w:val="9"/>
        <w:rPr>
          <w:rFonts w:ascii="宋体" w:hAnsi="宋体" w:cs="宋体"/>
          <w:color w:val="auto"/>
          <w:highlight w:val="none"/>
        </w:rPr>
      </w:pPr>
    </w:p>
    <w:p w14:paraId="024276FC">
      <w:pPr>
        <w:pStyle w:val="20"/>
        <w:kinsoku/>
        <w:overflowPunct/>
        <w:bidi w:val="0"/>
        <w:spacing w:line="360" w:lineRule="auto"/>
        <w:outlineLvl w:val="9"/>
        <w:rPr>
          <w:rFonts w:ascii="宋体" w:hAnsi="宋体" w:cs="宋体"/>
          <w:color w:val="auto"/>
          <w:highlight w:val="none"/>
        </w:rPr>
      </w:pPr>
    </w:p>
    <w:p w14:paraId="1495C64D">
      <w:pPr>
        <w:pStyle w:val="20"/>
        <w:kinsoku/>
        <w:overflowPunct/>
        <w:bidi w:val="0"/>
        <w:spacing w:line="360" w:lineRule="auto"/>
        <w:outlineLvl w:val="9"/>
        <w:rPr>
          <w:rFonts w:ascii="宋体" w:hAnsi="宋体" w:cs="宋体"/>
          <w:color w:val="auto"/>
          <w:highlight w:val="none"/>
        </w:rPr>
      </w:pPr>
    </w:p>
    <w:p w14:paraId="49FEDDEA">
      <w:pPr>
        <w:pStyle w:val="20"/>
        <w:kinsoku/>
        <w:overflowPunct/>
        <w:bidi w:val="0"/>
        <w:spacing w:line="360" w:lineRule="auto"/>
        <w:outlineLvl w:val="9"/>
        <w:rPr>
          <w:rFonts w:ascii="宋体" w:hAnsi="宋体" w:cs="宋体"/>
          <w:color w:val="auto"/>
          <w:highlight w:val="none"/>
        </w:rPr>
      </w:pPr>
    </w:p>
    <w:p w14:paraId="7D3C819B">
      <w:pPr>
        <w:pStyle w:val="20"/>
        <w:kinsoku/>
        <w:overflowPunct/>
        <w:bidi w:val="0"/>
        <w:spacing w:line="360" w:lineRule="auto"/>
        <w:outlineLvl w:val="9"/>
        <w:rPr>
          <w:rFonts w:ascii="宋体" w:hAnsi="宋体" w:cs="宋体"/>
          <w:color w:val="auto"/>
          <w:highlight w:val="none"/>
        </w:rPr>
      </w:pPr>
    </w:p>
    <w:p w14:paraId="5026A44F">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537E644">
      <w:pPr>
        <w:pStyle w:val="20"/>
        <w:kinsoku/>
        <w:overflowPunct/>
        <w:bidi w:val="0"/>
        <w:spacing w:line="360" w:lineRule="auto"/>
        <w:ind w:firstLine="1875" w:firstLineChars="625"/>
        <w:outlineLvl w:val="9"/>
        <w:rPr>
          <w:rFonts w:hint="default" w:ascii="宋体" w:hAnsi="宋体" w:eastAsia="宋体" w:cs="宋体"/>
          <w:color w:val="auto"/>
          <w:sz w:val="30"/>
          <w:highlight w:val="none"/>
          <w:u w:val="single"/>
          <w:lang w:val="en-US" w:eastAsia="zh-CN"/>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val="en-US" w:eastAsia="zh-CN"/>
        </w:rPr>
        <w:t xml:space="preserve">        </w:t>
      </w:r>
    </w:p>
    <w:p w14:paraId="0B813AC5">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6E837ADC">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6B99997">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5D3354ED">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0F32F50C">
      <w:pPr>
        <w:pStyle w:val="20"/>
        <w:kinsoku/>
        <w:overflowPunct/>
        <w:bidi w:val="0"/>
        <w:spacing w:line="360" w:lineRule="auto"/>
        <w:outlineLvl w:val="9"/>
        <w:rPr>
          <w:rFonts w:ascii="宋体" w:hAnsi="宋体" w:cs="宋体"/>
          <w:color w:val="auto"/>
          <w:highlight w:val="none"/>
        </w:rPr>
      </w:pPr>
    </w:p>
    <w:p w14:paraId="17EB9FCA">
      <w:pPr>
        <w:pStyle w:val="20"/>
        <w:kinsoku/>
        <w:overflowPunct/>
        <w:bidi w:val="0"/>
        <w:spacing w:line="360" w:lineRule="auto"/>
        <w:outlineLvl w:val="9"/>
        <w:rPr>
          <w:rFonts w:ascii="宋体" w:hAnsi="宋体" w:cs="宋体"/>
          <w:color w:val="auto"/>
          <w:highlight w:val="none"/>
        </w:rPr>
      </w:pPr>
      <w:r>
        <w:rPr>
          <w:rFonts w:hint="eastAsia" w:ascii="宋体" w:hAnsi="宋体" w:cs="宋体"/>
          <w:color w:val="auto"/>
          <w:highlight w:val="none"/>
        </w:rPr>
        <w:br w:type="page"/>
      </w:r>
    </w:p>
    <w:p w14:paraId="156B965B">
      <w:pPr>
        <w:pStyle w:val="4"/>
        <w:keepNext/>
        <w:keepLines/>
        <w:pageBreakBefore/>
        <w:autoSpaceDE/>
        <w:autoSpaceDN/>
        <w:adjustRightInd/>
        <w:spacing w:before="120" w:beforeLines="50" w:after="120" w:afterLines="50" w:line="360" w:lineRule="auto"/>
        <w:jc w:val="center"/>
        <w:rPr>
          <w:rFonts w:ascii="宋体" w:hAnsi="宋体" w:cs="宋体"/>
          <w:b/>
          <w:bCs/>
          <w:color w:val="auto"/>
          <w:sz w:val="24"/>
          <w:szCs w:val="24"/>
          <w:highlight w:val="none"/>
        </w:rPr>
      </w:pPr>
      <w:bookmarkStart w:id="435" w:name="_Toc195714374"/>
      <w:bookmarkStart w:id="436" w:name="_Toc10680"/>
      <w:bookmarkStart w:id="437" w:name="_Toc10999"/>
      <w:bookmarkStart w:id="438" w:name="_Toc31361"/>
      <w:bookmarkStart w:id="439" w:name="_Toc17612"/>
      <w:bookmarkStart w:id="440" w:name="_Toc16205"/>
      <w:bookmarkStart w:id="441" w:name="_Toc6382"/>
      <w:r>
        <w:rPr>
          <w:rFonts w:hint="eastAsia" w:ascii="宋体" w:hAnsi="宋体" w:cs="宋体"/>
          <w:b/>
          <w:bCs/>
          <w:color w:val="auto"/>
          <w:sz w:val="24"/>
          <w:szCs w:val="24"/>
          <w:highlight w:val="none"/>
        </w:rPr>
        <w:t>目录</w:t>
      </w:r>
      <w:bookmarkEnd w:id="435"/>
      <w:bookmarkEnd w:id="436"/>
      <w:bookmarkEnd w:id="437"/>
      <w:bookmarkEnd w:id="438"/>
      <w:bookmarkEnd w:id="439"/>
      <w:bookmarkEnd w:id="440"/>
      <w:bookmarkEnd w:id="441"/>
    </w:p>
    <w:p w14:paraId="52AA217B">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投标函；</w:t>
      </w:r>
    </w:p>
    <w:p w14:paraId="4EC1B037">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投标承诺书；</w:t>
      </w:r>
    </w:p>
    <w:p w14:paraId="74456822">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供货及/或提供服务过程承诺函；</w:t>
      </w:r>
    </w:p>
    <w:p w14:paraId="613A93E8">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投标报价响应表；</w:t>
      </w:r>
    </w:p>
    <w:p w14:paraId="3E2C0AF8">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投标人资格证明文件：</w:t>
      </w:r>
    </w:p>
    <w:p w14:paraId="6245E7B3">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投标人基本情况一览表；</w:t>
      </w:r>
    </w:p>
    <w:p w14:paraId="6ECFFCAA">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投标人财务状况表；</w:t>
      </w:r>
    </w:p>
    <w:p w14:paraId="67AB317C">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合同条款偏离表；</w:t>
      </w:r>
    </w:p>
    <w:p w14:paraId="6291FD43">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业绩表；</w:t>
      </w:r>
    </w:p>
    <w:p w14:paraId="7DC122A6">
      <w:pPr>
        <w:numPr>
          <w:ilvl w:val="4"/>
          <w:numId w:val="3"/>
        </w:numPr>
        <w:tabs>
          <w:tab w:val="left" w:pos="1134"/>
          <w:tab w:val="clear" w:pos="1495"/>
        </w:tabs>
        <w:spacing w:line="440" w:lineRule="exact"/>
        <w:ind w:left="1275" w:leftChars="0" w:hanging="424" w:firstLineChars="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中标服务费承诺书格式；</w:t>
      </w:r>
    </w:p>
    <w:p w14:paraId="7990161B">
      <w:pPr>
        <w:numPr>
          <w:ilvl w:val="4"/>
          <w:numId w:val="3"/>
        </w:numPr>
        <w:tabs>
          <w:tab w:val="left" w:pos="1134"/>
          <w:tab w:val="clear" w:pos="1495"/>
        </w:tabs>
        <w:spacing w:line="440" w:lineRule="exact"/>
        <w:ind w:left="1275" w:leftChars="0" w:hanging="424" w:firstLineChars="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en-US" w:eastAsia="zh-CN"/>
        </w:rPr>
        <w:t>承诺函格式</w:t>
      </w:r>
    </w:p>
    <w:p w14:paraId="6B7AD6D8">
      <w:pPr>
        <w:numPr>
          <w:ilvl w:val="4"/>
          <w:numId w:val="3"/>
        </w:numPr>
        <w:tabs>
          <w:tab w:val="left" w:pos="1134"/>
          <w:tab w:val="clear" w:pos="1495"/>
        </w:tabs>
        <w:spacing w:line="440" w:lineRule="exact"/>
        <w:ind w:left="1275" w:leftChars="0" w:hanging="424" w:firstLineChars="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4FE04CFB">
      <w:pPr>
        <w:numPr>
          <w:ilvl w:val="4"/>
          <w:numId w:val="3"/>
        </w:numPr>
        <w:tabs>
          <w:tab w:val="left" w:pos="1134"/>
          <w:tab w:val="clear" w:pos="1495"/>
        </w:tabs>
        <w:spacing w:line="440" w:lineRule="exact"/>
        <w:ind w:hanging="64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p>
    <w:p w14:paraId="2A53B61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bookmarkStart w:id="442" w:name="_Toc2014"/>
      <w:bookmarkStart w:id="443" w:name="_Toc23782"/>
      <w:bookmarkStart w:id="444" w:name="_Toc25341"/>
      <w:bookmarkStart w:id="445" w:name="_Toc3028"/>
      <w:bookmarkStart w:id="446" w:name="_Toc27679"/>
      <w:bookmarkStart w:id="447" w:name="_Toc7834"/>
      <w:bookmarkStart w:id="448" w:name="_Toc12810"/>
      <w:bookmarkStart w:id="449" w:name="_Toc195714375"/>
      <w:bookmarkStart w:id="450" w:name="_Toc17613"/>
      <w:bookmarkStart w:id="451" w:name="_Toc13281"/>
      <w:r>
        <w:rPr>
          <w:rFonts w:hint="eastAsia" w:ascii="宋体" w:hAnsi="宋体" w:eastAsia="宋体" w:cs="宋体"/>
          <w:b/>
          <w:color w:val="auto"/>
          <w:kern w:val="0"/>
          <w:sz w:val="32"/>
          <w:szCs w:val="32"/>
          <w:highlight w:val="none"/>
        </w:rPr>
        <w:t>一、投标函格式</w:t>
      </w:r>
      <w:bookmarkEnd w:id="425"/>
      <w:bookmarkEnd w:id="426"/>
      <w:bookmarkEnd w:id="427"/>
      <w:bookmarkEnd w:id="428"/>
      <w:bookmarkEnd w:id="429"/>
      <w:bookmarkEnd w:id="430"/>
      <w:bookmarkEnd w:id="431"/>
      <w:bookmarkEnd w:id="432"/>
      <w:bookmarkEnd w:id="433"/>
      <w:bookmarkEnd w:id="434"/>
      <w:bookmarkEnd w:id="442"/>
      <w:bookmarkEnd w:id="443"/>
      <w:bookmarkEnd w:id="444"/>
      <w:bookmarkEnd w:id="445"/>
      <w:bookmarkEnd w:id="446"/>
      <w:bookmarkEnd w:id="447"/>
      <w:bookmarkEnd w:id="448"/>
      <w:bookmarkEnd w:id="449"/>
      <w:bookmarkEnd w:id="450"/>
      <w:bookmarkEnd w:id="451"/>
    </w:p>
    <w:p w14:paraId="7D0A981A">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rPr>
      </w:pPr>
      <w:bookmarkStart w:id="452" w:name="_Toc16695_WPSOffice_Level3"/>
      <w:r>
        <w:rPr>
          <w:rFonts w:hint="eastAsia" w:ascii="宋体" w:hAnsi="宋体" w:eastAsia="宋体" w:cs="宋体"/>
          <w:b/>
          <w:bCs/>
          <w:color w:val="auto"/>
          <w:sz w:val="30"/>
          <w:szCs w:val="30"/>
          <w:highlight w:val="none"/>
          <w:lang w:val="zh-CN"/>
        </w:rPr>
        <w:t>投 标 函</w:t>
      </w:r>
      <w:bookmarkEnd w:id="452"/>
      <w:r>
        <w:rPr>
          <w:rFonts w:hint="eastAsia" w:ascii="宋体" w:hAnsi="宋体" w:eastAsia="宋体" w:cs="宋体"/>
          <w:b/>
          <w:bCs/>
          <w:color w:val="auto"/>
          <w:sz w:val="30"/>
          <w:szCs w:val="30"/>
          <w:highlight w:val="none"/>
          <w:lang w:val="zh-CN"/>
        </w:rPr>
        <w:t>（</w:t>
      </w:r>
      <w:r>
        <w:rPr>
          <w:rFonts w:hint="eastAsia" w:ascii="宋体" w:hAnsi="宋体" w:eastAsia="宋体" w:cs="宋体"/>
          <w:b/>
          <w:bCs/>
          <w:color w:val="auto"/>
          <w:sz w:val="30"/>
          <w:szCs w:val="30"/>
          <w:highlight w:val="none"/>
          <w:lang w:val="en-US" w:eastAsia="zh-CN"/>
        </w:rPr>
        <w:t xml:space="preserve">标段    </w:t>
      </w:r>
      <w:r>
        <w:rPr>
          <w:rFonts w:hint="eastAsia" w:ascii="宋体" w:hAnsi="宋体" w:eastAsia="宋体" w:cs="宋体"/>
          <w:b/>
          <w:bCs/>
          <w:color w:val="auto"/>
          <w:sz w:val="30"/>
          <w:szCs w:val="30"/>
          <w:highlight w:val="none"/>
          <w:lang w:val="zh-CN"/>
        </w:rPr>
        <w:t>）</w:t>
      </w:r>
    </w:p>
    <w:p w14:paraId="422AD6FF">
      <w:pPr>
        <w:kinsoku/>
        <w:overflowPunct/>
        <w:autoSpaceDE w:val="0"/>
        <w:autoSpaceDN w:val="0"/>
        <w:bidi w:val="0"/>
        <w:adjustRightInd w:val="0"/>
        <w:spacing w:line="360" w:lineRule="auto"/>
        <w:outlineLvl w:val="9"/>
        <w:rPr>
          <w:rFonts w:ascii="宋体" w:hAnsi="宋体" w:eastAsia="宋体" w:cs="宋体"/>
          <w:color w:val="auto"/>
          <w:szCs w:val="21"/>
          <w:highlight w:val="none"/>
          <w:lang w:val="zh-CN"/>
        </w:rPr>
      </w:pPr>
    </w:p>
    <w:p w14:paraId="0CC05D16">
      <w:pPr>
        <w:kinsoku/>
        <w:overflowPunct/>
        <w:autoSpaceDE w:val="0"/>
        <w:autoSpaceDN w:val="0"/>
        <w:bidi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东莞市水务环境投资控股集团有限公司</w:t>
      </w:r>
    </w:p>
    <w:p w14:paraId="0FB7C644">
      <w:pPr>
        <w:kinsoku/>
        <w:overflowPunct/>
        <w:autoSpaceDE w:val="0"/>
        <w:autoSpaceDN w:val="0"/>
        <w:bidi w:val="0"/>
        <w:adjustRightInd w:val="0"/>
        <w:spacing w:line="360" w:lineRule="auto"/>
        <w:outlineLvl w:val="9"/>
        <w:rPr>
          <w:rFonts w:ascii="宋体" w:hAnsi="宋体" w:eastAsia="宋体" w:cs="宋体"/>
          <w:color w:val="auto"/>
          <w:szCs w:val="21"/>
          <w:highlight w:val="none"/>
        </w:rPr>
      </w:pPr>
    </w:p>
    <w:p w14:paraId="1270A421">
      <w:pPr>
        <w:kinsoku/>
        <w:wordWrap w:val="0"/>
        <w:overflowPunct/>
        <w:autoSpaceDE w:val="0"/>
        <w:autoSpaceDN w:val="0"/>
        <w:bidi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东莞市水务环境投资控股集团有限公司招标采购代理协议服务项目（</w:t>
      </w:r>
      <w:r>
        <w:rPr>
          <w:rFonts w:hint="eastAsia" w:ascii="宋体" w:hAnsi="宋体" w:eastAsia="宋体" w:cs="宋体"/>
          <w:color w:val="auto"/>
          <w:kern w:val="0"/>
          <w:szCs w:val="21"/>
          <w:highlight w:val="none"/>
          <w:u w:val="single"/>
          <w:lang w:val="en-US" w:eastAsia="zh-CN"/>
        </w:rPr>
        <w:t xml:space="preserve">标段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2231A4D">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lang w:val="en-US" w:eastAsia="zh-CN"/>
        </w:rPr>
        <w:t>一</w:t>
      </w:r>
      <w:r>
        <w:rPr>
          <w:rFonts w:hint="eastAsia" w:ascii="宋体" w:hAnsi="宋体" w:eastAsia="宋体" w:cs="宋体"/>
          <w:color w:val="000000"/>
          <w:szCs w:val="21"/>
          <w:highlight w:val="none"/>
          <w:lang w:val="zh-CN"/>
        </w:rPr>
        <w:t>）我方决定参加招标编号为</w:t>
      </w:r>
      <w:r>
        <w:rPr>
          <w:rFonts w:hint="eastAsia" w:ascii="宋体" w:hAnsi="宋体" w:eastAsia="宋体" w:cs="宋体"/>
          <w:color w:val="000000"/>
          <w:szCs w:val="21"/>
          <w:highlight w:val="none"/>
          <w:u w:val="single"/>
          <w:lang w:val="zh-CN"/>
        </w:rPr>
        <w:t xml:space="preserve">       </w:t>
      </w:r>
      <w:r>
        <w:rPr>
          <w:rFonts w:hint="eastAsia" w:ascii="宋体" w:hAnsi="宋体" w:eastAsia="宋体" w:cs="宋体"/>
          <w:color w:val="000000"/>
          <w:szCs w:val="21"/>
          <w:highlight w:val="none"/>
          <w:lang w:val="zh-CN"/>
        </w:rPr>
        <w:t>的投标；</w:t>
      </w:r>
    </w:p>
    <w:p w14:paraId="08AF3E22">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lang w:val="en-US" w:eastAsia="zh-CN"/>
        </w:rPr>
        <w:t>二</w:t>
      </w:r>
      <w:r>
        <w:rPr>
          <w:rFonts w:hint="eastAsia" w:ascii="宋体" w:hAnsi="宋体" w:eastAsia="宋体" w:cs="宋体"/>
          <w:color w:val="000000"/>
          <w:szCs w:val="21"/>
          <w:highlight w:val="none"/>
          <w:lang w:val="zh-CN"/>
        </w:rPr>
        <w:t>）本投标文件的有效期自递交投标文件截止时间届满后90日有效，如中标，有效期将延至合同终止日为止；</w:t>
      </w:r>
    </w:p>
    <w:p w14:paraId="53A97E95">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lang w:val="en-US" w:eastAsia="zh-CN"/>
        </w:rPr>
        <w:t>三</w:t>
      </w:r>
      <w:r>
        <w:rPr>
          <w:rFonts w:hint="eastAsia" w:ascii="宋体" w:hAnsi="宋体" w:eastAsia="宋体" w:cs="宋体"/>
          <w:color w:val="000000"/>
          <w:szCs w:val="21"/>
          <w:highlight w:val="none"/>
          <w:lang w:val="zh-CN"/>
        </w:rPr>
        <w:t>）我方已详细研究了招标文件的所有内容包括修正文（如有）和所有已提供的参考资料以及有关附件并完全明白，我方放弃在此方面提出含糊意见或误解的一切权力；</w:t>
      </w:r>
    </w:p>
    <w:p w14:paraId="7000B596">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lang w:val="en-US" w:eastAsia="zh-CN"/>
        </w:rPr>
        <w:t>四</w:t>
      </w:r>
      <w:r>
        <w:rPr>
          <w:rFonts w:hint="eastAsia" w:ascii="宋体" w:hAnsi="宋体" w:eastAsia="宋体" w:cs="宋体"/>
          <w:color w:val="000000"/>
          <w:szCs w:val="21"/>
          <w:highlight w:val="none"/>
          <w:lang w:val="zh-CN"/>
        </w:rPr>
        <w:t>）我方明白并愿意在规定的递交投标文件截止时间和日期之后，投标有效期之内撤回投标，则不予退还我方投标保证金；</w:t>
      </w:r>
    </w:p>
    <w:p w14:paraId="75561F85">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lang w:val="en-US" w:eastAsia="zh-CN"/>
        </w:rPr>
        <w:t>五</w:t>
      </w:r>
      <w:r>
        <w:rPr>
          <w:rFonts w:hint="eastAsia" w:ascii="宋体" w:hAnsi="宋体" w:eastAsia="宋体" w:cs="宋体"/>
          <w:color w:val="000000"/>
          <w:szCs w:val="21"/>
          <w:highlight w:val="none"/>
          <w:lang w:val="zh-CN"/>
        </w:rPr>
        <w:t>）我方同意按照贵方可能提出的要求而提供与投标有关的任何其它数据或信息；</w:t>
      </w:r>
    </w:p>
    <w:p w14:paraId="03ED19DC">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lang w:val="en-US" w:eastAsia="zh-CN"/>
        </w:rPr>
        <w:t>六</w:t>
      </w:r>
      <w:r>
        <w:rPr>
          <w:rFonts w:hint="eastAsia" w:ascii="宋体" w:hAnsi="宋体" w:eastAsia="宋体" w:cs="宋体"/>
          <w:color w:val="000000"/>
          <w:szCs w:val="21"/>
          <w:highlight w:val="none"/>
          <w:lang w:val="zh-CN"/>
        </w:rPr>
        <w:t>）我方理解贵方不一定接受最低报价或任何贵方可能收到的报价；</w:t>
      </w:r>
    </w:p>
    <w:p w14:paraId="113DCE92">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lang w:val="en-US" w:eastAsia="zh-CN"/>
        </w:rPr>
        <w:t>七</w:t>
      </w:r>
      <w:r>
        <w:rPr>
          <w:rFonts w:hint="eastAsia" w:ascii="宋体" w:hAnsi="宋体" w:eastAsia="宋体" w:cs="宋体"/>
          <w:color w:val="000000"/>
          <w:szCs w:val="21"/>
          <w:highlight w:val="none"/>
          <w:lang w:val="zh-CN"/>
        </w:rPr>
        <w:t>）我方如果中标，将保证履行招标文件以及招标文件修改书（如有）中的全部责任和义务，按质、按量、按期完成《合同书》中的全部任务；</w:t>
      </w:r>
    </w:p>
    <w:p w14:paraId="470EB6DE">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lang w:val="en-US" w:eastAsia="zh-CN"/>
        </w:rPr>
        <w:t>八</w:t>
      </w:r>
      <w:r>
        <w:rPr>
          <w:rFonts w:hint="eastAsia" w:ascii="宋体" w:hAnsi="宋体" w:eastAsia="宋体" w:cs="宋体"/>
          <w:color w:val="000000"/>
          <w:szCs w:val="21"/>
          <w:highlight w:val="none"/>
          <w:lang w:val="zh-CN"/>
        </w:rPr>
        <w:t>）保证投标文件中所有资料均真实有效，否则按无效投标处理或可取消中标资格，并愿意接受按弄虚作假骗取中标的有关规定进行处理，并不予退还我方投标保证金；</w:t>
      </w:r>
    </w:p>
    <w:p w14:paraId="7328D7F5">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lang w:val="en-US" w:eastAsia="zh-CN"/>
        </w:rPr>
        <w:t>九</w:t>
      </w:r>
      <w:r>
        <w:rPr>
          <w:rFonts w:hint="eastAsia" w:ascii="宋体" w:hAnsi="宋体" w:eastAsia="宋体" w:cs="宋体"/>
          <w:color w:val="000000"/>
          <w:szCs w:val="21"/>
          <w:highlight w:val="none"/>
          <w:lang w:val="zh-CN"/>
        </w:rPr>
        <w:t>）若我方中标后，我方一定按照招标文件的要求和投标文件的承诺签订和履行合同，否则贵方可取消我方中标资格，并依法不予退还我方投标保证金或履约担保，我方愿意接受违约处罚；</w:t>
      </w:r>
    </w:p>
    <w:p w14:paraId="521EE552">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（十）若我方中标后，核查出投标文件内容前后不一致，我方愿按最高标准的承诺履约义务；</w:t>
      </w:r>
    </w:p>
    <w:p w14:paraId="124A1FB1">
      <w:pPr>
        <w:autoSpaceDE w:val="0"/>
        <w:autoSpaceDN w:val="0"/>
        <w:adjustRightInd w:val="0"/>
        <w:spacing w:line="360" w:lineRule="auto"/>
        <w:ind w:firstLine="315" w:firstLineChars="15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（十</w:t>
      </w:r>
      <w:r>
        <w:rPr>
          <w:rFonts w:hint="eastAsia" w:ascii="宋体" w:hAnsi="宋体" w:eastAsia="宋体" w:cs="宋体"/>
          <w:color w:val="000000"/>
          <w:szCs w:val="21"/>
          <w:highlight w:val="none"/>
          <w:lang w:val="en-US" w:eastAsia="zh-CN"/>
        </w:rPr>
        <w:t>一</w:t>
      </w:r>
      <w:r>
        <w:rPr>
          <w:rFonts w:hint="eastAsia" w:ascii="宋体" w:hAnsi="宋体" w:eastAsia="宋体" w:cs="宋体"/>
          <w:color w:val="000000"/>
          <w:szCs w:val="21"/>
          <w:highlight w:val="none"/>
          <w:lang w:val="zh-CN"/>
        </w:rPr>
        <w:t>）所有与本投标有关的函件请发往下列地址：</w:t>
      </w:r>
    </w:p>
    <w:p w14:paraId="409E6B52">
      <w:pPr>
        <w:kinsoku/>
        <w:overflowPunct/>
        <w:autoSpaceDE w:val="0"/>
        <w:autoSpaceDN w:val="0"/>
        <w:bidi w:val="0"/>
        <w:adjustRightInd w:val="0"/>
        <w:spacing w:line="360" w:lineRule="auto"/>
        <w:ind w:left="395" w:leftChars="-12" w:hanging="420" w:hangingChars="200"/>
        <w:outlineLvl w:val="9"/>
        <w:rPr>
          <w:rFonts w:ascii="宋体" w:hAnsi="宋体" w:eastAsia="宋体" w:cs="宋体"/>
          <w:color w:val="auto"/>
          <w:szCs w:val="21"/>
          <w:highlight w:val="none"/>
          <w:u w:val="single"/>
          <w:lang w:val="zh-CN"/>
        </w:rPr>
      </w:pPr>
    </w:p>
    <w:p w14:paraId="7343B5B5">
      <w:pPr>
        <w:autoSpaceDE w:val="0"/>
        <w:autoSpaceDN w:val="0"/>
        <w:adjustRightInd w:val="0"/>
        <w:spacing w:line="360" w:lineRule="auto"/>
        <w:ind w:firstLine="420" w:firstLineChars="200"/>
        <w:rPr>
          <w:rFonts w:hint="eastAsia" w:ascii="宋体" w:hAnsi="宋体" w:eastAsia="宋体" w:cs="宋体"/>
          <w:color w:val="000000"/>
          <w:szCs w:val="21"/>
          <w:highlight w:val="none"/>
          <w:u w:val="single"/>
          <w:lang w:val="zh-CN"/>
        </w:rPr>
      </w:pPr>
      <w:r>
        <w:rPr>
          <w:rFonts w:hint="eastAsia" w:ascii="宋体" w:hAnsi="宋体" w:eastAsia="宋体" w:cs="宋体"/>
          <w:color w:val="000000"/>
          <w:szCs w:val="21"/>
          <w:highlight w:val="none"/>
          <w:lang w:val="zh-CN"/>
        </w:rPr>
        <w:t>地  　址：</w:t>
      </w:r>
      <w:r>
        <w:rPr>
          <w:rFonts w:hint="eastAsia" w:ascii="宋体" w:hAnsi="宋体" w:eastAsia="宋体" w:cs="宋体"/>
          <w:color w:val="000000"/>
          <w:szCs w:val="21"/>
          <w:highlight w:val="none"/>
          <w:u w:val="single"/>
          <w:lang w:val="zh-CN"/>
        </w:rPr>
        <w:t>　　　　　　　　　　　</w:t>
      </w:r>
      <w:r>
        <w:rPr>
          <w:rFonts w:hint="eastAsia" w:ascii="宋体" w:hAnsi="宋体" w:eastAsia="宋体" w:cs="宋体"/>
          <w:color w:val="000000"/>
          <w:szCs w:val="21"/>
          <w:highlight w:val="none"/>
          <w:lang w:val="zh-CN"/>
        </w:rPr>
        <w:tab/>
      </w:r>
      <w:r>
        <w:rPr>
          <w:rFonts w:hint="eastAsia" w:ascii="宋体" w:hAnsi="宋体" w:eastAsia="宋体" w:cs="宋体"/>
          <w:color w:val="000000"/>
          <w:szCs w:val="21"/>
          <w:highlight w:val="none"/>
          <w:lang w:val="zh-CN"/>
        </w:rPr>
        <w:tab/>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val="zh-CN"/>
        </w:rPr>
        <w:t>邮政编码：</w:t>
      </w:r>
      <w:r>
        <w:rPr>
          <w:rFonts w:hint="eastAsia" w:ascii="宋体" w:hAnsi="宋体" w:eastAsia="宋体" w:cs="宋体"/>
          <w:color w:val="000000"/>
          <w:szCs w:val="21"/>
          <w:highlight w:val="none"/>
          <w:u w:val="single"/>
          <w:lang w:val="zh-CN"/>
        </w:rPr>
        <w:t xml:space="preserve">　　　　　　　　　　 </w:t>
      </w:r>
    </w:p>
    <w:p w14:paraId="126799E6">
      <w:pPr>
        <w:autoSpaceDE w:val="0"/>
        <w:autoSpaceDN w:val="0"/>
        <w:adjustRightInd w:val="0"/>
        <w:spacing w:line="360" w:lineRule="auto"/>
        <w:ind w:firstLine="420" w:firstLineChars="20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电　　话：</w:t>
      </w:r>
      <w:r>
        <w:rPr>
          <w:rFonts w:hint="eastAsia" w:ascii="宋体" w:hAnsi="宋体" w:eastAsia="宋体" w:cs="宋体"/>
          <w:color w:val="000000"/>
          <w:szCs w:val="21"/>
          <w:highlight w:val="none"/>
          <w:u w:val="single"/>
          <w:lang w:val="zh-CN"/>
        </w:rPr>
        <w:t>　　　　　　　　　　　</w:t>
      </w:r>
      <w:r>
        <w:rPr>
          <w:rFonts w:hint="eastAsia" w:ascii="宋体" w:hAnsi="宋体" w:eastAsia="宋体" w:cs="宋体"/>
          <w:color w:val="000000"/>
          <w:szCs w:val="21"/>
          <w:highlight w:val="none"/>
          <w:lang w:val="zh-CN"/>
        </w:rPr>
        <w:tab/>
      </w:r>
      <w:r>
        <w:rPr>
          <w:rFonts w:hint="eastAsia" w:ascii="宋体" w:hAnsi="宋体" w:eastAsia="宋体" w:cs="宋体"/>
          <w:color w:val="000000"/>
          <w:szCs w:val="21"/>
          <w:highlight w:val="none"/>
          <w:lang w:val="zh-CN"/>
        </w:rPr>
        <w:tab/>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val="zh-CN"/>
        </w:rPr>
        <w:t>代表姓名：</w:t>
      </w:r>
      <w:r>
        <w:rPr>
          <w:rFonts w:hint="eastAsia" w:ascii="宋体" w:hAnsi="宋体" w:eastAsia="宋体" w:cs="宋体"/>
          <w:color w:val="000000"/>
          <w:szCs w:val="21"/>
          <w:highlight w:val="none"/>
          <w:u w:val="single"/>
          <w:lang w:val="zh-CN"/>
        </w:rPr>
        <w:t>　　　　　　　　　　　</w:t>
      </w:r>
    </w:p>
    <w:p w14:paraId="2D420890">
      <w:pPr>
        <w:autoSpaceDE w:val="0"/>
        <w:autoSpaceDN w:val="0"/>
        <w:adjustRightInd w:val="0"/>
        <w:spacing w:line="360" w:lineRule="auto"/>
        <w:ind w:firstLine="420" w:firstLineChars="20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传　　真：</w:t>
      </w:r>
      <w:r>
        <w:rPr>
          <w:rFonts w:hint="eastAsia" w:ascii="宋体" w:hAnsi="宋体" w:eastAsia="宋体" w:cs="宋体"/>
          <w:color w:val="000000"/>
          <w:szCs w:val="21"/>
          <w:highlight w:val="none"/>
          <w:u w:val="single"/>
          <w:lang w:val="zh-CN"/>
        </w:rPr>
        <w:t>　　　　　　　　　　　</w:t>
      </w:r>
      <w:r>
        <w:rPr>
          <w:rFonts w:hint="eastAsia" w:ascii="宋体" w:hAnsi="宋体" w:eastAsia="宋体" w:cs="宋体"/>
          <w:color w:val="000000"/>
          <w:szCs w:val="21"/>
          <w:highlight w:val="none"/>
          <w:lang w:val="zh-CN"/>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val="zh-CN"/>
        </w:rPr>
        <w:t xml:space="preserve"> 职　　务：</w:t>
      </w:r>
      <w:r>
        <w:rPr>
          <w:rFonts w:hint="eastAsia" w:ascii="宋体" w:hAnsi="宋体" w:eastAsia="宋体" w:cs="宋体"/>
          <w:color w:val="000000"/>
          <w:szCs w:val="21"/>
          <w:highlight w:val="none"/>
          <w:u w:val="single"/>
          <w:lang w:val="zh-CN"/>
        </w:rPr>
        <w:t xml:space="preserve">　　　　　　　　　　 </w:t>
      </w:r>
    </w:p>
    <w:p w14:paraId="3307FC93">
      <w:pPr>
        <w:autoSpaceDE w:val="0"/>
        <w:autoSpaceDN w:val="0"/>
        <w:adjustRightInd w:val="0"/>
        <w:spacing w:line="360" w:lineRule="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ab/>
      </w:r>
      <w:r>
        <w:rPr>
          <w:rFonts w:hint="eastAsia" w:ascii="宋体" w:hAnsi="宋体" w:eastAsia="宋体" w:cs="宋体"/>
          <w:color w:val="000000"/>
          <w:szCs w:val="21"/>
          <w:highlight w:val="none"/>
        </w:rPr>
        <w:t>电子邮箱：</w:t>
      </w:r>
      <w:r>
        <w:rPr>
          <w:rFonts w:hint="eastAsia" w:ascii="宋体" w:hAnsi="宋体" w:eastAsia="宋体" w:cs="宋体"/>
          <w:color w:val="000000"/>
          <w:szCs w:val="21"/>
          <w:highlight w:val="none"/>
          <w:u w:val="single"/>
          <w:lang w:val="zh-CN"/>
        </w:rPr>
        <w:t>　　　　　　　　　　　</w:t>
      </w:r>
      <w:r>
        <w:rPr>
          <w:rFonts w:hint="eastAsia" w:ascii="宋体" w:hAnsi="宋体" w:eastAsia="宋体" w:cs="宋体"/>
          <w:color w:val="000000"/>
          <w:szCs w:val="21"/>
          <w:highlight w:val="none"/>
          <w:lang w:val="zh-CN"/>
        </w:rPr>
        <w:tab/>
      </w:r>
    </w:p>
    <w:p w14:paraId="58514248">
      <w:pPr>
        <w:autoSpaceDE w:val="0"/>
        <w:autoSpaceDN w:val="0"/>
        <w:adjustRightInd w:val="0"/>
        <w:spacing w:line="360" w:lineRule="auto"/>
        <w:ind w:firstLine="4960" w:firstLineChars="2362"/>
        <w:rPr>
          <w:rFonts w:hint="eastAsia" w:ascii="宋体" w:hAnsi="宋体" w:eastAsia="宋体" w:cs="宋体"/>
          <w:color w:val="000000"/>
          <w:szCs w:val="21"/>
          <w:highlight w:val="none"/>
          <w:lang w:val="zh-CN"/>
        </w:rPr>
      </w:pPr>
    </w:p>
    <w:p w14:paraId="246174E7">
      <w:pPr>
        <w:autoSpaceDE w:val="0"/>
        <w:autoSpaceDN w:val="0"/>
        <w:adjustRightInd w:val="0"/>
        <w:spacing w:line="360" w:lineRule="auto"/>
        <w:ind w:firstLine="4960" w:firstLineChars="2362"/>
        <w:rPr>
          <w:rFonts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投标人：</w:t>
      </w:r>
      <w:r>
        <w:rPr>
          <w:rFonts w:hint="eastAsia" w:ascii="宋体" w:hAnsi="宋体" w:eastAsia="宋体" w:cs="宋体"/>
          <w:color w:val="000000"/>
          <w:szCs w:val="21"/>
          <w:highlight w:val="none"/>
          <w:u w:val="single"/>
          <w:lang w:val="zh-CN"/>
        </w:rPr>
        <w:t xml:space="preserve">             （企业数字证书电子签名）</w:t>
      </w:r>
    </w:p>
    <w:p w14:paraId="10C22942">
      <w:pPr>
        <w:autoSpaceDE w:val="0"/>
        <w:autoSpaceDN w:val="0"/>
        <w:adjustRightInd w:val="0"/>
        <w:spacing w:line="360" w:lineRule="auto"/>
        <w:ind w:firstLine="4960" w:firstLineChars="2362"/>
        <w:rPr>
          <w:rFonts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法定代表人或其授权代表签名：</w:t>
      </w:r>
      <w:r>
        <w:rPr>
          <w:rFonts w:hint="eastAsia" w:ascii="宋体" w:hAnsi="宋体" w:eastAsia="宋体" w:cs="宋体"/>
          <w:color w:val="000000"/>
          <w:szCs w:val="21"/>
          <w:highlight w:val="none"/>
          <w:u w:val="single"/>
          <w:lang w:val="zh-CN"/>
        </w:rPr>
        <w:t xml:space="preserve">       </w:t>
      </w:r>
      <w:r>
        <w:rPr>
          <w:rFonts w:hint="eastAsia" w:ascii="宋体" w:hAnsi="宋体" w:eastAsia="宋体" w:cs="宋体"/>
          <w:color w:val="000000"/>
          <w:szCs w:val="21"/>
          <w:highlight w:val="none"/>
          <w:lang w:val="zh-CN"/>
        </w:rPr>
        <w:t>（电子签名）</w:t>
      </w:r>
    </w:p>
    <w:p w14:paraId="007D2630">
      <w:pPr>
        <w:autoSpaceDE w:val="0"/>
        <w:autoSpaceDN w:val="0"/>
        <w:adjustRightInd w:val="0"/>
        <w:spacing w:line="360" w:lineRule="auto"/>
        <w:ind w:firstLine="4960" w:firstLineChars="2362"/>
        <w:rPr>
          <w:rFonts w:hint="eastAsia" w:ascii="宋体" w:hAnsi="宋体" w:eastAsia="宋体" w:cs="Times New Roman"/>
          <w:color w:val="000000"/>
          <w:szCs w:val="24"/>
          <w:highlight w:val="none"/>
          <w:lang w:val="zh-CN"/>
        </w:rPr>
      </w:pPr>
      <w:r>
        <w:rPr>
          <w:rFonts w:hint="eastAsia" w:ascii="宋体" w:hAnsi="宋体" w:eastAsia="宋体" w:cs="宋体"/>
          <w:color w:val="000000"/>
          <w:szCs w:val="21"/>
          <w:highlight w:val="none"/>
          <w:lang w:val="zh-CN"/>
        </w:rPr>
        <w:t>日</w:t>
      </w:r>
      <w:r>
        <w:rPr>
          <w:rFonts w:hint="eastAsia" w:ascii="宋体" w:hAnsi="宋体" w:eastAsia="宋体" w:cs="Times New Roman"/>
          <w:color w:val="000000"/>
          <w:szCs w:val="24"/>
          <w:highlight w:val="none"/>
          <w:lang w:val="zh-CN"/>
        </w:rPr>
        <w:t>期：   年   月   日</w:t>
      </w:r>
    </w:p>
    <w:p w14:paraId="024E25E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kern w:val="0"/>
          <w:sz w:val="24"/>
          <w:szCs w:val="24"/>
          <w:highlight w:val="none"/>
        </w:rPr>
      </w:pPr>
    </w:p>
    <w:p w14:paraId="655BE9B2">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000000"/>
          <w:szCs w:val="24"/>
          <w:highlight w:val="none"/>
          <w:lang w:val="zh-CN"/>
        </w:rPr>
        <w:t>说明：由投标人使用投标人的企业数字证书，法定代表人或其授权代表数字证书电子签名</w:t>
      </w:r>
      <w:r>
        <w:rPr>
          <w:rFonts w:hint="eastAsia" w:ascii="宋体" w:hAnsi="宋体" w:eastAsia="宋体" w:cs="Times New Roman"/>
          <w:b/>
          <w:bCs/>
          <w:color w:val="auto"/>
          <w:szCs w:val="24"/>
          <w:highlight w:val="none"/>
          <w:lang w:val="zh-CN"/>
        </w:rPr>
        <w:t>。</w:t>
      </w:r>
    </w:p>
    <w:p w14:paraId="56C99D8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53" w:name="_Toc26992"/>
      <w:bookmarkStart w:id="454" w:name="_Toc24901"/>
      <w:bookmarkStart w:id="455" w:name="_Toc195714376"/>
      <w:bookmarkStart w:id="456" w:name="_Toc104991869"/>
      <w:bookmarkStart w:id="457" w:name="_Toc1977722"/>
      <w:bookmarkStart w:id="458" w:name="_Toc486167710"/>
      <w:bookmarkStart w:id="459" w:name="_Toc28613_WPSOffice_Level2"/>
      <w:bookmarkStart w:id="460" w:name="_Toc32090"/>
      <w:bookmarkStart w:id="461" w:name="_Toc30995"/>
      <w:bookmarkStart w:id="462" w:name="_Toc140596922"/>
      <w:bookmarkStart w:id="463" w:name="_Toc3104"/>
      <w:bookmarkStart w:id="464" w:name="_Toc12417"/>
      <w:bookmarkStart w:id="465" w:name="_Toc21535"/>
      <w:bookmarkStart w:id="466" w:name="_Toc102860068"/>
      <w:bookmarkStart w:id="467" w:name="_Toc9496"/>
      <w:bookmarkStart w:id="468" w:name="_Toc533708122"/>
      <w:bookmarkStart w:id="469" w:name="_Toc7218"/>
      <w:bookmarkStart w:id="470" w:name="_Toc94107203"/>
      <w:bookmarkStart w:id="471" w:name="_Toc102860412"/>
      <w:bookmarkStart w:id="472" w:name="_Toc142508363"/>
      <w:r>
        <w:rPr>
          <w:rFonts w:hint="eastAsia" w:ascii="宋体" w:hAnsi="宋体" w:eastAsia="宋体" w:cs="宋体"/>
          <w:b/>
          <w:color w:val="auto"/>
          <w:kern w:val="0"/>
          <w:sz w:val="32"/>
          <w:szCs w:val="32"/>
          <w:highlight w:val="none"/>
        </w:rPr>
        <w:t>二、投标承诺书格式</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64DD075B">
      <w:pPr>
        <w:kinsoku/>
        <w:overflowPunct/>
        <w:autoSpaceDE w:val="0"/>
        <w:autoSpaceDN w:val="0"/>
        <w:bidi w:val="0"/>
        <w:adjustRightInd w:val="0"/>
        <w:spacing w:line="360" w:lineRule="auto"/>
        <w:jc w:val="center"/>
        <w:outlineLvl w:val="9"/>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r>
        <w:rPr>
          <w:rFonts w:hint="eastAsia" w:ascii="宋体" w:hAnsi="宋体" w:eastAsia="宋体" w:cs="Times New Roman"/>
          <w:b/>
          <w:bCs/>
          <w:color w:val="auto"/>
          <w:sz w:val="30"/>
          <w:szCs w:val="30"/>
          <w:highlight w:val="none"/>
          <w:lang w:val="en-US" w:eastAsia="zh-CN"/>
        </w:rPr>
        <w:t xml:space="preserve">标段   </w:t>
      </w:r>
      <w:r>
        <w:rPr>
          <w:rFonts w:hint="eastAsia" w:ascii="宋体" w:hAnsi="宋体" w:eastAsia="宋体" w:cs="Times New Roman"/>
          <w:b/>
          <w:bCs/>
          <w:color w:val="auto"/>
          <w:sz w:val="30"/>
          <w:szCs w:val="30"/>
          <w:highlight w:val="none"/>
          <w:lang w:val="zh-CN"/>
        </w:rPr>
        <w:t>）</w:t>
      </w:r>
    </w:p>
    <w:p w14:paraId="5621F28A">
      <w:pPr>
        <w:widowControl/>
        <w:kinsoku/>
        <w:overflowPunct/>
        <w:autoSpaceDE w:val="0"/>
        <w:autoSpaceDN w:val="0"/>
        <w:bidi w:val="0"/>
        <w:adjustRightInd w:val="0"/>
        <w:spacing w:line="360" w:lineRule="auto"/>
        <w:ind w:firstLine="420" w:firstLineChars="200"/>
        <w:jc w:val="left"/>
        <w:outlineLvl w:val="9"/>
        <w:rPr>
          <w:rFonts w:ascii="宋体" w:hAnsi="宋体" w:eastAsia="宋体" w:cs="Times New Roman"/>
          <w:color w:val="auto"/>
          <w:kern w:val="0"/>
          <w:szCs w:val="21"/>
          <w:highlight w:val="none"/>
        </w:rPr>
      </w:pPr>
    </w:p>
    <w:p w14:paraId="70951AC9">
      <w:pPr>
        <w:widowControl/>
        <w:autoSpaceDE w:val="0"/>
        <w:autoSpaceDN w:val="0"/>
        <w:adjustRightInd w:val="0"/>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东莞市水务环境投资控股集团有限公司招标采购代理协议服务项目</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标段   </w:t>
      </w:r>
      <w:r>
        <w:rPr>
          <w:rFonts w:hint="eastAsia" w:ascii="宋体" w:hAnsi="宋体" w:eastAsia="宋体" w:cs="宋体"/>
          <w:color w:val="auto"/>
          <w:kern w:val="0"/>
          <w:szCs w:val="21"/>
          <w:highlight w:val="none"/>
          <w:u w:val="single"/>
          <w:lang w:eastAsia="zh-CN"/>
        </w:rPr>
        <w:t>）</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 xml:space="preserve">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w:t>
      </w:r>
      <w:r>
        <w:rPr>
          <w:rFonts w:hint="eastAsia" w:ascii="宋体" w:hAnsi="宋体" w:eastAsia="宋体" w:cs="宋体"/>
          <w:color w:val="000000"/>
          <w:kern w:val="0"/>
          <w:szCs w:val="21"/>
          <w:highlight w:val="none"/>
        </w:rPr>
        <w:t>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000000"/>
          <w:kern w:val="0"/>
          <w:szCs w:val="21"/>
          <w:highlight w:val="none"/>
        </w:rPr>
        <w:cr/>
      </w:r>
      <w:r>
        <w:rPr>
          <w:rFonts w:hint="eastAsia" w:ascii="宋体" w:hAnsi="宋体" w:eastAsia="宋体" w:cs="宋体"/>
          <w:color w:val="000000"/>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7981D24D">
      <w:pPr>
        <w:widowControl/>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000000"/>
          <w:kern w:val="0"/>
          <w:szCs w:val="21"/>
          <w:highlight w:val="none"/>
        </w:rPr>
        <w:t>若我方在投标或履行本合同过程中存在提供虚假材料、虚假响应招标文件要求等弄虚作假行为，或未能根据招标文件投标人须知第</w:t>
      </w:r>
      <w:r>
        <w:rPr>
          <w:rFonts w:hint="eastAsia" w:ascii="宋体" w:hAnsi="宋体" w:eastAsia="宋体" w:cs="宋体"/>
          <w:color w:val="000000"/>
          <w:kern w:val="0"/>
          <w:szCs w:val="21"/>
          <w:highlight w:val="none"/>
          <w:lang w:val="en-US" w:eastAsia="zh-CN"/>
        </w:rPr>
        <w:t>31.2</w:t>
      </w:r>
      <w:r>
        <w:rPr>
          <w:rFonts w:hint="eastAsia" w:ascii="宋体" w:hAnsi="宋体" w:eastAsia="宋体" w:cs="宋体"/>
          <w:color w:val="000000"/>
          <w:kern w:val="0"/>
          <w:szCs w:val="21"/>
          <w:highlight w:val="none"/>
        </w:rPr>
        <w:t>款约定按时提供原件核查的，因此导致我方无法参与</w:t>
      </w:r>
      <w:r>
        <w:rPr>
          <w:rFonts w:hint="eastAsia" w:ascii="宋体" w:hAnsi="宋体" w:eastAsia="宋体" w:cs="宋体"/>
          <w:color w:val="000000"/>
          <w:kern w:val="0"/>
          <w:szCs w:val="21"/>
          <w:highlight w:val="none"/>
          <w:lang w:eastAsia="zh-CN"/>
        </w:rPr>
        <w:t>东莞市水务环境投资控股集团有限公司</w:t>
      </w:r>
      <w:r>
        <w:rPr>
          <w:rFonts w:hint="eastAsia" w:ascii="宋体" w:hAnsi="宋体" w:eastAsia="宋体" w:cs="宋体"/>
          <w:color w:val="000000"/>
          <w:kern w:val="0"/>
          <w:szCs w:val="21"/>
          <w:highlight w:val="none"/>
        </w:rPr>
        <w:t>相关招标采购活动的，由我方自行承担全部后果</w:t>
      </w:r>
      <w:r>
        <w:rPr>
          <w:rFonts w:hint="eastAsia" w:ascii="宋体" w:hAnsi="宋体" w:eastAsia="宋体" w:cs="宋体"/>
          <w:color w:val="auto"/>
          <w:kern w:val="0"/>
          <w:szCs w:val="21"/>
          <w:highlight w:val="none"/>
        </w:rPr>
        <w:t>。</w:t>
      </w:r>
    </w:p>
    <w:p w14:paraId="2D4339E0">
      <w:pPr>
        <w:kinsoku/>
        <w:overflowPunct/>
        <w:autoSpaceDE w:val="0"/>
        <w:autoSpaceDN w:val="0"/>
        <w:bidi w:val="0"/>
        <w:adjustRightInd w:val="0"/>
        <w:spacing w:line="360" w:lineRule="auto"/>
        <w:ind w:firstLine="420" w:firstLineChars="200"/>
        <w:jc w:val="left"/>
        <w:outlineLvl w:val="9"/>
        <w:rPr>
          <w:rFonts w:ascii="宋体" w:hAnsi="宋体" w:eastAsia="宋体" w:cs="Times New Roman"/>
          <w:color w:val="auto"/>
          <w:kern w:val="0"/>
          <w:szCs w:val="21"/>
          <w:highlight w:val="none"/>
        </w:rPr>
      </w:pPr>
    </w:p>
    <w:p w14:paraId="515E1E0E">
      <w:pPr>
        <w:kinsoku/>
        <w:overflowPunct/>
        <w:autoSpaceDE w:val="0"/>
        <w:autoSpaceDN w:val="0"/>
        <w:bidi w:val="0"/>
        <w:adjustRightInd w:val="0"/>
        <w:spacing w:line="360" w:lineRule="auto"/>
        <w:jc w:val="left"/>
        <w:outlineLvl w:val="9"/>
        <w:rPr>
          <w:rFonts w:ascii="宋体" w:hAnsi="宋体" w:eastAsia="宋体" w:cs="Times New Roman"/>
          <w:color w:val="auto"/>
          <w:kern w:val="0"/>
          <w:sz w:val="24"/>
          <w:szCs w:val="24"/>
          <w:highlight w:val="none"/>
        </w:rPr>
      </w:pPr>
    </w:p>
    <w:p w14:paraId="33EB954B">
      <w:pPr>
        <w:kinsoku/>
        <w:overflowPunct/>
        <w:autoSpaceDE w:val="0"/>
        <w:autoSpaceDN w:val="0"/>
        <w:bidi w:val="0"/>
        <w:adjustRightInd w:val="0"/>
        <w:spacing w:line="360" w:lineRule="auto"/>
        <w:jc w:val="left"/>
        <w:outlineLvl w:val="9"/>
        <w:rPr>
          <w:rFonts w:ascii="宋体" w:hAnsi="宋体" w:eastAsia="宋体" w:cs="Times New Roman"/>
          <w:color w:val="auto"/>
          <w:kern w:val="0"/>
          <w:sz w:val="24"/>
          <w:szCs w:val="24"/>
          <w:highlight w:val="none"/>
        </w:rPr>
      </w:pPr>
    </w:p>
    <w:p w14:paraId="6FCF3C0C">
      <w:pPr>
        <w:autoSpaceDE w:val="0"/>
        <w:autoSpaceDN w:val="0"/>
        <w:adjustRightInd w:val="0"/>
        <w:spacing w:line="360" w:lineRule="auto"/>
        <w:ind w:firstLine="4960" w:firstLineChars="2362"/>
        <w:rPr>
          <w:rFonts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投标人：</w:t>
      </w:r>
      <w:r>
        <w:rPr>
          <w:rFonts w:hint="eastAsia" w:ascii="宋体" w:hAnsi="宋体" w:eastAsia="宋体" w:cs="宋体"/>
          <w:color w:val="000000"/>
          <w:szCs w:val="21"/>
          <w:highlight w:val="none"/>
          <w:u w:val="single"/>
          <w:lang w:val="zh-CN"/>
        </w:rPr>
        <w:t xml:space="preserve">             （企业数字证书电子签名）</w:t>
      </w:r>
    </w:p>
    <w:p w14:paraId="48BE8385">
      <w:pPr>
        <w:autoSpaceDE w:val="0"/>
        <w:autoSpaceDN w:val="0"/>
        <w:adjustRightInd w:val="0"/>
        <w:spacing w:line="360" w:lineRule="auto"/>
        <w:ind w:firstLine="4960" w:firstLineChars="2362"/>
        <w:rPr>
          <w:rFonts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法定代表人或其授权代表签名：</w:t>
      </w:r>
      <w:r>
        <w:rPr>
          <w:rFonts w:hint="eastAsia" w:ascii="宋体" w:hAnsi="宋体" w:eastAsia="宋体" w:cs="宋体"/>
          <w:color w:val="000000"/>
          <w:szCs w:val="21"/>
          <w:highlight w:val="none"/>
          <w:u w:val="single"/>
          <w:lang w:val="zh-CN"/>
        </w:rPr>
        <w:t xml:space="preserve">       </w:t>
      </w:r>
      <w:r>
        <w:rPr>
          <w:rFonts w:hint="eastAsia" w:ascii="宋体" w:hAnsi="宋体" w:eastAsia="宋体" w:cs="宋体"/>
          <w:color w:val="000000"/>
          <w:szCs w:val="21"/>
          <w:highlight w:val="none"/>
          <w:lang w:val="zh-CN"/>
        </w:rPr>
        <w:t>（电子签名）</w:t>
      </w:r>
    </w:p>
    <w:p w14:paraId="71CFADDF">
      <w:pPr>
        <w:kinsoku/>
        <w:overflowPunct/>
        <w:autoSpaceDE w:val="0"/>
        <w:autoSpaceDN w:val="0"/>
        <w:bidi w:val="0"/>
        <w:adjustRightInd w:val="0"/>
        <w:spacing w:line="360" w:lineRule="auto"/>
        <w:ind w:firstLine="4960" w:firstLineChars="2362"/>
        <w:outlineLvl w:val="9"/>
        <w:rPr>
          <w:rFonts w:ascii="宋体" w:hAnsi="宋体" w:eastAsia="宋体" w:cs="Times New Roman"/>
          <w:color w:val="auto"/>
          <w:szCs w:val="24"/>
          <w:highlight w:val="none"/>
          <w:lang w:val="zh-CN"/>
        </w:rPr>
      </w:pPr>
      <w:r>
        <w:rPr>
          <w:rFonts w:hint="eastAsia" w:ascii="宋体" w:hAnsi="宋体" w:eastAsia="宋体" w:cs="宋体"/>
          <w:color w:val="000000"/>
          <w:szCs w:val="21"/>
          <w:highlight w:val="none"/>
          <w:lang w:val="zh-CN"/>
        </w:rPr>
        <w:t>日</w:t>
      </w:r>
      <w:r>
        <w:rPr>
          <w:rFonts w:hint="eastAsia" w:ascii="宋体" w:hAnsi="宋体" w:eastAsia="宋体" w:cs="Times New Roman"/>
          <w:color w:val="000000"/>
          <w:szCs w:val="24"/>
          <w:highlight w:val="none"/>
          <w:lang w:val="zh-CN"/>
        </w:rPr>
        <w:t>期：   年   月   日</w:t>
      </w:r>
    </w:p>
    <w:p w14:paraId="4FCF1ED7">
      <w:pPr>
        <w:kinsoku/>
        <w:overflowPunct/>
        <w:autoSpaceDE w:val="0"/>
        <w:autoSpaceDN w:val="0"/>
        <w:bidi w:val="0"/>
        <w:adjustRightInd w:val="0"/>
        <w:spacing w:line="360" w:lineRule="auto"/>
        <w:jc w:val="center"/>
        <w:outlineLvl w:val="9"/>
        <w:rPr>
          <w:rFonts w:hint="eastAsia" w:ascii="宋体" w:hAnsi="宋体" w:eastAsia="宋体" w:cs="Times New Roman"/>
          <w:b/>
          <w:bCs/>
          <w:color w:val="auto"/>
          <w:szCs w:val="24"/>
          <w:highlight w:val="none"/>
          <w:lang w:val="zh-CN"/>
        </w:rPr>
      </w:pPr>
    </w:p>
    <w:p w14:paraId="5C424368">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70CD221D">
      <w:pPr>
        <w:kinsoku/>
        <w:overflowPunct/>
        <w:autoSpaceDE w:val="0"/>
        <w:autoSpaceDN w:val="0"/>
        <w:bidi w:val="0"/>
        <w:adjustRightInd w:val="0"/>
        <w:spacing w:line="360" w:lineRule="auto"/>
        <w:jc w:val="left"/>
        <w:outlineLvl w:val="9"/>
        <w:rPr>
          <w:rFonts w:ascii="宋体" w:hAnsi="宋体" w:eastAsia="宋体" w:cs="宋体"/>
          <w:color w:val="auto"/>
          <w:kern w:val="0"/>
          <w:sz w:val="24"/>
          <w:szCs w:val="24"/>
          <w:highlight w:val="none"/>
        </w:rPr>
      </w:pPr>
      <w:bookmarkStart w:id="473" w:name="_Toc326768876"/>
      <w:bookmarkStart w:id="474" w:name="_Toc316896755"/>
      <w:bookmarkStart w:id="475" w:name="_Toc311032584"/>
    </w:p>
    <w:p w14:paraId="0A1058C8">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44"/>
          <w:sz w:val="32"/>
          <w:szCs w:val="32"/>
          <w:highlight w:val="none"/>
        </w:rPr>
      </w:pPr>
      <w:bookmarkStart w:id="476" w:name="_Toc94107204"/>
      <w:bookmarkStart w:id="477" w:name="_Toc5075"/>
      <w:bookmarkStart w:id="478" w:name="_Toc82182546"/>
      <w:bookmarkStart w:id="479" w:name="_Toc104991870"/>
      <w:bookmarkStart w:id="480" w:name="_Toc29910"/>
      <w:bookmarkStart w:id="481" w:name="_Toc3108"/>
      <w:bookmarkStart w:id="482" w:name="_Toc24336"/>
      <w:bookmarkStart w:id="483" w:name="_Toc12063"/>
      <w:bookmarkStart w:id="484" w:name="_Toc195714377"/>
      <w:bookmarkStart w:id="485" w:name="_Toc26786"/>
      <w:bookmarkStart w:id="486" w:name="_Toc11649"/>
      <w:bookmarkStart w:id="487" w:name="_Toc2224"/>
      <w:bookmarkStart w:id="488" w:name="_Toc142508364"/>
      <w:bookmarkStart w:id="489" w:name="_Toc20856"/>
      <w:bookmarkStart w:id="490" w:name="_Toc86764083"/>
      <w:bookmarkStart w:id="491" w:name="_Toc102860413"/>
      <w:bookmarkStart w:id="492" w:name="_Toc140596923"/>
      <w:bookmarkStart w:id="493" w:name="_Toc102860069"/>
      <w:bookmarkStart w:id="494" w:name="_Toc533708123"/>
      <w:bookmarkStart w:id="495" w:name="_Toc7024_WPSOffice_Level2"/>
      <w:bookmarkStart w:id="496" w:name="_Toc486167711"/>
      <w:bookmarkStart w:id="497" w:name="_Toc1977723"/>
      <w:r>
        <w:rPr>
          <w:rFonts w:hint="eastAsia" w:ascii="宋体" w:hAnsi="宋体" w:eastAsia="宋体" w:cs="宋体"/>
          <w:b/>
          <w:color w:val="auto"/>
          <w:kern w:val="44"/>
          <w:sz w:val="32"/>
          <w:szCs w:val="32"/>
          <w:highlight w:val="none"/>
        </w:rPr>
        <w:t>三、供货及/或提供服务过程承诺函格式</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3AC28E6">
      <w:pPr>
        <w:kinsoku/>
        <w:overflowPunct/>
        <w:autoSpaceDE w:val="0"/>
        <w:autoSpaceDN w:val="0"/>
        <w:bidi w:val="0"/>
        <w:adjustRightInd w:val="0"/>
        <w:spacing w:line="360" w:lineRule="auto"/>
        <w:jc w:val="center"/>
        <w:outlineLvl w:val="9"/>
        <w:rPr>
          <w:rFonts w:hint="eastAsia" w:ascii="宋体" w:hAnsi="宋体" w:eastAsia="宋体" w:cs="宋体"/>
          <w:b/>
          <w:color w:val="auto"/>
          <w:kern w:val="44"/>
          <w:sz w:val="30"/>
          <w:szCs w:val="30"/>
          <w:highlight w:val="none"/>
          <w:lang w:eastAsia="zh-CN"/>
        </w:rPr>
      </w:pPr>
      <w:r>
        <w:rPr>
          <w:rFonts w:hint="eastAsia" w:ascii="宋体" w:hAnsi="宋体" w:eastAsia="宋体" w:cs="宋体"/>
          <w:b/>
          <w:color w:val="auto"/>
          <w:kern w:val="44"/>
          <w:sz w:val="30"/>
          <w:szCs w:val="30"/>
          <w:highlight w:val="none"/>
        </w:rPr>
        <w:t>供货及/或提供服务过程承诺函</w:t>
      </w:r>
      <w:r>
        <w:rPr>
          <w:rFonts w:hint="eastAsia" w:ascii="宋体" w:hAnsi="宋体" w:eastAsia="宋体" w:cs="宋体"/>
          <w:b/>
          <w:color w:val="auto"/>
          <w:kern w:val="44"/>
          <w:sz w:val="30"/>
          <w:szCs w:val="30"/>
          <w:highlight w:val="none"/>
          <w:lang w:eastAsia="zh-CN"/>
        </w:rPr>
        <w:t>（</w:t>
      </w:r>
      <w:r>
        <w:rPr>
          <w:rFonts w:hint="eastAsia" w:ascii="宋体" w:hAnsi="宋体" w:eastAsia="宋体" w:cs="宋体"/>
          <w:b/>
          <w:color w:val="auto"/>
          <w:kern w:val="44"/>
          <w:sz w:val="30"/>
          <w:szCs w:val="30"/>
          <w:highlight w:val="none"/>
          <w:lang w:val="en-US" w:eastAsia="zh-CN"/>
        </w:rPr>
        <w:t xml:space="preserve">标段   </w:t>
      </w:r>
      <w:r>
        <w:rPr>
          <w:rFonts w:hint="eastAsia" w:ascii="宋体" w:hAnsi="宋体" w:eastAsia="宋体" w:cs="宋体"/>
          <w:b/>
          <w:color w:val="auto"/>
          <w:kern w:val="44"/>
          <w:sz w:val="30"/>
          <w:szCs w:val="30"/>
          <w:highlight w:val="none"/>
          <w:lang w:eastAsia="zh-CN"/>
        </w:rPr>
        <w:t>）</w:t>
      </w:r>
    </w:p>
    <w:p w14:paraId="452EF5E2">
      <w:pPr>
        <w:kinsoku/>
        <w:overflowPunct/>
        <w:autoSpaceDE w:val="0"/>
        <w:autoSpaceDN w:val="0"/>
        <w:bidi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w:t>
      </w:r>
    </w:p>
    <w:p w14:paraId="17E8923D">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东莞市水务环境投资控股集团有限公司招标采购代理协议服务项目</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标段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FDEE680">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419BAB4">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74004BB">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D7801A6">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DCD7809">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65C7712">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44CAB02">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3C3D0FA">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943F9EB">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6E99EC8">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0762346">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C47F98D">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E803E6E">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0500B5E">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BE87498">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70A7D290">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CACB9A8">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4D98B51">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1AAEB98">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102A962">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78E5CAF0">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2D49DE8">
      <w:pPr>
        <w:kinsoku/>
        <w:overflowPunct/>
        <w:autoSpaceDE w:val="0"/>
        <w:autoSpaceDN w:val="0"/>
        <w:bidi w:val="0"/>
        <w:adjustRightInd w:val="0"/>
        <w:spacing w:line="360" w:lineRule="auto"/>
        <w:ind w:firstLine="504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1B73166">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C4AF4DD">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128A2708">
      <w:pPr>
        <w:kinsoku/>
        <w:overflowPunct/>
        <w:autoSpaceDE w:val="0"/>
        <w:autoSpaceDN w:val="0"/>
        <w:bidi w:val="0"/>
        <w:adjustRightInd w:val="0"/>
        <w:spacing w:line="360" w:lineRule="auto"/>
        <w:ind w:firstLine="4960" w:firstLineChars="2362"/>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EAAC609">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161333A6">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98" w:name="_Toc140596925"/>
      <w:bookmarkStart w:id="499" w:name="_Toc18346"/>
      <w:bookmarkStart w:id="500" w:name="_Toc13416"/>
      <w:bookmarkStart w:id="501" w:name="_Toc10381"/>
      <w:bookmarkStart w:id="502" w:name="_Toc7972"/>
      <w:bookmarkStart w:id="503" w:name="_Toc1140"/>
      <w:bookmarkStart w:id="504" w:name="_Toc102860071"/>
      <w:bookmarkStart w:id="505" w:name="_Toc25735"/>
      <w:bookmarkStart w:id="506" w:name="_Toc18581"/>
      <w:bookmarkStart w:id="507" w:name="_Toc102860415"/>
      <w:bookmarkStart w:id="508" w:name="_Toc19265"/>
      <w:bookmarkStart w:id="509" w:name="_Toc104991872"/>
      <w:bookmarkStart w:id="510" w:name="_Toc142508366"/>
      <w:bookmarkStart w:id="511" w:name="_Toc9410720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w:t>
      </w:r>
      <w:r>
        <w:rPr>
          <w:rFonts w:hint="eastAsia" w:ascii="宋体" w:hAnsi="宋体" w:eastAsia="宋体" w:cs="宋体"/>
          <w:b/>
          <w:color w:val="auto"/>
          <w:kern w:val="0"/>
          <w:sz w:val="32"/>
          <w:szCs w:val="32"/>
          <w:highlight w:val="none"/>
          <w:lang w:val="zh-CN"/>
        </w:rPr>
        <w:t>响应表</w:t>
      </w:r>
      <w:r>
        <w:rPr>
          <w:rFonts w:hint="eastAsia" w:ascii="宋体" w:hAnsi="宋体" w:eastAsia="宋体" w:cs="宋体"/>
          <w:b/>
          <w:color w:val="auto"/>
          <w:kern w:val="0"/>
          <w:sz w:val="32"/>
          <w:szCs w:val="32"/>
          <w:highlight w:val="none"/>
        </w:rPr>
        <w:t>格式</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DA70B24">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投标报价响应表（</w:t>
      </w:r>
      <w:r>
        <w:rPr>
          <w:rFonts w:hint="eastAsia" w:ascii="宋体" w:hAnsi="宋体" w:eastAsia="宋体" w:cs="宋体"/>
          <w:b/>
          <w:bCs/>
          <w:color w:val="auto"/>
          <w:sz w:val="30"/>
          <w:szCs w:val="30"/>
          <w:highlight w:val="none"/>
          <w:lang w:val="en-US" w:eastAsia="zh-CN"/>
        </w:rPr>
        <w:t xml:space="preserve">标段   </w:t>
      </w:r>
      <w:r>
        <w:rPr>
          <w:rFonts w:hint="eastAsia" w:ascii="宋体" w:hAnsi="宋体" w:eastAsia="宋体" w:cs="宋体"/>
          <w:b/>
          <w:bCs/>
          <w:color w:val="auto"/>
          <w:sz w:val="30"/>
          <w:szCs w:val="30"/>
          <w:highlight w:val="none"/>
          <w:lang w:val="zh-CN"/>
        </w:rPr>
        <w:t>）</w:t>
      </w:r>
    </w:p>
    <w:p w14:paraId="243CA947">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东莞市水务环境投资控股集团有限公司招标采购代理协议服务项目（</w:t>
      </w:r>
      <w:r>
        <w:rPr>
          <w:rFonts w:hint="eastAsia" w:ascii="宋体" w:hAnsi="宋体" w:eastAsia="宋体" w:cs="宋体"/>
          <w:color w:val="auto"/>
          <w:kern w:val="0"/>
          <w:szCs w:val="21"/>
          <w:highlight w:val="none"/>
          <w:u w:val="single"/>
          <w:lang w:val="en-US" w:eastAsia="zh-CN"/>
        </w:rPr>
        <w:t xml:space="preserve">标段     </w:t>
      </w:r>
      <w:r>
        <w:rPr>
          <w:rFonts w:hint="eastAsia" w:ascii="宋体" w:hAnsi="宋体" w:eastAsia="宋体" w:cs="宋体"/>
          <w:color w:val="auto"/>
          <w:kern w:val="0"/>
          <w:szCs w:val="21"/>
          <w:highlight w:val="none"/>
          <w:u w:val="single"/>
          <w:lang w:eastAsia="zh-CN"/>
        </w:rPr>
        <w:t>）</w:t>
      </w:r>
    </w:p>
    <w:p w14:paraId="7F6BB838">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p>
    <w:tbl>
      <w:tblPr>
        <w:tblStyle w:val="44"/>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7"/>
        <w:gridCol w:w="5122"/>
        <w:gridCol w:w="2849"/>
        <w:gridCol w:w="1688"/>
      </w:tblGrid>
      <w:tr w14:paraId="1645D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41" w:type="pct"/>
            <w:tcBorders>
              <w:top w:val="single" w:color="auto" w:sz="4" w:space="0"/>
              <w:left w:val="single" w:color="auto" w:sz="4" w:space="0"/>
              <w:bottom w:val="single" w:color="auto" w:sz="4" w:space="0"/>
              <w:right w:val="single" w:color="auto" w:sz="4" w:space="0"/>
            </w:tcBorders>
            <w:vAlign w:val="center"/>
          </w:tcPr>
          <w:p w14:paraId="6AFC8B2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470" w:type="pct"/>
            <w:tcBorders>
              <w:top w:val="single" w:color="auto" w:sz="4" w:space="0"/>
              <w:left w:val="single" w:color="auto" w:sz="4" w:space="0"/>
              <w:bottom w:val="single" w:color="auto" w:sz="4" w:space="0"/>
              <w:right w:val="single" w:color="auto" w:sz="4" w:space="0"/>
            </w:tcBorders>
            <w:vAlign w:val="center"/>
          </w:tcPr>
          <w:p w14:paraId="73F9F4D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项目名称</w:t>
            </w:r>
          </w:p>
        </w:tc>
        <w:tc>
          <w:tcPr>
            <w:tcW w:w="1374" w:type="pct"/>
            <w:tcBorders>
              <w:top w:val="single" w:color="auto" w:sz="4" w:space="0"/>
              <w:left w:val="single" w:color="auto" w:sz="4" w:space="0"/>
              <w:bottom w:val="single" w:color="auto" w:sz="4" w:space="0"/>
              <w:right w:val="single" w:color="auto" w:sz="4" w:space="0"/>
            </w:tcBorders>
            <w:vAlign w:val="center"/>
          </w:tcPr>
          <w:p w14:paraId="2B7880F5">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Times New Roman"/>
                <w:b/>
                <w:color w:val="auto"/>
                <w:kern w:val="0"/>
                <w:szCs w:val="21"/>
                <w:highlight w:val="none"/>
              </w:rPr>
            </w:pPr>
            <w:r>
              <w:rPr>
                <w:rFonts w:hint="eastAsia" w:ascii="宋体" w:hAnsi="宋体" w:eastAsia="宋体" w:cs="宋体"/>
                <w:b/>
                <w:szCs w:val="21"/>
                <w:highlight w:val="none"/>
                <w:lang w:val="en-US" w:eastAsia="zh-CN"/>
              </w:rPr>
              <w:t>服务期</w:t>
            </w:r>
          </w:p>
        </w:tc>
        <w:tc>
          <w:tcPr>
            <w:tcW w:w="814" w:type="pct"/>
            <w:tcBorders>
              <w:top w:val="single" w:color="auto" w:sz="4" w:space="0"/>
              <w:left w:val="single" w:color="auto" w:sz="4" w:space="0"/>
              <w:bottom w:val="single" w:color="auto" w:sz="4" w:space="0"/>
              <w:right w:val="single" w:color="auto" w:sz="4" w:space="0"/>
            </w:tcBorders>
            <w:vAlign w:val="center"/>
          </w:tcPr>
          <w:p w14:paraId="609F8DB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59D84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41" w:type="pct"/>
            <w:tcBorders>
              <w:top w:val="single" w:color="auto" w:sz="4" w:space="0"/>
              <w:left w:val="single" w:color="auto" w:sz="4" w:space="0"/>
              <w:right w:val="single" w:color="auto" w:sz="4" w:space="0"/>
            </w:tcBorders>
            <w:vAlign w:val="center"/>
          </w:tcPr>
          <w:p w14:paraId="027D3E9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470" w:type="pct"/>
            <w:tcBorders>
              <w:top w:val="single" w:color="auto" w:sz="4" w:space="0"/>
              <w:left w:val="single" w:color="auto" w:sz="4" w:space="0"/>
              <w:right w:val="single" w:color="auto" w:sz="4" w:space="0"/>
            </w:tcBorders>
            <w:vAlign w:val="center"/>
          </w:tcPr>
          <w:p w14:paraId="6483E3F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东莞市水务环境投资控股集团有限公司招标采购代理协议服务项目</w:t>
            </w:r>
          </w:p>
        </w:tc>
        <w:tc>
          <w:tcPr>
            <w:tcW w:w="1374" w:type="pct"/>
            <w:tcBorders>
              <w:top w:val="single" w:color="auto" w:sz="4" w:space="0"/>
              <w:left w:val="single" w:color="auto" w:sz="4" w:space="0"/>
              <w:right w:val="single" w:color="auto" w:sz="4" w:space="0"/>
            </w:tcBorders>
            <w:vAlign w:val="center"/>
          </w:tcPr>
          <w:p w14:paraId="421C7402">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自合同签订之日起2年</w:t>
            </w:r>
          </w:p>
        </w:tc>
        <w:tc>
          <w:tcPr>
            <w:tcW w:w="814" w:type="pct"/>
            <w:tcBorders>
              <w:top w:val="single" w:color="auto" w:sz="4" w:space="0"/>
              <w:left w:val="single" w:color="auto" w:sz="4" w:space="0"/>
              <w:right w:val="single" w:color="auto" w:sz="4" w:space="0"/>
            </w:tcBorders>
            <w:vAlign w:val="center"/>
          </w:tcPr>
          <w:p w14:paraId="2249C051">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2E19CCA3">
      <w:pPr>
        <w:rPr>
          <w:rFonts w:ascii="宋体" w:hAnsi="宋体" w:eastAsia="宋体" w:cs="宋体"/>
          <w:color w:val="auto"/>
          <w:kern w:val="0"/>
          <w:sz w:val="20"/>
          <w:szCs w:val="21"/>
          <w:highlight w:val="none"/>
        </w:rPr>
      </w:pPr>
    </w:p>
    <w:p w14:paraId="1AA91772">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300BDE">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1.投标人无需就本项目进行具体报价，仅须要按照投标文件规定格式要求进行填报投标报价表。</w:t>
      </w:r>
    </w:p>
    <w:p w14:paraId="6FCA92C4">
      <w:pPr>
        <w:tabs>
          <w:tab w:val="left" w:pos="567"/>
        </w:tabs>
        <w:autoSpaceDE w:val="0"/>
        <w:autoSpaceDN w:val="0"/>
        <w:adjustRightInd w:val="0"/>
        <w:spacing w:line="360" w:lineRule="auto"/>
        <w:ind w:left="0" w:leftChars="0" w:firstLine="0" w:firstLineChars="0"/>
        <w:rPr>
          <w:rFonts w:hint="eastAsia" w:ascii="宋体" w:hAnsi="宋体" w:eastAsia="宋体" w:cs="宋体"/>
          <w:b/>
          <w:color w:val="000000"/>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000000"/>
          <w:szCs w:val="21"/>
          <w:highlight w:val="none"/>
          <w:lang w:val="en-US" w:eastAsia="zh-CN"/>
        </w:rPr>
        <w:t>中标人应在开展代理服务前与招标人（或其下属企业）签订书面《采购代理合同》（即单项采购代理合同）或《招标代理合同》（即单项招标代理合同），</w:t>
      </w:r>
      <w:r>
        <w:rPr>
          <w:rFonts w:hint="eastAsia" w:ascii="宋体" w:hAnsi="宋体" w:eastAsia="宋体" w:cs="宋体"/>
          <w:b/>
          <w:color w:val="000000"/>
          <w:szCs w:val="21"/>
          <w:highlight w:val="none"/>
          <w:lang w:val="zh-CN"/>
        </w:rPr>
        <w:t>代理服务费</w:t>
      </w:r>
      <w:r>
        <w:rPr>
          <w:rFonts w:hint="eastAsia" w:ascii="宋体" w:hAnsi="宋体" w:eastAsia="宋体" w:cs="宋体"/>
          <w:b/>
          <w:color w:val="000000"/>
          <w:szCs w:val="21"/>
          <w:highlight w:val="none"/>
          <w:lang w:val="en-US" w:eastAsia="zh-CN"/>
        </w:rPr>
        <w:t>以中标金额计算，依次按以下第（1）（2）款计算得出服务费基价，服务费基价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按第（3）款计算折扣得出代理服务费</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具体如下。</w:t>
      </w:r>
    </w:p>
    <w:p w14:paraId="0AC20B20">
      <w:pPr>
        <w:tabs>
          <w:tab w:val="left" w:pos="567"/>
        </w:tabs>
        <w:autoSpaceDE w:val="0"/>
        <w:autoSpaceDN w:val="0"/>
        <w:adjustRightInd w:val="0"/>
        <w:spacing w:line="360" w:lineRule="auto"/>
        <w:ind w:left="0" w:leftChars="0" w:firstLine="0" w:firstLineChars="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lang w:val="zh-CN"/>
        </w:rPr>
        <w:t>参照</w:t>
      </w:r>
      <w:r>
        <w:rPr>
          <w:rFonts w:hint="eastAsia" w:ascii="宋体" w:hAnsi="宋体" w:eastAsia="宋体" w:cs="宋体"/>
          <w:b/>
          <w:color w:val="000000"/>
          <w:szCs w:val="21"/>
          <w:highlight w:val="none"/>
          <w:lang w:val="en-US" w:eastAsia="zh-CN"/>
        </w:rPr>
        <w:t>以下标准按差额定率累进法计算：</w:t>
      </w:r>
    </w:p>
    <w:tbl>
      <w:tblPr>
        <w:tblStyle w:val="44"/>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00E143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1249" w:type="pct"/>
            <w:vMerge w:val="restart"/>
            <w:shd w:val="clear" w:color="auto" w:fill="FFEEBB"/>
            <w:tcMar>
              <w:top w:w="0" w:type="dxa"/>
              <w:left w:w="0" w:type="dxa"/>
              <w:bottom w:w="0" w:type="dxa"/>
              <w:right w:w="0" w:type="dxa"/>
            </w:tcMar>
            <w:vAlign w:val="center"/>
          </w:tcPr>
          <w:p w14:paraId="043FE11D">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24EE8976">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服务类型</w:t>
            </w:r>
          </w:p>
        </w:tc>
      </w:tr>
      <w:tr w14:paraId="1ED62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00B26DCF">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745D33EC">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费率</w:t>
            </w:r>
          </w:p>
        </w:tc>
      </w:tr>
      <w:tr w14:paraId="67240D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054F697F">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FFEEBB"/>
            <w:tcMar>
              <w:top w:w="0" w:type="dxa"/>
              <w:left w:w="0" w:type="dxa"/>
              <w:bottom w:w="0" w:type="dxa"/>
              <w:right w:w="0" w:type="dxa"/>
            </w:tcMar>
            <w:vAlign w:val="center"/>
          </w:tcPr>
          <w:p w14:paraId="183C96DE">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6B574811">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6A30F0D2">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工程招标</w:t>
            </w:r>
          </w:p>
        </w:tc>
      </w:tr>
      <w:tr w14:paraId="13E8B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1436518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2453861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6FB9F2A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2C6A9F9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4143A8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573E3D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6AAF3B2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19D067B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1777AC4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02E42C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0E2635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19CD693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27EB9C6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58FFE0E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162A6E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2A7E46E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33BD220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4AEB6A0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3995DE7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326A4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68B345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5FFB7BA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5F67991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33E14F2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283704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2CD8177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55B22A3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6E1C03E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336C380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0FEBA2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0A8569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43D5F2C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6839C9C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06AF576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08C07A3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en-US" w:eastAsia="zh-CN"/>
        </w:rPr>
        <w:t>（2）</w:t>
      </w:r>
      <w:r>
        <w:rPr>
          <w:rFonts w:hint="default" w:ascii="宋体" w:hAnsi="宋体" w:eastAsia="宋体" w:cs="宋体"/>
          <w:b/>
          <w:color w:val="000000"/>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4E1A114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000000"/>
          <w:szCs w:val="21"/>
          <w:highlight w:val="none"/>
          <w:lang w:val="zh-CN" w:eastAsia="zh-CN"/>
        </w:rPr>
      </w:pPr>
      <w:r>
        <w:rPr>
          <w:rFonts w:hint="eastAsia" w:ascii="宋体" w:hAnsi="宋体" w:eastAsia="宋体" w:cs="宋体"/>
          <w:b/>
          <w:color w:val="000000"/>
          <w:szCs w:val="21"/>
          <w:highlight w:val="none"/>
          <w:lang w:val="en-US" w:eastAsia="zh-CN"/>
        </w:rPr>
        <w:t>（3）服务费基价</w:t>
      </w:r>
      <w:r>
        <w:rPr>
          <w:rFonts w:hint="eastAsia" w:ascii="宋体" w:hAnsi="宋体" w:eastAsia="宋体" w:cs="宋体"/>
          <w:b/>
          <w:color w:val="000000"/>
          <w:szCs w:val="21"/>
          <w:highlight w:val="none"/>
          <w:lang w:val="zh-CN" w:eastAsia="zh-CN"/>
        </w:rPr>
        <w:t>实行全额分档折扣计算，</w:t>
      </w:r>
      <w:r>
        <w:rPr>
          <w:rFonts w:hint="eastAsia" w:ascii="宋体" w:hAnsi="宋体" w:eastAsia="宋体" w:cs="宋体"/>
          <w:b/>
          <w:color w:val="000000"/>
          <w:szCs w:val="21"/>
          <w:highlight w:val="none"/>
          <w:lang w:val="en-US" w:eastAsia="zh-CN"/>
        </w:rPr>
        <w:t>得出代理服务费。</w:t>
      </w:r>
      <w:r>
        <w:rPr>
          <w:rFonts w:hint="eastAsia" w:ascii="宋体" w:hAnsi="宋体" w:eastAsia="宋体" w:cs="宋体"/>
          <w:b/>
          <w:color w:val="000000"/>
          <w:szCs w:val="21"/>
          <w:highlight w:val="none"/>
          <w:lang w:val="zh-CN" w:eastAsia="zh-CN"/>
        </w:rPr>
        <w:t>具体为：</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10万元（不含）以下的，按80%执行；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10万元（含）—20万元（不含）的，按70%执行；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20万元（含）—30万元（不含）的，按60%执行；</w:t>
      </w:r>
      <w:r>
        <w:rPr>
          <w:rFonts w:hint="eastAsia" w:ascii="宋体" w:hAnsi="宋体" w:eastAsia="宋体" w:cs="宋体"/>
          <w:b/>
          <w:color w:val="000000"/>
          <w:szCs w:val="21"/>
          <w:highlight w:val="none"/>
          <w:lang w:val="en-US" w:eastAsia="zh-CN"/>
        </w:rPr>
        <w:t>服务费基价</w:t>
      </w:r>
      <w:r>
        <w:rPr>
          <w:rFonts w:hint="eastAsia" w:ascii="宋体" w:hAnsi="宋体" w:eastAsia="宋体" w:cs="宋体"/>
          <w:b/>
          <w:color w:val="000000"/>
          <w:szCs w:val="21"/>
          <w:highlight w:val="none"/>
          <w:lang w:val="zh-CN" w:eastAsia="zh-CN"/>
        </w:rPr>
        <w:t>30万元（含）以上的，按50%计取，且单个项目最高代理费为30万元封顶</w:t>
      </w:r>
      <w:r>
        <w:rPr>
          <w:rFonts w:hint="eastAsia" w:ascii="宋体" w:hAnsi="宋体" w:eastAsia="宋体" w:cs="宋体"/>
          <w:b/>
          <w:color w:val="000000"/>
          <w:szCs w:val="21"/>
          <w:highlight w:val="none"/>
          <w:lang w:val="zh-CN"/>
        </w:rPr>
        <w:t>。</w:t>
      </w:r>
      <w:r>
        <w:rPr>
          <w:rFonts w:hint="eastAsia" w:ascii="宋体" w:hAnsi="宋体" w:eastAsia="宋体" w:cs="宋体"/>
          <w:b/>
          <w:color w:val="000000"/>
          <w:szCs w:val="21"/>
          <w:highlight w:val="none"/>
          <w:lang w:val="en-US" w:eastAsia="zh-CN"/>
        </w:rPr>
        <w:t>同时，</w:t>
      </w:r>
      <w:r>
        <w:rPr>
          <w:rFonts w:hint="eastAsia" w:ascii="宋体" w:hAnsi="宋体" w:eastAsia="宋体" w:cs="宋体"/>
          <w:b/>
          <w:color w:val="000000"/>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招标（采购）</w:t>
      </w:r>
      <w:r>
        <w:rPr>
          <w:rFonts w:hint="eastAsia" w:ascii="宋体" w:hAnsi="宋体" w:eastAsia="宋体" w:cs="宋体"/>
          <w:b/>
          <w:color w:val="000000"/>
          <w:szCs w:val="21"/>
          <w:highlight w:val="none"/>
          <w:lang w:val="en-US" w:eastAsia="zh-CN"/>
        </w:rPr>
        <w:t>人</w:t>
      </w:r>
      <w:r>
        <w:rPr>
          <w:rFonts w:hint="eastAsia" w:ascii="宋体" w:hAnsi="宋体" w:eastAsia="宋体" w:cs="宋体"/>
          <w:b/>
          <w:color w:val="000000"/>
          <w:sz w:val="21"/>
          <w:szCs w:val="21"/>
          <w:highlight w:val="none"/>
          <w:lang w:val="en-US" w:eastAsia="zh-CN"/>
        </w:rPr>
        <w:t>或其</w:t>
      </w:r>
      <w:r>
        <w:rPr>
          <w:rFonts w:hint="eastAsia" w:ascii="宋体" w:hAnsi="宋体" w:eastAsia="宋体" w:cs="宋体"/>
          <w:b/>
          <w:color w:val="000000"/>
          <w:sz w:val="21"/>
          <w:szCs w:val="21"/>
          <w:highlight w:val="none"/>
        </w:rPr>
        <w:t>下属企业</w:t>
      </w:r>
      <w:r>
        <w:rPr>
          <w:rFonts w:hint="eastAsia" w:ascii="宋体" w:hAnsi="宋体" w:eastAsia="宋体" w:cs="宋体"/>
          <w:b/>
          <w:color w:val="000000"/>
          <w:szCs w:val="21"/>
          <w:highlight w:val="none"/>
          <w:lang w:val="zh-CN" w:eastAsia="zh-CN"/>
        </w:rPr>
        <w:t>与</w:t>
      </w:r>
      <w:r>
        <w:rPr>
          <w:rFonts w:hint="eastAsia" w:ascii="宋体" w:hAnsi="宋体" w:eastAsia="宋体" w:cs="宋体"/>
          <w:b/>
          <w:color w:val="000000"/>
          <w:szCs w:val="21"/>
          <w:highlight w:val="none"/>
          <w:lang w:val="en-US" w:eastAsia="zh-CN"/>
        </w:rPr>
        <w:t>中标人</w:t>
      </w:r>
      <w:r>
        <w:rPr>
          <w:rFonts w:hint="eastAsia" w:ascii="宋体" w:hAnsi="宋体" w:eastAsia="宋体" w:cs="宋体"/>
          <w:b/>
          <w:color w:val="000000"/>
          <w:szCs w:val="21"/>
          <w:highlight w:val="none"/>
          <w:lang w:val="zh-CN" w:eastAsia="zh-CN"/>
        </w:rPr>
        <w:t>另行商定代理费用。</w:t>
      </w:r>
    </w:p>
    <w:p w14:paraId="1FF6BCD0">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.包括但不限于： </w:t>
      </w:r>
    </w:p>
    <w:p w14:paraId="6E8D0DCB">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（1）为开展本协议服务范围内的</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代理服务所需的资料查阅与调查费、现场勘查费、设备使用费、人工费、人员社会保险、人身意外保险、第三方责任险、驻场服务所需的差旅费、食宿费、交通费、通讯费、配合费等费用；</w:t>
      </w:r>
    </w:p>
    <w:p w14:paraId="251E584F">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（2）为开展本协议服务范围内的</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代理服务所需发生（如有时）的公证费、会务费、专家评审费（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人代表及工作人员除外）、公告费、评审期间产生的差旅和食宿费、保险、档案整理（含档案数字化）及保管费、合同印刷及装订费等相关费用；</w:t>
      </w:r>
    </w:p>
    <w:p w14:paraId="207A2D09">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（3）合理利润、税费等；</w:t>
      </w:r>
    </w:p>
    <w:p w14:paraId="3D38D6ED">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（4）法律法规、行业公认、完成合同实施过程中由投标人承担的其他直接及间接费用。</w:t>
      </w:r>
    </w:p>
    <w:p w14:paraId="1FD8FAFC">
      <w:pPr>
        <w:autoSpaceDE w:val="0"/>
        <w:autoSpaceDN w:val="0"/>
        <w:adjustRightInd w:val="0"/>
        <w:snapToGrid w:val="0"/>
        <w:spacing w:line="360" w:lineRule="auto"/>
        <w:contextualSpacing/>
        <w:jc w:val="left"/>
        <w:rPr>
          <w:rFonts w:hint="eastAsia" w:ascii="宋体" w:hAnsi="宋体" w:eastAsia="宋体" w:cs="宋体"/>
          <w:b/>
          <w:bCs/>
          <w:color w:val="auto"/>
          <w:kern w:val="0"/>
          <w:sz w:val="21"/>
          <w:szCs w:val="21"/>
          <w:highlight w:val="none"/>
        </w:rPr>
      </w:pPr>
    </w:p>
    <w:p w14:paraId="198914CA">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lang w:val="en-US" w:eastAsia="zh-CN" w:bidi="ar"/>
        </w:rPr>
      </w:pPr>
    </w:p>
    <w:p w14:paraId="184DA0AE">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u w:val="single"/>
          <w:lang w:val="en-US" w:eastAsia="zh-CN" w:bidi="ar"/>
        </w:rPr>
        <w:t xml:space="preserve">             （企业数字证书电子签名）</w:t>
      </w:r>
    </w:p>
    <w:p w14:paraId="46031D6A">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法定代表人或其授权代表签名：</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（电子签名）</w:t>
      </w:r>
    </w:p>
    <w:p w14:paraId="76E53E25">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3CC6A04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说明：由投标人使用投标人的企业数字证书，法定代表人或其授权代表数字证书电子签名。</w:t>
      </w:r>
    </w:p>
    <w:p w14:paraId="66FE3F87">
      <w:pPr>
        <w:kinsoku/>
        <w:overflowPunct/>
        <w:autoSpaceDE w:val="0"/>
        <w:autoSpaceDN w:val="0"/>
        <w:bidi w:val="0"/>
        <w:adjustRightInd w:val="0"/>
        <w:spacing w:line="360" w:lineRule="auto"/>
        <w:ind w:right="420" w:firstLine="5760" w:firstLineChars="2400"/>
        <w:jc w:val="left"/>
        <w:outlineLvl w:val="9"/>
        <w:rPr>
          <w:rFonts w:ascii="宋体" w:hAnsi="宋体" w:eastAsia="宋体" w:cs="宋体"/>
          <w:color w:val="auto"/>
          <w:kern w:val="0"/>
          <w:sz w:val="24"/>
          <w:szCs w:val="24"/>
          <w:highlight w:val="none"/>
        </w:rPr>
      </w:pPr>
    </w:p>
    <w:bookmarkEnd w:id="494"/>
    <w:bookmarkEnd w:id="495"/>
    <w:bookmarkEnd w:id="496"/>
    <w:bookmarkEnd w:id="497"/>
    <w:p w14:paraId="78363D1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12" w:name="_Toc25659"/>
      <w:bookmarkStart w:id="513" w:name="_Toc94107209"/>
      <w:bookmarkStart w:id="514" w:name="_Toc21067"/>
      <w:bookmarkStart w:id="515" w:name="_Toc102860074"/>
      <w:bookmarkStart w:id="516" w:name="_Toc7682"/>
      <w:bookmarkStart w:id="517" w:name="_Toc25034"/>
      <w:bookmarkStart w:id="518" w:name="_Toc23083"/>
      <w:bookmarkStart w:id="519" w:name="_Toc32024"/>
      <w:bookmarkStart w:id="520" w:name="_Toc1977725"/>
      <w:bookmarkStart w:id="521" w:name="_Toc142508369"/>
      <w:bookmarkStart w:id="522" w:name="_Toc19708"/>
      <w:bookmarkStart w:id="523" w:name="_Toc195714382"/>
      <w:bookmarkStart w:id="524" w:name="_Toc6190"/>
      <w:bookmarkStart w:id="525" w:name="_Toc26516"/>
      <w:bookmarkStart w:id="526" w:name="_Toc104991875"/>
      <w:bookmarkStart w:id="527" w:name="_Toc140596928"/>
      <w:bookmarkStart w:id="528" w:name="_Toc102860418"/>
      <w:bookmarkStart w:id="529" w:name="_Toc20759_WPSOffice_Level2"/>
      <w:bookmarkStart w:id="530" w:name="_Toc533708124"/>
      <w:bookmarkStart w:id="531"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E6F649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 w:val="30"/>
          <w:szCs w:val="30"/>
          <w:highlight w:val="none"/>
        </w:rPr>
      </w:pPr>
      <w:bookmarkStart w:id="532" w:name="_Toc3267"/>
      <w:bookmarkStart w:id="533" w:name="_Toc6502"/>
      <w:bookmarkStart w:id="534" w:name="_Toc25267"/>
      <w:bookmarkStart w:id="535" w:name="_Toc5002"/>
      <w:bookmarkStart w:id="536" w:name="_Toc195714383"/>
      <w:bookmarkStart w:id="537" w:name="_Toc140596929"/>
      <w:bookmarkStart w:id="538" w:name="_Toc102860075"/>
      <w:bookmarkStart w:id="539" w:name="_Toc104991876"/>
      <w:bookmarkStart w:id="540" w:name="_Toc102860419"/>
      <w:bookmarkStart w:id="541" w:name="_Toc142508370"/>
      <w:bookmarkStart w:id="542" w:name="_Toc94107210"/>
      <w:bookmarkStart w:id="543" w:name="_Toc17358"/>
      <w:bookmarkStart w:id="544" w:name="_Toc22003"/>
      <w:bookmarkStart w:id="545" w:name="_Toc29874"/>
      <w:bookmarkStart w:id="546"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多证合一营业执照（或事业单位法人证书）原件扫描件</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35E32F68">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3EC7949C">
      <w:pPr>
        <w:tabs>
          <w:tab w:val="left" w:pos="567"/>
        </w:tabs>
        <w:kinsoku/>
        <w:overflowPunct/>
        <w:autoSpaceDE w:val="0"/>
        <w:autoSpaceDN w:val="0"/>
        <w:bidi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ED234E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 w:val="30"/>
          <w:szCs w:val="30"/>
          <w:highlight w:val="none"/>
        </w:rPr>
      </w:pPr>
      <w:bookmarkStart w:id="547" w:name="_Toc102860076"/>
      <w:bookmarkStart w:id="548" w:name="_Toc11158"/>
      <w:bookmarkStart w:id="549" w:name="_Toc142508371"/>
      <w:bookmarkStart w:id="550" w:name="_Toc2188"/>
      <w:bookmarkStart w:id="551" w:name="_Toc7756"/>
      <w:bookmarkStart w:id="552" w:name="_Toc27861"/>
      <w:bookmarkStart w:id="553" w:name="_Toc94107211"/>
      <w:bookmarkStart w:id="554" w:name="_Toc195714384"/>
      <w:bookmarkStart w:id="555" w:name="_Toc104991877"/>
      <w:bookmarkStart w:id="556" w:name="_Toc2750"/>
      <w:bookmarkStart w:id="557" w:name="_Toc140596930"/>
      <w:bookmarkStart w:id="558" w:name="_Toc18165"/>
      <w:bookmarkStart w:id="559" w:name="_Toc25013"/>
      <w:bookmarkStart w:id="560"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18B5FB6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61" w:name="_Toc17499"/>
      <w:bookmarkStart w:id="562" w:name="_Toc195714385"/>
      <w:bookmarkStart w:id="563" w:name="_Toc10733"/>
      <w:bookmarkStart w:id="564" w:name="_Toc2018"/>
      <w:bookmarkStart w:id="565" w:name="_Toc102860077"/>
      <w:bookmarkStart w:id="566" w:name="_Toc94107212"/>
      <w:bookmarkStart w:id="567" w:name="_Toc142508372"/>
      <w:bookmarkStart w:id="568" w:name="_Toc140596931"/>
      <w:bookmarkStart w:id="569" w:name="_Toc7441"/>
      <w:bookmarkStart w:id="570" w:name="_Toc10802"/>
      <w:bookmarkStart w:id="571" w:name="_Toc102860421"/>
      <w:bookmarkStart w:id="572" w:name="_Toc104991878"/>
      <w:bookmarkStart w:id="573" w:name="_Toc13128"/>
      <w:bookmarkStart w:id="574" w:name="_Toc913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385B51D">
      <w:pPr>
        <w:kinsoku/>
        <w:overflowPunct/>
        <w:bidi w:val="0"/>
        <w:spacing w:before="120" w:after="120" w:line="360" w:lineRule="auto"/>
        <w:ind w:firstLine="426" w:firstLineChars="202"/>
        <w:outlineLvl w:val="9"/>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29"/>
      <w:bookmarkEnd w:id="530"/>
      <w:bookmarkEnd w:id="531"/>
      <w:bookmarkEnd w:id="546"/>
    </w:p>
    <w:p w14:paraId="7C88AB67">
      <w:pPr>
        <w:kinsoku/>
        <w:overflowPunct/>
        <w:bidi w:val="0"/>
        <w:spacing w:before="120" w:after="120" w:line="360" w:lineRule="auto"/>
        <w:ind w:firstLine="608" w:firstLineChars="202"/>
        <w:jc w:val="center"/>
        <w:outlineLvl w:val="9"/>
        <w:rPr>
          <w:rFonts w:hint="eastAsia" w:ascii="宋体" w:hAnsi="宋体" w:eastAsia="宋体" w:cs="宋体"/>
          <w:b/>
          <w:bCs/>
          <w:color w:val="auto"/>
          <w:sz w:val="30"/>
          <w:szCs w:val="30"/>
          <w:highlight w:val="none"/>
          <w:lang w:eastAsia="zh-CN"/>
        </w:rPr>
      </w:pPr>
      <w:bookmarkStart w:id="575" w:name="_Toc11033_WPSOffice_Level3"/>
      <w:r>
        <w:rPr>
          <w:rFonts w:hint="eastAsia" w:ascii="宋体" w:hAnsi="宋体" w:eastAsia="宋体" w:cs="宋体"/>
          <w:b/>
          <w:color w:val="auto"/>
          <w:sz w:val="30"/>
          <w:szCs w:val="30"/>
          <w:highlight w:val="none"/>
        </w:rPr>
        <w:t>法定代</w:t>
      </w:r>
      <w:bookmarkStart w:id="576" w:name="_Toc36971359"/>
      <w:bookmarkStart w:id="577" w:name="_Toc45995270"/>
      <w:r>
        <w:rPr>
          <w:rFonts w:hint="eastAsia" w:ascii="宋体" w:hAnsi="宋体" w:eastAsia="宋体" w:cs="宋体"/>
          <w:b/>
          <w:color w:val="auto"/>
          <w:sz w:val="30"/>
          <w:szCs w:val="30"/>
          <w:highlight w:val="none"/>
        </w:rPr>
        <w:t>表人身份证明书</w:t>
      </w:r>
      <w:bookmarkEnd w:id="575"/>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 xml:space="preserve">标段  </w:t>
      </w:r>
      <w:r>
        <w:rPr>
          <w:rFonts w:hint="eastAsia" w:ascii="宋体" w:hAnsi="宋体" w:eastAsia="宋体" w:cs="宋体"/>
          <w:b/>
          <w:color w:val="auto"/>
          <w:sz w:val="30"/>
          <w:szCs w:val="30"/>
          <w:highlight w:val="none"/>
          <w:lang w:eastAsia="zh-CN"/>
        </w:rPr>
        <w:t>）</w:t>
      </w:r>
    </w:p>
    <w:bookmarkEnd w:id="576"/>
    <w:bookmarkEnd w:id="577"/>
    <w:p w14:paraId="0CF4A55F">
      <w:pPr>
        <w:kinsoku/>
        <w:overflowPunct/>
        <w:bidi w:val="0"/>
        <w:spacing w:before="120" w:after="120" w:line="360" w:lineRule="auto"/>
        <w:ind w:firstLine="420" w:firstLineChars="200"/>
        <w:outlineLvl w:val="9"/>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CD88287">
      <w:pPr>
        <w:kinsoku/>
        <w:overflowPunct/>
        <w:bidi w:val="0"/>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2B900DD">
      <w:pPr>
        <w:kinsoku/>
        <w:overflowPunct/>
        <w:bidi w:val="0"/>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E482AB1">
      <w:pPr>
        <w:kinsoku/>
        <w:overflowPunct/>
        <w:bidi w:val="0"/>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40143A5">
      <w:pPr>
        <w:kinsoku/>
        <w:overflowPunct/>
        <w:bidi w:val="0"/>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1C31046">
      <w:pPr>
        <w:kinsoku/>
        <w:overflowPunct/>
        <w:bidi w:val="0"/>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51F0772">
      <w:pPr>
        <w:kinsoku/>
        <w:overflowPunct/>
        <w:bidi w:val="0"/>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5F349DA4">
      <w:pPr>
        <w:kinsoku/>
        <w:overflowPunct/>
        <w:bidi w:val="0"/>
        <w:snapToGrid w:val="0"/>
        <w:spacing w:line="360" w:lineRule="auto"/>
        <w:ind w:firstLine="3465" w:firstLineChars="1650"/>
        <w:outlineLvl w:val="9"/>
        <w:rPr>
          <w:rFonts w:ascii="宋体" w:hAnsi="宋体" w:eastAsia="宋体" w:cs="Times New Roman"/>
          <w:color w:val="auto"/>
          <w:kern w:val="3"/>
          <w:szCs w:val="24"/>
          <w:highlight w:val="none"/>
        </w:rPr>
      </w:pPr>
    </w:p>
    <w:p w14:paraId="0D718D41">
      <w:pPr>
        <w:kinsoku/>
        <w:overflowPunct/>
        <w:bidi w:val="0"/>
        <w:snapToGrid w:val="0"/>
        <w:spacing w:line="360" w:lineRule="auto"/>
        <w:ind w:firstLine="3465" w:firstLineChars="1650"/>
        <w:outlineLvl w:val="9"/>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24FA8222">
      <w:pPr>
        <w:kinsoku/>
        <w:overflowPunct/>
        <w:bidi w:val="0"/>
        <w:spacing w:before="120" w:after="120" w:line="360" w:lineRule="auto"/>
        <w:ind w:left="340" w:leftChars="162" w:firstLine="474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51E5249">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8CD1FCC"/>
                          <w:p w14:paraId="62F98FCF"/>
                          <w:p w14:paraId="65312C3E"/>
                          <w:p w14:paraId="25CC12E9"/>
                          <w:p w14:paraId="3EE8D64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8CD1FCC"/>
                    <w:p w14:paraId="62F98FCF"/>
                    <w:p w14:paraId="65312C3E"/>
                    <w:p w14:paraId="25CC12E9"/>
                    <w:p w14:paraId="3EE8D64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9BEEF54"/>
                          <w:p w14:paraId="5504A19D"/>
                          <w:p w14:paraId="437E244A"/>
                          <w:p w14:paraId="447B5701"/>
                          <w:p w14:paraId="4CDFC7AA">
                            <w:pPr>
                              <w:jc w:val="center"/>
                              <w:rPr>
                                <w:szCs w:val="21"/>
                              </w:rPr>
                            </w:pPr>
                            <w:r>
                              <w:rPr>
                                <w:rFonts w:hint="eastAsia"/>
                                <w:szCs w:val="21"/>
                              </w:rPr>
                              <w:t>法定代表人身份证反面</w:t>
                            </w:r>
                          </w:p>
                          <w:p w14:paraId="74D0E56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9BEEF54"/>
                    <w:p w14:paraId="5504A19D"/>
                    <w:p w14:paraId="437E244A"/>
                    <w:p w14:paraId="447B5701"/>
                    <w:p w14:paraId="4CDFC7AA">
                      <w:pPr>
                        <w:jc w:val="center"/>
                        <w:rPr>
                          <w:szCs w:val="21"/>
                        </w:rPr>
                      </w:pPr>
                      <w:r>
                        <w:rPr>
                          <w:rFonts w:hint="eastAsia"/>
                          <w:szCs w:val="21"/>
                        </w:rPr>
                        <w:t>法定代表人身份证反面</w:t>
                      </w:r>
                    </w:p>
                    <w:p w14:paraId="74D0E56A">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5B744E1"/>
                          <w:p w14:paraId="77693483"/>
                          <w:p w14:paraId="002EE62F"/>
                          <w:p w14:paraId="21C514CC"/>
                          <w:p w14:paraId="65208FC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5B744E1"/>
                    <w:p w14:paraId="77693483"/>
                    <w:p w14:paraId="002EE62F"/>
                    <w:p w14:paraId="21C514CC"/>
                    <w:p w14:paraId="65208FC1">
                      <w:pPr>
                        <w:jc w:val="center"/>
                      </w:pPr>
                      <w:r>
                        <w:rPr>
                          <w:rFonts w:hint="eastAsia"/>
                        </w:rPr>
                        <w:t>身份证正面</w:t>
                      </w:r>
                    </w:p>
                  </w:txbxContent>
                </v:textbox>
              </v:shape>
            </w:pict>
          </mc:Fallback>
        </mc:AlternateContent>
      </w:r>
    </w:p>
    <w:p w14:paraId="052E49BC">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56C2A4E3">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672A17B2">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596F97C7">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47B8994F">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4411143E">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50F9673B">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31AB946C">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61B8CB2E">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055141A2">
      <w:pPr>
        <w:kinsoku/>
        <w:overflowPunct/>
        <w:autoSpaceDE w:val="0"/>
        <w:autoSpaceDN w:val="0"/>
        <w:bidi w:val="0"/>
        <w:adjustRightInd w:val="0"/>
        <w:jc w:val="left"/>
        <w:outlineLvl w:val="9"/>
        <w:rPr>
          <w:rFonts w:ascii="宋体" w:hAnsi="宋体" w:eastAsia="宋体" w:cs="宋体"/>
          <w:b/>
          <w:color w:val="auto"/>
          <w:kern w:val="0"/>
          <w:szCs w:val="21"/>
          <w:highlight w:val="none"/>
        </w:rPr>
      </w:pPr>
    </w:p>
    <w:p w14:paraId="6B6F0441">
      <w:pPr>
        <w:kinsoku/>
        <w:overflowPunct/>
        <w:autoSpaceDE w:val="0"/>
        <w:autoSpaceDN w:val="0"/>
        <w:bidi w:val="0"/>
        <w:adjustRightInd w:val="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29829C3">
      <w:pPr>
        <w:kinsoku/>
        <w:overflowPunct/>
        <w:autoSpaceDE w:val="0"/>
        <w:autoSpaceDN w:val="0"/>
        <w:bidi w:val="0"/>
        <w:adjustRightInd w:val="0"/>
        <w:jc w:val="left"/>
        <w:outlineLvl w:val="9"/>
        <w:rPr>
          <w:rFonts w:ascii="宋体" w:hAnsi="宋体" w:eastAsia="宋体" w:cs="宋体"/>
          <w:color w:val="auto"/>
          <w:kern w:val="0"/>
          <w:szCs w:val="21"/>
          <w:highlight w:val="none"/>
        </w:rPr>
      </w:pPr>
    </w:p>
    <w:p w14:paraId="6BB99F46">
      <w:pPr>
        <w:kinsoku/>
        <w:overflowPunct/>
        <w:autoSpaceDE w:val="0"/>
        <w:autoSpaceDN w:val="0"/>
        <w:bidi w:val="0"/>
        <w:adjustRightInd w:val="0"/>
        <w:jc w:val="left"/>
        <w:outlineLvl w:val="9"/>
        <w:rPr>
          <w:rFonts w:ascii="宋体" w:hAnsi="宋体" w:eastAsia="宋体" w:cs="宋体"/>
          <w:b/>
          <w:color w:val="auto"/>
          <w:kern w:val="0"/>
          <w:szCs w:val="21"/>
          <w:highlight w:val="none"/>
        </w:rPr>
      </w:pPr>
      <w:r>
        <w:rPr>
          <w:rFonts w:hint="eastAsia" w:ascii="宋体" w:hAnsi="宋体" w:eastAsia="宋体" w:cs="宋体"/>
          <w:color w:val="000000"/>
          <w:highlight w:val="none"/>
        </w:rPr>
        <w:t>说明：由投标人使用投标人的企业数字证书电子签名。</w:t>
      </w:r>
      <w:r>
        <w:rPr>
          <w:rFonts w:hint="eastAsia" w:ascii="宋体" w:hAnsi="宋体" w:eastAsia="宋体" w:cs="宋体"/>
          <w:color w:val="auto"/>
          <w:szCs w:val="24"/>
          <w:highlight w:val="none"/>
          <w:lang w:val="zh-CN"/>
        </w:rPr>
        <w:br w:type="page"/>
      </w:r>
      <w:bookmarkEnd w:id="473"/>
      <w:bookmarkEnd w:id="474"/>
      <w:bookmarkEnd w:id="475"/>
      <w:bookmarkStart w:id="578" w:name="_Toc1977727"/>
      <w:bookmarkStart w:id="579" w:name="_Toc6240_WPSOffice_Level2"/>
      <w:bookmarkStart w:id="580" w:name="_Toc533708125"/>
      <w:bookmarkStart w:id="581" w:name="_Toc486167713"/>
      <w:r>
        <w:rPr>
          <w:rFonts w:hint="eastAsia" w:ascii="宋体" w:hAnsi="宋体" w:eastAsia="宋体" w:cs="宋体"/>
          <w:b/>
          <w:color w:val="auto"/>
          <w:szCs w:val="24"/>
          <w:highlight w:val="none"/>
        </w:rPr>
        <w:t>（2）法定代表人授权书格式</w:t>
      </w:r>
      <w:bookmarkEnd w:id="578"/>
      <w:bookmarkEnd w:id="579"/>
      <w:bookmarkEnd w:id="580"/>
      <w:bookmarkEnd w:id="581"/>
    </w:p>
    <w:p w14:paraId="7DF7B8DD">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lang w:val="zh-CN"/>
        </w:rPr>
      </w:pPr>
    </w:p>
    <w:p w14:paraId="5E118876">
      <w:pPr>
        <w:kinsoku/>
        <w:overflowPunct/>
        <w:bidi w:val="0"/>
        <w:spacing w:before="120" w:after="120" w:line="360" w:lineRule="auto"/>
        <w:ind w:firstLine="608" w:firstLineChars="202"/>
        <w:jc w:val="center"/>
        <w:outlineLvl w:val="9"/>
        <w:rPr>
          <w:rFonts w:hint="eastAsia" w:ascii="宋体" w:hAnsi="宋体" w:eastAsia="宋体" w:cs="宋体"/>
          <w:b/>
          <w:bCs/>
          <w:color w:val="auto"/>
          <w:sz w:val="30"/>
          <w:szCs w:val="30"/>
          <w:highlight w:val="none"/>
          <w:lang w:eastAsia="zh-CN"/>
        </w:rPr>
      </w:pPr>
      <w:bookmarkStart w:id="582" w:name="_Toc29146_WPSOffice_Level3"/>
      <w:r>
        <w:rPr>
          <w:rFonts w:hint="eastAsia" w:ascii="宋体" w:hAnsi="宋体" w:eastAsia="宋体" w:cs="宋体"/>
          <w:b/>
          <w:bCs/>
          <w:color w:val="auto"/>
          <w:sz w:val="30"/>
          <w:szCs w:val="30"/>
          <w:highlight w:val="none"/>
          <w:lang w:val="zh-CN"/>
        </w:rPr>
        <w:t>法定代表人授权书</w:t>
      </w:r>
      <w:bookmarkEnd w:id="582"/>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 xml:space="preserve">标段  </w:t>
      </w:r>
      <w:r>
        <w:rPr>
          <w:rFonts w:hint="eastAsia" w:ascii="宋体" w:hAnsi="宋体" w:eastAsia="宋体" w:cs="宋体"/>
          <w:b/>
          <w:color w:val="auto"/>
          <w:sz w:val="30"/>
          <w:szCs w:val="30"/>
          <w:highlight w:val="none"/>
          <w:lang w:eastAsia="zh-CN"/>
        </w:rPr>
        <w:t>）</w:t>
      </w:r>
    </w:p>
    <w:p w14:paraId="6A6D01AD">
      <w:pPr>
        <w:kinsoku/>
        <w:overflowPunct/>
        <w:bidi w:val="0"/>
        <w:spacing w:before="120" w:after="120" w:line="360" w:lineRule="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致：东莞市水务环境投资控股集团有限公司</w:t>
      </w:r>
    </w:p>
    <w:p w14:paraId="08E27BBB">
      <w:pPr>
        <w:spacing w:before="120" w:after="120" w:line="360" w:lineRule="auto"/>
        <w:ind w:firstLine="630" w:firstLineChars="300"/>
        <w:rPr>
          <w:rFonts w:hint="eastAsia" w:ascii="宋体" w:hAnsi="宋体" w:eastAsia="宋体" w:cs="宋体"/>
          <w:color w:val="000000"/>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w:t>
      </w:r>
      <w:r>
        <w:rPr>
          <w:rFonts w:hint="eastAsia" w:ascii="宋体" w:hAnsi="宋体" w:eastAsia="宋体" w:cs="宋体"/>
          <w:color w:val="000000"/>
          <w:szCs w:val="24"/>
          <w:highlight w:val="none"/>
          <w:lang w:val="zh-CN"/>
        </w:rPr>
        <w:t>在下面签字或盖私章的</w:t>
      </w:r>
      <w:r>
        <w:rPr>
          <w:rFonts w:hint="eastAsia" w:ascii="宋体" w:hAnsi="宋体" w:eastAsia="宋体" w:cs="宋体"/>
          <w:color w:val="000000"/>
          <w:szCs w:val="24"/>
          <w:highlight w:val="none"/>
          <w:u w:val="single"/>
          <w:lang w:val="zh-CN"/>
        </w:rPr>
        <w:t xml:space="preserve">                          </w:t>
      </w:r>
      <w:r>
        <w:rPr>
          <w:rFonts w:hint="eastAsia" w:ascii="宋体" w:hAnsi="宋体" w:eastAsia="宋体" w:cs="宋体"/>
          <w:color w:val="000000"/>
          <w:szCs w:val="24"/>
          <w:highlight w:val="none"/>
          <w:lang w:val="zh-CN"/>
        </w:rPr>
        <w:t>（法定代表人姓名、职务、身份证号码）代表本公司授权在下面签字或盖私章的</w:t>
      </w:r>
      <w:r>
        <w:rPr>
          <w:rFonts w:hint="eastAsia" w:ascii="宋体" w:hAnsi="宋体" w:eastAsia="宋体" w:cs="宋体"/>
          <w:color w:val="000000"/>
          <w:szCs w:val="24"/>
          <w:highlight w:val="none"/>
          <w:u w:val="single"/>
          <w:lang w:val="zh-CN"/>
        </w:rPr>
        <w:t xml:space="preserve">        </w:t>
      </w:r>
      <w:r>
        <w:rPr>
          <w:rFonts w:hint="eastAsia" w:ascii="宋体" w:hAnsi="宋体" w:eastAsia="宋体" w:cs="宋体"/>
          <w:color w:val="000000"/>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东莞市水务环境投资控股集团有限公司招标采购代理协议服务项目（</w:t>
      </w:r>
      <w:r>
        <w:rPr>
          <w:rFonts w:hint="eastAsia" w:ascii="宋体" w:hAnsi="宋体" w:eastAsia="宋体" w:cs="宋体"/>
          <w:color w:val="auto"/>
          <w:szCs w:val="21"/>
          <w:highlight w:val="none"/>
          <w:u w:val="single"/>
          <w:lang w:val="en-US" w:eastAsia="zh-CN"/>
        </w:rPr>
        <w:t xml:space="preserve">标段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000000"/>
          <w:szCs w:val="21"/>
          <w:highlight w:val="none"/>
          <w:lang w:val="zh-CN"/>
        </w:rPr>
        <w:t>的投标文件，</w:t>
      </w:r>
      <w:r>
        <w:rPr>
          <w:rFonts w:hint="eastAsia" w:ascii="宋体" w:hAnsi="宋体" w:eastAsia="宋体" w:cs="宋体"/>
          <w:color w:val="000000"/>
          <w:szCs w:val="21"/>
          <w:highlight w:val="none"/>
        </w:rPr>
        <w:t>代表我公司</w:t>
      </w:r>
      <w:r>
        <w:rPr>
          <w:rFonts w:hint="eastAsia" w:ascii="宋体" w:hAnsi="宋体" w:eastAsia="宋体" w:cs="宋体"/>
          <w:color w:val="000000"/>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szCs w:val="21"/>
          <w:highlight w:val="none"/>
        </w:rPr>
        <w:t>我承认代理人全权代表我所签署的本项目投标文件的内容及</w:t>
      </w:r>
      <w:r>
        <w:rPr>
          <w:rFonts w:hint="eastAsia" w:ascii="宋体" w:hAnsi="宋体" w:eastAsia="宋体" w:cs="宋体"/>
          <w:color w:val="000000"/>
          <w:szCs w:val="24"/>
          <w:highlight w:val="none"/>
          <w:lang w:val="zh-CN"/>
        </w:rPr>
        <w:t>所进行的上述活动。</w:t>
      </w:r>
    </w:p>
    <w:p w14:paraId="7B96C874">
      <w:pPr>
        <w:kinsoku/>
        <w:overflowPunct/>
        <w:bidi w:val="0"/>
        <w:spacing w:before="120" w:after="120"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000000"/>
          <w:szCs w:val="24"/>
          <w:highlight w:val="none"/>
          <w:lang w:val="zh-CN"/>
        </w:rPr>
        <w:t>本授权书于</w:t>
      </w:r>
      <w:r>
        <w:rPr>
          <w:rFonts w:hint="eastAsia" w:ascii="宋体" w:hAnsi="宋体" w:eastAsia="宋体" w:cs="宋体"/>
          <w:color w:val="000000"/>
          <w:szCs w:val="24"/>
          <w:highlight w:val="none"/>
          <w:u w:val="single"/>
          <w:lang w:val="zh-CN"/>
        </w:rPr>
        <w:t xml:space="preserve">      </w:t>
      </w:r>
      <w:r>
        <w:rPr>
          <w:rFonts w:hint="eastAsia" w:ascii="宋体" w:hAnsi="宋体" w:eastAsia="宋体" w:cs="宋体"/>
          <w:color w:val="000000"/>
          <w:szCs w:val="24"/>
          <w:highlight w:val="none"/>
          <w:lang w:val="zh-CN"/>
        </w:rPr>
        <w:t>年</w:t>
      </w:r>
      <w:r>
        <w:rPr>
          <w:rFonts w:hint="eastAsia" w:ascii="宋体" w:hAnsi="宋体" w:eastAsia="宋体" w:cs="宋体"/>
          <w:color w:val="000000"/>
          <w:szCs w:val="24"/>
          <w:highlight w:val="none"/>
          <w:u w:val="single"/>
          <w:lang w:val="zh-CN"/>
        </w:rPr>
        <w:t xml:space="preserve">     </w:t>
      </w:r>
      <w:r>
        <w:rPr>
          <w:rFonts w:hint="eastAsia" w:ascii="宋体" w:hAnsi="宋体" w:eastAsia="宋体" w:cs="宋体"/>
          <w:color w:val="000000"/>
          <w:szCs w:val="24"/>
          <w:highlight w:val="none"/>
          <w:lang w:val="zh-CN"/>
        </w:rPr>
        <w:t>月</w:t>
      </w:r>
      <w:r>
        <w:rPr>
          <w:rFonts w:hint="eastAsia" w:ascii="宋体" w:hAnsi="宋体" w:eastAsia="宋体" w:cs="宋体"/>
          <w:color w:val="000000"/>
          <w:szCs w:val="24"/>
          <w:highlight w:val="none"/>
          <w:u w:val="single"/>
          <w:lang w:val="zh-CN"/>
        </w:rPr>
        <w:t xml:space="preserve">     </w:t>
      </w:r>
      <w:r>
        <w:rPr>
          <w:rFonts w:hint="eastAsia" w:ascii="宋体" w:hAnsi="宋体" w:eastAsia="宋体" w:cs="宋体"/>
          <w:color w:val="000000"/>
          <w:szCs w:val="24"/>
          <w:highlight w:val="none"/>
          <w:lang w:val="zh-CN"/>
        </w:rPr>
        <w:t>日签字生效，有效期至投标文件失效期止，</w:t>
      </w:r>
      <w:r>
        <w:rPr>
          <w:rFonts w:hint="eastAsia" w:ascii="宋体" w:hAnsi="宋体" w:eastAsia="宋体" w:cs="宋体"/>
          <w:color w:val="000000"/>
          <w:szCs w:val="21"/>
          <w:highlight w:val="none"/>
        </w:rPr>
        <w:t>代理人无转委托权，</w:t>
      </w:r>
      <w:r>
        <w:rPr>
          <w:rFonts w:hint="eastAsia" w:ascii="宋体" w:hAnsi="宋体" w:eastAsia="宋体" w:cs="宋体"/>
          <w:color w:val="000000"/>
          <w:szCs w:val="24"/>
          <w:highlight w:val="none"/>
          <w:lang w:val="zh-CN"/>
        </w:rPr>
        <w:t>特此声明</w:t>
      </w:r>
      <w:r>
        <w:rPr>
          <w:rFonts w:hint="eastAsia" w:ascii="宋体" w:hAnsi="宋体" w:eastAsia="宋体" w:cs="宋体"/>
          <w:color w:val="auto"/>
          <w:szCs w:val="24"/>
          <w:highlight w:val="none"/>
          <w:lang w:val="zh-CN"/>
        </w:rPr>
        <w:t>。</w:t>
      </w:r>
    </w:p>
    <w:p w14:paraId="35118CE2">
      <w:pPr>
        <w:kinsoku/>
        <w:overflowPunct/>
        <w:bidi w:val="0"/>
        <w:spacing w:before="120" w:after="120" w:line="360" w:lineRule="auto"/>
        <w:ind w:left="348" w:leftChars="136" w:hanging="62"/>
        <w:outlineLvl w:val="9"/>
        <w:rPr>
          <w:rFonts w:ascii="宋体" w:hAnsi="宋体" w:eastAsia="宋体" w:cs="宋体"/>
          <w:color w:val="auto"/>
          <w:szCs w:val="24"/>
          <w:highlight w:val="none"/>
        </w:rPr>
      </w:pPr>
    </w:p>
    <w:p w14:paraId="6E12A09E">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22BD90AC">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81865A8">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4337BBE8">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B400300">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6B8CB2E5">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8DCBAF7">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D95F375">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52098CB">
      <w:pPr>
        <w:pStyle w:val="39"/>
        <w:widowControl w:val="0"/>
        <w:kinsoku/>
        <w:overflowPunct/>
        <w:bidi w:val="0"/>
        <w:snapToGrid w:val="0"/>
        <w:spacing w:before="0" w:beforeAutospacing="0" w:after="0" w:afterAutospacing="0" w:line="360" w:lineRule="auto"/>
        <w:jc w:val="center"/>
        <w:outlineLvl w:val="9"/>
        <w:rPr>
          <w:rFonts w:eastAsia="宋体" w:cs="宋体"/>
          <w:b/>
          <w:color w:val="auto"/>
          <w:sz w:val="21"/>
          <w:szCs w:val="21"/>
          <w:highlight w:val="none"/>
          <w:lang w:bidi="ar"/>
        </w:rPr>
      </w:pPr>
    </w:p>
    <w:p w14:paraId="6A12CC24">
      <w:pPr>
        <w:widowControl/>
        <w:kinsoku/>
        <w:overflowPunct/>
        <w:autoSpaceDE w:val="0"/>
        <w:autoSpaceDN w:val="0"/>
        <w:bidi w:val="0"/>
        <w:spacing w:before="120" w:after="120" w:line="360" w:lineRule="auto"/>
        <w:ind w:right="781" w:rightChars="372" w:firstLine="422" w:firstLineChars="200"/>
        <w:textAlignment w:val="bottom"/>
        <w:outlineLvl w:val="9"/>
        <w:rPr>
          <w:rFonts w:ascii="宋体" w:hAnsi="宋体" w:eastAsia="宋体" w:cs="宋体"/>
          <w:color w:val="auto"/>
          <w:szCs w:val="24"/>
          <w:highlight w:val="none"/>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735BB21C">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212EC2E"/>
                          <w:p w14:paraId="6DDED733"/>
                          <w:p w14:paraId="7D478BB1"/>
                          <w:p w14:paraId="32CF4E8B"/>
                          <w:p w14:paraId="185232A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212EC2E"/>
                    <w:p w14:paraId="6DDED733"/>
                    <w:p w14:paraId="7D478BB1"/>
                    <w:p w14:paraId="32CF4E8B"/>
                    <w:p w14:paraId="185232A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6BD01AC"/>
                          <w:p w14:paraId="7326774B"/>
                          <w:p w14:paraId="2BE2E447"/>
                          <w:p w14:paraId="5CD59688"/>
                          <w:p w14:paraId="54E2C45F">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6BD01AC"/>
                    <w:p w14:paraId="7326774B"/>
                    <w:p w14:paraId="2BE2E447"/>
                    <w:p w14:paraId="5CD59688"/>
                    <w:p w14:paraId="54E2C45F">
                      <w:pPr>
                        <w:jc w:val="center"/>
                        <w:rPr>
                          <w:rFonts w:hAnsi="宋体"/>
                        </w:rPr>
                      </w:pPr>
                      <w:r>
                        <w:rPr>
                          <w:rFonts w:hint="eastAsia" w:hAnsi="宋体"/>
                        </w:rPr>
                        <w:t>法定代表人身份证正面</w:t>
                      </w:r>
                    </w:p>
                  </w:txbxContent>
                </v:textbox>
              </v:shape>
            </w:pict>
          </mc:Fallback>
        </mc:AlternateContent>
      </w:r>
    </w:p>
    <w:p w14:paraId="6ABA3680">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07F5031F">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444ECB92">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7288969">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61B6293">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335C0DC9">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4A1751B">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CCC1B2E">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23CEA09">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B49C016"/>
                          <w:p w14:paraId="0CE63F95">
                            <w:pPr>
                              <w:jc w:val="center"/>
                              <w:rPr>
                                <w:rFonts w:hAnsi="宋体"/>
                                <w:color w:val="FF0000"/>
                              </w:rPr>
                            </w:pPr>
                          </w:p>
                          <w:p w14:paraId="7F2B8030">
                            <w:pPr>
                              <w:jc w:val="center"/>
                              <w:rPr>
                                <w:rFonts w:hAnsi="宋体"/>
                                <w:color w:val="FF0000"/>
                              </w:rPr>
                            </w:pPr>
                          </w:p>
                          <w:p w14:paraId="3A1F78B3">
                            <w:pPr>
                              <w:jc w:val="center"/>
                              <w:rPr>
                                <w:rFonts w:hAnsi="宋体"/>
                                <w:color w:val="FF0000"/>
                              </w:rPr>
                            </w:pPr>
                          </w:p>
                          <w:p w14:paraId="70CBFD6C">
                            <w:pPr>
                              <w:jc w:val="center"/>
                            </w:pPr>
                            <w:r>
                              <w:rPr>
                                <w:rFonts w:hint="eastAsia" w:hAnsi="宋体"/>
                              </w:rPr>
                              <w:t>被授权人身份证反面</w:t>
                            </w:r>
                          </w:p>
                          <w:p w14:paraId="296AB52D"/>
                          <w:p w14:paraId="7FDC289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B49C016"/>
                    <w:p w14:paraId="0CE63F95">
                      <w:pPr>
                        <w:jc w:val="center"/>
                        <w:rPr>
                          <w:rFonts w:hAnsi="宋体"/>
                          <w:color w:val="FF0000"/>
                        </w:rPr>
                      </w:pPr>
                    </w:p>
                    <w:p w14:paraId="7F2B8030">
                      <w:pPr>
                        <w:jc w:val="center"/>
                        <w:rPr>
                          <w:rFonts w:hAnsi="宋体"/>
                          <w:color w:val="FF0000"/>
                        </w:rPr>
                      </w:pPr>
                    </w:p>
                    <w:p w14:paraId="3A1F78B3">
                      <w:pPr>
                        <w:jc w:val="center"/>
                        <w:rPr>
                          <w:rFonts w:hAnsi="宋体"/>
                          <w:color w:val="FF0000"/>
                        </w:rPr>
                      </w:pPr>
                    </w:p>
                    <w:p w14:paraId="70CBFD6C">
                      <w:pPr>
                        <w:jc w:val="center"/>
                      </w:pPr>
                      <w:r>
                        <w:rPr>
                          <w:rFonts w:hint="eastAsia" w:hAnsi="宋体"/>
                        </w:rPr>
                        <w:t>被授权人身份证反面</w:t>
                      </w:r>
                    </w:p>
                    <w:p w14:paraId="296AB52D"/>
                    <w:p w14:paraId="7FDC289A"/>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6268104"/>
                          <w:p w14:paraId="0938A9DB">
                            <w:pPr>
                              <w:jc w:val="center"/>
                              <w:rPr>
                                <w:rFonts w:hAnsi="宋体"/>
                                <w:color w:val="FF0000"/>
                              </w:rPr>
                            </w:pPr>
                          </w:p>
                          <w:p w14:paraId="44C6ED7D">
                            <w:pPr>
                              <w:jc w:val="center"/>
                              <w:rPr>
                                <w:rFonts w:hAnsi="宋体"/>
                                <w:color w:val="FF0000"/>
                              </w:rPr>
                            </w:pPr>
                          </w:p>
                          <w:p w14:paraId="76D0AF2B">
                            <w:pPr>
                              <w:jc w:val="center"/>
                              <w:rPr>
                                <w:rFonts w:hAnsi="宋体"/>
                                <w:color w:val="FF0000"/>
                              </w:rPr>
                            </w:pPr>
                          </w:p>
                          <w:p w14:paraId="1BD528DA">
                            <w:pPr>
                              <w:jc w:val="center"/>
                            </w:pPr>
                            <w:r>
                              <w:rPr>
                                <w:rFonts w:hint="eastAsia" w:hAnsi="宋体"/>
                              </w:rPr>
                              <w:t>被授权人身份证正面</w:t>
                            </w:r>
                          </w:p>
                          <w:p w14:paraId="1B4B8306"/>
                          <w:p w14:paraId="54F1E57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26268104"/>
                    <w:p w14:paraId="0938A9DB">
                      <w:pPr>
                        <w:jc w:val="center"/>
                        <w:rPr>
                          <w:rFonts w:hAnsi="宋体"/>
                          <w:color w:val="FF0000"/>
                        </w:rPr>
                      </w:pPr>
                    </w:p>
                    <w:p w14:paraId="44C6ED7D">
                      <w:pPr>
                        <w:jc w:val="center"/>
                        <w:rPr>
                          <w:rFonts w:hAnsi="宋体"/>
                          <w:color w:val="FF0000"/>
                        </w:rPr>
                      </w:pPr>
                    </w:p>
                    <w:p w14:paraId="76D0AF2B">
                      <w:pPr>
                        <w:jc w:val="center"/>
                        <w:rPr>
                          <w:rFonts w:hAnsi="宋体"/>
                          <w:color w:val="FF0000"/>
                        </w:rPr>
                      </w:pPr>
                    </w:p>
                    <w:p w14:paraId="1BD528DA">
                      <w:pPr>
                        <w:jc w:val="center"/>
                      </w:pPr>
                      <w:r>
                        <w:rPr>
                          <w:rFonts w:hint="eastAsia" w:hAnsi="宋体"/>
                        </w:rPr>
                        <w:t>被授权人身份证正面</w:t>
                      </w:r>
                    </w:p>
                    <w:p w14:paraId="1B4B8306"/>
                    <w:p w14:paraId="54F1E576"/>
                  </w:txbxContent>
                </v:textbox>
              </v:shape>
            </w:pict>
          </mc:Fallback>
        </mc:AlternateContent>
      </w:r>
    </w:p>
    <w:p w14:paraId="44043D49">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14E0D7F">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DA84193">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729AA741">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5D42A39">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3916ED8">
      <w:pPr>
        <w:widowControl/>
        <w:kinsoku/>
        <w:overflowPunct/>
        <w:autoSpaceDE w:val="0"/>
        <w:autoSpaceDN w:val="0"/>
        <w:bidi w:val="0"/>
        <w:spacing w:before="120" w:after="120" w:line="360" w:lineRule="auto"/>
        <w:ind w:right="781" w:rightChars="372" w:firstLine="422" w:firstLineChars="200"/>
        <w:textAlignment w:val="bottom"/>
        <w:outlineLvl w:val="9"/>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69BD4F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hint="eastAsia" w:ascii="宋体" w:hAnsi="宋体" w:eastAsia="宋体" w:cs="宋体"/>
          <w:b/>
          <w:color w:val="auto"/>
          <w:kern w:val="0"/>
          <w:sz w:val="30"/>
          <w:szCs w:val="30"/>
          <w:highlight w:val="none"/>
          <w:lang w:val="zh-CN" w:eastAsia="zh-CN"/>
        </w:rPr>
      </w:pPr>
      <w:bookmarkStart w:id="583" w:name="_Toc28258"/>
      <w:bookmarkStart w:id="584" w:name="_Toc17605"/>
      <w:bookmarkStart w:id="585" w:name="_Toc4118"/>
      <w:bookmarkStart w:id="586" w:name="_Toc21507"/>
      <w:bookmarkStart w:id="587" w:name="_Toc32328"/>
      <w:bookmarkStart w:id="588" w:name="_Toc10084"/>
      <w:bookmarkStart w:id="589" w:name="_Toc12400"/>
      <w:bookmarkStart w:id="590" w:name="_Toc15716"/>
      <w:bookmarkStart w:id="591" w:name="_Toc195714386"/>
      <w:bookmarkStart w:id="592" w:name="_Toc23849"/>
      <w:bookmarkStart w:id="593" w:name="_Toc29471"/>
      <w:bookmarkStart w:id="594" w:name="_Toc104991880"/>
      <w:bookmarkStart w:id="595" w:name="_Toc94107214"/>
      <w:bookmarkStart w:id="596" w:name="_Toc1977730"/>
      <w:bookmarkStart w:id="597" w:name="_Toc142508373"/>
      <w:bookmarkStart w:id="598" w:name="_Toc140596933"/>
      <w:r>
        <w:rPr>
          <w:rFonts w:hint="eastAsia" w:ascii="宋体" w:hAnsi="宋体" w:eastAsia="宋体" w:cs="宋体"/>
          <w:b/>
          <w:color w:val="auto"/>
          <w:kern w:val="0"/>
          <w:sz w:val="30"/>
          <w:szCs w:val="30"/>
          <w:highlight w:val="none"/>
          <w:lang w:val="en-US" w:eastAsia="zh-CN"/>
        </w:rPr>
        <w:t>5.4 资格业绩</w:t>
      </w:r>
      <w:bookmarkEnd w:id="583"/>
      <w:bookmarkEnd w:id="584"/>
      <w:bookmarkEnd w:id="585"/>
    </w:p>
    <w:p w14:paraId="36595F0B">
      <w:pPr>
        <w:spacing w:line="360" w:lineRule="auto"/>
        <w:rPr>
          <w:rFonts w:hint="default" w:ascii="宋体" w:hAnsi="宋体" w:eastAsia="宋体" w:cs="宋体"/>
          <w:b/>
          <w:color w:val="auto"/>
          <w:sz w:val="30"/>
          <w:szCs w:val="30"/>
          <w:highlight w:val="none"/>
          <w:lang w:val="en-US" w:eastAsia="zh-CN"/>
        </w:rPr>
      </w:pP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88"/>
        <w:gridCol w:w="992"/>
        <w:gridCol w:w="1049"/>
        <w:gridCol w:w="1049"/>
        <w:gridCol w:w="1049"/>
        <w:gridCol w:w="1049"/>
        <w:gridCol w:w="1197"/>
        <w:gridCol w:w="1051"/>
        <w:gridCol w:w="1003"/>
      </w:tblGrid>
      <w:tr w14:paraId="4C5C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377" w:type="pct"/>
            <w:noWrap w:val="0"/>
            <w:vAlign w:val="center"/>
          </w:tcPr>
          <w:p w14:paraId="2BF2783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43" w:type="pct"/>
            <w:noWrap w:val="0"/>
            <w:vAlign w:val="center"/>
          </w:tcPr>
          <w:p w14:paraId="063F0E7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574" w:type="pct"/>
            <w:noWrap w:val="0"/>
            <w:vAlign w:val="center"/>
          </w:tcPr>
          <w:p w14:paraId="3012C8A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合同金额（万元）</w:t>
            </w:r>
          </w:p>
        </w:tc>
        <w:tc>
          <w:tcPr>
            <w:tcW w:w="574" w:type="pct"/>
            <w:noWrap w:val="0"/>
            <w:vAlign w:val="center"/>
          </w:tcPr>
          <w:p w14:paraId="360B95B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合同主要服务内容</w:t>
            </w:r>
          </w:p>
        </w:tc>
        <w:tc>
          <w:tcPr>
            <w:tcW w:w="574" w:type="pct"/>
            <w:noWrap w:val="0"/>
            <w:vAlign w:val="center"/>
          </w:tcPr>
          <w:p w14:paraId="0805695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合同期限</w:t>
            </w:r>
          </w:p>
        </w:tc>
        <w:tc>
          <w:tcPr>
            <w:tcW w:w="574" w:type="pct"/>
            <w:noWrap w:val="0"/>
            <w:vAlign w:val="center"/>
          </w:tcPr>
          <w:p w14:paraId="48BB75A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签约日期</w:t>
            </w:r>
          </w:p>
        </w:tc>
        <w:tc>
          <w:tcPr>
            <w:tcW w:w="655" w:type="pct"/>
            <w:noWrap w:val="0"/>
            <w:vAlign w:val="center"/>
          </w:tcPr>
          <w:p w14:paraId="1FBD85C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服务情况</w:t>
            </w:r>
          </w:p>
        </w:tc>
        <w:tc>
          <w:tcPr>
            <w:tcW w:w="575" w:type="pct"/>
            <w:noWrap w:val="0"/>
            <w:vAlign w:val="center"/>
          </w:tcPr>
          <w:p w14:paraId="1242D8D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业主联系人及电话</w:t>
            </w:r>
          </w:p>
        </w:tc>
        <w:tc>
          <w:tcPr>
            <w:tcW w:w="549" w:type="pct"/>
            <w:noWrap w:val="0"/>
            <w:vAlign w:val="center"/>
          </w:tcPr>
          <w:p w14:paraId="19D350B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1284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7" w:type="pct"/>
            <w:noWrap w:val="0"/>
            <w:vAlign w:val="center"/>
          </w:tcPr>
          <w:p w14:paraId="4A22844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3" w:type="pct"/>
            <w:noWrap w:val="0"/>
            <w:vAlign w:val="center"/>
          </w:tcPr>
          <w:p w14:paraId="43E5BC7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4" w:type="pct"/>
            <w:noWrap w:val="0"/>
            <w:vAlign w:val="center"/>
          </w:tcPr>
          <w:p w14:paraId="0FB82A7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4" w:type="pct"/>
            <w:noWrap w:val="0"/>
            <w:vAlign w:val="center"/>
          </w:tcPr>
          <w:p w14:paraId="4E689B2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4" w:type="pct"/>
            <w:noWrap w:val="0"/>
            <w:vAlign w:val="center"/>
          </w:tcPr>
          <w:p w14:paraId="42C1F8A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4" w:type="pct"/>
            <w:noWrap w:val="0"/>
            <w:vAlign w:val="center"/>
          </w:tcPr>
          <w:p w14:paraId="66D608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55" w:type="pct"/>
            <w:noWrap w:val="0"/>
            <w:vAlign w:val="center"/>
          </w:tcPr>
          <w:p w14:paraId="0D26E15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5" w:type="pct"/>
            <w:noWrap w:val="0"/>
            <w:vAlign w:val="center"/>
          </w:tcPr>
          <w:p w14:paraId="5BDCC79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49" w:type="pct"/>
            <w:noWrap w:val="0"/>
            <w:vAlign w:val="center"/>
          </w:tcPr>
          <w:p w14:paraId="6F86B6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14:paraId="5DF2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7" w:type="pct"/>
            <w:noWrap w:val="0"/>
            <w:vAlign w:val="center"/>
          </w:tcPr>
          <w:p w14:paraId="57E36E8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543" w:type="pct"/>
            <w:noWrap w:val="0"/>
            <w:vAlign w:val="center"/>
          </w:tcPr>
          <w:p w14:paraId="1B8D8B9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4" w:type="pct"/>
            <w:noWrap w:val="0"/>
            <w:vAlign w:val="center"/>
          </w:tcPr>
          <w:p w14:paraId="3F00304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4" w:type="pct"/>
            <w:noWrap w:val="0"/>
            <w:vAlign w:val="center"/>
          </w:tcPr>
          <w:p w14:paraId="10A6E37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4" w:type="pct"/>
            <w:noWrap w:val="0"/>
            <w:vAlign w:val="center"/>
          </w:tcPr>
          <w:p w14:paraId="2C9642D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4" w:type="pct"/>
            <w:noWrap w:val="0"/>
            <w:vAlign w:val="center"/>
          </w:tcPr>
          <w:p w14:paraId="564256D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55" w:type="pct"/>
            <w:noWrap w:val="0"/>
            <w:vAlign w:val="center"/>
          </w:tcPr>
          <w:p w14:paraId="5F7F1EA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75" w:type="pct"/>
            <w:noWrap w:val="0"/>
            <w:vAlign w:val="center"/>
          </w:tcPr>
          <w:p w14:paraId="73E69A2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49" w:type="pct"/>
            <w:noWrap w:val="0"/>
            <w:vAlign w:val="center"/>
          </w:tcPr>
          <w:p w14:paraId="271792B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bl>
    <w:p w14:paraId="24C5BD92">
      <w:pPr>
        <w:spacing w:line="360" w:lineRule="auto"/>
        <w:ind w:left="424" w:hanging="424" w:hangingChars="201"/>
        <w:rPr>
          <w:rFonts w:hint="eastAsia" w:ascii="宋体" w:hAnsi="宋体" w:eastAsia="宋体" w:cs="宋体"/>
          <w:b/>
          <w:color w:val="auto"/>
          <w:szCs w:val="21"/>
          <w:highlight w:val="none"/>
          <w:lang w:val="zh-CN"/>
        </w:rPr>
      </w:pPr>
    </w:p>
    <w:p w14:paraId="409A96D2">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CEA8284">
      <w:pPr>
        <w:spacing w:line="360" w:lineRule="auto"/>
        <w:ind w:left="422" w:hanging="424" w:hangingChars="20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1、标段一：投标人提供一份2021年1月1日以来服务或货物类采购代理业绩。</w:t>
      </w:r>
    </w:p>
    <w:p w14:paraId="0E6B3F3E">
      <w:pPr>
        <w:spacing w:line="360" w:lineRule="auto"/>
        <w:ind w:left="422" w:hanging="422" w:hangingChars="201"/>
        <w:rPr>
          <w:rFonts w:ascii="宋体" w:hAnsi="宋体" w:eastAsia="宋体" w:cs="宋体"/>
          <w:szCs w:val="21"/>
          <w:highlight w:val="none"/>
          <w:lang w:val="zh-CN"/>
        </w:rPr>
      </w:pPr>
      <w:r>
        <w:rPr>
          <w:rFonts w:hint="eastAsia" w:ascii="宋体" w:hAnsi="宋体" w:eastAsia="宋体" w:cs="宋体"/>
          <w:szCs w:val="21"/>
          <w:highlight w:val="none"/>
          <w:lang w:val="zh-CN"/>
        </w:rPr>
        <w:t>（1）企业采购代理业绩中，与工程建设有关的设备、材料等货物采购不予得分；与工程建设有关的勘察、设计、监理等服务采购不予得分；</w:t>
      </w:r>
    </w:p>
    <w:p w14:paraId="06BC51E9">
      <w:pPr>
        <w:spacing w:line="360" w:lineRule="auto"/>
        <w:ind w:left="420" w:hanging="420" w:hangingChars="200"/>
        <w:rPr>
          <w:rFonts w:hint="eastAsia" w:ascii="宋体" w:hAnsi="宋体" w:eastAsia="宋体" w:cs="宋体"/>
          <w:color w:val="000000"/>
          <w:szCs w:val="21"/>
          <w:highlight w:val="none"/>
          <w:lang w:val="zh-CN"/>
        </w:rPr>
      </w:pPr>
      <w:r>
        <w:rPr>
          <w:rFonts w:hint="eastAsia" w:ascii="宋体" w:hAnsi="宋体" w:eastAsia="宋体" w:cs="宋体"/>
          <w:szCs w:val="21"/>
          <w:highlight w:val="none"/>
          <w:lang w:val="zh-CN"/>
        </w:rPr>
        <w:t>（2）采购代理业绩的时间以中标（成交）通知书为准，须同时提供采购代理协议（代理合同）、采购公告、采购结果公告及中标（成交）通知书复印件</w:t>
      </w:r>
      <w:r>
        <w:rPr>
          <w:rFonts w:hint="eastAsia" w:ascii="宋体" w:hAnsi="宋体" w:eastAsia="宋体" w:cs="宋体"/>
          <w:color w:val="000000"/>
          <w:szCs w:val="21"/>
          <w:highlight w:val="none"/>
          <w:lang w:val="zh-CN"/>
        </w:rPr>
        <w:t>；</w:t>
      </w:r>
    </w:p>
    <w:p w14:paraId="008B3066">
      <w:pPr>
        <w:autoSpaceDE/>
        <w:autoSpaceDN/>
        <w:adjustRightInd/>
        <w:spacing w:line="360" w:lineRule="auto"/>
        <w:ind w:left="422" w:hanging="424" w:hangingChars="201"/>
        <w:jc w:val="left"/>
        <w:outlineLvl w:val="9"/>
        <w:rPr>
          <w:rFonts w:hint="eastAsia" w:ascii="宋体" w:hAnsi="宋体" w:eastAsia="宋体" w:cs="宋体"/>
          <w:b/>
          <w:bCs/>
          <w:color w:val="000000"/>
          <w:szCs w:val="21"/>
          <w:highlight w:val="none"/>
          <w:u w:val="single"/>
          <w:lang w:val="zh-CN"/>
        </w:rPr>
      </w:pPr>
      <w:bookmarkStart w:id="599" w:name="_Toc12931"/>
      <w:bookmarkStart w:id="600" w:name="_Toc20010"/>
      <w:bookmarkStart w:id="601" w:name="_Toc24862"/>
      <w:r>
        <w:rPr>
          <w:rFonts w:hint="eastAsia" w:ascii="宋体" w:hAnsi="宋体" w:eastAsia="宋体" w:cs="宋体"/>
          <w:b/>
          <w:bCs/>
          <w:color w:val="000000"/>
          <w:szCs w:val="21"/>
          <w:highlight w:val="none"/>
          <w:u w:val="single"/>
          <w:lang w:val="zh-CN"/>
        </w:rPr>
        <w:t>（</w:t>
      </w:r>
      <w:r>
        <w:rPr>
          <w:rFonts w:hint="eastAsia" w:ascii="宋体" w:hAnsi="宋体" w:eastAsia="宋体" w:cs="宋体"/>
          <w:b/>
          <w:bCs/>
          <w:color w:val="000000"/>
          <w:szCs w:val="21"/>
          <w:highlight w:val="none"/>
          <w:u w:val="single"/>
          <w:lang w:val="en-US" w:eastAsia="zh-CN"/>
        </w:rPr>
        <w:t>3</w:t>
      </w:r>
      <w:r>
        <w:rPr>
          <w:rFonts w:hint="eastAsia" w:ascii="宋体" w:hAnsi="宋体" w:eastAsia="宋体" w:cs="宋体"/>
          <w:b/>
          <w:bCs/>
          <w:color w:val="000000"/>
          <w:szCs w:val="21"/>
          <w:highlight w:val="none"/>
          <w:u w:val="single"/>
          <w:lang w:val="zh-CN"/>
        </w:rPr>
        <w:t>）</w:t>
      </w:r>
      <w:bookmarkEnd w:id="599"/>
      <w:bookmarkEnd w:id="600"/>
      <w:bookmarkEnd w:id="601"/>
      <w:r>
        <w:rPr>
          <w:rFonts w:hint="eastAsia" w:ascii="宋体" w:hAnsi="宋体" w:eastAsia="宋体" w:cs="宋体"/>
          <w:b/>
          <w:bCs/>
          <w:color w:val="000000"/>
          <w:szCs w:val="21"/>
          <w:highlight w:val="none"/>
          <w:u w:val="single"/>
          <w:lang w:val="zh-CN"/>
        </w:rPr>
        <w:t>未按上述要求在此格式下提供证明材料的业绩，或在此格式下所附材料无法证明符合资格要求的业绩，按无效投标文件处理。</w:t>
      </w:r>
    </w:p>
    <w:p w14:paraId="2ECD5FC7">
      <w:pPr>
        <w:spacing w:line="360" w:lineRule="auto"/>
        <w:ind w:left="422" w:hanging="424" w:hangingChars="20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2、标段二：</w:t>
      </w:r>
      <w:r>
        <w:rPr>
          <w:rFonts w:hint="eastAsia" w:ascii="宋体" w:hAnsi="宋体" w:eastAsia="宋体" w:cs="宋体"/>
          <w:b/>
          <w:color w:val="auto"/>
          <w:sz w:val="21"/>
          <w:szCs w:val="21"/>
          <w:highlight w:val="none"/>
          <w:lang w:val="zh-CN" w:eastAsia="zh-CN"/>
        </w:rPr>
        <w:t>投标人</w:t>
      </w:r>
      <w:r>
        <w:rPr>
          <w:rFonts w:hint="eastAsia" w:ascii="宋体" w:hAnsi="宋体" w:eastAsia="宋体" w:cs="宋体"/>
          <w:b/>
          <w:color w:val="auto"/>
          <w:sz w:val="21"/>
          <w:szCs w:val="21"/>
          <w:highlight w:val="none"/>
          <w:lang w:val="en-US" w:eastAsia="zh-CN"/>
        </w:rPr>
        <w:t>2021</w:t>
      </w:r>
      <w:r>
        <w:rPr>
          <w:rFonts w:hint="eastAsia" w:ascii="宋体" w:hAnsi="宋体" w:eastAsia="宋体" w:cs="宋体"/>
          <w:b/>
          <w:sz w:val="21"/>
          <w:szCs w:val="21"/>
          <w:highlight w:val="none"/>
          <w:lang w:val="zh-CN"/>
        </w:rPr>
        <w:t>年</w:t>
      </w:r>
      <w:r>
        <w:rPr>
          <w:rFonts w:hint="eastAsia" w:ascii="宋体" w:hAnsi="宋体" w:eastAsia="宋体" w:cs="宋体"/>
          <w:b/>
          <w:sz w:val="21"/>
          <w:szCs w:val="21"/>
          <w:highlight w:val="none"/>
        </w:rPr>
        <w:t>1</w:t>
      </w:r>
      <w:r>
        <w:rPr>
          <w:rFonts w:hint="eastAsia" w:ascii="宋体" w:hAnsi="宋体" w:eastAsia="宋体" w:cs="宋体"/>
          <w:b/>
          <w:sz w:val="21"/>
          <w:szCs w:val="21"/>
          <w:highlight w:val="none"/>
          <w:lang w:val="zh-CN"/>
        </w:rPr>
        <w:t>月</w:t>
      </w:r>
      <w:r>
        <w:rPr>
          <w:rFonts w:hint="eastAsia" w:ascii="宋体" w:hAnsi="宋体" w:eastAsia="宋体" w:cs="宋体"/>
          <w:b/>
          <w:sz w:val="21"/>
          <w:szCs w:val="21"/>
          <w:highlight w:val="none"/>
        </w:rPr>
        <w:t>1</w:t>
      </w:r>
      <w:r>
        <w:rPr>
          <w:rFonts w:hint="eastAsia" w:ascii="宋体" w:hAnsi="宋体" w:eastAsia="宋体" w:cs="宋体"/>
          <w:b/>
          <w:sz w:val="21"/>
          <w:szCs w:val="21"/>
          <w:highlight w:val="none"/>
          <w:lang w:val="zh-CN"/>
        </w:rPr>
        <w:t>日以来具有一份</w:t>
      </w:r>
      <w:r>
        <w:rPr>
          <w:rFonts w:hint="eastAsia" w:ascii="宋体" w:hAnsi="宋体" w:eastAsia="宋体" w:cs="宋体"/>
          <w:b/>
          <w:color w:val="auto"/>
          <w:sz w:val="21"/>
          <w:szCs w:val="21"/>
          <w:highlight w:val="none"/>
          <w:lang w:val="en-US" w:eastAsia="zh-CN"/>
        </w:rPr>
        <w:t>建设工程招标代理业绩</w:t>
      </w:r>
    </w:p>
    <w:p w14:paraId="139446BA">
      <w:pPr>
        <w:spacing w:line="360" w:lineRule="auto"/>
        <w:ind w:left="422" w:hanging="422" w:hangingChars="201"/>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（1）业绩的时间以中标通知书为准，须同时提供招标代理协议、招标公告、中标公告及中标通知书复印件；</w:t>
      </w:r>
    </w:p>
    <w:p w14:paraId="51A4CADF">
      <w:pPr>
        <w:autoSpaceDE/>
        <w:autoSpaceDN/>
        <w:adjustRightInd/>
        <w:spacing w:line="360" w:lineRule="auto"/>
        <w:ind w:left="422" w:hanging="424" w:hangingChars="201"/>
        <w:jc w:val="left"/>
        <w:outlineLvl w:val="9"/>
        <w:rPr>
          <w:rFonts w:hint="eastAsia" w:ascii="宋体" w:hAnsi="宋体" w:eastAsia="宋体" w:cs="宋体"/>
          <w:b/>
          <w:bCs/>
          <w:color w:val="000000"/>
          <w:szCs w:val="21"/>
          <w:highlight w:val="none"/>
          <w:u w:val="single"/>
          <w:lang w:val="en-US" w:eastAsia="zh-CN"/>
        </w:rPr>
      </w:pPr>
      <w:r>
        <w:rPr>
          <w:rFonts w:hint="eastAsia" w:ascii="宋体" w:hAnsi="宋体" w:eastAsia="宋体" w:cs="宋体"/>
          <w:b/>
          <w:bCs/>
          <w:color w:val="000000"/>
          <w:szCs w:val="21"/>
          <w:highlight w:val="none"/>
          <w:u w:val="single"/>
          <w:lang w:val="en-US" w:eastAsia="zh-CN"/>
        </w:rPr>
        <w:t>（2）未按上述要求在此格式下提供证明材料的业绩，或在此格式下所附材料无法证明符合资格要求的业绩，按无效投标文件处理。</w:t>
      </w:r>
    </w:p>
    <w:p w14:paraId="268B8635">
      <w:pPr>
        <w:keepNext w:val="0"/>
        <w:keepLines w:val="0"/>
        <w:widowControl w:val="0"/>
        <w:suppressLineNumbers w:val="0"/>
        <w:autoSpaceDE w:val="0"/>
        <w:autoSpaceDN w:val="0"/>
        <w:adjustRightInd w:val="0"/>
        <w:spacing w:before="0" w:beforeAutospacing="0" w:after="0" w:afterAutospacing="0" w:line="360" w:lineRule="auto"/>
        <w:ind w:left="0" w:right="0" w:firstLine="3780" w:firstLineChars="1800"/>
        <w:jc w:val="both"/>
        <w:rPr>
          <w:rFonts w:hint="eastAsia" w:ascii="宋体" w:hAnsi="宋体" w:eastAsia="宋体" w:cs="宋体"/>
          <w:color w:val="auto"/>
          <w:kern w:val="2"/>
          <w:sz w:val="21"/>
          <w:szCs w:val="21"/>
          <w:highlight w:val="none"/>
          <w:lang w:val="en-US" w:eastAsia="zh-CN" w:bidi="ar"/>
        </w:rPr>
      </w:pPr>
    </w:p>
    <w:p w14:paraId="0508C7C8">
      <w:pPr>
        <w:keepNext w:val="0"/>
        <w:keepLines w:val="0"/>
        <w:widowControl w:val="0"/>
        <w:suppressLineNumbers w:val="0"/>
        <w:autoSpaceDE w:val="0"/>
        <w:autoSpaceDN w:val="0"/>
        <w:adjustRightInd w:val="0"/>
        <w:spacing w:before="0" w:beforeAutospacing="0" w:after="0" w:afterAutospacing="0" w:line="360" w:lineRule="auto"/>
        <w:ind w:left="0" w:right="0" w:firstLine="3780" w:firstLineChars="18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u w:val="single"/>
          <w:lang w:val="en-US" w:eastAsia="zh-CN" w:bidi="ar"/>
        </w:rPr>
        <w:t xml:space="preserve">             （企业数字证书电子签名）</w:t>
      </w:r>
    </w:p>
    <w:p w14:paraId="0D3EBB23">
      <w:pPr>
        <w:keepNext w:val="0"/>
        <w:keepLines w:val="0"/>
        <w:widowControl w:val="0"/>
        <w:suppressLineNumbers w:val="0"/>
        <w:autoSpaceDE w:val="0"/>
        <w:autoSpaceDN w:val="0"/>
        <w:adjustRightInd w:val="0"/>
        <w:spacing w:before="0" w:beforeAutospacing="0" w:after="0" w:afterAutospacing="0" w:line="360" w:lineRule="auto"/>
        <w:ind w:left="0" w:right="0" w:firstLine="3780" w:firstLineChars="180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7E8678E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lang w:val="en-US" w:eastAsia="zh-CN" w:bidi="ar"/>
        </w:rPr>
        <w:t xml:space="preserve"> </w:t>
      </w:r>
    </w:p>
    <w:p w14:paraId="512E310C">
      <w:pPr>
        <w:keepNext w:val="0"/>
        <w:keepLines w:val="0"/>
        <w:widowControl/>
        <w:suppressLineNumbers w:val="0"/>
        <w:autoSpaceDE w:val="0"/>
        <w:autoSpaceDN w:val="0"/>
        <w:adjustRightInd w:val="0"/>
        <w:spacing w:before="0" w:beforeAutospacing="0" w:after="0" w:afterAutospacing="0" w:line="360" w:lineRule="auto"/>
        <w:ind w:left="0" w:leftChars="0" w:right="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2"/>
          <w:sz w:val="21"/>
          <w:szCs w:val="21"/>
          <w:highlight w:val="none"/>
          <w:lang w:val="en-US" w:eastAsia="zh-CN" w:bidi="ar"/>
        </w:rPr>
        <w:t>说明：由投标人使用投标人的企业数字证书电子签名。</w:t>
      </w:r>
    </w:p>
    <w:p w14:paraId="09E43907">
      <w:pPr>
        <w:spacing w:line="360" w:lineRule="auto"/>
        <w:ind w:left="424" w:hanging="605" w:hangingChars="201"/>
        <w:rPr>
          <w:rFonts w:ascii="宋体" w:hAnsi="宋体" w:eastAsia="宋体" w:cs="宋体"/>
          <w:b/>
          <w:color w:val="auto"/>
          <w:kern w:val="0"/>
          <w:sz w:val="30"/>
          <w:szCs w:val="30"/>
          <w:highlight w:val="none"/>
        </w:rPr>
      </w:pPr>
    </w:p>
    <w:bookmarkEnd w:id="586"/>
    <w:bookmarkEnd w:id="587"/>
    <w:bookmarkEnd w:id="588"/>
    <w:bookmarkEnd w:id="589"/>
    <w:bookmarkEnd w:id="590"/>
    <w:bookmarkEnd w:id="591"/>
    <w:bookmarkEnd w:id="592"/>
    <w:bookmarkEnd w:id="593"/>
    <w:p w14:paraId="5D61ED82">
      <w:pPr>
        <w:kinsoku/>
        <w:overflowPunct/>
        <w:bidi w:val="0"/>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1C82368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Times New Roman"/>
          <w:b/>
          <w:bCs/>
          <w:color w:val="auto"/>
          <w:sz w:val="32"/>
          <w:szCs w:val="32"/>
          <w:highlight w:val="none"/>
          <w:lang w:val="zh-CN"/>
        </w:rPr>
      </w:pPr>
      <w:bookmarkStart w:id="602" w:name="_Toc8121"/>
      <w:bookmarkStart w:id="603" w:name="_Toc21843"/>
      <w:bookmarkStart w:id="604" w:name="_Toc8599"/>
      <w:bookmarkStart w:id="605" w:name="_Toc16429"/>
      <w:bookmarkStart w:id="606" w:name="_Toc7508"/>
      <w:bookmarkStart w:id="607" w:name="_Toc17003"/>
      <w:bookmarkStart w:id="608" w:name="_Toc195714387"/>
      <w:bookmarkStart w:id="609" w:name="_Toc455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最近3年投标人牵涉的其他（失信和违法）处罚说明格式</w:t>
      </w:r>
      <w:bookmarkEnd w:id="594"/>
      <w:bookmarkEnd w:id="595"/>
      <w:bookmarkEnd w:id="596"/>
      <w:bookmarkEnd w:id="597"/>
      <w:bookmarkEnd w:id="598"/>
      <w:bookmarkEnd w:id="602"/>
      <w:bookmarkEnd w:id="603"/>
      <w:bookmarkEnd w:id="604"/>
      <w:bookmarkEnd w:id="605"/>
      <w:bookmarkEnd w:id="606"/>
      <w:bookmarkEnd w:id="607"/>
      <w:bookmarkEnd w:id="608"/>
      <w:bookmarkEnd w:id="609"/>
    </w:p>
    <w:p w14:paraId="4E522334">
      <w:pPr>
        <w:kinsoku/>
        <w:overflowPunct/>
        <w:autoSpaceDE w:val="0"/>
        <w:autoSpaceDN w:val="0"/>
        <w:bidi w:val="0"/>
        <w:adjustRightInd w:val="0"/>
        <w:spacing w:line="360" w:lineRule="auto"/>
        <w:jc w:val="center"/>
        <w:outlineLvl w:val="9"/>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B9C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A443406">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FA40FCB">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0506B0E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5D430E8">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2E5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28A62A4">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506F57BB">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7D184B91">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6BD0B284">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355F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A205FB8">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51D3AE5">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5B580EA8">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4372BCED">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37EA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A59C4B6">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FBBFC0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0AAF6975">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54DC843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bl>
    <w:p w14:paraId="071045B2">
      <w:pPr>
        <w:kinsoku/>
        <w:overflowPunct/>
        <w:autoSpaceDE w:val="0"/>
        <w:autoSpaceDN w:val="0"/>
        <w:bidi w:val="0"/>
        <w:adjustRightInd w:val="0"/>
        <w:spacing w:line="360" w:lineRule="auto"/>
        <w:jc w:val="left"/>
        <w:outlineLvl w:val="9"/>
        <w:rPr>
          <w:rFonts w:ascii="宋体" w:hAnsi="宋体" w:eastAsia="宋体" w:cs="宋体"/>
          <w:color w:val="auto"/>
          <w:kern w:val="0"/>
          <w:szCs w:val="21"/>
          <w:highlight w:val="none"/>
        </w:rPr>
      </w:pPr>
    </w:p>
    <w:p w14:paraId="1960D002">
      <w:pPr>
        <w:kinsoku/>
        <w:overflowPunct/>
        <w:autoSpaceDE w:val="0"/>
        <w:autoSpaceDN w:val="0"/>
        <w:bidi w:val="0"/>
        <w:adjustRightInd w:val="0"/>
        <w:spacing w:line="360" w:lineRule="auto"/>
        <w:jc w:val="left"/>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w:t>
      </w:r>
      <w:r>
        <w:rPr>
          <w:rFonts w:hint="eastAsia" w:ascii="宋体" w:hAnsi="宋体" w:eastAsia="宋体" w:cs="宋体"/>
          <w:color w:val="000000"/>
          <w:kern w:val="0"/>
          <w:szCs w:val="21"/>
          <w:highlight w:val="none"/>
        </w:rPr>
        <w:t>根据投标人及其不具有独立法人资格的分支机构的实际情况自行编写，无相关事项的，在 “认定时间”列填“无”；若受到相关处罚的应附处罚相关材料</w:t>
      </w:r>
      <w:r>
        <w:rPr>
          <w:rFonts w:hint="eastAsia" w:ascii="宋体" w:hAnsi="宋体" w:cs="宋体"/>
          <w:color w:val="000000"/>
          <w:szCs w:val="21"/>
          <w:highlight w:val="none"/>
          <w:lang w:val="zh-CN"/>
        </w:rPr>
        <w:t>原件扫描件</w:t>
      </w:r>
      <w:r>
        <w:rPr>
          <w:rFonts w:hint="eastAsia" w:ascii="宋体" w:hAnsi="宋体" w:eastAsia="宋体" w:cs="宋体"/>
          <w:color w:val="000000"/>
          <w:kern w:val="0"/>
          <w:szCs w:val="21"/>
          <w:highlight w:val="none"/>
        </w:rPr>
        <w:t>；若出现相关处罚的处罚期满,但处罚公示没有及时更新的情况,投标人须提供相关材料(</w:t>
      </w:r>
      <w:r>
        <w:rPr>
          <w:rFonts w:hint="eastAsia" w:ascii="宋体" w:hAnsi="宋体" w:cs="宋体"/>
          <w:color w:val="000000"/>
          <w:szCs w:val="21"/>
          <w:highlight w:val="none"/>
          <w:lang w:val="zh-CN"/>
        </w:rPr>
        <w:t>原件扫描件</w:t>
      </w:r>
      <w:r>
        <w:rPr>
          <w:rFonts w:hint="eastAsia" w:ascii="宋体" w:hAnsi="宋体" w:eastAsia="宋体" w:cs="宋体"/>
          <w:color w:val="000000"/>
          <w:kern w:val="0"/>
          <w:szCs w:val="21"/>
          <w:highlight w:val="none"/>
        </w:rPr>
        <w:t>)佐证，需原件备查</w:t>
      </w:r>
      <w:r>
        <w:rPr>
          <w:rFonts w:hint="eastAsia" w:ascii="宋体" w:hAnsi="宋体" w:eastAsia="宋体" w:cs="宋体"/>
          <w:color w:val="auto"/>
          <w:szCs w:val="21"/>
          <w:highlight w:val="none"/>
          <w:lang w:val="zh-CN"/>
        </w:rPr>
        <w:t>。</w:t>
      </w:r>
    </w:p>
    <w:p w14:paraId="4FA8F831">
      <w:pPr>
        <w:kinsoku/>
        <w:overflowPunct/>
        <w:autoSpaceDE w:val="0"/>
        <w:autoSpaceDN w:val="0"/>
        <w:bidi w:val="0"/>
        <w:adjustRightInd w:val="0"/>
        <w:ind w:right="-23" w:rightChars="-11"/>
        <w:jc w:val="left"/>
        <w:outlineLvl w:val="9"/>
        <w:rPr>
          <w:rFonts w:ascii="宋体" w:hAnsi="宋体" w:eastAsia="宋体" w:cs="Times New Roman"/>
          <w:b/>
          <w:bCs/>
          <w:color w:val="auto"/>
          <w:kern w:val="0"/>
          <w:szCs w:val="21"/>
          <w:highlight w:val="none"/>
          <w:lang w:val="zh-CN"/>
        </w:rPr>
      </w:pPr>
    </w:p>
    <w:p w14:paraId="31DE8829">
      <w:pPr>
        <w:kinsoku/>
        <w:overflowPunct/>
        <w:autoSpaceDE w:val="0"/>
        <w:autoSpaceDN w:val="0"/>
        <w:bidi w:val="0"/>
        <w:adjustRightInd w:val="0"/>
        <w:spacing w:line="360" w:lineRule="auto"/>
        <w:jc w:val="center"/>
        <w:outlineLvl w:val="9"/>
        <w:rPr>
          <w:rFonts w:ascii="宋体" w:hAnsi="宋体" w:eastAsia="宋体" w:cs="宋体"/>
          <w:color w:val="auto"/>
          <w:kern w:val="0"/>
          <w:sz w:val="24"/>
          <w:szCs w:val="24"/>
          <w:highlight w:val="none"/>
        </w:rPr>
      </w:pPr>
    </w:p>
    <w:p w14:paraId="6C949934">
      <w:pPr>
        <w:kinsoku/>
        <w:overflowPunct/>
        <w:bidi w:val="0"/>
        <w:spacing w:line="360" w:lineRule="auto"/>
        <w:ind w:firstLine="494" w:firstLineChars="206"/>
        <w:outlineLvl w:val="9"/>
        <w:rPr>
          <w:rFonts w:ascii="宋体" w:hAnsi="宋体" w:eastAsia="宋体" w:cs="宋体"/>
          <w:color w:val="auto"/>
          <w:kern w:val="0"/>
          <w:sz w:val="24"/>
          <w:szCs w:val="24"/>
          <w:highlight w:val="none"/>
        </w:rPr>
      </w:pPr>
    </w:p>
    <w:p w14:paraId="3F47DC5E">
      <w:pPr>
        <w:kinsoku/>
        <w:overflowPunct/>
        <w:bidi w:val="0"/>
        <w:spacing w:line="360" w:lineRule="auto"/>
        <w:ind w:firstLine="494" w:firstLineChars="206"/>
        <w:outlineLvl w:val="9"/>
        <w:rPr>
          <w:rFonts w:ascii="宋体" w:hAnsi="宋体" w:eastAsia="宋体" w:cs="宋体"/>
          <w:color w:val="auto"/>
          <w:kern w:val="0"/>
          <w:sz w:val="24"/>
          <w:szCs w:val="24"/>
          <w:highlight w:val="none"/>
        </w:rPr>
      </w:pPr>
    </w:p>
    <w:p w14:paraId="285B8F22">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E24BE8E">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3077AB2">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46A658EB">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44373E1B">
      <w:pPr>
        <w:kinsoku/>
        <w:overflowPunct/>
        <w:autoSpaceDE w:val="0"/>
        <w:autoSpaceDN w:val="0"/>
        <w:bidi w:val="0"/>
        <w:adjustRightInd w:val="0"/>
        <w:spacing w:line="360" w:lineRule="auto"/>
        <w:ind w:right="781" w:rightChars="372" w:firstLine="2811" w:firstLineChars="1339"/>
        <w:outlineLvl w:val="9"/>
        <w:rPr>
          <w:rFonts w:ascii="宋体" w:hAnsi="宋体" w:eastAsia="宋体" w:cs="宋体"/>
          <w:color w:val="auto"/>
          <w:szCs w:val="24"/>
          <w:highlight w:val="none"/>
          <w:lang w:val="zh-CN"/>
        </w:rPr>
      </w:pPr>
    </w:p>
    <w:p w14:paraId="07FA83E4">
      <w:pPr>
        <w:kinsoku/>
        <w:overflowPunct/>
        <w:bidi w:val="0"/>
        <w:outlineLvl w:val="9"/>
        <w:rPr>
          <w:rFonts w:ascii="宋体" w:hAnsi="宋体" w:eastAsia="宋体" w:cs="宋体"/>
          <w:color w:val="auto"/>
          <w:szCs w:val="24"/>
          <w:highlight w:val="none"/>
          <w:lang w:val="zh-CN"/>
        </w:rPr>
      </w:pPr>
      <w:bookmarkStart w:id="610" w:name="_Toc2031_WPSOffice_Level2"/>
      <w:bookmarkStart w:id="611" w:name="_Toc30939"/>
      <w:bookmarkStart w:id="612" w:name="_Toc140596934"/>
      <w:bookmarkStart w:id="613" w:name="_Toc1977731"/>
      <w:bookmarkStart w:id="614" w:name="_Toc6412"/>
      <w:bookmarkStart w:id="615" w:name="_Toc104991881"/>
      <w:bookmarkStart w:id="616" w:name="_Toc94107215"/>
      <w:bookmarkStart w:id="617" w:name="_Toc142508374"/>
      <w:bookmarkStart w:id="618" w:name="_Toc102860423"/>
      <w:bookmarkStart w:id="619" w:name="_Toc533708126"/>
      <w:bookmarkStart w:id="620" w:name="_Toc486167714"/>
      <w:bookmarkStart w:id="621" w:name="_Toc102860079"/>
      <w:r>
        <w:rPr>
          <w:rFonts w:ascii="宋体" w:hAnsi="宋体" w:eastAsia="宋体" w:cs="宋体"/>
          <w:color w:val="auto"/>
          <w:szCs w:val="24"/>
          <w:highlight w:val="none"/>
          <w:lang w:val="zh-CN"/>
        </w:rPr>
        <w:br w:type="page"/>
      </w:r>
    </w:p>
    <w:p w14:paraId="19F30E4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Times New Roman"/>
          <w:color w:val="auto"/>
          <w:kern w:val="0"/>
          <w:szCs w:val="21"/>
          <w:highlight w:val="none"/>
          <w:u w:val="single"/>
        </w:rPr>
      </w:pPr>
      <w:bookmarkStart w:id="622" w:name="_Toc115"/>
      <w:bookmarkStart w:id="623" w:name="_Toc8194"/>
      <w:bookmarkStart w:id="624" w:name="_Toc3374"/>
      <w:bookmarkStart w:id="625" w:name="_Toc18145"/>
      <w:bookmarkStart w:id="626" w:name="_Toc195714388"/>
      <w:bookmarkStart w:id="627" w:name="_Toc18126"/>
      <w:bookmarkStart w:id="628" w:name="_Toc17508"/>
      <w:bookmarkStart w:id="629" w:name="_Toc1582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104236A8">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rPr>
      </w:pPr>
      <w:bookmarkStart w:id="630" w:name="_Toc2773_WPSOffice_Level3"/>
      <w:r>
        <w:rPr>
          <w:rFonts w:hint="eastAsia" w:ascii="宋体" w:hAnsi="宋体" w:eastAsia="宋体" w:cs="宋体"/>
          <w:b/>
          <w:bCs/>
          <w:color w:val="auto"/>
          <w:sz w:val="30"/>
          <w:szCs w:val="30"/>
          <w:highlight w:val="none"/>
          <w:lang w:val="zh-CN"/>
        </w:rPr>
        <w:t>投标人基本情况一览表</w:t>
      </w:r>
      <w:bookmarkEnd w:id="630"/>
    </w:p>
    <w:p w14:paraId="171EEB9E">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1．名称及概况：</w:t>
      </w:r>
    </w:p>
    <w:p w14:paraId="412E2780">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default" w:ascii="宋体" w:hAnsi="宋体" w:eastAsia="宋体" w:cs="宋体"/>
          <w:color w:val="000000"/>
          <w:szCs w:val="24"/>
          <w:highlight w:val="none"/>
          <w:lang w:val="en-US"/>
        </w:rPr>
      </w:pPr>
      <w:r>
        <w:rPr>
          <w:rFonts w:hint="eastAsia" w:ascii="宋体" w:hAnsi="宋体" w:eastAsia="宋体" w:cs="宋体"/>
          <w:color w:val="000000"/>
          <w:szCs w:val="24"/>
          <w:highlight w:val="none"/>
          <w:lang w:val="zh-CN"/>
        </w:rPr>
        <w:t>（1）投标人名称：</w:t>
      </w:r>
      <w:r>
        <w:rPr>
          <w:rFonts w:hint="eastAsia" w:ascii="宋体" w:hAnsi="宋体" w:eastAsia="宋体" w:cs="宋体"/>
          <w:color w:val="000000"/>
          <w:szCs w:val="24"/>
          <w:highlight w:val="none"/>
          <w:u w:val="single"/>
          <w:lang w:val="en-US" w:eastAsia="zh-CN"/>
        </w:rPr>
        <w:t xml:space="preserve">                                        </w:t>
      </w:r>
    </w:p>
    <w:p w14:paraId="6CF5DF7B">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default" w:ascii="宋体" w:hAnsi="宋体" w:eastAsia="宋体" w:cs="宋体"/>
          <w:color w:val="000000"/>
          <w:szCs w:val="24"/>
          <w:highlight w:val="none"/>
          <w:lang w:val="en-US"/>
        </w:rPr>
      </w:pPr>
      <w:r>
        <w:rPr>
          <w:rFonts w:hint="eastAsia" w:ascii="宋体" w:hAnsi="宋体" w:eastAsia="宋体" w:cs="宋体"/>
          <w:color w:val="000000"/>
          <w:szCs w:val="24"/>
          <w:highlight w:val="none"/>
          <w:lang w:val="zh-CN"/>
        </w:rPr>
        <w:t>（2）总部地址：</w:t>
      </w:r>
      <w:r>
        <w:rPr>
          <w:rFonts w:hint="eastAsia" w:ascii="宋体" w:hAnsi="宋体" w:eastAsia="宋体" w:cs="宋体"/>
          <w:color w:val="000000"/>
          <w:szCs w:val="24"/>
          <w:highlight w:val="none"/>
          <w:u w:val="single"/>
          <w:lang w:val="en-US" w:eastAsia="zh-CN"/>
        </w:rPr>
        <w:t xml:space="preserve">                                          </w:t>
      </w:r>
    </w:p>
    <w:p w14:paraId="74D5A805">
      <w:pPr>
        <w:keepNext w:val="0"/>
        <w:keepLines w:val="0"/>
        <w:pageBreakBefore w:val="0"/>
        <w:widowControl w:val="0"/>
        <w:kinsoku/>
        <w:wordWrap/>
        <w:overflowPunct/>
        <w:topLinePunct w:val="0"/>
        <w:autoSpaceDE w:val="0"/>
        <w:autoSpaceDN w:val="0"/>
        <w:bidi w:val="0"/>
        <w:adjustRightInd w:val="0"/>
        <w:snapToGrid w:val="0"/>
        <w:spacing w:line="360" w:lineRule="auto"/>
        <w:ind w:firstLine="660"/>
        <w:textAlignment w:val="auto"/>
        <w:rPr>
          <w:rFonts w:hint="default" w:ascii="宋体" w:hAnsi="宋体" w:eastAsia="宋体" w:cs="宋体"/>
          <w:color w:val="000000"/>
          <w:szCs w:val="24"/>
          <w:highlight w:val="none"/>
          <w:lang w:val="en-US"/>
        </w:rPr>
      </w:pPr>
      <w:r>
        <w:rPr>
          <w:rFonts w:hint="eastAsia" w:ascii="宋体" w:hAnsi="宋体" w:eastAsia="宋体" w:cs="宋体"/>
          <w:color w:val="000000"/>
          <w:szCs w:val="24"/>
          <w:highlight w:val="none"/>
          <w:lang w:val="zh-CN"/>
        </w:rPr>
        <w:t xml:space="preserve">   邮政编码：</w:t>
      </w:r>
      <w:r>
        <w:rPr>
          <w:rFonts w:hint="eastAsia" w:ascii="宋体" w:hAnsi="宋体" w:eastAsia="宋体" w:cs="宋体"/>
          <w:color w:val="000000"/>
          <w:szCs w:val="24"/>
          <w:highlight w:val="none"/>
          <w:u w:val="single"/>
          <w:lang w:val="en-US" w:eastAsia="zh-CN"/>
        </w:rPr>
        <w:t xml:space="preserve">                                          </w:t>
      </w:r>
    </w:p>
    <w:p w14:paraId="34967C81">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 xml:space="preserve">     电话号码：</w:t>
      </w:r>
      <w:r>
        <w:rPr>
          <w:rFonts w:hint="eastAsia" w:ascii="宋体" w:hAnsi="宋体" w:eastAsia="宋体" w:cs="宋体"/>
          <w:color w:val="000000"/>
          <w:szCs w:val="24"/>
          <w:highlight w:val="none"/>
          <w:u w:val="single"/>
          <w:lang w:val="en-US" w:eastAsia="zh-CN"/>
        </w:rPr>
        <w:t xml:space="preserve">                                          </w:t>
      </w:r>
      <w:r>
        <w:rPr>
          <w:rFonts w:hint="eastAsia" w:ascii="宋体" w:hAnsi="宋体" w:eastAsia="宋体" w:cs="宋体"/>
          <w:color w:val="000000"/>
          <w:szCs w:val="24"/>
          <w:highlight w:val="none"/>
          <w:lang w:val="zh-CN"/>
        </w:rPr>
        <w:t xml:space="preserve"> </w:t>
      </w:r>
    </w:p>
    <w:p w14:paraId="68E22DDD">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 xml:space="preserve">     传真号码：</w:t>
      </w:r>
      <w:r>
        <w:rPr>
          <w:rFonts w:hint="eastAsia" w:ascii="宋体" w:hAnsi="宋体" w:eastAsia="宋体" w:cs="宋体"/>
          <w:color w:val="000000"/>
          <w:szCs w:val="24"/>
          <w:highlight w:val="none"/>
          <w:u w:val="single"/>
          <w:lang w:val="en-US" w:eastAsia="zh-CN"/>
        </w:rPr>
        <w:t xml:space="preserve">                                          </w:t>
      </w:r>
      <w:r>
        <w:rPr>
          <w:rFonts w:hint="eastAsia" w:ascii="宋体" w:hAnsi="宋体" w:eastAsia="宋体" w:cs="宋体"/>
          <w:color w:val="000000"/>
          <w:szCs w:val="24"/>
          <w:highlight w:val="none"/>
          <w:lang w:val="zh-CN"/>
        </w:rPr>
        <w:t xml:space="preserve"> </w:t>
      </w:r>
    </w:p>
    <w:p w14:paraId="5EB31A4C">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（3）成立和／或注册日期：</w:t>
      </w:r>
      <w:r>
        <w:rPr>
          <w:rFonts w:hint="eastAsia" w:ascii="宋体" w:hAnsi="宋体" w:eastAsia="宋体" w:cs="宋体"/>
          <w:color w:val="000000"/>
          <w:szCs w:val="24"/>
          <w:highlight w:val="none"/>
          <w:u w:val="single"/>
          <w:lang w:val="en-US" w:eastAsia="zh-CN"/>
        </w:rPr>
        <w:t xml:space="preserve">                                </w:t>
      </w:r>
    </w:p>
    <w:p w14:paraId="2A36AEFE">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（4）法人代表：</w:t>
      </w:r>
      <w:r>
        <w:rPr>
          <w:rFonts w:hint="eastAsia" w:ascii="宋体" w:hAnsi="宋体" w:eastAsia="宋体" w:cs="宋体"/>
          <w:color w:val="000000"/>
          <w:szCs w:val="24"/>
          <w:highlight w:val="none"/>
          <w:u w:val="single"/>
          <w:lang w:val="en-US" w:eastAsia="zh-CN"/>
        </w:rPr>
        <w:t xml:space="preserve">                                          </w:t>
      </w:r>
    </w:p>
    <w:p w14:paraId="1954DAEE">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（5）开户银行：</w:t>
      </w:r>
      <w:r>
        <w:rPr>
          <w:rFonts w:hint="eastAsia" w:ascii="宋体" w:hAnsi="宋体" w:eastAsia="宋体" w:cs="宋体"/>
          <w:color w:val="000000"/>
          <w:szCs w:val="24"/>
          <w:highlight w:val="none"/>
          <w:u w:val="single"/>
          <w:lang w:val="en-US" w:eastAsia="zh-CN"/>
        </w:rPr>
        <w:t xml:space="preserve">                                          </w:t>
      </w:r>
    </w:p>
    <w:p w14:paraId="0344F3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（6）开户账号：</w:t>
      </w:r>
      <w:r>
        <w:rPr>
          <w:rFonts w:hint="eastAsia" w:ascii="宋体" w:hAnsi="宋体" w:eastAsia="宋体" w:cs="宋体"/>
          <w:color w:val="000000"/>
          <w:szCs w:val="24"/>
          <w:highlight w:val="none"/>
          <w:u w:val="single"/>
          <w:lang w:val="en-US" w:eastAsia="zh-CN"/>
        </w:rPr>
        <w:t xml:space="preserve">                                          </w:t>
      </w:r>
    </w:p>
    <w:p w14:paraId="7119A257">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（7）注册资金：</w:t>
      </w:r>
      <w:r>
        <w:rPr>
          <w:rFonts w:hint="eastAsia" w:ascii="宋体" w:hAnsi="宋体" w:eastAsia="宋体" w:cs="宋体"/>
          <w:color w:val="000000"/>
          <w:szCs w:val="24"/>
          <w:highlight w:val="none"/>
          <w:u w:val="single"/>
          <w:lang w:val="en-US" w:eastAsia="zh-CN"/>
        </w:rPr>
        <w:t xml:space="preserve">                                          </w:t>
      </w:r>
    </w:p>
    <w:p w14:paraId="41D4F212">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val="zh-CN"/>
        </w:rPr>
        <w:t>（8）主要负责人姓名：</w:t>
      </w:r>
      <w:r>
        <w:rPr>
          <w:rFonts w:hint="eastAsia" w:ascii="宋体" w:hAnsi="宋体" w:eastAsia="宋体" w:cs="宋体"/>
          <w:color w:val="000000"/>
          <w:szCs w:val="24"/>
          <w:highlight w:val="none"/>
          <w:u w:val="single"/>
          <w:lang w:val="en-US" w:eastAsia="zh-CN"/>
        </w:rPr>
        <w:t xml:space="preserve">                                    </w:t>
      </w:r>
    </w:p>
    <w:p w14:paraId="491514DB">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val="zh-CN"/>
        </w:rPr>
        <w:t>（9）项目主要联系人（姓名、职务、通讯）：</w:t>
      </w:r>
      <w:r>
        <w:rPr>
          <w:rFonts w:hint="eastAsia" w:ascii="宋体" w:hAnsi="宋体" w:eastAsia="宋体" w:cs="宋体"/>
          <w:color w:val="000000"/>
          <w:szCs w:val="24"/>
          <w:highlight w:val="none"/>
          <w:u w:val="single"/>
          <w:lang w:val="en-US" w:eastAsia="zh-CN"/>
        </w:rPr>
        <w:t xml:space="preserve">                </w:t>
      </w:r>
      <w:r>
        <w:rPr>
          <w:rFonts w:hint="eastAsia" w:ascii="宋体" w:hAnsi="宋体" w:eastAsia="宋体" w:cs="宋体"/>
          <w:color w:val="000000"/>
          <w:szCs w:val="24"/>
          <w:highlight w:val="none"/>
          <w:lang w:val="zh-CN"/>
        </w:rPr>
        <w:t xml:space="preserve">   </w:t>
      </w:r>
    </w:p>
    <w:p w14:paraId="5EC35954">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default" w:ascii="宋体" w:hAnsi="宋体" w:eastAsia="宋体" w:cs="宋体"/>
          <w:color w:val="000000"/>
          <w:szCs w:val="24"/>
          <w:highlight w:val="none"/>
          <w:lang w:val="en-US"/>
        </w:rPr>
      </w:pPr>
      <w:r>
        <w:rPr>
          <w:rFonts w:hint="eastAsia" w:ascii="宋体" w:hAnsi="宋体" w:eastAsia="宋体" w:cs="宋体"/>
          <w:color w:val="000000"/>
          <w:szCs w:val="24"/>
          <w:highlight w:val="none"/>
          <w:lang w:val="zh-CN"/>
        </w:rPr>
        <w:t>（10）在中国的代表的姓名和地址（如有）：</w:t>
      </w:r>
      <w:r>
        <w:rPr>
          <w:rFonts w:hint="eastAsia" w:ascii="宋体" w:hAnsi="宋体" w:eastAsia="宋体" w:cs="宋体"/>
          <w:color w:val="000000"/>
          <w:szCs w:val="24"/>
          <w:highlight w:val="none"/>
          <w:u w:val="single"/>
          <w:lang w:val="en-US" w:eastAsia="zh-CN"/>
        </w:rPr>
        <w:t xml:space="preserve">                 </w:t>
      </w:r>
    </w:p>
    <w:p w14:paraId="1073A082">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val="zh-CN"/>
        </w:rPr>
        <w:t>2．供征询之银行的名称和地址：</w:t>
      </w:r>
      <w:r>
        <w:rPr>
          <w:rFonts w:hint="eastAsia" w:ascii="宋体" w:hAnsi="宋体" w:eastAsia="宋体" w:cs="宋体"/>
          <w:color w:val="000000"/>
          <w:szCs w:val="24"/>
          <w:highlight w:val="none"/>
          <w:u w:val="single"/>
          <w:lang w:val="en-US" w:eastAsia="zh-CN"/>
        </w:rPr>
        <w:t xml:space="preserve">                            </w:t>
      </w:r>
    </w:p>
    <w:p w14:paraId="1EA8BC8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val="zh-CN"/>
        </w:rPr>
        <w:t xml:space="preserve">    3．公司所隶属之国际集团名称（如果是）：</w:t>
      </w:r>
      <w:r>
        <w:rPr>
          <w:rFonts w:hint="eastAsia" w:ascii="宋体" w:hAnsi="宋体" w:eastAsia="宋体" w:cs="宋体"/>
          <w:color w:val="000000"/>
          <w:szCs w:val="24"/>
          <w:highlight w:val="none"/>
          <w:u w:val="single"/>
          <w:lang w:val="en-US" w:eastAsia="zh-CN"/>
        </w:rPr>
        <w:t xml:space="preserve">                  </w:t>
      </w:r>
    </w:p>
    <w:p w14:paraId="0F04E2F1">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4. 提交资料（包括但不限于组织架构、公司简介等）：</w:t>
      </w:r>
    </w:p>
    <w:p w14:paraId="7EABD1F6">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（1）公司简介；</w:t>
      </w:r>
    </w:p>
    <w:p w14:paraId="2C0C58CA">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u w:val="single"/>
          <w:lang w:val="en-US" w:eastAsia="zh-CN"/>
        </w:rPr>
      </w:pPr>
      <w:r>
        <w:rPr>
          <w:rFonts w:hint="eastAsia" w:ascii="宋体" w:hAnsi="宋体" w:eastAsia="宋体" w:cs="宋体"/>
          <w:color w:val="000000"/>
          <w:szCs w:val="24"/>
          <w:highlight w:val="none"/>
          <w:u w:val="single"/>
          <w:lang w:val="en-US" w:eastAsia="zh-CN"/>
        </w:rPr>
        <w:t xml:space="preserve">                                                         </w:t>
      </w:r>
    </w:p>
    <w:p w14:paraId="5005BB77">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（2）公司组织架构；</w:t>
      </w:r>
    </w:p>
    <w:p w14:paraId="10F60E97">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u w:val="single"/>
          <w:lang w:val="en-US" w:eastAsia="zh-CN"/>
        </w:rPr>
      </w:pPr>
      <w:r>
        <w:rPr>
          <w:rFonts w:hint="eastAsia" w:ascii="宋体" w:hAnsi="宋体" w:eastAsia="宋体" w:cs="宋体"/>
          <w:color w:val="000000"/>
          <w:szCs w:val="24"/>
          <w:highlight w:val="none"/>
          <w:u w:val="single"/>
          <w:lang w:val="en-US" w:eastAsia="zh-CN"/>
        </w:rPr>
        <w:t xml:space="preserve">                                                         </w:t>
      </w:r>
    </w:p>
    <w:p w14:paraId="184BA761">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（3）东莞市内设有分支机构情况介绍[应提供该分支机构的多证合一营业执照</w:t>
      </w:r>
      <w:r>
        <w:rPr>
          <w:rFonts w:hint="eastAsia" w:ascii="宋体" w:hAnsi="宋体" w:cs="宋体"/>
          <w:color w:val="000000"/>
          <w:szCs w:val="21"/>
          <w:highlight w:val="none"/>
          <w:lang w:val="zh-CN"/>
        </w:rPr>
        <w:t>原件扫描件</w:t>
      </w:r>
      <w:r>
        <w:rPr>
          <w:rFonts w:hint="eastAsia" w:ascii="宋体" w:hAnsi="宋体" w:eastAsia="宋体" w:cs="宋体"/>
          <w:color w:val="000000"/>
          <w:szCs w:val="24"/>
          <w:highlight w:val="none"/>
          <w:lang w:val="zh-CN"/>
        </w:rPr>
        <w:t>等证明材料]（若无前述分支机构的无需介绍）。</w:t>
      </w:r>
    </w:p>
    <w:p w14:paraId="15A7E3C2">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000000"/>
          <w:szCs w:val="24"/>
          <w:highlight w:val="none"/>
          <w:lang w:val="zh-CN"/>
        </w:rPr>
        <w:t>兹证明上述说明是真实、正确的，并提供了全部能提供的资料和数据，我们同意遵照贵方要求出示有关证明文件</w:t>
      </w:r>
      <w:r>
        <w:rPr>
          <w:rFonts w:hint="eastAsia" w:ascii="宋体" w:hAnsi="宋体" w:eastAsia="宋体" w:cs="宋体"/>
          <w:color w:val="auto"/>
          <w:szCs w:val="24"/>
          <w:highlight w:val="none"/>
          <w:lang w:val="zh-CN"/>
        </w:rPr>
        <w:t>。</w:t>
      </w:r>
    </w:p>
    <w:p w14:paraId="27B3294C">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4"/>
          <w:highlight w:val="none"/>
        </w:rPr>
      </w:pPr>
    </w:p>
    <w:p w14:paraId="02F50948">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7591069">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C2FCC0B">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7A1B6318">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49847E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31" w:name="_Toc140596935"/>
      <w:bookmarkStart w:id="632" w:name="_Toc13621"/>
      <w:bookmarkStart w:id="633" w:name="_Toc104991882"/>
      <w:bookmarkStart w:id="634" w:name="_Toc10443"/>
      <w:bookmarkStart w:id="635" w:name="_Toc195714389"/>
      <w:bookmarkStart w:id="636" w:name="_Toc94107216"/>
      <w:bookmarkStart w:id="637" w:name="_Toc31090"/>
      <w:bookmarkStart w:id="638" w:name="_Toc4023"/>
      <w:bookmarkStart w:id="639" w:name="_Toc8140"/>
      <w:bookmarkStart w:id="640" w:name="_Toc3043"/>
      <w:bookmarkStart w:id="641" w:name="_Toc18075"/>
      <w:bookmarkStart w:id="642" w:name="_Toc142508375"/>
      <w:bookmarkStart w:id="643" w:name="_Toc285"/>
      <w:bookmarkStart w:id="644" w:name="_Toc102860424"/>
      <w:bookmarkStart w:id="645" w:name="_Toc102860080"/>
      <w:bookmarkStart w:id="646" w:name="_Toc29014"/>
      <w:bookmarkStart w:id="647" w:name="_Toc1977733"/>
      <w:bookmarkStart w:id="648" w:name="_Toc486167715"/>
      <w:bookmarkStart w:id="649" w:name="_Toc533708128"/>
      <w:bookmarkStart w:id="650"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27B594BB">
      <w:pPr>
        <w:kinsoku/>
        <w:overflowPunct/>
        <w:autoSpaceDE w:val="0"/>
        <w:autoSpaceDN w:val="0"/>
        <w:bidi w:val="0"/>
        <w:adjustRightInd w:val="0"/>
        <w:spacing w:line="360" w:lineRule="auto"/>
        <w:jc w:val="cente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0E4F474">
      <w:pPr>
        <w:kinsoku/>
        <w:overflowPunct/>
        <w:autoSpaceDE w:val="0"/>
        <w:autoSpaceDN w:val="0"/>
        <w:bidi w:val="0"/>
        <w:adjustRightInd w:val="0"/>
        <w:spacing w:line="360" w:lineRule="auto"/>
        <w:jc w:val="righ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08C6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B62EC3B">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6CFFFB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F90A78C">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2DDC544">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8E00628">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470D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05E1BCB">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08F41737">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946" w:type="dxa"/>
            <w:vAlign w:val="center"/>
          </w:tcPr>
          <w:p w14:paraId="2010F323">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713" w:type="dxa"/>
            <w:vAlign w:val="center"/>
          </w:tcPr>
          <w:p w14:paraId="1D99A1EB">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784D4587">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76220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EF494AC">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627FADBC">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946" w:type="dxa"/>
            <w:vAlign w:val="center"/>
          </w:tcPr>
          <w:p w14:paraId="76D70304">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713" w:type="dxa"/>
          </w:tcPr>
          <w:p w14:paraId="2785DD64">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59F82951">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2F23B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0E3D06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5E80DE4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946" w:type="dxa"/>
            <w:vAlign w:val="center"/>
          </w:tcPr>
          <w:p w14:paraId="4FB6BFF8">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713" w:type="dxa"/>
          </w:tcPr>
          <w:p w14:paraId="77FBC436">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64A6103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0EFFB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BC7F99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A8A4AE4">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17EF7BE1">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bl>
    <w:p w14:paraId="4985106F">
      <w:pPr>
        <w:kinsoku/>
        <w:overflowPunct/>
        <w:bidi w:val="0"/>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000000"/>
          <w:kern w:val="0"/>
          <w:szCs w:val="21"/>
          <w:highlight w:val="none"/>
        </w:rPr>
        <w:t>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r>
        <w:rPr>
          <w:rFonts w:hint="eastAsia" w:ascii="宋体" w:hAnsi="宋体" w:eastAsia="宋体" w:cs="宋体"/>
          <w:color w:val="auto"/>
          <w:kern w:val="0"/>
          <w:szCs w:val="21"/>
          <w:highlight w:val="none"/>
        </w:rPr>
        <w:t>。</w:t>
      </w:r>
    </w:p>
    <w:p w14:paraId="6F13EBE7">
      <w:pPr>
        <w:kinsoku/>
        <w:overflowPunct/>
        <w:autoSpaceDE w:val="0"/>
        <w:autoSpaceDN w:val="0"/>
        <w:bidi w:val="0"/>
        <w:adjustRightInd w:val="0"/>
        <w:spacing w:line="360" w:lineRule="auto"/>
        <w:ind w:firstLine="5409" w:firstLineChars="2576"/>
        <w:outlineLvl w:val="9"/>
        <w:rPr>
          <w:rFonts w:ascii="宋体" w:hAnsi="宋体" w:eastAsia="宋体" w:cs="宋体"/>
          <w:color w:val="auto"/>
          <w:szCs w:val="24"/>
          <w:highlight w:val="none"/>
          <w:lang w:val="zh-CN"/>
        </w:rPr>
      </w:pPr>
    </w:p>
    <w:p w14:paraId="75208F39">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33E7F64E">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7F75DB0C">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65DA1EC">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05C5675">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5C528AF8">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18B81983">
      <w:pPr>
        <w:kinsoku/>
        <w:overflowPunct/>
        <w:autoSpaceDE w:val="0"/>
        <w:autoSpaceDN w:val="0"/>
        <w:bidi w:val="0"/>
        <w:adjustRightInd w:val="0"/>
        <w:spacing w:line="360" w:lineRule="auto"/>
        <w:ind w:firstLine="6274" w:firstLineChars="2976"/>
        <w:outlineLvl w:val="9"/>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p>
    <w:bookmarkEnd w:id="647"/>
    <w:bookmarkEnd w:id="648"/>
    <w:bookmarkEnd w:id="649"/>
    <w:bookmarkEnd w:id="650"/>
    <w:p w14:paraId="764211F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lang w:val="zh-CN"/>
        </w:rPr>
      </w:pPr>
      <w:bookmarkStart w:id="651" w:name="_Toc739_WPSOffice_Level2"/>
      <w:bookmarkStart w:id="652" w:name="_Toc102860425"/>
      <w:bookmarkStart w:id="653" w:name="_Toc333"/>
      <w:bookmarkStart w:id="654" w:name="_Toc26821"/>
      <w:bookmarkStart w:id="655" w:name="_Toc1977736"/>
      <w:bookmarkStart w:id="656" w:name="_Toc140596936"/>
      <w:bookmarkStart w:id="657" w:name="_Toc16948"/>
      <w:bookmarkStart w:id="658" w:name="_Toc22670"/>
      <w:bookmarkStart w:id="659" w:name="_Toc486167716"/>
      <w:bookmarkStart w:id="660" w:name="_Toc27029"/>
      <w:bookmarkStart w:id="661" w:name="_Toc5085"/>
      <w:bookmarkStart w:id="662" w:name="_Toc28458"/>
      <w:bookmarkStart w:id="663" w:name="_Toc104991883"/>
      <w:bookmarkStart w:id="664" w:name="_Toc17995"/>
      <w:bookmarkStart w:id="665" w:name="_Toc533708130"/>
      <w:bookmarkStart w:id="666" w:name="_Toc102860081"/>
      <w:bookmarkStart w:id="667" w:name="_Toc195714390"/>
      <w:bookmarkStart w:id="668" w:name="_Toc6028"/>
      <w:bookmarkStart w:id="669" w:name="_Toc94107217"/>
      <w:bookmarkStart w:id="670" w:name="_Toc14250837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A80CD79">
      <w:pPr>
        <w:kinsoku/>
        <w:overflowPunct/>
        <w:autoSpaceDE w:val="0"/>
        <w:autoSpaceDN w:val="0"/>
        <w:bidi w:val="0"/>
        <w:adjustRightInd w:val="0"/>
        <w:spacing w:line="360" w:lineRule="auto"/>
        <w:jc w:val="both"/>
        <w:outlineLvl w:val="9"/>
        <w:rPr>
          <w:rFonts w:hint="eastAsia" w:ascii="宋体" w:hAnsi="宋体" w:eastAsia="宋体" w:cs="宋体"/>
          <w:b/>
          <w:bCs/>
          <w:color w:val="auto"/>
          <w:kern w:val="0"/>
          <w:sz w:val="28"/>
          <w:szCs w:val="30"/>
          <w:highlight w:val="none"/>
          <w:lang w:val="en-US" w:eastAsia="zh-CN"/>
        </w:rPr>
      </w:pPr>
      <w:bookmarkStart w:id="671" w:name="_Toc26412_WPSOffice_Level3"/>
      <w:r>
        <w:rPr>
          <w:rFonts w:hint="eastAsia" w:ascii="宋体" w:hAnsi="宋体" w:eastAsia="宋体" w:cs="宋体"/>
          <w:b/>
          <w:bCs/>
          <w:color w:val="auto"/>
          <w:kern w:val="0"/>
          <w:sz w:val="28"/>
          <w:szCs w:val="30"/>
          <w:highlight w:val="none"/>
          <w:lang w:val="en-US" w:eastAsia="zh-CN"/>
        </w:rPr>
        <w:t>标段一：</w:t>
      </w:r>
    </w:p>
    <w:p w14:paraId="57204346">
      <w:pPr>
        <w:kinsoku/>
        <w:overflowPunct/>
        <w:autoSpaceDE w:val="0"/>
        <w:autoSpaceDN w:val="0"/>
        <w:bidi w:val="0"/>
        <w:adjustRightInd w:val="0"/>
        <w:spacing w:line="360" w:lineRule="auto"/>
        <w:jc w:val="center"/>
        <w:outlineLvl w:val="9"/>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东莞市水务环境投资控股集团有限公司招标采购代理协议服务项目合同条款偏离表</w:t>
      </w:r>
      <w:bookmarkEnd w:id="671"/>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C28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0A63A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77AB5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3CCF2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299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continue"/>
            <w:vAlign w:val="center"/>
          </w:tcPr>
          <w:p w14:paraId="4BEEF52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9350" w:type="dxa"/>
            <w:gridSpan w:val="4"/>
            <w:vAlign w:val="center"/>
          </w:tcPr>
          <w:p w14:paraId="659A67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采购代理协议服务合同</w:t>
            </w:r>
          </w:p>
        </w:tc>
      </w:tr>
      <w:tr w14:paraId="2188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C1DB6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1EA465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274DF6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55C0A2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F8B04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C47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82C8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A6FA6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第一条</w:t>
            </w:r>
          </w:p>
        </w:tc>
        <w:tc>
          <w:tcPr>
            <w:tcW w:w="3055" w:type="dxa"/>
            <w:vAlign w:val="center"/>
          </w:tcPr>
          <w:p w14:paraId="6EAB8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采购</w:t>
            </w:r>
            <w:r>
              <w:rPr>
                <w:rFonts w:hint="default" w:ascii="宋体" w:hAnsi="宋体" w:eastAsia="宋体" w:cs="Times New Roman"/>
                <w:kern w:val="0"/>
                <w:szCs w:val="21"/>
                <w:highlight w:val="none"/>
              </w:rPr>
              <w:t>代理服务</w:t>
            </w:r>
            <w:r>
              <w:rPr>
                <w:rFonts w:hint="eastAsia" w:ascii="宋体" w:hAnsi="宋体" w:eastAsia="宋体" w:cs="Times New Roman"/>
                <w:kern w:val="0"/>
                <w:szCs w:val="21"/>
                <w:highlight w:val="none"/>
              </w:rPr>
              <w:t>内容</w:t>
            </w:r>
          </w:p>
        </w:tc>
        <w:tc>
          <w:tcPr>
            <w:tcW w:w="1346" w:type="dxa"/>
            <w:vAlign w:val="center"/>
          </w:tcPr>
          <w:p w14:paraId="0E681D5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A40EA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BEB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A409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4111C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第二条</w:t>
            </w:r>
          </w:p>
        </w:tc>
        <w:tc>
          <w:tcPr>
            <w:tcW w:w="3055" w:type="dxa"/>
            <w:vAlign w:val="center"/>
          </w:tcPr>
          <w:p w14:paraId="7B791D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协议服务期限</w:t>
            </w:r>
          </w:p>
        </w:tc>
        <w:tc>
          <w:tcPr>
            <w:tcW w:w="1346" w:type="dxa"/>
            <w:vAlign w:val="center"/>
          </w:tcPr>
          <w:p w14:paraId="381731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E7077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474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4289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A0D87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第三条</w:t>
            </w:r>
          </w:p>
        </w:tc>
        <w:tc>
          <w:tcPr>
            <w:tcW w:w="3055" w:type="dxa"/>
            <w:vAlign w:val="center"/>
          </w:tcPr>
          <w:p w14:paraId="75FC64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服务管理</w:t>
            </w:r>
          </w:p>
        </w:tc>
        <w:tc>
          <w:tcPr>
            <w:tcW w:w="1346" w:type="dxa"/>
            <w:vAlign w:val="center"/>
          </w:tcPr>
          <w:p w14:paraId="09A8F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E559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622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FAEB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DE844F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第四条</w:t>
            </w:r>
          </w:p>
        </w:tc>
        <w:tc>
          <w:tcPr>
            <w:tcW w:w="3055" w:type="dxa"/>
            <w:vAlign w:val="center"/>
          </w:tcPr>
          <w:p w14:paraId="1D9A6F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服务要求</w:t>
            </w:r>
          </w:p>
        </w:tc>
        <w:tc>
          <w:tcPr>
            <w:tcW w:w="1346" w:type="dxa"/>
            <w:vAlign w:val="center"/>
          </w:tcPr>
          <w:p w14:paraId="566568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400A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149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EB4E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91DB9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第五条</w:t>
            </w:r>
          </w:p>
        </w:tc>
        <w:tc>
          <w:tcPr>
            <w:tcW w:w="3055" w:type="dxa"/>
            <w:vAlign w:val="center"/>
          </w:tcPr>
          <w:p w14:paraId="1C36B8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采购项目分配方式及</w:t>
            </w:r>
            <w:r>
              <w:rPr>
                <w:rFonts w:hint="eastAsia" w:ascii="宋体" w:hAnsi="宋体" w:eastAsia="宋体" w:cs="Times New Roman"/>
                <w:kern w:val="0"/>
                <w:szCs w:val="21"/>
                <w:highlight w:val="none"/>
                <w:lang w:val="en-US" w:eastAsia="zh-CN"/>
              </w:rPr>
              <w:t>采购</w:t>
            </w:r>
            <w:r>
              <w:rPr>
                <w:rFonts w:hint="eastAsia" w:ascii="宋体" w:hAnsi="宋体" w:eastAsia="宋体" w:cs="Times New Roman"/>
                <w:kern w:val="0"/>
                <w:szCs w:val="21"/>
                <w:highlight w:val="none"/>
              </w:rPr>
              <w:t>代理考核方式</w:t>
            </w:r>
          </w:p>
        </w:tc>
        <w:tc>
          <w:tcPr>
            <w:tcW w:w="1346" w:type="dxa"/>
            <w:vAlign w:val="center"/>
          </w:tcPr>
          <w:p w14:paraId="20FA2C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9E117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50A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6993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B9226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第六条</w:t>
            </w:r>
          </w:p>
        </w:tc>
        <w:tc>
          <w:tcPr>
            <w:tcW w:w="3055" w:type="dxa"/>
            <w:vAlign w:val="center"/>
          </w:tcPr>
          <w:p w14:paraId="2A2530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代理服务费</w:t>
            </w:r>
          </w:p>
        </w:tc>
        <w:tc>
          <w:tcPr>
            <w:tcW w:w="1346" w:type="dxa"/>
            <w:vAlign w:val="center"/>
          </w:tcPr>
          <w:p w14:paraId="6EDE51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499ED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0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99DD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04B6A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第七条</w:t>
            </w:r>
          </w:p>
        </w:tc>
        <w:tc>
          <w:tcPr>
            <w:tcW w:w="3055" w:type="dxa"/>
            <w:vAlign w:val="center"/>
          </w:tcPr>
          <w:p w14:paraId="35EEE0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履约担保</w:t>
            </w:r>
          </w:p>
        </w:tc>
        <w:tc>
          <w:tcPr>
            <w:tcW w:w="1346" w:type="dxa"/>
            <w:vAlign w:val="center"/>
          </w:tcPr>
          <w:p w14:paraId="6AC27C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80FF5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87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6D83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FE75A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第八条</w:t>
            </w:r>
          </w:p>
        </w:tc>
        <w:tc>
          <w:tcPr>
            <w:tcW w:w="3055" w:type="dxa"/>
            <w:vAlign w:val="center"/>
          </w:tcPr>
          <w:p w14:paraId="7577DC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违约责任</w:t>
            </w:r>
          </w:p>
        </w:tc>
        <w:tc>
          <w:tcPr>
            <w:tcW w:w="1346" w:type="dxa"/>
            <w:vAlign w:val="center"/>
          </w:tcPr>
          <w:p w14:paraId="1EE84D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90410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DC6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7DEC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768204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第九条</w:t>
            </w:r>
          </w:p>
        </w:tc>
        <w:tc>
          <w:tcPr>
            <w:tcW w:w="3055" w:type="dxa"/>
            <w:vAlign w:val="center"/>
          </w:tcPr>
          <w:p w14:paraId="1A9C91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合同争议</w:t>
            </w:r>
          </w:p>
        </w:tc>
        <w:tc>
          <w:tcPr>
            <w:tcW w:w="1346" w:type="dxa"/>
            <w:vAlign w:val="center"/>
          </w:tcPr>
          <w:p w14:paraId="49C36C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00D9B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AC4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49C9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C3216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第十条</w:t>
            </w:r>
          </w:p>
        </w:tc>
        <w:tc>
          <w:tcPr>
            <w:tcW w:w="3055" w:type="dxa"/>
            <w:vAlign w:val="center"/>
          </w:tcPr>
          <w:p w14:paraId="4622FB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合同的变更与解除</w:t>
            </w:r>
          </w:p>
        </w:tc>
        <w:tc>
          <w:tcPr>
            <w:tcW w:w="1346" w:type="dxa"/>
            <w:vAlign w:val="center"/>
          </w:tcPr>
          <w:p w14:paraId="596517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E9417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A27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2DAA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53047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第十一条</w:t>
            </w:r>
          </w:p>
        </w:tc>
        <w:tc>
          <w:tcPr>
            <w:tcW w:w="3055" w:type="dxa"/>
            <w:vAlign w:val="center"/>
          </w:tcPr>
          <w:p w14:paraId="10071D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合同生效及其他</w:t>
            </w:r>
          </w:p>
        </w:tc>
        <w:tc>
          <w:tcPr>
            <w:tcW w:w="1346" w:type="dxa"/>
            <w:vAlign w:val="center"/>
          </w:tcPr>
          <w:p w14:paraId="445B22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1DF10B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D30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BA7E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087A9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附件2</w:t>
            </w:r>
          </w:p>
        </w:tc>
        <w:tc>
          <w:tcPr>
            <w:tcW w:w="3055" w:type="dxa"/>
            <w:vAlign w:val="center"/>
          </w:tcPr>
          <w:p w14:paraId="6B3CD0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采购代理机构考核表</w:t>
            </w:r>
          </w:p>
        </w:tc>
        <w:tc>
          <w:tcPr>
            <w:tcW w:w="1346" w:type="dxa"/>
            <w:vAlign w:val="center"/>
          </w:tcPr>
          <w:p w14:paraId="4E1692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B1EFA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E05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1E36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9ACCA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附件4</w:t>
            </w:r>
          </w:p>
        </w:tc>
        <w:tc>
          <w:tcPr>
            <w:tcW w:w="3055" w:type="dxa"/>
            <w:vAlign w:val="center"/>
          </w:tcPr>
          <w:p w14:paraId="565F44F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廉洁协议书</w:t>
            </w:r>
          </w:p>
        </w:tc>
        <w:tc>
          <w:tcPr>
            <w:tcW w:w="1346" w:type="dxa"/>
            <w:vAlign w:val="center"/>
          </w:tcPr>
          <w:p w14:paraId="598968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E0F92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2AF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D682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006FE4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附件5</w:t>
            </w:r>
          </w:p>
        </w:tc>
        <w:tc>
          <w:tcPr>
            <w:tcW w:w="3055" w:type="dxa"/>
            <w:vAlign w:val="center"/>
          </w:tcPr>
          <w:p w14:paraId="42DF66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保密和纪律协议</w:t>
            </w:r>
          </w:p>
        </w:tc>
        <w:tc>
          <w:tcPr>
            <w:tcW w:w="1346" w:type="dxa"/>
            <w:vAlign w:val="center"/>
          </w:tcPr>
          <w:p w14:paraId="3B204F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D783B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A1A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restart"/>
            <w:vAlign w:val="center"/>
          </w:tcPr>
          <w:p w14:paraId="62EA4E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序号</w:t>
            </w:r>
          </w:p>
        </w:tc>
        <w:tc>
          <w:tcPr>
            <w:tcW w:w="4480" w:type="dxa"/>
            <w:gridSpan w:val="2"/>
            <w:vAlign w:val="center"/>
          </w:tcPr>
          <w:p w14:paraId="45261DB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kern w:val="0"/>
                <w:szCs w:val="21"/>
                <w:highlight w:val="none"/>
                <w:lang w:val="en-US" w:eastAsia="zh-CN"/>
              </w:rPr>
            </w:pPr>
            <w:r>
              <w:rPr>
                <w:rFonts w:hint="eastAsia" w:ascii="宋体" w:hAnsi="宋体" w:eastAsia="宋体" w:cs="宋体"/>
                <w:color w:val="auto"/>
                <w:kern w:val="0"/>
                <w:szCs w:val="21"/>
                <w:highlight w:val="none"/>
              </w:rPr>
              <w:t>招标文件要求</w:t>
            </w:r>
          </w:p>
        </w:tc>
        <w:tc>
          <w:tcPr>
            <w:tcW w:w="4870" w:type="dxa"/>
            <w:gridSpan w:val="2"/>
            <w:vAlign w:val="center"/>
          </w:tcPr>
          <w:p w14:paraId="0270B7E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77D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continue"/>
            <w:vAlign w:val="center"/>
          </w:tcPr>
          <w:p w14:paraId="628270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9350" w:type="dxa"/>
            <w:gridSpan w:val="4"/>
            <w:vAlign w:val="center"/>
          </w:tcPr>
          <w:p w14:paraId="79560F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采购代理合同</w:t>
            </w:r>
          </w:p>
        </w:tc>
      </w:tr>
      <w:tr w14:paraId="0E01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continue"/>
            <w:vAlign w:val="center"/>
          </w:tcPr>
          <w:p w14:paraId="53C552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p>
        </w:tc>
        <w:tc>
          <w:tcPr>
            <w:tcW w:w="1425" w:type="dxa"/>
            <w:vAlign w:val="center"/>
          </w:tcPr>
          <w:p w14:paraId="729E5D0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rPr>
              <w:t>条款号</w:t>
            </w:r>
          </w:p>
        </w:tc>
        <w:tc>
          <w:tcPr>
            <w:tcW w:w="3055" w:type="dxa"/>
            <w:vAlign w:val="center"/>
          </w:tcPr>
          <w:p w14:paraId="69545F7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kern w:val="0"/>
                <w:szCs w:val="21"/>
                <w:highlight w:val="none"/>
                <w:lang w:val="en-US" w:eastAsia="zh-CN"/>
              </w:rPr>
            </w:pPr>
            <w:r>
              <w:rPr>
                <w:rFonts w:hint="eastAsia" w:ascii="宋体" w:hAnsi="宋体" w:eastAsia="宋体" w:cs="宋体"/>
                <w:color w:val="auto"/>
                <w:kern w:val="0"/>
                <w:szCs w:val="21"/>
                <w:highlight w:val="none"/>
              </w:rPr>
              <w:t>简要内容</w:t>
            </w:r>
          </w:p>
        </w:tc>
        <w:tc>
          <w:tcPr>
            <w:tcW w:w="1346" w:type="dxa"/>
            <w:vAlign w:val="center"/>
          </w:tcPr>
          <w:p w14:paraId="2695226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8C0126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1862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1344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425" w:type="dxa"/>
            <w:vAlign w:val="center"/>
          </w:tcPr>
          <w:p w14:paraId="621DCA6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5F5051F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委托项目概况</w:t>
            </w:r>
          </w:p>
        </w:tc>
        <w:tc>
          <w:tcPr>
            <w:tcW w:w="1346" w:type="dxa"/>
            <w:vAlign w:val="center"/>
          </w:tcPr>
          <w:p w14:paraId="0DE5006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2B3DCED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74BB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BF29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425" w:type="dxa"/>
            <w:vAlign w:val="center"/>
          </w:tcPr>
          <w:p w14:paraId="6576940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第二条</w:t>
            </w:r>
          </w:p>
        </w:tc>
        <w:tc>
          <w:tcPr>
            <w:tcW w:w="3055" w:type="dxa"/>
            <w:vAlign w:val="center"/>
          </w:tcPr>
          <w:p w14:paraId="1FF6801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合同期限</w:t>
            </w:r>
          </w:p>
        </w:tc>
        <w:tc>
          <w:tcPr>
            <w:tcW w:w="1346" w:type="dxa"/>
            <w:vAlign w:val="center"/>
          </w:tcPr>
          <w:p w14:paraId="233534E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31FEBE9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762A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5C76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425" w:type="dxa"/>
            <w:vAlign w:val="center"/>
          </w:tcPr>
          <w:p w14:paraId="21A6CE1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第三条</w:t>
            </w:r>
          </w:p>
        </w:tc>
        <w:tc>
          <w:tcPr>
            <w:tcW w:w="3055" w:type="dxa"/>
            <w:vAlign w:val="center"/>
          </w:tcPr>
          <w:p w14:paraId="32E487B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甲方的权利</w:t>
            </w:r>
          </w:p>
        </w:tc>
        <w:tc>
          <w:tcPr>
            <w:tcW w:w="1346" w:type="dxa"/>
            <w:vAlign w:val="center"/>
          </w:tcPr>
          <w:p w14:paraId="077D83B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08A5F71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5E3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7F49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425" w:type="dxa"/>
            <w:vAlign w:val="center"/>
          </w:tcPr>
          <w:p w14:paraId="4830532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第四条</w:t>
            </w:r>
          </w:p>
        </w:tc>
        <w:tc>
          <w:tcPr>
            <w:tcW w:w="3055" w:type="dxa"/>
            <w:vAlign w:val="center"/>
          </w:tcPr>
          <w:p w14:paraId="4C5D611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甲方的义务</w:t>
            </w:r>
          </w:p>
        </w:tc>
        <w:tc>
          <w:tcPr>
            <w:tcW w:w="1346" w:type="dxa"/>
            <w:vAlign w:val="center"/>
          </w:tcPr>
          <w:p w14:paraId="1F32030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33735BF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3362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4C5BF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425" w:type="dxa"/>
            <w:vAlign w:val="center"/>
          </w:tcPr>
          <w:p w14:paraId="18EC331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第五条</w:t>
            </w:r>
          </w:p>
        </w:tc>
        <w:tc>
          <w:tcPr>
            <w:tcW w:w="3055" w:type="dxa"/>
            <w:vAlign w:val="center"/>
          </w:tcPr>
          <w:p w14:paraId="006C9B8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乙方的权利</w:t>
            </w:r>
          </w:p>
        </w:tc>
        <w:tc>
          <w:tcPr>
            <w:tcW w:w="1346" w:type="dxa"/>
            <w:vAlign w:val="center"/>
          </w:tcPr>
          <w:p w14:paraId="4A10223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304D98C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2F19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B0CA5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425" w:type="dxa"/>
            <w:vAlign w:val="center"/>
          </w:tcPr>
          <w:p w14:paraId="538EAB7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第六条</w:t>
            </w:r>
          </w:p>
        </w:tc>
        <w:tc>
          <w:tcPr>
            <w:tcW w:w="3055" w:type="dxa"/>
            <w:vAlign w:val="center"/>
          </w:tcPr>
          <w:p w14:paraId="282FC4B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乙方的义务</w:t>
            </w:r>
          </w:p>
        </w:tc>
        <w:tc>
          <w:tcPr>
            <w:tcW w:w="1346" w:type="dxa"/>
            <w:vAlign w:val="center"/>
          </w:tcPr>
          <w:p w14:paraId="0274612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37A8E39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1C7F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5D6A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1425" w:type="dxa"/>
            <w:vAlign w:val="center"/>
          </w:tcPr>
          <w:p w14:paraId="4A08277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第七条</w:t>
            </w:r>
          </w:p>
        </w:tc>
        <w:tc>
          <w:tcPr>
            <w:tcW w:w="3055" w:type="dxa"/>
            <w:vAlign w:val="center"/>
          </w:tcPr>
          <w:p w14:paraId="487E823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合同价款及支付办法</w:t>
            </w:r>
          </w:p>
        </w:tc>
        <w:tc>
          <w:tcPr>
            <w:tcW w:w="1346" w:type="dxa"/>
            <w:vAlign w:val="center"/>
          </w:tcPr>
          <w:p w14:paraId="10C89D4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2C0AB24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55AA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8CF9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1425" w:type="dxa"/>
            <w:vAlign w:val="center"/>
          </w:tcPr>
          <w:p w14:paraId="43BA8A2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第八条</w:t>
            </w:r>
          </w:p>
        </w:tc>
        <w:tc>
          <w:tcPr>
            <w:tcW w:w="3055" w:type="dxa"/>
            <w:vAlign w:val="center"/>
          </w:tcPr>
          <w:p w14:paraId="1795210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32AD9A1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7AC1BD9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6E3E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666F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425" w:type="dxa"/>
            <w:vAlign w:val="center"/>
          </w:tcPr>
          <w:p w14:paraId="7F96B0C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第九条</w:t>
            </w:r>
          </w:p>
        </w:tc>
        <w:tc>
          <w:tcPr>
            <w:tcW w:w="3055" w:type="dxa"/>
            <w:vAlign w:val="center"/>
          </w:tcPr>
          <w:p w14:paraId="130377D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合同变更或解除</w:t>
            </w:r>
          </w:p>
        </w:tc>
        <w:tc>
          <w:tcPr>
            <w:tcW w:w="1346" w:type="dxa"/>
            <w:vAlign w:val="center"/>
          </w:tcPr>
          <w:p w14:paraId="74CCD30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301A2DD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222E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604A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vAlign w:val="center"/>
          </w:tcPr>
          <w:p w14:paraId="55EFB0E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第十条</w:t>
            </w:r>
          </w:p>
        </w:tc>
        <w:tc>
          <w:tcPr>
            <w:tcW w:w="3055" w:type="dxa"/>
            <w:vAlign w:val="center"/>
          </w:tcPr>
          <w:p w14:paraId="3934D73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0B94DD8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62EE300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2DC8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367E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425" w:type="dxa"/>
            <w:vAlign w:val="center"/>
          </w:tcPr>
          <w:p w14:paraId="4BAFA4D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第十一条</w:t>
            </w:r>
          </w:p>
        </w:tc>
        <w:tc>
          <w:tcPr>
            <w:tcW w:w="3055" w:type="dxa"/>
            <w:vAlign w:val="center"/>
          </w:tcPr>
          <w:p w14:paraId="776F532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440D4F2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03DFA9F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08C1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12D8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vAlign w:val="center"/>
          </w:tcPr>
          <w:p w14:paraId="76BB677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第十</w:t>
            </w:r>
            <w:r>
              <w:rPr>
                <w:rFonts w:hint="eastAsia" w:ascii="宋体" w:hAnsi="宋体" w:eastAsia="宋体" w:cs="宋体"/>
                <w:kern w:val="0"/>
                <w:szCs w:val="21"/>
                <w:highlight w:val="none"/>
                <w:lang w:val="en-US" w:eastAsia="zh-CN"/>
              </w:rPr>
              <w:t>二</w:t>
            </w:r>
            <w:r>
              <w:rPr>
                <w:rFonts w:hint="eastAsia" w:ascii="宋体" w:hAnsi="宋体" w:eastAsia="宋体" w:cs="宋体"/>
                <w:kern w:val="0"/>
                <w:szCs w:val="21"/>
                <w:highlight w:val="none"/>
              </w:rPr>
              <w:t>条</w:t>
            </w:r>
          </w:p>
        </w:tc>
        <w:tc>
          <w:tcPr>
            <w:tcW w:w="3055" w:type="dxa"/>
            <w:vAlign w:val="center"/>
          </w:tcPr>
          <w:p w14:paraId="24A1D28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本合同未尽事宜，双方应通过友好协商以补充协议形式明确</w:t>
            </w:r>
          </w:p>
        </w:tc>
        <w:tc>
          <w:tcPr>
            <w:tcW w:w="1346" w:type="dxa"/>
            <w:vAlign w:val="center"/>
          </w:tcPr>
          <w:p w14:paraId="6601F48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78B80AD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5D12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5C28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14:paraId="0B5586B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第十</w:t>
            </w:r>
            <w:r>
              <w:rPr>
                <w:rFonts w:hint="eastAsia" w:ascii="宋体" w:hAnsi="宋体" w:eastAsia="宋体" w:cs="宋体"/>
                <w:kern w:val="0"/>
                <w:szCs w:val="21"/>
                <w:highlight w:val="none"/>
                <w:lang w:val="en-US" w:eastAsia="zh-CN"/>
              </w:rPr>
              <w:t>三</w:t>
            </w:r>
            <w:r>
              <w:rPr>
                <w:rFonts w:hint="eastAsia" w:ascii="宋体" w:hAnsi="宋体" w:eastAsia="宋体" w:cs="宋体"/>
                <w:kern w:val="0"/>
                <w:szCs w:val="21"/>
                <w:highlight w:val="none"/>
              </w:rPr>
              <w:t>条</w:t>
            </w:r>
          </w:p>
        </w:tc>
        <w:tc>
          <w:tcPr>
            <w:tcW w:w="3055" w:type="dxa"/>
            <w:vAlign w:val="center"/>
          </w:tcPr>
          <w:p w14:paraId="0225987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本合同正本一式   份，甲、乙双方各执   份，具有同等法律效力，自双方法定代表人或负责人或授权代表签字并盖章之日起生效</w:t>
            </w:r>
          </w:p>
        </w:tc>
        <w:tc>
          <w:tcPr>
            <w:tcW w:w="1346" w:type="dxa"/>
            <w:vAlign w:val="center"/>
          </w:tcPr>
          <w:p w14:paraId="0932201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20B3D83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0BED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8070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3BEC8AF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w:t>
            </w:r>
          </w:p>
        </w:tc>
        <w:tc>
          <w:tcPr>
            <w:tcW w:w="3055" w:type="dxa"/>
            <w:vAlign w:val="center"/>
          </w:tcPr>
          <w:p w14:paraId="13F297F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7BD39BC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3AB9DB3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5895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restart"/>
            <w:vAlign w:val="center"/>
          </w:tcPr>
          <w:p w14:paraId="39E86FF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序号</w:t>
            </w:r>
          </w:p>
        </w:tc>
        <w:tc>
          <w:tcPr>
            <w:tcW w:w="4480" w:type="dxa"/>
            <w:gridSpan w:val="2"/>
            <w:vAlign w:val="center"/>
          </w:tcPr>
          <w:p w14:paraId="559122E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FD189F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EA3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continue"/>
            <w:vAlign w:val="center"/>
          </w:tcPr>
          <w:p w14:paraId="40A5EF7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p>
        </w:tc>
        <w:tc>
          <w:tcPr>
            <w:tcW w:w="9350" w:type="dxa"/>
            <w:gridSpan w:val="4"/>
            <w:vAlign w:val="center"/>
          </w:tcPr>
          <w:p w14:paraId="0D77B86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相关保函格式</w:t>
            </w:r>
          </w:p>
        </w:tc>
      </w:tr>
      <w:tr w14:paraId="01CF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continue"/>
            <w:vAlign w:val="center"/>
          </w:tcPr>
          <w:p w14:paraId="5688435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p>
        </w:tc>
        <w:tc>
          <w:tcPr>
            <w:tcW w:w="1425" w:type="dxa"/>
            <w:vAlign w:val="center"/>
          </w:tcPr>
          <w:p w14:paraId="4C6AD9A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条款号</w:t>
            </w:r>
          </w:p>
        </w:tc>
        <w:tc>
          <w:tcPr>
            <w:tcW w:w="3055" w:type="dxa"/>
            <w:vAlign w:val="center"/>
          </w:tcPr>
          <w:p w14:paraId="1A56876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079273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853C7C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728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F75AE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425" w:type="dxa"/>
            <w:vAlign w:val="center"/>
          </w:tcPr>
          <w:p w14:paraId="0345AA2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一</w:t>
            </w:r>
          </w:p>
        </w:tc>
        <w:tc>
          <w:tcPr>
            <w:tcW w:w="3055" w:type="dxa"/>
            <w:vAlign w:val="center"/>
          </w:tcPr>
          <w:p w14:paraId="674747D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不可撤销银行履约保函格式</w:t>
            </w:r>
          </w:p>
        </w:tc>
        <w:tc>
          <w:tcPr>
            <w:tcW w:w="1346" w:type="dxa"/>
            <w:vAlign w:val="center"/>
          </w:tcPr>
          <w:p w14:paraId="14EF231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0219C3B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56A2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337D9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425" w:type="dxa"/>
            <w:vAlign w:val="center"/>
          </w:tcPr>
          <w:p w14:paraId="0E5A559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054441F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履约保证保险凭证格式</w:t>
            </w:r>
          </w:p>
        </w:tc>
        <w:tc>
          <w:tcPr>
            <w:tcW w:w="1346" w:type="dxa"/>
            <w:vAlign w:val="center"/>
          </w:tcPr>
          <w:p w14:paraId="0884D8C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40E18D8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r w14:paraId="4D54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D83FA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425" w:type="dxa"/>
            <w:vAlign w:val="center"/>
          </w:tcPr>
          <w:p w14:paraId="48B707D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419F373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担保公司履约担保书格式</w:t>
            </w:r>
          </w:p>
        </w:tc>
        <w:tc>
          <w:tcPr>
            <w:tcW w:w="1346" w:type="dxa"/>
            <w:vAlign w:val="center"/>
          </w:tcPr>
          <w:p w14:paraId="2EB5E21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c>
          <w:tcPr>
            <w:tcW w:w="3524" w:type="dxa"/>
            <w:vAlign w:val="center"/>
          </w:tcPr>
          <w:p w14:paraId="2923DA3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p>
        </w:tc>
      </w:tr>
    </w:tbl>
    <w:p w14:paraId="5A3D2E8B">
      <w:pPr>
        <w:kinsoku/>
        <w:overflowPunct/>
        <w:autoSpaceDE w:val="0"/>
        <w:autoSpaceDN w:val="0"/>
        <w:bidi w:val="0"/>
        <w:adjustRightInd w:val="0"/>
        <w:snapToGrid w:val="0"/>
        <w:spacing w:line="360" w:lineRule="auto"/>
        <w:ind w:left="186" w:leftChars="-158" w:hanging="518" w:hangingChars="247"/>
        <w:jc w:val="left"/>
        <w:outlineLvl w:val="9"/>
        <w:rPr>
          <w:rFonts w:ascii="宋体" w:hAnsi="宋体" w:eastAsia="宋体" w:cs="Times New Roman"/>
          <w:color w:val="auto"/>
          <w:szCs w:val="24"/>
          <w:highlight w:val="none"/>
          <w:lang w:val="zh-CN"/>
        </w:rPr>
      </w:pPr>
    </w:p>
    <w:p w14:paraId="31EAAD2C">
      <w:pPr>
        <w:kinsoku/>
        <w:overflowPunct/>
        <w:autoSpaceDE w:val="0"/>
        <w:autoSpaceDN w:val="0"/>
        <w:bidi w:val="0"/>
        <w:adjustRightInd w:val="0"/>
        <w:snapToGrid w:val="0"/>
        <w:spacing w:line="360" w:lineRule="auto"/>
        <w:ind w:left="166" w:leftChars="-101" w:hanging="378" w:hangingChars="18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B14BE38">
      <w:pPr>
        <w:spacing w:line="360" w:lineRule="auto"/>
        <w:ind w:left="605" w:leftChars="18" w:hanging="567" w:hangingChars="270"/>
        <w:rPr>
          <w:rFonts w:hint="eastAsia" w:ascii="宋体" w:hAnsi="宋体" w:eastAsia="宋体" w:cs="宋体"/>
          <w:color w:val="000000"/>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000000"/>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000000"/>
          <w:kern w:val="0"/>
          <w:szCs w:val="21"/>
          <w:highlight w:val="none"/>
        </w:rPr>
        <w:t>。</w:t>
      </w:r>
    </w:p>
    <w:p w14:paraId="049E4DD9">
      <w:pPr>
        <w:spacing w:line="360" w:lineRule="auto"/>
        <w:ind w:left="605" w:leftChars="18" w:hanging="567" w:hangingChars="27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74018790">
      <w:pPr>
        <w:spacing w:line="360" w:lineRule="auto"/>
        <w:ind w:left="605" w:leftChars="18" w:hanging="567" w:hangingChars="27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（3）招标文件“</w:t>
      </w:r>
      <w:r>
        <w:rPr>
          <w:rFonts w:hint="eastAsia" w:ascii="宋体" w:hAnsi="宋体" w:eastAsia="宋体" w:cs="宋体"/>
          <w:color w:val="000000"/>
          <w:szCs w:val="21"/>
          <w:highlight w:val="none"/>
          <w:lang w:eastAsia="zh-CN"/>
        </w:rPr>
        <w:t>第</w:t>
      </w:r>
      <w:r>
        <w:rPr>
          <w:rFonts w:hint="eastAsia" w:ascii="宋体" w:hAnsi="宋体" w:eastAsia="宋体" w:cs="宋体"/>
          <w:color w:val="000000"/>
          <w:szCs w:val="21"/>
          <w:highlight w:val="none"/>
          <w:lang w:val="en-US" w:eastAsia="zh-CN"/>
        </w:rPr>
        <w:t>五</w:t>
      </w:r>
      <w:r>
        <w:rPr>
          <w:rFonts w:hint="eastAsia" w:ascii="宋体" w:hAnsi="宋体" w:eastAsia="宋体" w:cs="宋体"/>
          <w:color w:val="000000"/>
          <w:szCs w:val="21"/>
          <w:highlight w:val="none"/>
          <w:lang w:eastAsia="zh-CN"/>
        </w:rPr>
        <w:t>篇</w:t>
      </w:r>
      <w:r>
        <w:rPr>
          <w:rFonts w:hint="eastAsia" w:ascii="宋体" w:hAnsi="宋体" w:eastAsia="宋体" w:cs="宋体"/>
          <w:color w:val="000000"/>
          <w:szCs w:val="21"/>
          <w:highlight w:val="none"/>
        </w:rPr>
        <w:t xml:space="preserve"> 相关保函格式”作为重要的商务条款，投标人的响应情况列入本合同条款偏离表。</w:t>
      </w:r>
    </w:p>
    <w:p w14:paraId="5B050DC5">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000000"/>
          <w:szCs w:val="21"/>
          <w:highlight w:val="none"/>
        </w:rPr>
        <w:t>（4）如投标人差异内容较多可另附页说明，并在本偏离表“具体偏离内容”项注明其在投标文件中的具体页码</w:t>
      </w:r>
      <w:r>
        <w:rPr>
          <w:rFonts w:hint="eastAsia" w:ascii="宋体" w:hAnsi="宋体" w:eastAsia="宋体" w:cs="宋体"/>
          <w:color w:val="auto"/>
          <w:szCs w:val="21"/>
          <w:highlight w:val="none"/>
        </w:rPr>
        <w:t>。</w:t>
      </w:r>
    </w:p>
    <w:p w14:paraId="1F37E6A2">
      <w:pPr>
        <w:kinsoku/>
        <w:overflowPunct/>
        <w:bidi w:val="0"/>
        <w:spacing w:line="360" w:lineRule="auto"/>
        <w:ind w:left="357" w:leftChars="-100" w:hanging="567" w:hangingChars="270"/>
        <w:outlineLvl w:val="9"/>
        <w:rPr>
          <w:rFonts w:ascii="宋体" w:hAnsi="宋体" w:eastAsia="宋体" w:cs="宋体"/>
          <w:color w:val="auto"/>
          <w:szCs w:val="21"/>
          <w:highlight w:val="none"/>
        </w:rPr>
      </w:pPr>
    </w:p>
    <w:p w14:paraId="25014F7D">
      <w:pPr>
        <w:kinsoku/>
        <w:overflowPunct/>
        <w:bidi w:val="0"/>
        <w:spacing w:line="360" w:lineRule="auto"/>
        <w:ind w:left="357" w:leftChars="-100" w:hanging="567" w:hangingChars="270"/>
        <w:outlineLvl w:val="9"/>
        <w:rPr>
          <w:rFonts w:ascii="宋体" w:hAnsi="宋体" w:eastAsia="宋体" w:cs="宋体"/>
          <w:color w:val="auto"/>
          <w:szCs w:val="21"/>
          <w:highlight w:val="none"/>
        </w:rPr>
      </w:pPr>
    </w:p>
    <w:p w14:paraId="326F571D">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4E456699">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4FA6330">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2263351">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7EC69D80">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5C06BD9">
      <w:pPr>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br w:type="page"/>
      </w:r>
    </w:p>
    <w:p w14:paraId="4108BB26">
      <w:pPr>
        <w:kinsoku/>
        <w:overflowPunct/>
        <w:autoSpaceDE w:val="0"/>
        <w:autoSpaceDN w:val="0"/>
        <w:bidi w:val="0"/>
        <w:adjustRightInd w:val="0"/>
        <w:spacing w:line="360" w:lineRule="auto"/>
        <w:jc w:val="both"/>
        <w:outlineLvl w:val="9"/>
        <w:rPr>
          <w:rFonts w:hint="eastAsia" w:ascii="宋体" w:hAnsi="宋体" w:eastAsia="宋体" w:cs="宋体"/>
          <w:b/>
          <w:bCs/>
          <w:color w:val="auto"/>
          <w:kern w:val="0"/>
          <w:sz w:val="28"/>
          <w:szCs w:val="30"/>
          <w:highlight w:val="none"/>
          <w:lang w:val="en-US" w:eastAsia="zh-CN"/>
        </w:rPr>
      </w:pPr>
      <w:r>
        <w:rPr>
          <w:rFonts w:hint="eastAsia" w:ascii="宋体" w:hAnsi="宋体" w:eastAsia="宋体" w:cs="宋体"/>
          <w:b/>
          <w:bCs/>
          <w:color w:val="auto"/>
          <w:kern w:val="0"/>
          <w:sz w:val="28"/>
          <w:szCs w:val="30"/>
          <w:highlight w:val="none"/>
          <w:lang w:val="en-US" w:eastAsia="zh-CN"/>
        </w:rPr>
        <w:t>标段二：</w:t>
      </w:r>
    </w:p>
    <w:p w14:paraId="1A833E3F">
      <w:pPr>
        <w:kinsoku/>
        <w:overflowPunct/>
        <w:autoSpaceDE w:val="0"/>
        <w:autoSpaceDN w:val="0"/>
        <w:bidi w:val="0"/>
        <w:adjustRightInd w:val="0"/>
        <w:spacing w:line="360" w:lineRule="auto"/>
        <w:jc w:val="center"/>
        <w:outlineLvl w:val="9"/>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东莞市水务环境投资控股集团有限公司招标采购代理协议服务项目合同条款偏离表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EA8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A17B8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F0E879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005FC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854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continue"/>
            <w:vAlign w:val="center"/>
          </w:tcPr>
          <w:p w14:paraId="3B0705B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9350" w:type="dxa"/>
            <w:gridSpan w:val="4"/>
            <w:vAlign w:val="center"/>
          </w:tcPr>
          <w:p w14:paraId="77E6ADE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招标代理协议服务合同</w:t>
            </w:r>
          </w:p>
        </w:tc>
      </w:tr>
      <w:tr w14:paraId="0B72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8FD7D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46B8BE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05B0C7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70A76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19C12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897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2F4E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16395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第一条</w:t>
            </w:r>
          </w:p>
        </w:tc>
        <w:tc>
          <w:tcPr>
            <w:tcW w:w="3055" w:type="dxa"/>
            <w:vAlign w:val="center"/>
          </w:tcPr>
          <w:p w14:paraId="4F02F3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lang w:val="en-US" w:eastAsia="zh-CN"/>
              </w:rPr>
              <w:t>招标</w:t>
            </w:r>
            <w:r>
              <w:rPr>
                <w:rFonts w:hint="default" w:ascii="宋体" w:hAnsi="宋体" w:eastAsia="宋体" w:cs="Times New Roman"/>
                <w:kern w:val="0"/>
                <w:szCs w:val="21"/>
                <w:highlight w:val="none"/>
              </w:rPr>
              <w:t>代理服务</w:t>
            </w:r>
            <w:r>
              <w:rPr>
                <w:rFonts w:hint="eastAsia" w:ascii="宋体" w:hAnsi="宋体" w:eastAsia="宋体" w:cs="Times New Roman"/>
                <w:kern w:val="0"/>
                <w:szCs w:val="21"/>
                <w:highlight w:val="none"/>
              </w:rPr>
              <w:t>内容</w:t>
            </w:r>
          </w:p>
        </w:tc>
        <w:tc>
          <w:tcPr>
            <w:tcW w:w="1346" w:type="dxa"/>
            <w:vAlign w:val="center"/>
          </w:tcPr>
          <w:p w14:paraId="2E2CFF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8030F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F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4591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9E905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第二条</w:t>
            </w:r>
          </w:p>
        </w:tc>
        <w:tc>
          <w:tcPr>
            <w:tcW w:w="3055" w:type="dxa"/>
            <w:vAlign w:val="center"/>
          </w:tcPr>
          <w:p w14:paraId="7EFE3D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协议服务期限</w:t>
            </w:r>
          </w:p>
        </w:tc>
        <w:tc>
          <w:tcPr>
            <w:tcW w:w="1346" w:type="dxa"/>
            <w:vAlign w:val="center"/>
          </w:tcPr>
          <w:p w14:paraId="38D0E6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3954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B49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F98A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6435DF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第三条</w:t>
            </w:r>
          </w:p>
        </w:tc>
        <w:tc>
          <w:tcPr>
            <w:tcW w:w="3055" w:type="dxa"/>
            <w:vAlign w:val="center"/>
          </w:tcPr>
          <w:p w14:paraId="3616A4B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服务管理</w:t>
            </w:r>
          </w:p>
        </w:tc>
        <w:tc>
          <w:tcPr>
            <w:tcW w:w="1346" w:type="dxa"/>
            <w:vAlign w:val="center"/>
          </w:tcPr>
          <w:p w14:paraId="2E53C5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C7DAE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E2A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74C5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0D908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第四条</w:t>
            </w:r>
          </w:p>
        </w:tc>
        <w:tc>
          <w:tcPr>
            <w:tcW w:w="3055" w:type="dxa"/>
            <w:vAlign w:val="center"/>
          </w:tcPr>
          <w:p w14:paraId="2044F5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服务要求</w:t>
            </w:r>
          </w:p>
        </w:tc>
        <w:tc>
          <w:tcPr>
            <w:tcW w:w="1346" w:type="dxa"/>
            <w:vAlign w:val="center"/>
          </w:tcPr>
          <w:p w14:paraId="3B9085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DD46C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FD2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E690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BCD6F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第五条</w:t>
            </w:r>
          </w:p>
        </w:tc>
        <w:tc>
          <w:tcPr>
            <w:tcW w:w="3055" w:type="dxa"/>
            <w:vAlign w:val="center"/>
          </w:tcPr>
          <w:p w14:paraId="16A426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lang w:val="en-US" w:eastAsia="zh-CN"/>
              </w:rPr>
              <w:t>招标</w:t>
            </w:r>
            <w:r>
              <w:rPr>
                <w:rFonts w:hint="eastAsia" w:ascii="宋体" w:hAnsi="宋体" w:eastAsia="宋体" w:cs="Times New Roman"/>
                <w:kern w:val="0"/>
                <w:szCs w:val="21"/>
                <w:highlight w:val="none"/>
              </w:rPr>
              <w:t>项目分配方式及</w:t>
            </w:r>
            <w:r>
              <w:rPr>
                <w:rFonts w:hint="eastAsia" w:ascii="宋体" w:hAnsi="宋体" w:eastAsia="宋体" w:cs="Times New Roman"/>
                <w:kern w:val="0"/>
                <w:szCs w:val="21"/>
                <w:highlight w:val="none"/>
                <w:lang w:val="en-US" w:eastAsia="zh-CN"/>
              </w:rPr>
              <w:t>招标</w:t>
            </w:r>
            <w:r>
              <w:rPr>
                <w:rFonts w:hint="eastAsia" w:ascii="宋体" w:hAnsi="宋体" w:eastAsia="宋体" w:cs="Times New Roman"/>
                <w:kern w:val="0"/>
                <w:szCs w:val="21"/>
                <w:highlight w:val="none"/>
              </w:rPr>
              <w:t>代理考核方式</w:t>
            </w:r>
          </w:p>
        </w:tc>
        <w:tc>
          <w:tcPr>
            <w:tcW w:w="1346" w:type="dxa"/>
            <w:vAlign w:val="center"/>
          </w:tcPr>
          <w:p w14:paraId="71C6A2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F704C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9FB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5AAD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E79C7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第六条</w:t>
            </w:r>
          </w:p>
        </w:tc>
        <w:tc>
          <w:tcPr>
            <w:tcW w:w="3055" w:type="dxa"/>
            <w:vAlign w:val="center"/>
          </w:tcPr>
          <w:p w14:paraId="57A9E5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代理服务费</w:t>
            </w:r>
          </w:p>
        </w:tc>
        <w:tc>
          <w:tcPr>
            <w:tcW w:w="1346" w:type="dxa"/>
            <w:vAlign w:val="center"/>
          </w:tcPr>
          <w:p w14:paraId="21680B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0CC7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7A8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0476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4E024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第七条</w:t>
            </w:r>
          </w:p>
        </w:tc>
        <w:tc>
          <w:tcPr>
            <w:tcW w:w="3055" w:type="dxa"/>
            <w:vAlign w:val="center"/>
          </w:tcPr>
          <w:p w14:paraId="5A41F9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履约担保</w:t>
            </w:r>
          </w:p>
        </w:tc>
        <w:tc>
          <w:tcPr>
            <w:tcW w:w="1346" w:type="dxa"/>
            <w:vAlign w:val="center"/>
          </w:tcPr>
          <w:p w14:paraId="2D691C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27BF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BAA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CAE1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4BE6C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第八条</w:t>
            </w:r>
          </w:p>
        </w:tc>
        <w:tc>
          <w:tcPr>
            <w:tcW w:w="3055" w:type="dxa"/>
            <w:vAlign w:val="center"/>
          </w:tcPr>
          <w:p w14:paraId="0EAF8C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违约责任</w:t>
            </w:r>
          </w:p>
        </w:tc>
        <w:tc>
          <w:tcPr>
            <w:tcW w:w="1346" w:type="dxa"/>
            <w:vAlign w:val="center"/>
          </w:tcPr>
          <w:p w14:paraId="474BCC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D8E40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4CA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0C3CC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729899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第九条</w:t>
            </w:r>
          </w:p>
        </w:tc>
        <w:tc>
          <w:tcPr>
            <w:tcW w:w="3055" w:type="dxa"/>
            <w:vAlign w:val="center"/>
          </w:tcPr>
          <w:p w14:paraId="2EF40F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合同争议</w:t>
            </w:r>
          </w:p>
        </w:tc>
        <w:tc>
          <w:tcPr>
            <w:tcW w:w="1346" w:type="dxa"/>
            <w:vAlign w:val="center"/>
          </w:tcPr>
          <w:p w14:paraId="65856C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229CB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36C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456A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AC3DD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第十条</w:t>
            </w:r>
          </w:p>
        </w:tc>
        <w:tc>
          <w:tcPr>
            <w:tcW w:w="3055" w:type="dxa"/>
            <w:vAlign w:val="center"/>
          </w:tcPr>
          <w:p w14:paraId="174CB6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合同的变更与解除</w:t>
            </w:r>
          </w:p>
        </w:tc>
        <w:tc>
          <w:tcPr>
            <w:tcW w:w="1346" w:type="dxa"/>
            <w:vAlign w:val="center"/>
          </w:tcPr>
          <w:p w14:paraId="622CE9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3C367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EE0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C636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4C1F26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第十一条</w:t>
            </w:r>
          </w:p>
        </w:tc>
        <w:tc>
          <w:tcPr>
            <w:tcW w:w="3055" w:type="dxa"/>
            <w:vAlign w:val="center"/>
          </w:tcPr>
          <w:p w14:paraId="789E59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合同生效及其他</w:t>
            </w:r>
          </w:p>
        </w:tc>
        <w:tc>
          <w:tcPr>
            <w:tcW w:w="1346" w:type="dxa"/>
            <w:vAlign w:val="center"/>
          </w:tcPr>
          <w:p w14:paraId="37BAE7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9979B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01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20B8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508A9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附件2</w:t>
            </w:r>
          </w:p>
        </w:tc>
        <w:tc>
          <w:tcPr>
            <w:tcW w:w="3055" w:type="dxa"/>
            <w:vAlign w:val="center"/>
          </w:tcPr>
          <w:p w14:paraId="34E88B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lang w:val="en-US" w:eastAsia="zh-CN"/>
              </w:rPr>
              <w:t>招标</w:t>
            </w:r>
            <w:r>
              <w:rPr>
                <w:rFonts w:hint="eastAsia" w:ascii="宋体" w:hAnsi="宋体" w:eastAsia="宋体" w:cs="Times New Roman"/>
                <w:kern w:val="0"/>
                <w:szCs w:val="21"/>
                <w:highlight w:val="none"/>
              </w:rPr>
              <w:t>代理机构考核表</w:t>
            </w:r>
          </w:p>
        </w:tc>
        <w:tc>
          <w:tcPr>
            <w:tcW w:w="1346" w:type="dxa"/>
            <w:vAlign w:val="center"/>
          </w:tcPr>
          <w:p w14:paraId="11ECB3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930A3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CAF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AD6F9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79CD38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kern w:val="0"/>
                <w:szCs w:val="21"/>
                <w:highlight w:val="none"/>
              </w:rPr>
              <w:t>附件4</w:t>
            </w:r>
          </w:p>
        </w:tc>
        <w:tc>
          <w:tcPr>
            <w:tcW w:w="3055" w:type="dxa"/>
            <w:vAlign w:val="center"/>
          </w:tcPr>
          <w:p w14:paraId="45FD54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kern w:val="0"/>
                <w:szCs w:val="21"/>
                <w:highlight w:val="none"/>
              </w:rPr>
              <w:t>廉洁协议书</w:t>
            </w:r>
          </w:p>
        </w:tc>
        <w:tc>
          <w:tcPr>
            <w:tcW w:w="1346" w:type="dxa"/>
            <w:vAlign w:val="center"/>
          </w:tcPr>
          <w:p w14:paraId="73961E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852CA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15D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200A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75CD30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附件5</w:t>
            </w:r>
          </w:p>
        </w:tc>
        <w:tc>
          <w:tcPr>
            <w:tcW w:w="3055" w:type="dxa"/>
            <w:vAlign w:val="center"/>
          </w:tcPr>
          <w:p w14:paraId="726763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保密和纪律协议</w:t>
            </w:r>
          </w:p>
        </w:tc>
        <w:tc>
          <w:tcPr>
            <w:tcW w:w="1346" w:type="dxa"/>
            <w:vAlign w:val="center"/>
          </w:tcPr>
          <w:p w14:paraId="3EEFD9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4C61E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72E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restart"/>
            <w:vAlign w:val="center"/>
          </w:tcPr>
          <w:p w14:paraId="56C0A0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序号</w:t>
            </w:r>
          </w:p>
        </w:tc>
        <w:tc>
          <w:tcPr>
            <w:tcW w:w="4480" w:type="dxa"/>
            <w:gridSpan w:val="2"/>
            <w:vAlign w:val="center"/>
          </w:tcPr>
          <w:p w14:paraId="047CECA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kern w:val="0"/>
                <w:szCs w:val="21"/>
                <w:highlight w:val="none"/>
                <w:lang w:val="en-US" w:eastAsia="zh-CN"/>
              </w:rPr>
            </w:pPr>
            <w:r>
              <w:rPr>
                <w:rFonts w:hint="eastAsia" w:ascii="宋体" w:hAnsi="宋体" w:eastAsia="宋体" w:cs="宋体"/>
                <w:color w:val="auto"/>
                <w:kern w:val="0"/>
                <w:szCs w:val="21"/>
                <w:highlight w:val="none"/>
              </w:rPr>
              <w:t>招标文件要求</w:t>
            </w:r>
          </w:p>
        </w:tc>
        <w:tc>
          <w:tcPr>
            <w:tcW w:w="4870" w:type="dxa"/>
            <w:gridSpan w:val="2"/>
            <w:vAlign w:val="center"/>
          </w:tcPr>
          <w:p w14:paraId="2857B91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F77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continue"/>
            <w:vAlign w:val="center"/>
          </w:tcPr>
          <w:p w14:paraId="50B7E63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p>
        </w:tc>
        <w:tc>
          <w:tcPr>
            <w:tcW w:w="9350" w:type="dxa"/>
            <w:gridSpan w:val="4"/>
            <w:vAlign w:val="center"/>
          </w:tcPr>
          <w:p w14:paraId="62B04D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建设工程招标代理合同</w:t>
            </w:r>
          </w:p>
        </w:tc>
      </w:tr>
      <w:tr w14:paraId="0C4A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continue"/>
            <w:vAlign w:val="center"/>
          </w:tcPr>
          <w:p w14:paraId="5C84D1B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p>
        </w:tc>
        <w:tc>
          <w:tcPr>
            <w:tcW w:w="1425" w:type="dxa"/>
            <w:vAlign w:val="center"/>
          </w:tcPr>
          <w:p w14:paraId="61668CD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rPr>
              <w:t>条款号</w:t>
            </w:r>
          </w:p>
        </w:tc>
        <w:tc>
          <w:tcPr>
            <w:tcW w:w="3055" w:type="dxa"/>
            <w:vAlign w:val="center"/>
          </w:tcPr>
          <w:p w14:paraId="4D7289D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kern w:val="0"/>
                <w:szCs w:val="21"/>
                <w:highlight w:val="none"/>
                <w:lang w:val="en-US" w:eastAsia="zh-CN"/>
              </w:rPr>
            </w:pPr>
            <w:r>
              <w:rPr>
                <w:rFonts w:hint="eastAsia" w:ascii="宋体" w:hAnsi="宋体" w:eastAsia="宋体" w:cs="宋体"/>
                <w:color w:val="auto"/>
                <w:kern w:val="0"/>
                <w:szCs w:val="21"/>
                <w:highlight w:val="none"/>
              </w:rPr>
              <w:t>简要内容</w:t>
            </w:r>
          </w:p>
        </w:tc>
        <w:tc>
          <w:tcPr>
            <w:tcW w:w="1346" w:type="dxa"/>
            <w:vAlign w:val="center"/>
          </w:tcPr>
          <w:p w14:paraId="3B8C89F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33AF48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524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BCC9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425" w:type="dxa"/>
            <w:vAlign w:val="center"/>
          </w:tcPr>
          <w:p w14:paraId="29C43DB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一</w:t>
            </w:r>
          </w:p>
        </w:tc>
        <w:tc>
          <w:tcPr>
            <w:tcW w:w="3055" w:type="dxa"/>
            <w:vAlign w:val="center"/>
          </w:tcPr>
          <w:p w14:paraId="4F7BF26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工程概况</w:t>
            </w:r>
          </w:p>
        </w:tc>
        <w:tc>
          <w:tcPr>
            <w:tcW w:w="1346" w:type="dxa"/>
            <w:vAlign w:val="center"/>
          </w:tcPr>
          <w:p w14:paraId="3575DE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3D684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4C1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311D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425" w:type="dxa"/>
            <w:vAlign w:val="center"/>
          </w:tcPr>
          <w:p w14:paraId="314160E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w:t>
            </w:r>
          </w:p>
        </w:tc>
        <w:tc>
          <w:tcPr>
            <w:tcW w:w="3055" w:type="dxa"/>
            <w:vAlign w:val="center"/>
          </w:tcPr>
          <w:p w14:paraId="53D65A6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kern w:val="0"/>
                <w:szCs w:val="21"/>
                <w:highlight w:val="none"/>
                <w:lang w:val="en-US" w:eastAsia="zh-CN"/>
              </w:rPr>
            </w:pPr>
            <w:r>
              <w:rPr>
                <w:rFonts w:hint="eastAsia" w:ascii="宋体" w:hAnsi="宋体" w:eastAsia="宋体" w:cs="宋体"/>
                <w:color w:val="auto"/>
                <w:szCs w:val="21"/>
                <w:highlight w:val="none"/>
              </w:rPr>
              <w:t>委托人委托受托人为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的招标代理机构，承担本工程的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招标代理工作</w:t>
            </w:r>
          </w:p>
        </w:tc>
        <w:tc>
          <w:tcPr>
            <w:tcW w:w="1346" w:type="dxa"/>
            <w:vAlign w:val="center"/>
          </w:tcPr>
          <w:p w14:paraId="278E6D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FA2DA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57A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B8B6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425" w:type="dxa"/>
            <w:vAlign w:val="center"/>
          </w:tcPr>
          <w:p w14:paraId="216DCE5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szCs w:val="21"/>
                <w:highlight w:val="none"/>
              </w:rPr>
              <w:t>三</w:t>
            </w:r>
          </w:p>
        </w:tc>
        <w:tc>
          <w:tcPr>
            <w:tcW w:w="3055" w:type="dxa"/>
            <w:vAlign w:val="center"/>
          </w:tcPr>
          <w:p w14:paraId="1AB38F0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w:t>
            </w:r>
          </w:p>
        </w:tc>
        <w:tc>
          <w:tcPr>
            <w:tcW w:w="1346" w:type="dxa"/>
            <w:vAlign w:val="center"/>
          </w:tcPr>
          <w:p w14:paraId="6E0133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C0963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B4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C936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425" w:type="dxa"/>
            <w:vAlign w:val="center"/>
          </w:tcPr>
          <w:p w14:paraId="7927A46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szCs w:val="21"/>
                <w:highlight w:val="none"/>
              </w:rPr>
              <w:t>四</w:t>
            </w:r>
          </w:p>
        </w:tc>
        <w:tc>
          <w:tcPr>
            <w:tcW w:w="3055" w:type="dxa"/>
            <w:vAlign w:val="center"/>
          </w:tcPr>
          <w:p w14:paraId="5B750D0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组成本合同的文件</w:t>
            </w:r>
          </w:p>
        </w:tc>
        <w:tc>
          <w:tcPr>
            <w:tcW w:w="1346" w:type="dxa"/>
            <w:vAlign w:val="center"/>
          </w:tcPr>
          <w:p w14:paraId="726461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E7865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A28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A723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425" w:type="dxa"/>
            <w:vAlign w:val="center"/>
          </w:tcPr>
          <w:p w14:paraId="5801321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szCs w:val="21"/>
                <w:highlight w:val="none"/>
              </w:rPr>
              <w:t>五</w:t>
            </w:r>
          </w:p>
        </w:tc>
        <w:tc>
          <w:tcPr>
            <w:tcW w:w="3055" w:type="dxa"/>
            <w:vAlign w:val="center"/>
          </w:tcPr>
          <w:p w14:paraId="4942F51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本协议书中的有关词语定义与本合同第一部分《通用条款》中分别赋予它们的定义相同</w:t>
            </w:r>
          </w:p>
        </w:tc>
        <w:tc>
          <w:tcPr>
            <w:tcW w:w="1346" w:type="dxa"/>
            <w:vAlign w:val="center"/>
          </w:tcPr>
          <w:p w14:paraId="7523E4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4A44C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920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4528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425" w:type="dxa"/>
            <w:vAlign w:val="center"/>
          </w:tcPr>
          <w:p w14:paraId="36AF0D3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szCs w:val="21"/>
                <w:highlight w:val="none"/>
              </w:rPr>
              <w:t>六</w:t>
            </w:r>
          </w:p>
        </w:tc>
        <w:tc>
          <w:tcPr>
            <w:tcW w:w="3055" w:type="dxa"/>
            <w:vAlign w:val="center"/>
          </w:tcPr>
          <w:p w14:paraId="16CAFB6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受托人向委托人承诺，按照本合同的约定，承担本合同条款中约定范围内的代理业务</w:t>
            </w:r>
          </w:p>
        </w:tc>
        <w:tc>
          <w:tcPr>
            <w:tcW w:w="1346" w:type="dxa"/>
            <w:vAlign w:val="center"/>
          </w:tcPr>
          <w:p w14:paraId="35325E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6F8D7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CC7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B63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1425" w:type="dxa"/>
            <w:vAlign w:val="center"/>
          </w:tcPr>
          <w:p w14:paraId="29D1331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szCs w:val="21"/>
                <w:highlight w:val="none"/>
              </w:rPr>
              <w:t>七</w:t>
            </w:r>
          </w:p>
        </w:tc>
        <w:tc>
          <w:tcPr>
            <w:tcW w:w="3055" w:type="dxa"/>
            <w:vAlign w:val="center"/>
          </w:tcPr>
          <w:p w14:paraId="7BD1C4D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委托人向受托人承诺，按照本合同的约定，确保代理报酬的支付</w:t>
            </w:r>
          </w:p>
        </w:tc>
        <w:tc>
          <w:tcPr>
            <w:tcW w:w="1346" w:type="dxa"/>
            <w:vAlign w:val="center"/>
          </w:tcPr>
          <w:p w14:paraId="2BAAE6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241C1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A5C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2A86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1425" w:type="dxa"/>
            <w:vAlign w:val="center"/>
          </w:tcPr>
          <w:p w14:paraId="3C1DEEB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szCs w:val="21"/>
                <w:highlight w:val="none"/>
              </w:rPr>
              <w:t>八</w:t>
            </w:r>
          </w:p>
        </w:tc>
        <w:tc>
          <w:tcPr>
            <w:tcW w:w="3055" w:type="dxa"/>
            <w:vAlign w:val="center"/>
          </w:tcPr>
          <w:p w14:paraId="65D1F2B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w:t>
            </w:r>
          </w:p>
        </w:tc>
        <w:tc>
          <w:tcPr>
            <w:tcW w:w="1346" w:type="dxa"/>
            <w:vAlign w:val="center"/>
          </w:tcPr>
          <w:p w14:paraId="2AC673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EE062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C42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6713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425" w:type="dxa"/>
            <w:vAlign w:val="center"/>
          </w:tcPr>
          <w:p w14:paraId="121E326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szCs w:val="21"/>
                <w:highlight w:val="none"/>
              </w:rPr>
              <w:t>九</w:t>
            </w:r>
          </w:p>
        </w:tc>
        <w:tc>
          <w:tcPr>
            <w:tcW w:w="3055" w:type="dxa"/>
            <w:vAlign w:val="center"/>
          </w:tcPr>
          <w:p w14:paraId="7391DA5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合同生效</w:t>
            </w:r>
          </w:p>
        </w:tc>
        <w:tc>
          <w:tcPr>
            <w:tcW w:w="1346" w:type="dxa"/>
            <w:vAlign w:val="center"/>
          </w:tcPr>
          <w:p w14:paraId="331B6A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FD04D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233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6753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vAlign w:val="center"/>
          </w:tcPr>
          <w:p w14:paraId="40685DB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第一部分</w:t>
            </w:r>
          </w:p>
        </w:tc>
        <w:tc>
          <w:tcPr>
            <w:tcW w:w="3055" w:type="dxa"/>
            <w:vAlign w:val="center"/>
          </w:tcPr>
          <w:p w14:paraId="4D4E80A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通用条款</w:t>
            </w:r>
          </w:p>
        </w:tc>
        <w:tc>
          <w:tcPr>
            <w:tcW w:w="1346" w:type="dxa"/>
            <w:vAlign w:val="center"/>
          </w:tcPr>
          <w:p w14:paraId="5D4835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5FBDD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F02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4410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425" w:type="dxa"/>
            <w:vAlign w:val="center"/>
          </w:tcPr>
          <w:p w14:paraId="365B64D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szCs w:val="21"/>
                <w:highlight w:val="none"/>
              </w:rPr>
              <w:t>第二部分</w:t>
            </w:r>
          </w:p>
        </w:tc>
        <w:tc>
          <w:tcPr>
            <w:tcW w:w="3055" w:type="dxa"/>
            <w:vAlign w:val="center"/>
          </w:tcPr>
          <w:p w14:paraId="73F3067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1346" w:type="dxa"/>
            <w:vAlign w:val="center"/>
          </w:tcPr>
          <w:p w14:paraId="5A08B06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1FA82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69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A35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vAlign w:val="center"/>
          </w:tcPr>
          <w:p w14:paraId="0B2FF3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附件1</w:t>
            </w:r>
          </w:p>
        </w:tc>
        <w:tc>
          <w:tcPr>
            <w:tcW w:w="3055" w:type="dxa"/>
            <w:vAlign w:val="center"/>
          </w:tcPr>
          <w:p w14:paraId="1CCA0CE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u w:val="single"/>
                <w:lang w:val="en-US" w:eastAsia="zh-CN"/>
              </w:rPr>
              <w:t>单项招标代理项目质量考核表</w:t>
            </w:r>
          </w:p>
        </w:tc>
        <w:tc>
          <w:tcPr>
            <w:tcW w:w="1346" w:type="dxa"/>
            <w:vAlign w:val="center"/>
          </w:tcPr>
          <w:p w14:paraId="632744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3B72C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C5E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145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14:paraId="196B6ED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附件2</w:t>
            </w:r>
          </w:p>
        </w:tc>
        <w:tc>
          <w:tcPr>
            <w:tcW w:w="3055" w:type="dxa"/>
            <w:vAlign w:val="center"/>
          </w:tcPr>
          <w:p w14:paraId="61BA0C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val="0"/>
                <w:bCs/>
                <w:color w:val="auto"/>
                <w:szCs w:val="21"/>
                <w:highlight w:val="none"/>
                <w:u w:val="single"/>
                <w:lang w:val="en-US" w:eastAsia="zh-CN"/>
              </w:rPr>
            </w:pPr>
            <w:r>
              <w:rPr>
                <w:rFonts w:hint="eastAsia" w:ascii="宋体" w:hAnsi="宋体" w:eastAsia="宋体" w:cs="宋体"/>
                <w:b w:val="0"/>
                <w:bCs/>
                <w:color w:val="auto"/>
                <w:szCs w:val="21"/>
                <w:highlight w:val="none"/>
                <w:u w:val="single"/>
                <w:lang w:val="en-US" w:eastAsia="zh-CN"/>
              </w:rPr>
              <w:t>廉洁协议书</w:t>
            </w:r>
          </w:p>
        </w:tc>
        <w:tc>
          <w:tcPr>
            <w:tcW w:w="1346" w:type="dxa"/>
            <w:vAlign w:val="center"/>
          </w:tcPr>
          <w:p w14:paraId="44F5D38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28337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BF7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restart"/>
            <w:vAlign w:val="center"/>
          </w:tcPr>
          <w:p w14:paraId="7DB0C7C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序号</w:t>
            </w:r>
          </w:p>
        </w:tc>
        <w:tc>
          <w:tcPr>
            <w:tcW w:w="4480" w:type="dxa"/>
            <w:gridSpan w:val="2"/>
            <w:vAlign w:val="center"/>
          </w:tcPr>
          <w:p w14:paraId="4A8777D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color w:val="auto"/>
                <w:szCs w:val="21"/>
                <w:highlight w:val="none"/>
                <w:u w:val="single"/>
                <w:lang w:val="en-US" w:eastAsia="zh-CN"/>
              </w:rPr>
            </w:pPr>
            <w:r>
              <w:rPr>
                <w:rFonts w:hint="eastAsia" w:ascii="宋体" w:hAnsi="宋体" w:eastAsia="宋体" w:cs="宋体"/>
                <w:color w:val="auto"/>
                <w:kern w:val="0"/>
                <w:szCs w:val="21"/>
                <w:highlight w:val="none"/>
              </w:rPr>
              <w:t>招标文件要求</w:t>
            </w:r>
          </w:p>
        </w:tc>
        <w:tc>
          <w:tcPr>
            <w:tcW w:w="4870" w:type="dxa"/>
            <w:gridSpan w:val="2"/>
            <w:vAlign w:val="center"/>
          </w:tcPr>
          <w:p w14:paraId="10CDF12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18D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continue"/>
            <w:vAlign w:val="center"/>
          </w:tcPr>
          <w:p w14:paraId="0758B0B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p>
        </w:tc>
        <w:tc>
          <w:tcPr>
            <w:tcW w:w="9350" w:type="dxa"/>
            <w:gridSpan w:val="4"/>
            <w:vAlign w:val="center"/>
          </w:tcPr>
          <w:p w14:paraId="1512C72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相关保函格式</w:t>
            </w:r>
          </w:p>
        </w:tc>
      </w:tr>
      <w:tr w14:paraId="1102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Merge w:val="continue"/>
            <w:vAlign w:val="center"/>
          </w:tcPr>
          <w:p w14:paraId="3C5876A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p>
        </w:tc>
        <w:tc>
          <w:tcPr>
            <w:tcW w:w="1425" w:type="dxa"/>
            <w:vAlign w:val="center"/>
          </w:tcPr>
          <w:p w14:paraId="18EBE1C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rPr>
              <w:t>条款号</w:t>
            </w:r>
          </w:p>
        </w:tc>
        <w:tc>
          <w:tcPr>
            <w:tcW w:w="3055" w:type="dxa"/>
            <w:vAlign w:val="center"/>
          </w:tcPr>
          <w:p w14:paraId="041A8D5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color w:val="auto"/>
                <w:szCs w:val="21"/>
                <w:highlight w:val="none"/>
                <w:u w:val="single"/>
                <w:lang w:val="en-US" w:eastAsia="zh-CN"/>
              </w:rPr>
            </w:pPr>
            <w:r>
              <w:rPr>
                <w:rFonts w:hint="eastAsia" w:ascii="宋体" w:hAnsi="宋体" w:eastAsia="宋体" w:cs="宋体"/>
                <w:color w:val="auto"/>
                <w:kern w:val="0"/>
                <w:szCs w:val="21"/>
                <w:highlight w:val="none"/>
              </w:rPr>
              <w:t>简要内容</w:t>
            </w:r>
          </w:p>
        </w:tc>
        <w:tc>
          <w:tcPr>
            <w:tcW w:w="1346" w:type="dxa"/>
            <w:vAlign w:val="center"/>
          </w:tcPr>
          <w:p w14:paraId="0B34924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D284BB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24A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04B5F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425" w:type="dxa"/>
            <w:vAlign w:val="center"/>
          </w:tcPr>
          <w:p w14:paraId="404214A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rPr>
              <w:t>一</w:t>
            </w:r>
          </w:p>
        </w:tc>
        <w:tc>
          <w:tcPr>
            <w:tcW w:w="3055" w:type="dxa"/>
            <w:vAlign w:val="center"/>
          </w:tcPr>
          <w:p w14:paraId="1590612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color w:val="auto"/>
                <w:szCs w:val="21"/>
                <w:highlight w:val="none"/>
                <w:u w:val="single"/>
                <w:lang w:val="en-US" w:eastAsia="zh-CN"/>
              </w:rPr>
            </w:pPr>
            <w:r>
              <w:rPr>
                <w:rFonts w:hint="eastAsia" w:ascii="宋体" w:hAnsi="宋体" w:eastAsia="宋体" w:cs="宋体"/>
                <w:color w:val="auto"/>
                <w:kern w:val="0"/>
                <w:szCs w:val="21"/>
                <w:highlight w:val="none"/>
              </w:rPr>
              <w:t>不可撤销银行履约保函格式</w:t>
            </w:r>
          </w:p>
        </w:tc>
        <w:tc>
          <w:tcPr>
            <w:tcW w:w="1346" w:type="dxa"/>
            <w:vAlign w:val="center"/>
          </w:tcPr>
          <w:p w14:paraId="14D8155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p>
        </w:tc>
        <w:tc>
          <w:tcPr>
            <w:tcW w:w="3524" w:type="dxa"/>
            <w:vAlign w:val="center"/>
          </w:tcPr>
          <w:p w14:paraId="263D6D2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p>
        </w:tc>
      </w:tr>
      <w:tr w14:paraId="0C80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C9445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425" w:type="dxa"/>
            <w:vAlign w:val="center"/>
          </w:tcPr>
          <w:p w14:paraId="66FCDB6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5738AB7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color w:val="auto"/>
                <w:szCs w:val="21"/>
                <w:highlight w:val="none"/>
                <w:u w:val="single"/>
                <w:lang w:val="en-US" w:eastAsia="zh-CN"/>
              </w:rPr>
            </w:pPr>
            <w:r>
              <w:rPr>
                <w:rFonts w:hint="eastAsia" w:ascii="宋体" w:hAnsi="宋体" w:eastAsia="宋体" w:cs="宋体"/>
                <w:color w:val="auto"/>
                <w:kern w:val="0"/>
                <w:szCs w:val="21"/>
                <w:highlight w:val="none"/>
              </w:rPr>
              <w:t>履约保证保险凭证格式</w:t>
            </w:r>
          </w:p>
        </w:tc>
        <w:tc>
          <w:tcPr>
            <w:tcW w:w="1346" w:type="dxa"/>
            <w:vAlign w:val="center"/>
          </w:tcPr>
          <w:p w14:paraId="19BECCD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p>
        </w:tc>
        <w:tc>
          <w:tcPr>
            <w:tcW w:w="3524" w:type="dxa"/>
            <w:vAlign w:val="center"/>
          </w:tcPr>
          <w:p w14:paraId="0059564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p>
        </w:tc>
      </w:tr>
      <w:tr w14:paraId="56D1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9825F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425" w:type="dxa"/>
            <w:vAlign w:val="center"/>
          </w:tcPr>
          <w:p w14:paraId="419B29D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2F739F3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color w:val="auto"/>
                <w:szCs w:val="21"/>
                <w:highlight w:val="none"/>
                <w:u w:val="single"/>
                <w:lang w:val="en-US" w:eastAsia="zh-CN"/>
              </w:rPr>
            </w:pPr>
            <w:r>
              <w:rPr>
                <w:rFonts w:hint="eastAsia" w:ascii="宋体" w:hAnsi="宋体" w:eastAsia="宋体" w:cs="宋体"/>
                <w:color w:val="auto"/>
                <w:kern w:val="0"/>
                <w:szCs w:val="21"/>
                <w:highlight w:val="none"/>
              </w:rPr>
              <w:t>担保公司履约担保书格式</w:t>
            </w:r>
          </w:p>
        </w:tc>
        <w:tc>
          <w:tcPr>
            <w:tcW w:w="1346" w:type="dxa"/>
            <w:vAlign w:val="center"/>
          </w:tcPr>
          <w:p w14:paraId="53F9154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p>
        </w:tc>
        <w:tc>
          <w:tcPr>
            <w:tcW w:w="3524" w:type="dxa"/>
            <w:vAlign w:val="center"/>
          </w:tcPr>
          <w:p w14:paraId="3063122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p>
        </w:tc>
      </w:tr>
    </w:tbl>
    <w:p w14:paraId="4932D93A">
      <w:pPr>
        <w:kinsoku/>
        <w:overflowPunct/>
        <w:autoSpaceDE w:val="0"/>
        <w:autoSpaceDN w:val="0"/>
        <w:bidi w:val="0"/>
        <w:adjustRightInd w:val="0"/>
        <w:snapToGrid w:val="0"/>
        <w:spacing w:line="360" w:lineRule="auto"/>
        <w:ind w:left="186" w:leftChars="-158" w:hanging="518" w:hangingChars="247"/>
        <w:jc w:val="left"/>
        <w:outlineLvl w:val="9"/>
        <w:rPr>
          <w:rFonts w:ascii="宋体" w:hAnsi="宋体" w:eastAsia="宋体" w:cs="Times New Roman"/>
          <w:color w:val="auto"/>
          <w:szCs w:val="24"/>
          <w:highlight w:val="none"/>
          <w:lang w:val="zh-CN"/>
        </w:rPr>
      </w:pPr>
    </w:p>
    <w:p w14:paraId="68886E3C">
      <w:pPr>
        <w:kinsoku/>
        <w:overflowPunct/>
        <w:autoSpaceDE w:val="0"/>
        <w:autoSpaceDN w:val="0"/>
        <w:bidi w:val="0"/>
        <w:adjustRightInd w:val="0"/>
        <w:snapToGrid w:val="0"/>
        <w:spacing w:line="360" w:lineRule="auto"/>
        <w:ind w:left="166" w:leftChars="-101" w:hanging="378" w:hangingChars="18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05F1EA4">
      <w:pPr>
        <w:spacing w:line="360" w:lineRule="auto"/>
        <w:ind w:left="605" w:leftChars="18" w:hanging="567" w:hangingChars="270"/>
        <w:rPr>
          <w:rFonts w:hint="eastAsia" w:ascii="宋体" w:hAnsi="宋体" w:eastAsia="宋体" w:cs="宋体"/>
          <w:color w:val="000000"/>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000000"/>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000000"/>
          <w:kern w:val="0"/>
          <w:szCs w:val="21"/>
          <w:highlight w:val="none"/>
        </w:rPr>
        <w:t>。</w:t>
      </w:r>
    </w:p>
    <w:p w14:paraId="2C404F1D">
      <w:pPr>
        <w:spacing w:line="360" w:lineRule="auto"/>
        <w:ind w:left="605" w:leftChars="18" w:hanging="567" w:hangingChars="27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1EEAF6B8">
      <w:pPr>
        <w:spacing w:line="360" w:lineRule="auto"/>
        <w:ind w:left="605" w:leftChars="18" w:hanging="567" w:hangingChars="27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（3）招标文件“</w:t>
      </w:r>
      <w:r>
        <w:rPr>
          <w:rFonts w:hint="eastAsia" w:ascii="宋体" w:hAnsi="宋体" w:eastAsia="宋体" w:cs="宋体"/>
          <w:color w:val="000000"/>
          <w:szCs w:val="21"/>
          <w:highlight w:val="none"/>
          <w:lang w:eastAsia="zh-CN"/>
        </w:rPr>
        <w:t>第</w:t>
      </w:r>
      <w:r>
        <w:rPr>
          <w:rFonts w:hint="eastAsia" w:ascii="宋体" w:hAnsi="宋体" w:eastAsia="宋体" w:cs="宋体"/>
          <w:color w:val="000000"/>
          <w:szCs w:val="21"/>
          <w:highlight w:val="none"/>
          <w:lang w:val="en-US" w:eastAsia="zh-CN"/>
        </w:rPr>
        <w:t>五</w:t>
      </w:r>
      <w:r>
        <w:rPr>
          <w:rFonts w:hint="eastAsia" w:ascii="宋体" w:hAnsi="宋体" w:eastAsia="宋体" w:cs="宋体"/>
          <w:color w:val="000000"/>
          <w:szCs w:val="21"/>
          <w:highlight w:val="none"/>
          <w:lang w:eastAsia="zh-CN"/>
        </w:rPr>
        <w:t>篇</w:t>
      </w:r>
      <w:r>
        <w:rPr>
          <w:rFonts w:hint="eastAsia" w:ascii="宋体" w:hAnsi="宋体" w:eastAsia="宋体" w:cs="宋体"/>
          <w:color w:val="000000"/>
          <w:szCs w:val="21"/>
          <w:highlight w:val="none"/>
        </w:rPr>
        <w:t xml:space="preserve"> 相关保函格式”作为重要的商务条款，投标人的响应情况列入本合同条款偏离表。</w:t>
      </w:r>
    </w:p>
    <w:p w14:paraId="165AA9F1">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000000"/>
          <w:szCs w:val="21"/>
          <w:highlight w:val="none"/>
        </w:rPr>
        <w:t>（4）如投标人差异内容较多可另附页说明，并在本偏离表“具体偏离内容”项注明其在投标文件中的具体页码</w:t>
      </w:r>
      <w:r>
        <w:rPr>
          <w:rFonts w:hint="eastAsia" w:ascii="宋体" w:hAnsi="宋体" w:eastAsia="宋体" w:cs="宋体"/>
          <w:color w:val="auto"/>
          <w:szCs w:val="21"/>
          <w:highlight w:val="none"/>
        </w:rPr>
        <w:t>。</w:t>
      </w:r>
    </w:p>
    <w:p w14:paraId="04F5E7D6">
      <w:pPr>
        <w:kinsoku/>
        <w:overflowPunct/>
        <w:bidi w:val="0"/>
        <w:spacing w:line="360" w:lineRule="auto"/>
        <w:ind w:left="357" w:leftChars="-100" w:hanging="567" w:hangingChars="270"/>
        <w:outlineLvl w:val="9"/>
        <w:rPr>
          <w:rFonts w:ascii="宋体" w:hAnsi="宋体" w:eastAsia="宋体" w:cs="宋体"/>
          <w:color w:val="auto"/>
          <w:szCs w:val="21"/>
          <w:highlight w:val="none"/>
        </w:rPr>
      </w:pPr>
    </w:p>
    <w:p w14:paraId="4D7B65B6">
      <w:pPr>
        <w:kinsoku/>
        <w:overflowPunct/>
        <w:bidi w:val="0"/>
        <w:spacing w:line="360" w:lineRule="auto"/>
        <w:ind w:left="357" w:leftChars="-100" w:hanging="567" w:hangingChars="270"/>
        <w:outlineLvl w:val="9"/>
        <w:rPr>
          <w:rFonts w:ascii="宋体" w:hAnsi="宋体" w:eastAsia="宋体" w:cs="宋体"/>
          <w:color w:val="auto"/>
          <w:szCs w:val="21"/>
          <w:highlight w:val="none"/>
        </w:rPr>
      </w:pPr>
    </w:p>
    <w:p w14:paraId="0F4E0E9B">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4BD6CF4C">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F259A3F">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997CA57">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4DDF1AEC">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77A6482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72" w:name="_Toc31371"/>
      <w:bookmarkStart w:id="673" w:name="_Toc5473"/>
      <w:bookmarkStart w:id="674" w:name="_Toc195714391"/>
      <w:bookmarkStart w:id="675" w:name="_Toc140596937"/>
      <w:bookmarkStart w:id="676" w:name="_Toc6740"/>
      <w:bookmarkStart w:id="677" w:name="_Toc94107218"/>
      <w:bookmarkStart w:id="678" w:name="_Toc102860426"/>
      <w:bookmarkStart w:id="679" w:name="_Toc13179"/>
      <w:bookmarkStart w:id="680" w:name="_Toc27005"/>
      <w:bookmarkStart w:id="681" w:name="_Toc20205"/>
      <w:bookmarkStart w:id="682" w:name="_Toc26997"/>
      <w:bookmarkStart w:id="683" w:name="_Toc102860082"/>
      <w:bookmarkStart w:id="684" w:name="_Toc6230"/>
      <w:bookmarkStart w:id="685" w:name="_Toc29505"/>
      <w:bookmarkStart w:id="686" w:name="_Toc142508377"/>
      <w:bookmarkStart w:id="687" w:name="_Toc104991884"/>
      <w:bookmarkStart w:id="688" w:name="_Toc27980_WPSOffice_Level2"/>
      <w:bookmarkStart w:id="689"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0E9FA89D">
      <w:pPr>
        <w:spacing w:line="360" w:lineRule="auto"/>
        <w:jc w:val="both"/>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标段一：</w:t>
      </w:r>
    </w:p>
    <w:p w14:paraId="6F33D083">
      <w:pPr>
        <w:spacing w:line="360" w:lineRule="auto"/>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宋体"/>
          <w:b/>
          <w:bCs/>
          <w:szCs w:val="21"/>
          <w:highlight w:val="none"/>
          <w:lang w:val="en-US" w:eastAsia="zh-CN"/>
        </w:rPr>
        <w:t xml:space="preserve">9-1 </w:t>
      </w:r>
      <w:r>
        <w:rPr>
          <w:rFonts w:hint="eastAsia" w:ascii="宋体" w:hAnsi="宋体" w:eastAsia="宋体" w:cs="宋体"/>
          <w:b/>
          <w:bCs/>
          <w:szCs w:val="21"/>
          <w:highlight w:val="none"/>
          <w:lang w:val="zh-CN"/>
        </w:rPr>
        <w:t>20</w:t>
      </w:r>
      <w:r>
        <w:rPr>
          <w:rFonts w:hint="eastAsia" w:ascii="宋体" w:hAnsi="宋体" w:eastAsia="宋体" w:cs="宋体"/>
          <w:b/>
          <w:bCs/>
          <w:szCs w:val="21"/>
          <w:highlight w:val="none"/>
        </w:rPr>
        <w:t>21</w:t>
      </w:r>
      <w:r>
        <w:rPr>
          <w:rFonts w:hint="eastAsia" w:ascii="宋体" w:hAnsi="宋体" w:eastAsia="宋体" w:cs="宋体"/>
          <w:b/>
          <w:bCs/>
          <w:szCs w:val="21"/>
          <w:highlight w:val="none"/>
          <w:lang w:val="zh-CN"/>
        </w:rPr>
        <w:t>年1月1日至今累计完成的企业</w:t>
      </w:r>
      <w:r>
        <w:rPr>
          <w:rFonts w:hint="eastAsia" w:ascii="宋体" w:hAnsi="宋体" w:eastAsia="宋体" w:cs="宋体"/>
          <w:b/>
          <w:bCs/>
          <w:szCs w:val="21"/>
          <w:highlight w:val="none"/>
          <w:lang w:val="en-US" w:eastAsia="zh-CN"/>
        </w:rPr>
        <w:t>或政府</w:t>
      </w:r>
      <w:r>
        <w:rPr>
          <w:rFonts w:hint="eastAsia" w:ascii="宋体" w:hAnsi="宋体" w:eastAsia="宋体" w:cs="宋体"/>
          <w:b/>
          <w:bCs/>
          <w:szCs w:val="21"/>
          <w:highlight w:val="none"/>
          <w:lang w:val="zh-CN"/>
        </w:rPr>
        <w:t>采购代理业绩情况表</w:t>
      </w:r>
    </w:p>
    <w:tbl>
      <w:tblPr>
        <w:tblStyle w:val="44"/>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2"/>
        <w:gridCol w:w="1195"/>
        <w:gridCol w:w="1195"/>
        <w:gridCol w:w="992"/>
        <w:gridCol w:w="993"/>
        <w:gridCol w:w="992"/>
        <w:gridCol w:w="1134"/>
        <w:gridCol w:w="992"/>
        <w:gridCol w:w="948"/>
      </w:tblGrid>
      <w:tr w14:paraId="7B68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655" w:type="dxa"/>
            <w:noWrap w:val="0"/>
            <w:vAlign w:val="center"/>
          </w:tcPr>
          <w:p w14:paraId="4DC974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2" w:type="dxa"/>
            <w:noWrap w:val="0"/>
            <w:vAlign w:val="center"/>
          </w:tcPr>
          <w:p w14:paraId="596C81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95" w:type="dxa"/>
            <w:noWrap w:val="0"/>
            <w:vAlign w:val="center"/>
          </w:tcPr>
          <w:p w14:paraId="489935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1195" w:type="dxa"/>
            <w:noWrap w:val="0"/>
            <w:vAlign w:val="center"/>
          </w:tcPr>
          <w:p w14:paraId="56C21A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采购方式</w:t>
            </w:r>
          </w:p>
        </w:tc>
        <w:tc>
          <w:tcPr>
            <w:tcW w:w="992" w:type="dxa"/>
            <w:noWrap w:val="0"/>
            <w:vAlign w:val="center"/>
          </w:tcPr>
          <w:p w14:paraId="051A3C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单项成交合同金额（万元）</w:t>
            </w:r>
          </w:p>
        </w:tc>
        <w:tc>
          <w:tcPr>
            <w:tcW w:w="993" w:type="dxa"/>
            <w:noWrap w:val="0"/>
            <w:vAlign w:val="center"/>
          </w:tcPr>
          <w:p w14:paraId="2A2109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中标（成交）通知书签发日期</w:t>
            </w:r>
          </w:p>
        </w:tc>
        <w:tc>
          <w:tcPr>
            <w:tcW w:w="992" w:type="dxa"/>
            <w:noWrap w:val="0"/>
            <w:vAlign w:val="center"/>
          </w:tcPr>
          <w:p w14:paraId="17ED29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完成情况</w:t>
            </w:r>
          </w:p>
        </w:tc>
        <w:tc>
          <w:tcPr>
            <w:tcW w:w="1134" w:type="dxa"/>
            <w:noWrap w:val="0"/>
            <w:vAlign w:val="center"/>
          </w:tcPr>
          <w:p w14:paraId="5F9B7D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招标人评价情况</w:t>
            </w:r>
          </w:p>
        </w:tc>
        <w:tc>
          <w:tcPr>
            <w:tcW w:w="992" w:type="dxa"/>
            <w:noWrap w:val="0"/>
            <w:vAlign w:val="center"/>
          </w:tcPr>
          <w:p w14:paraId="64AD2A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招标人电话及联系人</w:t>
            </w:r>
          </w:p>
        </w:tc>
        <w:tc>
          <w:tcPr>
            <w:tcW w:w="948" w:type="dxa"/>
            <w:noWrap w:val="0"/>
            <w:vAlign w:val="center"/>
          </w:tcPr>
          <w:p w14:paraId="24AA84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r>
      <w:tr w14:paraId="4C29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0038" w:type="dxa"/>
            <w:gridSpan w:val="10"/>
            <w:noWrap w:val="0"/>
            <w:vAlign w:val="center"/>
          </w:tcPr>
          <w:p w14:paraId="340802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业务类型为货物类</w:t>
            </w:r>
          </w:p>
        </w:tc>
      </w:tr>
      <w:tr w14:paraId="0018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63D220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42BE00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456E81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2F8CB0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CD1C5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376F2B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7AF044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40A1F0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BDDCF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66CDB0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0F7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0" w:hRule="exact"/>
          <w:jc w:val="center"/>
        </w:trPr>
        <w:tc>
          <w:tcPr>
            <w:tcW w:w="655" w:type="dxa"/>
            <w:noWrap w:val="0"/>
            <w:vAlign w:val="center"/>
          </w:tcPr>
          <w:p w14:paraId="754661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4503A5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031DE2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045434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610654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7DFFBF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3E7DD2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6B1E9E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114027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386F57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614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18EC64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19F79E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6446BD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499099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73198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0B033D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11A84A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5A4529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7266E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76C9C5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659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0EB51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w:t>
            </w:r>
          </w:p>
        </w:tc>
        <w:tc>
          <w:tcPr>
            <w:tcW w:w="942" w:type="dxa"/>
            <w:noWrap w:val="0"/>
            <w:vAlign w:val="center"/>
          </w:tcPr>
          <w:p w14:paraId="684EB0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55D6B0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290DAE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C1D5A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44E583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680A69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38E7FA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393A2F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5BB3B9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67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0038" w:type="dxa"/>
            <w:gridSpan w:val="10"/>
            <w:noWrap w:val="0"/>
            <w:vAlign w:val="center"/>
          </w:tcPr>
          <w:p w14:paraId="0BAD9B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业务类型为服务类</w:t>
            </w:r>
          </w:p>
        </w:tc>
      </w:tr>
      <w:tr w14:paraId="5EB2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67BAB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47A6EB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79CD5A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77CE15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64172C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498107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0A2A97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19DC89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1BA4B0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0A92E7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7D1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389167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39A302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450FE8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7A8602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A96BC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3F98A2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0A7608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69AA30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3A15A1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24DD2F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E4B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379CE4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579637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05FD29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787D1B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4CAA1A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0379FF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4A75EE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5769D4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711E5C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4E8BF4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A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1D41DD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w:t>
            </w:r>
          </w:p>
        </w:tc>
        <w:tc>
          <w:tcPr>
            <w:tcW w:w="942" w:type="dxa"/>
            <w:noWrap w:val="0"/>
            <w:vAlign w:val="center"/>
          </w:tcPr>
          <w:p w14:paraId="3B3139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4EF53C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1462A2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6C1AA6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3A8EF1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8041C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3F6C40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0BA222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3ABFB4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1E4A0146">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BF0927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hint="eastAsia" w:ascii="宋体" w:hAnsi="宋体" w:eastAsia="宋体" w:cs="宋体"/>
          <w:szCs w:val="21"/>
          <w:highlight w:val="none"/>
          <w:lang w:val="zh-CN"/>
        </w:rPr>
        <w:t>项目</w:t>
      </w:r>
      <w:r>
        <w:rPr>
          <w:rFonts w:hint="eastAsia" w:ascii="宋体" w:hAnsi="宋体" w:eastAsia="宋体" w:cs="宋体"/>
          <w:szCs w:val="21"/>
          <w:highlight w:val="none"/>
        </w:rPr>
        <w:t>业绩按金额从大到小顺序填报，</w:t>
      </w:r>
      <w:r>
        <w:rPr>
          <w:rFonts w:hint="eastAsia" w:ascii="宋体" w:hAnsi="宋体" w:eastAsia="宋体" w:cs="宋体"/>
          <w:b/>
          <w:bCs/>
          <w:szCs w:val="21"/>
          <w:highlight w:val="none"/>
          <w:shd w:val="clear" w:color="auto" w:fill="FFFFFF"/>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5147D817">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Times New Roman"/>
          <w:color w:val="auto"/>
          <w:szCs w:val="24"/>
          <w:highlight w:val="none"/>
          <w:lang w:val="zh-CN"/>
        </w:rPr>
        <w:t>（2）</w:t>
      </w:r>
      <w:r>
        <w:rPr>
          <w:rFonts w:hint="eastAsia" w:ascii="宋体" w:hAnsi="宋体" w:eastAsia="宋体" w:cs="宋体"/>
          <w:szCs w:val="21"/>
          <w:highlight w:val="none"/>
        </w:rPr>
        <w:t>业绩按以下条款作为考评依据：</w:t>
      </w:r>
    </w:p>
    <w:p w14:paraId="1C2579C7">
      <w:pPr>
        <w:snapToGrid w:val="0"/>
        <w:spacing w:line="360" w:lineRule="auto"/>
        <w:ind w:left="596" w:leftChars="150" w:hanging="281" w:hangingChars="134"/>
        <w:rPr>
          <w:rFonts w:hint="eastAsia" w:ascii="宋体" w:hAnsi="宋体" w:eastAsia="宋体" w:cs="宋体"/>
          <w:szCs w:val="21"/>
          <w:highlight w:val="none"/>
        </w:rPr>
      </w:pPr>
      <w:r>
        <w:rPr>
          <w:rFonts w:hint="eastAsia" w:ascii="宋体" w:hAnsi="宋体" w:eastAsia="宋体" w:cs="宋体"/>
          <w:szCs w:val="21"/>
          <w:highlight w:val="none"/>
        </w:rPr>
        <w:t>①企业采购代理业绩中，与工程建设有关的设备、材料等货物采购不予得分；与工程建设有关的勘察、设计、监理等服务采购不予得分；</w:t>
      </w:r>
    </w:p>
    <w:p w14:paraId="770E0F1C">
      <w:pPr>
        <w:snapToGrid w:val="0"/>
        <w:spacing w:line="360" w:lineRule="auto"/>
        <w:ind w:left="596" w:leftChars="150" w:hanging="281" w:hangingChars="134"/>
        <w:rPr>
          <w:rFonts w:hint="eastAsia" w:ascii="宋体" w:hAnsi="宋体" w:eastAsia="宋体" w:cs="宋体"/>
          <w:szCs w:val="21"/>
          <w:highlight w:val="none"/>
        </w:rPr>
      </w:pPr>
      <w:r>
        <w:rPr>
          <w:rFonts w:hint="eastAsia" w:ascii="宋体" w:hAnsi="宋体" w:eastAsia="宋体" w:cs="宋体"/>
          <w:szCs w:val="21"/>
          <w:highlight w:val="none"/>
        </w:rPr>
        <w:t>②采购代理业绩的时间及金额以中标（成交）通知书为准【如单个代理业绩含多个包组，金额则按所有包组中标（成交）通知书总和计算】，</w:t>
      </w:r>
      <w:r>
        <w:rPr>
          <w:rFonts w:hint="eastAsia" w:ascii="宋体" w:hAnsi="宋体" w:eastAsia="宋体" w:cs="宋体"/>
          <w:b/>
          <w:bCs/>
          <w:szCs w:val="21"/>
          <w:highlight w:val="none"/>
          <w:lang w:val="en-US" w:eastAsia="zh-CN"/>
        </w:rPr>
        <w:t>如上述资料未能显示有关评分要求内容，还须同时提供中标（成交）采购合同关键页等其他证明资料，</w:t>
      </w:r>
      <w:r>
        <w:rPr>
          <w:rFonts w:hint="eastAsia" w:ascii="宋体" w:hAnsi="宋体" w:eastAsia="宋体" w:cs="宋体"/>
          <w:szCs w:val="21"/>
          <w:highlight w:val="none"/>
        </w:rPr>
        <w:t>须同时提供采购代理协议（代理合同）、采购公告、采购结果公告及中标（成交）通知书复印件；</w:t>
      </w:r>
    </w:p>
    <w:p w14:paraId="026163CF">
      <w:pPr>
        <w:snapToGrid w:val="0"/>
        <w:spacing w:line="360" w:lineRule="auto"/>
        <w:ind w:left="596" w:leftChars="150" w:hanging="281" w:hangingChars="134"/>
        <w:rPr>
          <w:rFonts w:ascii="宋体" w:hAnsi="宋体" w:eastAsia="宋体" w:cs="宋体"/>
          <w:szCs w:val="21"/>
          <w:highlight w:val="none"/>
        </w:rPr>
      </w:pPr>
      <w:r>
        <w:rPr>
          <w:rFonts w:hint="eastAsia" w:ascii="宋体" w:hAnsi="宋体" w:eastAsia="宋体" w:cs="宋体"/>
          <w:szCs w:val="21"/>
          <w:highlight w:val="none"/>
          <w:lang w:val="en-US" w:eastAsia="zh-CN"/>
        </w:rPr>
        <w:t>③</w:t>
      </w:r>
      <w:r>
        <w:rPr>
          <w:rFonts w:hint="eastAsia" w:ascii="宋体" w:hAnsi="宋体" w:eastAsia="宋体" w:cs="宋体"/>
          <w:szCs w:val="21"/>
          <w:highlight w:val="none"/>
        </w:rPr>
        <w:t>业绩不重复计算，由投标人自行放入对应的评分子项；</w:t>
      </w:r>
    </w:p>
    <w:p w14:paraId="04F67A19">
      <w:pPr>
        <w:autoSpaceDE w:val="0"/>
        <w:autoSpaceDN w:val="0"/>
        <w:adjustRightInd w:val="0"/>
        <w:snapToGrid w:val="0"/>
        <w:spacing w:line="360" w:lineRule="auto"/>
        <w:ind w:left="481" w:leftChars="-41" w:hanging="567" w:hangingChars="270"/>
        <w:jc w:val="left"/>
        <w:rPr>
          <w:rFonts w:ascii="宋体" w:hAnsi="宋体" w:eastAsia="宋体" w:cs="宋体"/>
          <w:b/>
          <w:bCs/>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1FEDADF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5604E38F">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2C86D0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41A4A2A">
      <w:pPr>
        <w:widowControl/>
        <w:autoSpaceDE w:val="0"/>
        <w:autoSpaceDN w:val="0"/>
        <w:adjustRightInd w:val="0"/>
        <w:spacing w:line="360" w:lineRule="auto"/>
        <w:ind w:left="0" w:leftChars="0"/>
        <w:jc w:val="center"/>
        <w:rPr>
          <w:rFonts w:hint="eastAsia" w:ascii="宋体" w:hAnsi="宋体" w:eastAsia="宋体" w:cs="Times New Roman"/>
          <w:b/>
          <w:bCs/>
          <w:color w:val="auto"/>
          <w:szCs w:val="24"/>
          <w:highlight w:val="none"/>
          <w:lang w:val="zh-CN"/>
        </w:rPr>
      </w:pPr>
    </w:p>
    <w:p w14:paraId="4D2F8990">
      <w:pPr>
        <w:widowControl/>
        <w:autoSpaceDE w:val="0"/>
        <w:autoSpaceDN w:val="0"/>
        <w:adjustRightInd w:val="0"/>
        <w:spacing w:line="360" w:lineRule="auto"/>
        <w:ind w:left="0" w:leftChars="0"/>
        <w:jc w:val="center"/>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A50A945">
      <w:pPr>
        <w:rPr>
          <w:rFonts w:ascii="宋体" w:hAnsi="宋体" w:eastAsia="宋体" w:cs="Times New Roman"/>
          <w:b/>
          <w:bCs/>
          <w:color w:val="auto"/>
          <w:sz w:val="30"/>
          <w:szCs w:val="30"/>
          <w:highlight w:val="none"/>
          <w:lang w:val="zh-CN"/>
        </w:rPr>
      </w:pPr>
      <w:r>
        <w:rPr>
          <w:rFonts w:ascii="宋体" w:hAnsi="宋体" w:eastAsia="宋体" w:cs="Times New Roman"/>
          <w:b/>
          <w:bCs/>
          <w:color w:val="auto"/>
          <w:sz w:val="30"/>
          <w:szCs w:val="30"/>
          <w:highlight w:val="none"/>
          <w:lang w:val="zh-CN"/>
        </w:rPr>
        <w:br w:type="page"/>
      </w:r>
    </w:p>
    <w:p w14:paraId="6DFC58AA">
      <w:pPr>
        <w:spacing w:line="360" w:lineRule="auto"/>
        <w:jc w:val="center"/>
        <w:rPr>
          <w:rFonts w:ascii="宋体" w:hAnsi="宋体" w:eastAsia="宋体" w:cs="宋体"/>
          <w:b/>
          <w:bCs/>
          <w:szCs w:val="21"/>
          <w:highlight w:val="none"/>
          <w:lang w:val="zh-CN"/>
        </w:rPr>
      </w:pP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 xml:space="preserve">  </w:t>
      </w:r>
      <w:r>
        <w:rPr>
          <w:rFonts w:hint="eastAsia" w:ascii="宋体" w:hAnsi="宋体" w:eastAsia="宋体" w:cs="宋体"/>
          <w:b/>
          <w:bCs/>
          <w:szCs w:val="21"/>
          <w:highlight w:val="none"/>
          <w:lang w:val="zh-CN"/>
        </w:rPr>
        <w:t>20</w:t>
      </w:r>
      <w:r>
        <w:rPr>
          <w:rFonts w:hint="eastAsia" w:ascii="宋体" w:hAnsi="宋体" w:eastAsia="宋体" w:cs="宋体"/>
          <w:b/>
          <w:bCs/>
          <w:szCs w:val="21"/>
          <w:highlight w:val="none"/>
        </w:rPr>
        <w:t>21</w:t>
      </w:r>
      <w:r>
        <w:rPr>
          <w:rFonts w:hint="eastAsia" w:ascii="宋体" w:hAnsi="宋体" w:eastAsia="宋体" w:cs="宋体"/>
          <w:b/>
          <w:bCs/>
          <w:szCs w:val="21"/>
          <w:highlight w:val="none"/>
          <w:lang w:val="zh-CN"/>
        </w:rPr>
        <w:t>年1月1日至今累计完成的采用非招标方式（如竞争性磋商、竞争性谈判、询价、单一来源等）采购代理业绩情况表</w:t>
      </w:r>
    </w:p>
    <w:tbl>
      <w:tblPr>
        <w:tblStyle w:val="4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5"/>
        <w:gridCol w:w="1246"/>
        <w:gridCol w:w="1269"/>
        <w:gridCol w:w="1269"/>
        <w:gridCol w:w="1645"/>
        <w:gridCol w:w="1388"/>
        <w:gridCol w:w="792"/>
        <w:gridCol w:w="1047"/>
        <w:gridCol w:w="1065"/>
      </w:tblGrid>
      <w:tr w14:paraId="43E8E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11" w:type="pct"/>
            <w:tcBorders>
              <w:top w:val="single" w:color="auto" w:sz="4" w:space="0"/>
              <w:left w:val="single" w:color="auto" w:sz="4" w:space="0"/>
              <w:bottom w:val="single" w:color="auto" w:sz="4" w:space="0"/>
              <w:right w:val="single" w:color="auto" w:sz="4" w:space="0"/>
            </w:tcBorders>
            <w:vAlign w:val="center"/>
          </w:tcPr>
          <w:p w14:paraId="72560B12">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val="zh-CN"/>
              </w:rPr>
              <w:t>序号</w:t>
            </w:r>
          </w:p>
        </w:tc>
        <w:tc>
          <w:tcPr>
            <w:tcW w:w="601" w:type="pct"/>
            <w:tcBorders>
              <w:top w:val="single" w:color="auto" w:sz="4" w:space="0"/>
              <w:left w:val="single" w:color="auto" w:sz="4" w:space="0"/>
              <w:bottom w:val="single" w:color="auto" w:sz="4" w:space="0"/>
              <w:right w:val="single" w:color="auto" w:sz="4" w:space="0"/>
            </w:tcBorders>
            <w:vAlign w:val="center"/>
          </w:tcPr>
          <w:p w14:paraId="6E457A1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sz w:val="21"/>
                <w:szCs w:val="21"/>
                <w:highlight w:val="none"/>
              </w:rPr>
              <w:t>项目名称</w:t>
            </w:r>
          </w:p>
        </w:tc>
        <w:tc>
          <w:tcPr>
            <w:tcW w:w="612" w:type="pct"/>
            <w:tcBorders>
              <w:top w:val="single" w:color="auto" w:sz="4" w:space="0"/>
              <w:left w:val="single" w:color="auto" w:sz="4" w:space="0"/>
              <w:bottom w:val="single" w:color="auto" w:sz="4" w:space="0"/>
              <w:right w:val="single" w:color="auto" w:sz="4" w:space="0"/>
            </w:tcBorders>
            <w:vAlign w:val="center"/>
          </w:tcPr>
          <w:p w14:paraId="43CB995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sz w:val="21"/>
                <w:szCs w:val="21"/>
                <w:highlight w:val="none"/>
              </w:rPr>
              <w:t>招标人</w:t>
            </w:r>
          </w:p>
        </w:tc>
        <w:tc>
          <w:tcPr>
            <w:tcW w:w="612" w:type="pct"/>
            <w:tcBorders>
              <w:top w:val="single" w:color="auto" w:sz="4" w:space="0"/>
              <w:left w:val="single" w:color="auto" w:sz="4" w:space="0"/>
              <w:bottom w:val="single" w:color="auto" w:sz="4" w:space="0"/>
              <w:right w:val="single" w:color="auto" w:sz="4" w:space="0"/>
            </w:tcBorders>
            <w:vAlign w:val="center"/>
          </w:tcPr>
          <w:p w14:paraId="7634F69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sz w:val="21"/>
                <w:szCs w:val="21"/>
                <w:highlight w:val="none"/>
                <w:lang w:val="zh-CN"/>
              </w:rPr>
              <w:t>采购方式</w:t>
            </w:r>
          </w:p>
        </w:tc>
        <w:tc>
          <w:tcPr>
            <w:tcW w:w="793" w:type="pct"/>
            <w:tcBorders>
              <w:top w:val="single" w:color="auto" w:sz="4" w:space="0"/>
              <w:left w:val="single" w:color="auto" w:sz="4" w:space="0"/>
              <w:bottom w:val="single" w:color="auto" w:sz="4" w:space="0"/>
              <w:right w:val="single" w:color="auto" w:sz="4" w:space="0"/>
            </w:tcBorders>
            <w:vAlign w:val="center"/>
          </w:tcPr>
          <w:p w14:paraId="35B8A19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highlight w:val="none"/>
                <w:lang w:val="zh-CN"/>
              </w:rPr>
            </w:pPr>
            <w:r>
              <w:rPr>
                <w:rFonts w:hint="eastAsia" w:ascii="宋体" w:hAnsi="宋体" w:eastAsia="宋体" w:cs="宋体"/>
                <w:color w:val="auto"/>
                <w:sz w:val="21"/>
                <w:szCs w:val="21"/>
                <w:highlight w:val="none"/>
              </w:rPr>
              <w:t>单项成交合同金额（万元）</w:t>
            </w:r>
          </w:p>
        </w:tc>
        <w:tc>
          <w:tcPr>
            <w:tcW w:w="669" w:type="pct"/>
            <w:tcBorders>
              <w:top w:val="single" w:color="auto" w:sz="4" w:space="0"/>
              <w:left w:val="single" w:color="auto" w:sz="4" w:space="0"/>
              <w:bottom w:val="single" w:color="auto" w:sz="4" w:space="0"/>
              <w:right w:val="single" w:color="auto" w:sz="4" w:space="0"/>
            </w:tcBorders>
            <w:vAlign w:val="center"/>
          </w:tcPr>
          <w:p w14:paraId="028F9E0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sz w:val="21"/>
                <w:szCs w:val="21"/>
                <w:highlight w:val="none"/>
                <w:lang w:val="zh-CN"/>
              </w:rPr>
              <w:t>中标（成交）通知书签发日期</w:t>
            </w:r>
          </w:p>
        </w:tc>
        <w:tc>
          <w:tcPr>
            <w:tcW w:w="382" w:type="pct"/>
            <w:tcBorders>
              <w:top w:val="single" w:color="auto" w:sz="4" w:space="0"/>
              <w:left w:val="single" w:color="auto" w:sz="4" w:space="0"/>
              <w:bottom w:val="single" w:color="auto" w:sz="4" w:space="0"/>
              <w:right w:val="single" w:color="auto" w:sz="4" w:space="0"/>
            </w:tcBorders>
            <w:vAlign w:val="center"/>
          </w:tcPr>
          <w:p w14:paraId="12DAA05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highlight w:val="none"/>
                <w:lang w:val="zh-CN"/>
              </w:rPr>
            </w:pPr>
            <w:r>
              <w:rPr>
                <w:rFonts w:hint="eastAsia" w:ascii="宋体" w:hAnsi="宋体" w:eastAsia="宋体" w:cs="宋体"/>
                <w:color w:val="auto"/>
                <w:sz w:val="21"/>
                <w:szCs w:val="21"/>
                <w:highlight w:val="none"/>
                <w:lang w:val="zh-CN"/>
              </w:rPr>
              <w:t>完成情况</w:t>
            </w:r>
          </w:p>
        </w:tc>
        <w:tc>
          <w:tcPr>
            <w:tcW w:w="505" w:type="pct"/>
            <w:tcBorders>
              <w:top w:val="single" w:color="auto" w:sz="4" w:space="0"/>
              <w:left w:val="single" w:color="auto" w:sz="4" w:space="0"/>
              <w:bottom w:val="single" w:color="auto" w:sz="4" w:space="0"/>
              <w:right w:val="single" w:color="auto" w:sz="4" w:space="0"/>
            </w:tcBorders>
            <w:vAlign w:val="center"/>
          </w:tcPr>
          <w:p w14:paraId="08F8F9C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sz w:val="21"/>
                <w:szCs w:val="21"/>
                <w:highlight w:val="none"/>
              </w:rPr>
              <w:t>招标人评价情况</w:t>
            </w:r>
          </w:p>
        </w:tc>
        <w:tc>
          <w:tcPr>
            <w:tcW w:w="513" w:type="pct"/>
            <w:tcBorders>
              <w:top w:val="single" w:color="auto" w:sz="4" w:space="0"/>
              <w:left w:val="single" w:color="auto" w:sz="4" w:space="0"/>
              <w:bottom w:val="single" w:color="auto" w:sz="4" w:space="0"/>
              <w:right w:val="single" w:color="auto" w:sz="4" w:space="0"/>
            </w:tcBorders>
            <w:vAlign w:val="center"/>
          </w:tcPr>
          <w:p w14:paraId="4D5C4F2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sz w:val="21"/>
                <w:szCs w:val="21"/>
                <w:highlight w:val="none"/>
                <w:lang w:val="zh-CN"/>
              </w:rPr>
              <w:t>招标人电话及联系人</w:t>
            </w:r>
          </w:p>
        </w:tc>
      </w:tr>
      <w:tr w14:paraId="5D08D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11" w:type="pct"/>
            <w:tcBorders>
              <w:top w:val="single" w:color="auto" w:sz="4" w:space="0"/>
              <w:left w:val="single" w:color="auto" w:sz="4" w:space="0"/>
              <w:bottom w:val="single" w:color="auto" w:sz="4" w:space="0"/>
              <w:right w:val="single" w:color="auto" w:sz="4" w:space="0"/>
            </w:tcBorders>
            <w:vAlign w:val="center"/>
          </w:tcPr>
          <w:p w14:paraId="51AEAFAC">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lang w:val="zh-CN"/>
              </w:rPr>
            </w:pPr>
          </w:p>
        </w:tc>
        <w:tc>
          <w:tcPr>
            <w:tcW w:w="601" w:type="pct"/>
            <w:tcBorders>
              <w:top w:val="single" w:color="auto" w:sz="4" w:space="0"/>
              <w:left w:val="single" w:color="auto" w:sz="4" w:space="0"/>
              <w:bottom w:val="single" w:color="auto" w:sz="4" w:space="0"/>
              <w:right w:val="single" w:color="auto" w:sz="4" w:space="0"/>
            </w:tcBorders>
            <w:vAlign w:val="center"/>
          </w:tcPr>
          <w:p w14:paraId="3815AA36">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6E43455E">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207F278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793" w:type="pct"/>
            <w:tcBorders>
              <w:top w:val="single" w:color="auto" w:sz="4" w:space="0"/>
              <w:left w:val="single" w:color="auto" w:sz="4" w:space="0"/>
              <w:bottom w:val="single" w:color="auto" w:sz="4" w:space="0"/>
              <w:right w:val="single" w:color="auto" w:sz="4" w:space="0"/>
            </w:tcBorders>
            <w:vAlign w:val="center"/>
          </w:tcPr>
          <w:p w14:paraId="7791C91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4FE4C5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14:paraId="570AD98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56A967DF">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4B9DCA2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38D74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1" w:type="pct"/>
            <w:tcBorders>
              <w:top w:val="single" w:color="auto" w:sz="4" w:space="0"/>
              <w:left w:val="single" w:color="auto" w:sz="4" w:space="0"/>
              <w:bottom w:val="single" w:color="auto" w:sz="4" w:space="0"/>
              <w:right w:val="single" w:color="auto" w:sz="4" w:space="0"/>
            </w:tcBorders>
            <w:vAlign w:val="center"/>
          </w:tcPr>
          <w:p w14:paraId="58288E3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lang w:val="zh-CN"/>
              </w:rPr>
            </w:pPr>
          </w:p>
        </w:tc>
        <w:tc>
          <w:tcPr>
            <w:tcW w:w="601" w:type="pct"/>
            <w:tcBorders>
              <w:top w:val="single" w:color="auto" w:sz="4" w:space="0"/>
              <w:left w:val="single" w:color="auto" w:sz="4" w:space="0"/>
              <w:bottom w:val="single" w:color="auto" w:sz="4" w:space="0"/>
              <w:right w:val="single" w:color="auto" w:sz="4" w:space="0"/>
            </w:tcBorders>
            <w:vAlign w:val="center"/>
          </w:tcPr>
          <w:p w14:paraId="1A0A664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3A00525B">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46A13431">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793" w:type="pct"/>
            <w:tcBorders>
              <w:top w:val="single" w:color="auto" w:sz="4" w:space="0"/>
              <w:left w:val="single" w:color="auto" w:sz="4" w:space="0"/>
              <w:bottom w:val="single" w:color="auto" w:sz="4" w:space="0"/>
              <w:right w:val="single" w:color="auto" w:sz="4" w:space="0"/>
            </w:tcBorders>
            <w:vAlign w:val="center"/>
          </w:tcPr>
          <w:p w14:paraId="6DAB72A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3748DA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14:paraId="60AE579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29137D1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2CF6FC74">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6E58F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311" w:type="pct"/>
            <w:tcBorders>
              <w:top w:val="single" w:color="auto" w:sz="4" w:space="0"/>
              <w:left w:val="single" w:color="auto" w:sz="4" w:space="0"/>
              <w:bottom w:val="single" w:color="auto" w:sz="4" w:space="0"/>
              <w:right w:val="single" w:color="auto" w:sz="4" w:space="0"/>
            </w:tcBorders>
            <w:vAlign w:val="center"/>
          </w:tcPr>
          <w:p w14:paraId="12DE581E">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lang w:val="zh-CN"/>
              </w:rPr>
            </w:pPr>
          </w:p>
        </w:tc>
        <w:tc>
          <w:tcPr>
            <w:tcW w:w="601" w:type="pct"/>
            <w:tcBorders>
              <w:top w:val="single" w:color="auto" w:sz="4" w:space="0"/>
              <w:left w:val="single" w:color="auto" w:sz="4" w:space="0"/>
              <w:bottom w:val="single" w:color="auto" w:sz="4" w:space="0"/>
              <w:right w:val="single" w:color="auto" w:sz="4" w:space="0"/>
            </w:tcBorders>
            <w:vAlign w:val="center"/>
          </w:tcPr>
          <w:p w14:paraId="4AB0242E">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75C4C57D">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1B017CDB">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793" w:type="pct"/>
            <w:tcBorders>
              <w:top w:val="single" w:color="auto" w:sz="4" w:space="0"/>
              <w:left w:val="single" w:color="auto" w:sz="4" w:space="0"/>
              <w:bottom w:val="single" w:color="auto" w:sz="4" w:space="0"/>
              <w:right w:val="single" w:color="auto" w:sz="4" w:space="0"/>
            </w:tcBorders>
            <w:vAlign w:val="center"/>
          </w:tcPr>
          <w:p w14:paraId="637C586B">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D10F6B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14:paraId="6AEFBC6F">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78166FF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707DB49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7E9EE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11" w:type="pct"/>
            <w:tcBorders>
              <w:top w:val="single" w:color="auto" w:sz="4" w:space="0"/>
              <w:left w:val="single" w:color="auto" w:sz="4" w:space="0"/>
              <w:bottom w:val="single" w:color="auto" w:sz="4" w:space="0"/>
              <w:right w:val="single" w:color="auto" w:sz="4" w:space="0"/>
            </w:tcBorders>
            <w:vAlign w:val="center"/>
          </w:tcPr>
          <w:p w14:paraId="05ABACEB">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1C48352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1471365E">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11DABFC1">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793" w:type="pct"/>
            <w:tcBorders>
              <w:top w:val="single" w:color="auto" w:sz="4" w:space="0"/>
              <w:left w:val="single" w:color="auto" w:sz="4" w:space="0"/>
              <w:bottom w:val="single" w:color="auto" w:sz="4" w:space="0"/>
              <w:right w:val="single" w:color="auto" w:sz="4" w:space="0"/>
            </w:tcBorders>
            <w:vAlign w:val="center"/>
          </w:tcPr>
          <w:p w14:paraId="2562BE9E">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13FF422">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14:paraId="5FB7D21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007EC8E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200BDD0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02410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11" w:type="pct"/>
            <w:tcBorders>
              <w:top w:val="single" w:color="auto" w:sz="4" w:space="0"/>
              <w:left w:val="single" w:color="auto" w:sz="4" w:space="0"/>
              <w:bottom w:val="single" w:color="auto" w:sz="4" w:space="0"/>
              <w:right w:val="single" w:color="auto" w:sz="4" w:space="0"/>
            </w:tcBorders>
            <w:vAlign w:val="center"/>
          </w:tcPr>
          <w:p w14:paraId="4E68900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38FE246D">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3DCCD9A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17AD5FDD">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793" w:type="pct"/>
            <w:tcBorders>
              <w:top w:val="single" w:color="auto" w:sz="4" w:space="0"/>
              <w:left w:val="single" w:color="auto" w:sz="4" w:space="0"/>
              <w:bottom w:val="single" w:color="auto" w:sz="4" w:space="0"/>
              <w:right w:val="single" w:color="auto" w:sz="4" w:space="0"/>
            </w:tcBorders>
            <w:vAlign w:val="center"/>
          </w:tcPr>
          <w:p w14:paraId="6C7ABEF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135475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14:paraId="59263122">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4AE508D2">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47D6605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1A9F3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11" w:type="pct"/>
            <w:tcBorders>
              <w:top w:val="single" w:color="auto" w:sz="4" w:space="0"/>
              <w:left w:val="single" w:color="auto" w:sz="4" w:space="0"/>
              <w:bottom w:val="single" w:color="auto" w:sz="4" w:space="0"/>
              <w:right w:val="single" w:color="auto" w:sz="4" w:space="0"/>
            </w:tcBorders>
            <w:vAlign w:val="center"/>
          </w:tcPr>
          <w:p w14:paraId="07F5910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w:t>
            </w:r>
          </w:p>
        </w:tc>
        <w:tc>
          <w:tcPr>
            <w:tcW w:w="601" w:type="pct"/>
            <w:tcBorders>
              <w:top w:val="single" w:color="auto" w:sz="4" w:space="0"/>
              <w:left w:val="single" w:color="auto" w:sz="4" w:space="0"/>
              <w:bottom w:val="single" w:color="auto" w:sz="4" w:space="0"/>
              <w:right w:val="single" w:color="auto" w:sz="4" w:space="0"/>
            </w:tcBorders>
            <w:vAlign w:val="center"/>
          </w:tcPr>
          <w:p w14:paraId="3C854C02">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4B91C30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53536DA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793" w:type="pct"/>
            <w:tcBorders>
              <w:top w:val="single" w:color="auto" w:sz="4" w:space="0"/>
              <w:left w:val="single" w:color="auto" w:sz="4" w:space="0"/>
              <w:bottom w:val="single" w:color="auto" w:sz="4" w:space="0"/>
              <w:right w:val="single" w:color="auto" w:sz="4" w:space="0"/>
            </w:tcBorders>
            <w:vAlign w:val="center"/>
          </w:tcPr>
          <w:p w14:paraId="0D04DB17">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24F94BD2">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14:paraId="70E1D487">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465C48A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157DC17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bl>
    <w:p w14:paraId="19F22AEC">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宋体"/>
          <w:szCs w:val="21"/>
          <w:highlight w:val="none"/>
          <w:lang w:val="zh-CN"/>
        </w:rPr>
        <w:t>（1）项目</w:t>
      </w:r>
      <w:r>
        <w:rPr>
          <w:rFonts w:hint="eastAsia" w:ascii="宋体" w:hAnsi="宋体" w:eastAsia="宋体" w:cs="宋体"/>
          <w:szCs w:val="21"/>
          <w:highlight w:val="none"/>
        </w:rPr>
        <w:t>业绩按时间顺序填报；</w:t>
      </w:r>
    </w:p>
    <w:p w14:paraId="40D01ED6">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宋体"/>
          <w:szCs w:val="21"/>
          <w:highlight w:val="none"/>
        </w:rPr>
        <w:t>（2）业绩按以下条款作为考评依据：</w:t>
      </w:r>
    </w:p>
    <w:p w14:paraId="461A3D7A">
      <w:pPr>
        <w:snapToGrid w:val="0"/>
        <w:spacing w:line="360" w:lineRule="auto"/>
        <w:ind w:left="596" w:leftChars="150" w:hanging="281" w:hangingChars="134"/>
        <w:rPr>
          <w:rFonts w:hint="eastAsia" w:ascii="宋体" w:hAnsi="宋体" w:eastAsia="宋体" w:cs="宋体"/>
          <w:szCs w:val="21"/>
          <w:highlight w:val="none"/>
        </w:rPr>
      </w:pPr>
      <w:r>
        <w:rPr>
          <w:rFonts w:hint="eastAsia" w:ascii="宋体" w:hAnsi="宋体" w:eastAsia="宋体" w:cs="宋体"/>
          <w:szCs w:val="21"/>
          <w:highlight w:val="none"/>
        </w:rPr>
        <w:t>①企业采购代理业绩中，与工程建设有关的设备、材料等货物采购不予得分；与工程建设有关的勘察、设计、监理等服务采购不予得分；</w:t>
      </w:r>
    </w:p>
    <w:p w14:paraId="3C1797F1">
      <w:pPr>
        <w:snapToGrid w:val="0"/>
        <w:spacing w:line="360" w:lineRule="auto"/>
        <w:ind w:left="596" w:leftChars="150" w:hanging="281" w:hangingChars="134"/>
        <w:rPr>
          <w:rFonts w:hint="eastAsia" w:ascii="宋体" w:hAnsi="宋体" w:eastAsia="宋体" w:cs="宋体"/>
          <w:szCs w:val="21"/>
          <w:highlight w:val="none"/>
        </w:rPr>
      </w:pPr>
      <w:r>
        <w:rPr>
          <w:rFonts w:hint="eastAsia" w:ascii="宋体" w:hAnsi="宋体" w:eastAsia="宋体" w:cs="宋体"/>
          <w:szCs w:val="21"/>
          <w:highlight w:val="none"/>
        </w:rPr>
        <w:t>②采购代理业绩的时间及金额以中标（成交）通知书为准【如单个代理业绩含多个包组，金额则按所有包组中标（成交）通知书总和计算】，</w:t>
      </w:r>
      <w:r>
        <w:rPr>
          <w:rFonts w:hint="eastAsia" w:ascii="宋体" w:hAnsi="宋体" w:eastAsia="宋体" w:cs="宋体"/>
          <w:b/>
          <w:bCs/>
          <w:szCs w:val="21"/>
          <w:highlight w:val="none"/>
          <w:lang w:val="en-US" w:eastAsia="zh-CN"/>
        </w:rPr>
        <w:t>如上述资料未能显示有关评分要求内容，还须同时提供中标（成交）采购合同关键页等其他证明资料，</w:t>
      </w:r>
      <w:r>
        <w:rPr>
          <w:rFonts w:hint="eastAsia" w:ascii="宋体" w:hAnsi="宋体" w:eastAsia="宋体" w:cs="宋体"/>
          <w:szCs w:val="21"/>
          <w:highlight w:val="none"/>
        </w:rPr>
        <w:t>须同时提供采购代理协议（代理合同）、采购公告、采购结果公告及中标（成交）通知书复印件；</w:t>
      </w:r>
    </w:p>
    <w:p w14:paraId="7964D3F9">
      <w:pPr>
        <w:snapToGrid w:val="0"/>
        <w:spacing w:line="360" w:lineRule="auto"/>
        <w:ind w:left="315" w:leftChars="150"/>
        <w:rPr>
          <w:rFonts w:ascii="宋体" w:hAnsi="宋体" w:eastAsia="宋体" w:cs="宋体"/>
          <w:szCs w:val="21"/>
          <w:highlight w:val="none"/>
        </w:rPr>
      </w:pPr>
      <w:r>
        <w:rPr>
          <w:rFonts w:hint="eastAsia" w:ascii="宋体" w:hAnsi="宋体" w:eastAsia="宋体" w:cs="宋体"/>
          <w:szCs w:val="21"/>
          <w:highlight w:val="none"/>
          <w:lang w:val="en-US" w:eastAsia="zh-CN"/>
        </w:rPr>
        <w:t>③</w:t>
      </w:r>
      <w:r>
        <w:rPr>
          <w:rFonts w:hint="eastAsia" w:ascii="宋体" w:hAnsi="宋体" w:eastAsia="宋体" w:cs="宋体"/>
          <w:szCs w:val="21"/>
          <w:highlight w:val="none"/>
        </w:rPr>
        <w:t>业绩不重复计算，由投标人自行放入对应的评分子项；</w:t>
      </w:r>
    </w:p>
    <w:p w14:paraId="0E160FA2">
      <w:pPr>
        <w:snapToGrid w:val="0"/>
        <w:spacing w:line="360" w:lineRule="auto"/>
        <w:ind w:left="443" w:leftChars="-59" w:right="-248" w:rightChars="-118" w:hanging="567" w:hangingChars="270"/>
        <w:rPr>
          <w:rFonts w:ascii="宋体" w:hAnsi="宋体" w:eastAsia="宋体" w:cs="宋体"/>
          <w:szCs w:val="21"/>
          <w:highlight w:val="none"/>
        </w:rPr>
      </w:pPr>
      <w:r>
        <w:rPr>
          <w:rFonts w:hint="eastAsia" w:ascii="宋体" w:hAnsi="宋体" w:eastAsia="宋体" w:cs="宋体"/>
          <w:szCs w:val="21"/>
          <w:highlight w:val="none"/>
        </w:rPr>
        <w:t>（3）未按上述要求提供证明材料的业绩，或所附材料无法证明填报项目符合本项评分要求的业绩，在评标时将不予考虑。</w:t>
      </w:r>
    </w:p>
    <w:p w14:paraId="0E66C70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8EE919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7C58D33">
      <w:pPr>
        <w:jc w:val="center"/>
        <w:rPr>
          <w:rFonts w:hint="eastAsia" w:ascii="宋体" w:hAnsi="宋体" w:eastAsia="宋体" w:cs="Times New Roman"/>
          <w:b/>
          <w:bCs/>
          <w:color w:val="auto"/>
          <w:szCs w:val="24"/>
          <w:highlight w:val="none"/>
          <w:lang w:val="zh-CN"/>
        </w:rPr>
      </w:pPr>
    </w:p>
    <w:p w14:paraId="1568D17E">
      <w:pPr>
        <w:jc w:val="center"/>
        <w:rPr>
          <w:rFonts w:ascii="宋体" w:hAnsi="宋体" w:eastAsia="宋体" w:cs="宋体"/>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8A7BD85">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256F0115">
      <w:pPr>
        <w:spacing w:line="360" w:lineRule="auto"/>
        <w:jc w:val="both"/>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标段二：</w:t>
      </w:r>
    </w:p>
    <w:p w14:paraId="19EAC721">
      <w:pPr>
        <w:spacing w:line="360" w:lineRule="auto"/>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宋体"/>
          <w:b/>
          <w:bCs/>
          <w:szCs w:val="21"/>
          <w:highlight w:val="none"/>
          <w:lang w:val="en-US" w:eastAsia="zh-CN"/>
        </w:rPr>
        <w:t>9-1 投标人在2021年1月1日至今累计完成的建设工程施工类招标代理业绩情况</w:t>
      </w:r>
      <w:r>
        <w:rPr>
          <w:rFonts w:hint="eastAsia" w:ascii="宋体" w:hAnsi="宋体" w:eastAsia="宋体" w:cs="宋体"/>
          <w:b/>
          <w:bCs/>
          <w:szCs w:val="21"/>
          <w:highlight w:val="none"/>
          <w:lang w:val="zh-CN"/>
        </w:rPr>
        <w:t>表</w:t>
      </w:r>
    </w:p>
    <w:tbl>
      <w:tblPr>
        <w:tblStyle w:val="44"/>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15"/>
        <w:gridCol w:w="1535"/>
        <w:gridCol w:w="1194"/>
        <w:gridCol w:w="1770"/>
        <w:gridCol w:w="1411"/>
        <w:gridCol w:w="992"/>
        <w:gridCol w:w="2023"/>
      </w:tblGrid>
      <w:tr w14:paraId="3B64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1215" w:type="dxa"/>
            <w:noWrap w:val="0"/>
            <w:vAlign w:val="center"/>
          </w:tcPr>
          <w:p w14:paraId="0FAFDC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5" w:type="dxa"/>
            <w:noWrap w:val="0"/>
            <w:vAlign w:val="center"/>
          </w:tcPr>
          <w:p w14:paraId="42C31D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94" w:type="dxa"/>
            <w:noWrap w:val="0"/>
            <w:vAlign w:val="center"/>
          </w:tcPr>
          <w:p w14:paraId="6D2AFA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1770" w:type="dxa"/>
            <w:noWrap w:val="0"/>
            <w:vAlign w:val="center"/>
          </w:tcPr>
          <w:p w14:paraId="261EDD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单项成交合同金额（万元）</w:t>
            </w:r>
          </w:p>
        </w:tc>
        <w:tc>
          <w:tcPr>
            <w:tcW w:w="1411" w:type="dxa"/>
            <w:noWrap w:val="0"/>
            <w:vAlign w:val="center"/>
          </w:tcPr>
          <w:p w14:paraId="452FE2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中标通知书签发日期</w:t>
            </w:r>
          </w:p>
        </w:tc>
        <w:tc>
          <w:tcPr>
            <w:tcW w:w="992" w:type="dxa"/>
            <w:noWrap w:val="0"/>
            <w:vAlign w:val="center"/>
          </w:tcPr>
          <w:p w14:paraId="4576FE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完成情况</w:t>
            </w:r>
          </w:p>
        </w:tc>
        <w:tc>
          <w:tcPr>
            <w:tcW w:w="2023" w:type="dxa"/>
            <w:noWrap w:val="0"/>
            <w:vAlign w:val="center"/>
          </w:tcPr>
          <w:p w14:paraId="2F435D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招标人电话及联系人</w:t>
            </w:r>
          </w:p>
        </w:tc>
      </w:tr>
      <w:tr w14:paraId="1FE0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5332F4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2B0EE8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436EA9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64B627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07B6EC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725EEA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0B2A10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6CB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3D980B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0F5E37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76315D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2B3FD9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068B31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864F0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45CF49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3A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7901A8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51302B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42E9F3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20ADAC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7D2424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1B86A0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1E78A1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AE7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3F49C2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w:t>
            </w:r>
          </w:p>
        </w:tc>
        <w:tc>
          <w:tcPr>
            <w:tcW w:w="1535" w:type="dxa"/>
            <w:noWrap w:val="0"/>
            <w:vAlign w:val="center"/>
          </w:tcPr>
          <w:p w14:paraId="5871EB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7F4573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763585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37DB01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482867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6EBA33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2E58465">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EC0E75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hint="eastAsia" w:ascii="宋体" w:hAnsi="宋体" w:eastAsia="宋体" w:cs="宋体"/>
          <w:szCs w:val="21"/>
          <w:highlight w:val="none"/>
          <w:lang w:val="zh-CN"/>
        </w:rPr>
        <w:t>项目</w:t>
      </w:r>
      <w:r>
        <w:rPr>
          <w:rFonts w:hint="eastAsia" w:ascii="宋体" w:hAnsi="宋体" w:eastAsia="宋体" w:cs="宋体"/>
          <w:szCs w:val="21"/>
          <w:highlight w:val="none"/>
        </w:rPr>
        <w:t>业绩按金额从大到小顺序填报，</w:t>
      </w:r>
      <w:r>
        <w:rPr>
          <w:rFonts w:hint="eastAsia" w:ascii="宋体" w:hAnsi="宋体" w:eastAsia="宋体" w:cs="宋体"/>
          <w:b/>
          <w:bCs/>
          <w:szCs w:val="21"/>
          <w:highlight w:val="none"/>
          <w:shd w:val="clear" w:color="auto" w:fill="FFFFFF"/>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320FAB31">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Times New Roman"/>
          <w:color w:val="auto"/>
          <w:szCs w:val="24"/>
          <w:highlight w:val="none"/>
          <w:lang w:val="zh-CN"/>
        </w:rPr>
        <w:t>（2）</w:t>
      </w:r>
      <w:r>
        <w:rPr>
          <w:rFonts w:hint="eastAsia" w:ascii="宋体" w:hAnsi="宋体" w:eastAsia="宋体" w:cs="宋体"/>
          <w:szCs w:val="21"/>
          <w:highlight w:val="none"/>
        </w:rPr>
        <w:t>业绩按以下条款作为考评依据：</w:t>
      </w:r>
    </w:p>
    <w:p w14:paraId="35031FD1">
      <w:pPr>
        <w:snapToGrid w:val="0"/>
        <w:spacing w:line="360" w:lineRule="auto"/>
        <w:ind w:left="596" w:leftChars="150" w:hanging="281" w:hangingChars="134"/>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rPr>
        <w:t>①招标代理业绩的时间及金额以中标通知书为准，须同时提供招标代理协议、招标公告、中标公告及中标通知书复印件；</w:t>
      </w:r>
      <w:r>
        <w:rPr>
          <w:rFonts w:hint="eastAsia" w:ascii="宋体" w:hAnsi="宋体" w:eastAsia="宋体" w:cs="宋体"/>
          <w:szCs w:val="21"/>
          <w:highlight w:val="none"/>
          <w:lang w:val="en-US" w:eastAsia="zh-CN"/>
        </w:rPr>
        <w:t>如上述资料未能显示有关评分要求内容，还须同时提供招标（采购）文件或中标合同关键页等其他证明资料。</w:t>
      </w:r>
    </w:p>
    <w:p w14:paraId="0722B213">
      <w:pPr>
        <w:snapToGrid w:val="0"/>
        <w:spacing w:line="360" w:lineRule="auto"/>
        <w:ind w:left="596" w:leftChars="150" w:hanging="281" w:hangingChars="134"/>
        <w:rPr>
          <w:rFonts w:ascii="宋体" w:hAnsi="宋体" w:eastAsia="宋体" w:cs="宋体"/>
          <w:szCs w:val="21"/>
          <w:highlight w:val="none"/>
        </w:rPr>
      </w:pPr>
      <w:r>
        <w:rPr>
          <w:rFonts w:hint="eastAsia" w:ascii="宋体" w:hAnsi="宋体" w:eastAsia="宋体" w:cs="宋体"/>
          <w:szCs w:val="21"/>
          <w:highlight w:val="none"/>
          <w:lang w:val="en-US"/>
        </w:rPr>
        <w:t>②同一项目含设计和勘察的按上述要求各计算一次设计业绩和勘察业绩，</w:t>
      </w:r>
      <w:r>
        <w:rPr>
          <w:rFonts w:hint="eastAsia" w:ascii="宋体" w:hAnsi="宋体" w:eastAsia="宋体" w:cs="宋体"/>
          <w:szCs w:val="21"/>
          <w:highlight w:val="none"/>
        </w:rPr>
        <w:t>其他</w:t>
      </w:r>
      <w:r>
        <w:rPr>
          <w:rFonts w:hint="eastAsia" w:ascii="宋体" w:hAnsi="宋体" w:eastAsia="宋体" w:cs="宋体"/>
          <w:szCs w:val="21"/>
          <w:highlight w:val="none"/>
          <w:lang w:val="en-US"/>
        </w:rPr>
        <w:t>业绩不重复计算，由投标人自行放入对应的评分子项</w:t>
      </w:r>
      <w:r>
        <w:rPr>
          <w:rFonts w:hint="eastAsia" w:ascii="宋体" w:hAnsi="宋体" w:eastAsia="宋体" w:cs="宋体"/>
          <w:szCs w:val="21"/>
          <w:highlight w:val="none"/>
        </w:rPr>
        <w:t>；</w:t>
      </w:r>
    </w:p>
    <w:p w14:paraId="1366DA42">
      <w:pPr>
        <w:autoSpaceDE w:val="0"/>
        <w:autoSpaceDN w:val="0"/>
        <w:adjustRightInd w:val="0"/>
        <w:snapToGrid w:val="0"/>
        <w:spacing w:line="360" w:lineRule="auto"/>
        <w:ind w:left="481" w:leftChars="-41" w:hanging="567" w:hangingChars="270"/>
        <w:jc w:val="left"/>
        <w:rPr>
          <w:rFonts w:ascii="宋体" w:hAnsi="宋体" w:eastAsia="宋体" w:cs="宋体"/>
          <w:b/>
          <w:bCs/>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31718C16">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213E29AF">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80E7B4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AC5B2E1">
      <w:pPr>
        <w:widowControl/>
        <w:autoSpaceDE w:val="0"/>
        <w:autoSpaceDN w:val="0"/>
        <w:adjustRightInd w:val="0"/>
        <w:spacing w:line="360" w:lineRule="auto"/>
        <w:ind w:left="0" w:leftChars="0"/>
        <w:jc w:val="center"/>
        <w:rPr>
          <w:rFonts w:hint="eastAsia" w:ascii="宋体" w:hAnsi="宋体" w:eastAsia="宋体" w:cs="Times New Roman"/>
          <w:b/>
          <w:bCs/>
          <w:color w:val="auto"/>
          <w:szCs w:val="24"/>
          <w:highlight w:val="none"/>
          <w:lang w:val="zh-CN"/>
        </w:rPr>
      </w:pPr>
    </w:p>
    <w:p w14:paraId="48E6F49A">
      <w:pPr>
        <w:widowControl/>
        <w:autoSpaceDE w:val="0"/>
        <w:autoSpaceDN w:val="0"/>
        <w:adjustRightInd w:val="0"/>
        <w:spacing w:line="360" w:lineRule="auto"/>
        <w:ind w:left="0" w:leftChars="0"/>
        <w:jc w:val="center"/>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503A29CB">
      <w:pPr>
        <w:rPr>
          <w:rFonts w:ascii="宋体" w:hAnsi="宋体" w:eastAsia="宋体" w:cs="Times New Roman"/>
          <w:b/>
          <w:bCs/>
          <w:color w:val="auto"/>
          <w:sz w:val="30"/>
          <w:szCs w:val="30"/>
          <w:highlight w:val="none"/>
          <w:lang w:val="zh-CN"/>
        </w:rPr>
      </w:pPr>
      <w:r>
        <w:rPr>
          <w:rFonts w:ascii="宋体" w:hAnsi="宋体" w:eastAsia="宋体" w:cs="Times New Roman"/>
          <w:b/>
          <w:bCs/>
          <w:color w:val="auto"/>
          <w:sz w:val="30"/>
          <w:szCs w:val="30"/>
          <w:highlight w:val="none"/>
          <w:lang w:val="zh-CN"/>
        </w:rPr>
        <w:br w:type="page"/>
      </w:r>
    </w:p>
    <w:p w14:paraId="6BAE0267">
      <w:pPr>
        <w:spacing w:line="360" w:lineRule="auto"/>
        <w:jc w:val="center"/>
        <w:rPr>
          <w:rFonts w:ascii="宋体" w:hAnsi="宋体" w:eastAsia="宋体" w:cs="宋体"/>
          <w:b/>
          <w:bCs/>
          <w:szCs w:val="21"/>
          <w:highlight w:val="none"/>
          <w:lang w:val="zh-CN"/>
        </w:rPr>
      </w:pP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 xml:space="preserve">  投标人在2021年1月1日至今累计完成的单项中标合同金额≥200万元的建设工程服务类</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勘察、设计、监理</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招标代理业绩</w:t>
      </w:r>
      <w:r>
        <w:rPr>
          <w:rFonts w:hint="eastAsia" w:ascii="宋体" w:hAnsi="宋体" w:eastAsia="宋体" w:cs="宋体"/>
          <w:b/>
          <w:bCs/>
          <w:szCs w:val="21"/>
          <w:highlight w:val="none"/>
          <w:lang w:val="en-US" w:eastAsia="zh-CN"/>
        </w:rPr>
        <w:t>或单项中标合同金额</w:t>
      </w:r>
      <w:r>
        <w:rPr>
          <w:rFonts w:hint="eastAsia" w:ascii="宋体" w:hAnsi="宋体" w:eastAsia="宋体" w:cs="宋体"/>
          <w:b/>
          <w:bCs/>
          <w:szCs w:val="21"/>
          <w:highlight w:val="none"/>
        </w:rPr>
        <w:t>≥400万元的建设工程货物类（设备、材料）招标代理业绩</w:t>
      </w:r>
      <w:r>
        <w:rPr>
          <w:rFonts w:hint="eastAsia" w:ascii="宋体" w:hAnsi="宋体" w:eastAsia="宋体" w:cs="宋体"/>
          <w:b/>
          <w:bCs/>
          <w:szCs w:val="21"/>
          <w:highlight w:val="none"/>
          <w:lang w:val="en-US" w:eastAsia="zh-CN"/>
        </w:rPr>
        <w:t>情况</w:t>
      </w:r>
      <w:r>
        <w:rPr>
          <w:rFonts w:hint="eastAsia" w:ascii="宋体" w:hAnsi="宋体" w:eastAsia="宋体" w:cs="宋体"/>
          <w:b/>
          <w:bCs/>
          <w:szCs w:val="21"/>
          <w:highlight w:val="none"/>
          <w:lang w:val="zh-CN"/>
        </w:rPr>
        <w:t>表</w:t>
      </w:r>
    </w:p>
    <w:tbl>
      <w:tblPr>
        <w:tblStyle w:val="44"/>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15"/>
        <w:gridCol w:w="1535"/>
        <w:gridCol w:w="1194"/>
        <w:gridCol w:w="1770"/>
        <w:gridCol w:w="1411"/>
        <w:gridCol w:w="992"/>
        <w:gridCol w:w="2023"/>
      </w:tblGrid>
      <w:tr w14:paraId="2646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1215" w:type="dxa"/>
            <w:noWrap w:val="0"/>
            <w:vAlign w:val="center"/>
          </w:tcPr>
          <w:p w14:paraId="437417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5" w:type="dxa"/>
            <w:noWrap w:val="0"/>
            <w:vAlign w:val="center"/>
          </w:tcPr>
          <w:p w14:paraId="17919F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94" w:type="dxa"/>
            <w:noWrap w:val="0"/>
            <w:vAlign w:val="center"/>
          </w:tcPr>
          <w:p w14:paraId="7B7779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1770" w:type="dxa"/>
            <w:noWrap w:val="0"/>
            <w:vAlign w:val="center"/>
          </w:tcPr>
          <w:p w14:paraId="7589EC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单项成交合同金额（万元）</w:t>
            </w:r>
          </w:p>
        </w:tc>
        <w:tc>
          <w:tcPr>
            <w:tcW w:w="1411" w:type="dxa"/>
            <w:noWrap w:val="0"/>
            <w:vAlign w:val="center"/>
          </w:tcPr>
          <w:p w14:paraId="09B822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中标通知书签发日期</w:t>
            </w:r>
          </w:p>
        </w:tc>
        <w:tc>
          <w:tcPr>
            <w:tcW w:w="992" w:type="dxa"/>
            <w:noWrap w:val="0"/>
            <w:vAlign w:val="center"/>
          </w:tcPr>
          <w:p w14:paraId="222618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完成情况</w:t>
            </w:r>
          </w:p>
        </w:tc>
        <w:tc>
          <w:tcPr>
            <w:tcW w:w="2023" w:type="dxa"/>
            <w:noWrap w:val="0"/>
            <w:vAlign w:val="center"/>
          </w:tcPr>
          <w:p w14:paraId="07E5C5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招标人电话及联系人</w:t>
            </w:r>
          </w:p>
        </w:tc>
      </w:tr>
      <w:tr w14:paraId="32AC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72466C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2B839E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1AC035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394787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52C55D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FA2F8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7338B0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B7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5334B7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3F1FBB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4BBDC3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1F5548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58BB91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A99D7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4785DC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8E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5207D2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19FF00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5AAB11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5432F4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25977F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43561E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71DE4A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8B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12F364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w:t>
            </w:r>
          </w:p>
        </w:tc>
        <w:tc>
          <w:tcPr>
            <w:tcW w:w="1535" w:type="dxa"/>
            <w:noWrap w:val="0"/>
            <w:vAlign w:val="center"/>
          </w:tcPr>
          <w:p w14:paraId="7923CD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0CEB07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1956B4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09CB26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97D71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7AE109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1A5A01AE">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宋体"/>
          <w:szCs w:val="21"/>
          <w:highlight w:val="none"/>
          <w:lang w:val="zh-CN"/>
        </w:rPr>
        <w:t>（1）项目</w:t>
      </w:r>
      <w:r>
        <w:rPr>
          <w:rFonts w:hint="eastAsia" w:ascii="宋体" w:hAnsi="宋体" w:eastAsia="宋体" w:cs="宋体"/>
          <w:szCs w:val="21"/>
          <w:highlight w:val="none"/>
        </w:rPr>
        <w:t>业绩按金额从大到小顺序填报；</w:t>
      </w:r>
      <w:r>
        <w:rPr>
          <w:rFonts w:hint="eastAsia" w:ascii="宋体" w:hAnsi="宋体" w:eastAsia="宋体" w:cs="宋体"/>
          <w:b/>
          <w:bCs/>
          <w:szCs w:val="21"/>
          <w:highlight w:val="none"/>
          <w:shd w:val="clear" w:color="auto" w:fill="FFFFFF"/>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789E01C0">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宋体"/>
          <w:szCs w:val="21"/>
          <w:highlight w:val="none"/>
        </w:rPr>
        <w:t>（2）业绩按以下条款作为考评依据：</w:t>
      </w:r>
    </w:p>
    <w:p w14:paraId="2DEC1DE9">
      <w:pPr>
        <w:snapToGrid w:val="0"/>
        <w:spacing w:line="360" w:lineRule="auto"/>
        <w:ind w:left="596" w:leftChars="150" w:hanging="281" w:hangingChars="134"/>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rPr>
        <w:t>①招标代理业绩的时间及金额以中标通知书为准，须同时提供招标代理协议、招标公告、中标公告及中标通知书复印件；</w:t>
      </w:r>
      <w:r>
        <w:rPr>
          <w:rFonts w:hint="eastAsia" w:ascii="宋体" w:hAnsi="宋体" w:eastAsia="宋体" w:cs="宋体"/>
          <w:szCs w:val="21"/>
          <w:highlight w:val="none"/>
          <w:lang w:val="en-US" w:eastAsia="zh-CN"/>
        </w:rPr>
        <w:t>如上述资料未能显示有关评分要求内容，还须同时提供招标（采购）文件或中标合同关键页等其他证明资料。</w:t>
      </w:r>
    </w:p>
    <w:p w14:paraId="53427204">
      <w:pPr>
        <w:snapToGrid w:val="0"/>
        <w:spacing w:line="360" w:lineRule="auto"/>
        <w:ind w:left="315" w:leftChars="150"/>
        <w:rPr>
          <w:rFonts w:ascii="宋体" w:hAnsi="宋体" w:eastAsia="宋体" w:cs="宋体"/>
          <w:szCs w:val="21"/>
          <w:highlight w:val="none"/>
        </w:rPr>
      </w:pPr>
      <w:r>
        <w:rPr>
          <w:rFonts w:hint="eastAsia" w:ascii="宋体" w:hAnsi="宋体" w:eastAsia="宋体" w:cs="宋体"/>
          <w:szCs w:val="21"/>
          <w:highlight w:val="none"/>
          <w:lang w:val="en-US"/>
        </w:rPr>
        <w:t>②同一项目含设计和勘察的按上述要求各计算一次设计业绩和勘察业绩，</w:t>
      </w:r>
      <w:r>
        <w:rPr>
          <w:rFonts w:hint="eastAsia" w:ascii="宋体" w:hAnsi="宋体" w:eastAsia="宋体" w:cs="宋体"/>
          <w:szCs w:val="21"/>
          <w:highlight w:val="none"/>
        </w:rPr>
        <w:t>其他</w:t>
      </w:r>
      <w:r>
        <w:rPr>
          <w:rFonts w:hint="eastAsia" w:ascii="宋体" w:hAnsi="宋体" w:eastAsia="宋体" w:cs="宋体"/>
          <w:szCs w:val="21"/>
          <w:highlight w:val="none"/>
          <w:lang w:val="en-US"/>
        </w:rPr>
        <w:t>业绩不重复计算，由投标人自行放入对应的评分子项</w:t>
      </w:r>
      <w:r>
        <w:rPr>
          <w:rFonts w:hint="eastAsia" w:ascii="宋体" w:hAnsi="宋体" w:eastAsia="宋体" w:cs="宋体"/>
          <w:szCs w:val="21"/>
          <w:highlight w:val="none"/>
        </w:rPr>
        <w:t>；</w:t>
      </w:r>
    </w:p>
    <w:p w14:paraId="24700AAC">
      <w:pPr>
        <w:snapToGrid w:val="0"/>
        <w:spacing w:line="360" w:lineRule="auto"/>
        <w:ind w:left="443" w:leftChars="-59" w:right="-248" w:rightChars="-118" w:hanging="567" w:hangingChars="270"/>
        <w:rPr>
          <w:rFonts w:ascii="宋体" w:hAnsi="宋体" w:eastAsia="宋体" w:cs="宋体"/>
          <w:szCs w:val="21"/>
          <w:highlight w:val="none"/>
        </w:rPr>
      </w:pPr>
      <w:r>
        <w:rPr>
          <w:rFonts w:hint="eastAsia" w:ascii="宋体" w:hAnsi="宋体" w:eastAsia="宋体" w:cs="宋体"/>
          <w:szCs w:val="21"/>
          <w:highlight w:val="none"/>
        </w:rPr>
        <w:t>（3）未按上述要求提供证明材料的业绩，或所附材料无法证明填报项目符合本项评分要求的业绩，在评标时将不予考虑。</w:t>
      </w:r>
    </w:p>
    <w:p w14:paraId="346FA8FE">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00A084C">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DA797A1">
      <w:pPr>
        <w:jc w:val="center"/>
        <w:rPr>
          <w:rFonts w:hint="eastAsia" w:ascii="宋体" w:hAnsi="宋体" w:eastAsia="宋体" w:cs="Times New Roman"/>
          <w:b/>
          <w:bCs/>
          <w:color w:val="auto"/>
          <w:szCs w:val="24"/>
          <w:highlight w:val="none"/>
          <w:lang w:val="zh-CN"/>
        </w:rPr>
      </w:pPr>
    </w:p>
    <w:p w14:paraId="15F115B8">
      <w:pPr>
        <w:jc w:val="center"/>
        <w:rPr>
          <w:rFonts w:ascii="宋体" w:hAnsi="宋体" w:eastAsia="宋体" w:cs="宋体"/>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4375703C">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2EE8AE4F">
      <w:pPr>
        <w:spacing w:line="360" w:lineRule="auto"/>
        <w:jc w:val="center"/>
        <w:rPr>
          <w:rFonts w:ascii="宋体" w:hAnsi="宋体" w:eastAsia="宋体" w:cs="宋体"/>
          <w:b/>
          <w:bCs/>
          <w:szCs w:val="21"/>
          <w:highlight w:val="none"/>
          <w:lang w:val="zh-CN"/>
        </w:rPr>
      </w:pP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 xml:space="preserve"> </w:t>
      </w:r>
      <w:r>
        <w:rPr>
          <w:rFonts w:hint="eastAsia" w:ascii="宋体" w:hAnsi="宋体" w:eastAsia="宋体" w:cs="宋体"/>
          <w:b/>
          <w:bCs/>
          <w:szCs w:val="21"/>
          <w:highlight w:val="none"/>
          <w:lang w:val="zh-CN"/>
        </w:rPr>
        <w:t>投标人在2021年1月1日至今</w:t>
      </w:r>
      <w:r>
        <w:rPr>
          <w:rFonts w:hint="eastAsia" w:ascii="宋体" w:hAnsi="宋体" w:eastAsia="宋体" w:cs="宋体"/>
          <w:b/>
          <w:bCs/>
          <w:szCs w:val="21"/>
          <w:highlight w:val="none"/>
        </w:rPr>
        <w:t>累计完成</w:t>
      </w:r>
      <w:r>
        <w:rPr>
          <w:rFonts w:hint="eastAsia" w:ascii="宋体" w:hAnsi="宋体" w:eastAsia="宋体" w:cs="宋体"/>
          <w:b/>
          <w:bCs/>
          <w:szCs w:val="21"/>
          <w:highlight w:val="none"/>
          <w:lang w:val="zh-CN"/>
        </w:rPr>
        <w:t>的建设工程总承包</w:t>
      </w:r>
      <w:r>
        <w:rPr>
          <w:rFonts w:hint="eastAsia" w:ascii="宋体" w:hAnsi="宋体" w:eastAsia="宋体" w:cs="宋体"/>
          <w:b/>
          <w:bCs/>
          <w:szCs w:val="21"/>
          <w:highlight w:val="none"/>
        </w:rPr>
        <w:t>招标代理业绩</w:t>
      </w:r>
      <w:r>
        <w:rPr>
          <w:rFonts w:hint="eastAsia" w:ascii="宋体" w:hAnsi="宋体" w:eastAsia="宋体" w:cs="宋体"/>
          <w:b/>
          <w:bCs/>
          <w:szCs w:val="21"/>
          <w:highlight w:val="none"/>
          <w:lang w:val="en-US" w:eastAsia="zh-CN"/>
        </w:rPr>
        <w:t>情况</w:t>
      </w:r>
      <w:r>
        <w:rPr>
          <w:rFonts w:hint="eastAsia" w:ascii="宋体" w:hAnsi="宋体" w:eastAsia="宋体" w:cs="宋体"/>
          <w:b/>
          <w:bCs/>
          <w:szCs w:val="21"/>
          <w:highlight w:val="none"/>
          <w:lang w:val="zh-CN"/>
        </w:rPr>
        <w:t>表</w:t>
      </w:r>
    </w:p>
    <w:tbl>
      <w:tblPr>
        <w:tblStyle w:val="44"/>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15"/>
        <w:gridCol w:w="1535"/>
        <w:gridCol w:w="1194"/>
        <w:gridCol w:w="1770"/>
        <w:gridCol w:w="1411"/>
        <w:gridCol w:w="992"/>
        <w:gridCol w:w="2023"/>
      </w:tblGrid>
      <w:tr w14:paraId="0F7E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1215" w:type="dxa"/>
            <w:noWrap w:val="0"/>
            <w:vAlign w:val="center"/>
          </w:tcPr>
          <w:p w14:paraId="60FB7F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5" w:type="dxa"/>
            <w:noWrap w:val="0"/>
            <w:vAlign w:val="center"/>
          </w:tcPr>
          <w:p w14:paraId="0CB0B47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94" w:type="dxa"/>
            <w:noWrap w:val="0"/>
            <w:vAlign w:val="center"/>
          </w:tcPr>
          <w:p w14:paraId="772615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1770" w:type="dxa"/>
            <w:noWrap w:val="0"/>
            <w:vAlign w:val="center"/>
          </w:tcPr>
          <w:p w14:paraId="5A5A7A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单项成交合同金额（万元）</w:t>
            </w:r>
          </w:p>
        </w:tc>
        <w:tc>
          <w:tcPr>
            <w:tcW w:w="1411" w:type="dxa"/>
            <w:noWrap w:val="0"/>
            <w:vAlign w:val="center"/>
          </w:tcPr>
          <w:p w14:paraId="0A62EE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中标通知书签发日期</w:t>
            </w:r>
          </w:p>
        </w:tc>
        <w:tc>
          <w:tcPr>
            <w:tcW w:w="992" w:type="dxa"/>
            <w:noWrap w:val="0"/>
            <w:vAlign w:val="center"/>
          </w:tcPr>
          <w:p w14:paraId="59BFA0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完成情况</w:t>
            </w:r>
          </w:p>
        </w:tc>
        <w:tc>
          <w:tcPr>
            <w:tcW w:w="2023" w:type="dxa"/>
            <w:noWrap w:val="0"/>
            <w:vAlign w:val="center"/>
          </w:tcPr>
          <w:p w14:paraId="6D2427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招标人电话及联系人</w:t>
            </w:r>
          </w:p>
        </w:tc>
      </w:tr>
      <w:tr w14:paraId="6909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2B90E3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4E4C07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6C37CD4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539B11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0F8562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655EE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3AFB86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DE3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4E87F2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277C16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1D028C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6C73B6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39D878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3108A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05F503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09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28001E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352FA9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16B68B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405C4D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2D7791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626F6B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0433C5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281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111829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w:t>
            </w:r>
          </w:p>
        </w:tc>
        <w:tc>
          <w:tcPr>
            <w:tcW w:w="1535" w:type="dxa"/>
            <w:noWrap w:val="0"/>
            <w:vAlign w:val="center"/>
          </w:tcPr>
          <w:p w14:paraId="25CBB9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3ADBBB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0688AD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0FFF2B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27E64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1EBDAC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349187B3">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宋体"/>
          <w:szCs w:val="21"/>
          <w:highlight w:val="none"/>
          <w:lang w:val="zh-CN"/>
        </w:rPr>
        <w:t>（1）项目</w:t>
      </w:r>
      <w:r>
        <w:rPr>
          <w:rFonts w:hint="eastAsia" w:ascii="宋体" w:hAnsi="宋体" w:eastAsia="宋体" w:cs="宋体"/>
          <w:szCs w:val="21"/>
          <w:highlight w:val="none"/>
        </w:rPr>
        <w:t>业绩按金额从大到小顺序填报；</w:t>
      </w:r>
      <w:r>
        <w:rPr>
          <w:rFonts w:hint="eastAsia" w:ascii="宋体" w:hAnsi="宋体" w:eastAsia="宋体" w:cs="宋体"/>
          <w:b/>
          <w:bCs/>
          <w:szCs w:val="21"/>
          <w:highlight w:val="none"/>
          <w:shd w:val="clear" w:color="auto" w:fill="FFFFFF"/>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523DC81C">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宋体"/>
          <w:szCs w:val="21"/>
          <w:highlight w:val="none"/>
        </w:rPr>
        <w:t>（2）业绩按以下条款作为考评依据：</w:t>
      </w:r>
    </w:p>
    <w:p w14:paraId="35894724">
      <w:pPr>
        <w:snapToGrid w:val="0"/>
        <w:spacing w:line="360" w:lineRule="auto"/>
        <w:ind w:left="596" w:leftChars="150" w:hanging="281" w:hangingChars="134"/>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rPr>
        <w:t>①招标代理业绩的时间及金额以中标通知书为准，须同时提供招标代理协议、招标公告、中标公告及中标通知书复印件；</w:t>
      </w:r>
      <w:r>
        <w:rPr>
          <w:rFonts w:hint="eastAsia" w:ascii="宋体" w:hAnsi="宋体" w:eastAsia="宋体" w:cs="宋体"/>
          <w:szCs w:val="21"/>
          <w:highlight w:val="none"/>
          <w:lang w:val="en-US" w:eastAsia="zh-CN"/>
        </w:rPr>
        <w:t>如上述资料未能显示有关评分要求内容，还须同时提供招标（采购）文件或中标合同关键页等其他证明资料。</w:t>
      </w:r>
    </w:p>
    <w:p w14:paraId="062CF2FA">
      <w:pPr>
        <w:snapToGrid w:val="0"/>
        <w:spacing w:line="360" w:lineRule="auto"/>
        <w:ind w:left="315" w:leftChars="150"/>
        <w:rPr>
          <w:rFonts w:ascii="宋体" w:hAnsi="宋体" w:eastAsia="宋体" w:cs="宋体"/>
          <w:szCs w:val="21"/>
          <w:highlight w:val="none"/>
        </w:rPr>
      </w:pPr>
      <w:r>
        <w:rPr>
          <w:rFonts w:hint="eastAsia" w:ascii="宋体" w:hAnsi="宋体" w:eastAsia="宋体" w:cs="宋体"/>
          <w:szCs w:val="21"/>
          <w:highlight w:val="none"/>
          <w:lang w:val="en-US"/>
        </w:rPr>
        <w:t>②同一项目含设计和勘察的按上述要求各计算一次设计业绩和勘察业绩，</w:t>
      </w:r>
      <w:r>
        <w:rPr>
          <w:rFonts w:hint="eastAsia" w:ascii="宋体" w:hAnsi="宋体" w:eastAsia="宋体" w:cs="宋体"/>
          <w:szCs w:val="21"/>
          <w:highlight w:val="none"/>
        </w:rPr>
        <w:t>其他</w:t>
      </w:r>
      <w:r>
        <w:rPr>
          <w:rFonts w:hint="eastAsia" w:ascii="宋体" w:hAnsi="宋体" w:eastAsia="宋体" w:cs="宋体"/>
          <w:szCs w:val="21"/>
          <w:highlight w:val="none"/>
          <w:lang w:val="en-US"/>
        </w:rPr>
        <w:t>业绩不重复计算，由投标人自行放入对应的评分子项</w:t>
      </w:r>
      <w:r>
        <w:rPr>
          <w:rFonts w:hint="eastAsia" w:ascii="宋体" w:hAnsi="宋体" w:eastAsia="宋体" w:cs="宋体"/>
          <w:szCs w:val="21"/>
          <w:highlight w:val="none"/>
        </w:rPr>
        <w:t>；</w:t>
      </w:r>
    </w:p>
    <w:p w14:paraId="0F8DAF15">
      <w:pPr>
        <w:snapToGrid w:val="0"/>
        <w:spacing w:line="360" w:lineRule="auto"/>
        <w:ind w:left="443" w:leftChars="-59" w:right="-248" w:rightChars="-118" w:hanging="567" w:hangingChars="270"/>
        <w:rPr>
          <w:rFonts w:ascii="宋体" w:hAnsi="宋体" w:eastAsia="宋体" w:cs="宋体"/>
          <w:szCs w:val="21"/>
          <w:highlight w:val="none"/>
        </w:rPr>
      </w:pPr>
      <w:r>
        <w:rPr>
          <w:rFonts w:hint="eastAsia" w:ascii="宋体" w:hAnsi="宋体" w:eastAsia="宋体" w:cs="宋体"/>
          <w:szCs w:val="21"/>
          <w:highlight w:val="none"/>
        </w:rPr>
        <w:t>（3）未按上述要求提供证明材料的业绩，或所附材料无法证明填报项目符合本项评分要求的业绩，在评标时将不予考虑。</w:t>
      </w:r>
    </w:p>
    <w:p w14:paraId="6F5B4CA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6A1D4CF">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6B72D62">
      <w:pPr>
        <w:jc w:val="center"/>
        <w:rPr>
          <w:rFonts w:hint="eastAsia" w:ascii="宋体" w:hAnsi="宋体" w:eastAsia="宋体" w:cs="Times New Roman"/>
          <w:b/>
          <w:bCs/>
          <w:color w:val="auto"/>
          <w:szCs w:val="24"/>
          <w:highlight w:val="none"/>
          <w:lang w:val="zh-CN"/>
        </w:rPr>
      </w:pPr>
    </w:p>
    <w:p w14:paraId="1B0F7EC3">
      <w:pPr>
        <w:ind w:firstLine="3162" w:firstLineChars="1500"/>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443D8E86">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1A8E90F6">
      <w:pPr>
        <w:spacing w:line="360" w:lineRule="auto"/>
        <w:jc w:val="center"/>
        <w:rPr>
          <w:rFonts w:ascii="宋体" w:hAnsi="宋体" w:eastAsia="宋体" w:cs="宋体"/>
          <w:b/>
          <w:bCs/>
          <w:szCs w:val="21"/>
          <w:highlight w:val="none"/>
          <w:lang w:val="zh-CN"/>
        </w:rPr>
      </w:pP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 xml:space="preserve">  </w:t>
      </w:r>
      <w:r>
        <w:rPr>
          <w:rFonts w:hint="eastAsia" w:ascii="宋体" w:hAnsi="宋体" w:eastAsia="宋体" w:cs="宋体"/>
          <w:b/>
          <w:bCs/>
          <w:szCs w:val="21"/>
          <w:highlight w:val="none"/>
          <w:lang w:val="zh-CN"/>
        </w:rPr>
        <w:t>投标人在2021年1月1日至今</w:t>
      </w:r>
      <w:r>
        <w:rPr>
          <w:rFonts w:hint="eastAsia" w:ascii="宋体" w:hAnsi="宋体" w:eastAsia="宋体" w:cs="宋体"/>
          <w:b/>
          <w:bCs/>
          <w:szCs w:val="21"/>
          <w:highlight w:val="none"/>
        </w:rPr>
        <w:t>累计完成</w:t>
      </w:r>
      <w:r>
        <w:rPr>
          <w:rFonts w:hint="eastAsia" w:ascii="宋体" w:hAnsi="宋体" w:eastAsia="宋体" w:cs="宋体"/>
          <w:b/>
          <w:bCs/>
          <w:szCs w:val="21"/>
          <w:highlight w:val="none"/>
          <w:lang w:val="zh-CN"/>
        </w:rPr>
        <w:t>的建设工程总承包、设计、施工，采用评定分离的</w:t>
      </w:r>
      <w:r>
        <w:rPr>
          <w:rFonts w:hint="eastAsia" w:ascii="宋体" w:hAnsi="宋体" w:eastAsia="宋体" w:cs="宋体"/>
          <w:b/>
          <w:bCs/>
          <w:szCs w:val="21"/>
          <w:highlight w:val="none"/>
        </w:rPr>
        <w:t>招标代理业绩情况</w:t>
      </w:r>
      <w:r>
        <w:rPr>
          <w:rFonts w:hint="eastAsia" w:ascii="宋体" w:hAnsi="宋体" w:eastAsia="宋体" w:cs="宋体"/>
          <w:b/>
          <w:bCs/>
          <w:szCs w:val="21"/>
          <w:highlight w:val="none"/>
          <w:lang w:val="zh-CN"/>
        </w:rPr>
        <w:t>表</w:t>
      </w:r>
    </w:p>
    <w:tbl>
      <w:tblPr>
        <w:tblStyle w:val="44"/>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15"/>
        <w:gridCol w:w="1535"/>
        <w:gridCol w:w="1194"/>
        <w:gridCol w:w="1770"/>
        <w:gridCol w:w="1411"/>
        <w:gridCol w:w="992"/>
        <w:gridCol w:w="2023"/>
      </w:tblGrid>
      <w:tr w14:paraId="1888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1215" w:type="dxa"/>
            <w:noWrap w:val="0"/>
            <w:vAlign w:val="center"/>
          </w:tcPr>
          <w:p w14:paraId="40F7B2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5" w:type="dxa"/>
            <w:noWrap w:val="0"/>
            <w:vAlign w:val="center"/>
          </w:tcPr>
          <w:p w14:paraId="490BF9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94" w:type="dxa"/>
            <w:noWrap w:val="0"/>
            <w:vAlign w:val="center"/>
          </w:tcPr>
          <w:p w14:paraId="282787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1770" w:type="dxa"/>
            <w:noWrap w:val="0"/>
            <w:vAlign w:val="center"/>
          </w:tcPr>
          <w:p w14:paraId="2251C1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单项成交合同金额（万元）</w:t>
            </w:r>
          </w:p>
        </w:tc>
        <w:tc>
          <w:tcPr>
            <w:tcW w:w="1411" w:type="dxa"/>
            <w:noWrap w:val="0"/>
            <w:vAlign w:val="center"/>
          </w:tcPr>
          <w:p w14:paraId="58FA1C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中标通知书签发日期</w:t>
            </w:r>
          </w:p>
        </w:tc>
        <w:tc>
          <w:tcPr>
            <w:tcW w:w="992" w:type="dxa"/>
            <w:noWrap w:val="0"/>
            <w:vAlign w:val="center"/>
          </w:tcPr>
          <w:p w14:paraId="543393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完成情况</w:t>
            </w:r>
          </w:p>
        </w:tc>
        <w:tc>
          <w:tcPr>
            <w:tcW w:w="2023" w:type="dxa"/>
            <w:noWrap w:val="0"/>
            <w:vAlign w:val="center"/>
          </w:tcPr>
          <w:p w14:paraId="64B484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招标人电话及联系人</w:t>
            </w:r>
          </w:p>
        </w:tc>
      </w:tr>
      <w:tr w14:paraId="5E4C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099942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43BF00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0FC383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7C5573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4309EA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41FD54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5DB773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2CD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32EBD8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66A314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016FF9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6DBE75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320471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6D4EE7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79FE4D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46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1BC125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35" w:type="dxa"/>
            <w:noWrap w:val="0"/>
            <w:vAlign w:val="center"/>
          </w:tcPr>
          <w:p w14:paraId="39CABB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7DF5C6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645C4C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477F15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61B72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740BF8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74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1215" w:type="dxa"/>
            <w:noWrap w:val="0"/>
            <w:vAlign w:val="center"/>
          </w:tcPr>
          <w:p w14:paraId="76FD2C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w:t>
            </w:r>
          </w:p>
        </w:tc>
        <w:tc>
          <w:tcPr>
            <w:tcW w:w="1535" w:type="dxa"/>
            <w:noWrap w:val="0"/>
            <w:vAlign w:val="center"/>
          </w:tcPr>
          <w:p w14:paraId="14CA20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4" w:type="dxa"/>
            <w:noWrap w:val="0"/>
            <w:vAlign w:val="center"/>
          </w:tcPr>
          <w:p w14:paraId="4FE7ED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70" w:type="dxa"/>
            <w:noWrap w:val="0"/>
            <w:vAlign w:val="center"/>
          </w:tcPr>
          <w:p w14:paraId="49409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1" w:type="dxa"/>
            <w:noWrap w:val="0"/>
            <w:vAlign w:val="center"/>
          </w:tcPr>
          <w:p w14:paraId="7243B5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44A937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023" w:type="dxa"/>
            <w:noWrap w:val="0"/>
            <w:vAlign w:val="center"/>
          </w:tcPr>
          <w:p w14:paraId="7AB588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2D3B1480">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宋体"/>
          <w:szCs w:val="21"/>
          <w:highlight w:val="none"/>
          <w:lang w:val="zh-CN"/>
        </w:rPr>
        <w:t>（1）项目</w:t>
      </w:r>
      <w:r>
        <w:rPr>
          <w:rFonts w:hint="eastAsia" w:ascii="宋体" w:hAnsi="宋体" w:eastAsia="宋体" w:cs="宋体"/>
          <w:szCs w:val="21"/>
          <w:highlight w:val="none"/>
        </w:rPr>
        <w:t>业绩按金额从大到小顺序填报；</w:t>
      </w:r>
      <w:r>
        <w:rPr>
          <w:rFonts w:hint="eastAsia" w:ascii="宋体" w:hAnsi="宋体" w:eastAsia="宋体" w:cs="宋体"/>
          <w:b/>
          <w:bCs/>
          <w:szCs w:val="21"/>
          <w:highlight w:val="none"/>
          <w:shd w:val="clear" w:color="auto" w:fill="FFFFFF"/>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33D1EAE4">
      <w:pPr>
        <w:snapToGrid w:val="0"/>
        <w:spacing w:line="360" w:lineRule="auto"/>
        <w:ind w:left="396" w:leftChars="-58" w:hanging="518" w:hangingChars="247"/>
        <w:rPr>
          <w:rFonts w:ascii="宋体" w:hAnsi="宋体" w:eastAsia="宋体" w:cs="宋体"/>
          <w:szCs w:val="21"/>
          <w:highlight w:val="none"/>
        </w:rPr>
      </w:pPr>
      <w:r>
        <w:rPr>
          <w:rFonts w:hint="eastAsia" w:ascii="宋体" w:hAnsi="宋体" w:eastAsia="宋体" w:cs="宋体"/>
          <w:szCs w:val="21"/>
          <w:highlight w:val="none"/>
        </w:rPr>
        <w:t>（2）业绩按以下条款作为考评依据：</w:t>
      </w:r>
    </w:p>
    <w:p w14:paraId="0D745B90">
      <w:pPr>
        <w:snapToGrid w:val="0"/>
        <w:spacing w:line="360" w:lineRule="auto"/>
        <w:ind w:left="596" w:leftChars="150" w:hanging="281" w:hangingChars="134"/>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rPr>
        <w:t>①招标代理业绩的时间及金额以中标通知书为准，须同时提供招标代理协议、招标公告、中标公告及中标通知书复印件；</w:t>
      </w:r>
      <w:r>
        <w:rPr>
          <w:rFonts w:hint="eastAsia" w:ascii="宋体" w:hAnsi="宋体" w:eastAsia="宋体" w:cs="宋体"/>
          <w:szCs w:val="21"/>
          <w:highlight w:val="none"/>
          <w:lang w:val="en-US" w:eastAsia="zh-CN"/>
        </w:rPr>
        <w:t>如上述资料未能显示有关评分要求内容，还须同时提供招标（采购）文件或中标合同关键页等其他证明资料。</w:t>
      </w:r>
    </w:p>
    <w:p w14:paraId="7090F6CB">
      <w:pPr>
        <w:snapToGrid w:val="0"/>
        <w:spacing w:line="360" w:lineRule="auto"/>
        <w:ind w:left="315" w:leftChars="150"/>
        <w:rPr>
          <w:rFonts w:ascii="宋体" w:hAnsi="宋体" w:eastAsia="宋体" w:cs="宋体"/>
          <w:szCs w:val="21"/>
          <w:highlight w:val="none"/>
        </w:rPr>
      </w:pPr>
      <w:r>
        <w:rPr>
          <w:rFonts w:hint="eastAsia" w:ascii="宋体" w:hAnsi="宋体" w:eastAsia="宋体" w:cs="宋体"/>
          <w:szCs w:val="21"/>
          <w:highlight w:val="none"/>
          <w:lang w:val="en-US"/>
        </w:rPr>
        <w:t>②同一项目含设计和勘察的按上述要求各计算一次设计业绩和勘察业绩，</w:t>
      </w:r>
      <w:r>
        <w:rPr>
          <w:rFonts w:hint="eastAsia" w:ascii="宋体" w:hAnsi="宋体" w:eastAsia="宋体" w:cs="宋体"/>
          <w:szCs w:val="21"/>
          <w:highlight w:val="none"/>
        </w:rPr>
        <w:t>其他</w:t>
      </w:r>
      <w:r>
        <w:rPr>
          <w:rFonts w:hint="eastAsia" w:ascii="宋体" w:hAnsi="宋体" w:eastAsia="宋体" w:cs="宋体"/>
          <w:szCs w:val="21"/>
          <w:highlight w:val="none"/>
          <w:lang w:val="en-US"/>
        </w:rPr>
        <w:t>业绩不重复计算，由投标人自行放入对应的评分子项</w:t>
      </w:r>
      <w:r>
        <w:rPr>
          <w:rFonts w:hint="eastAsia" w:ascii="宋体" w:hAnsi="宋体" w:eastAsia="宋体" w:cs="宋体"/>
          <w:szCs w:val="21"/>
          <w:highlight w:val="none"/>
        </w:rPr>
        <w:t>；</w:t>
      </w:r>
    </w:p>
    <w:p w14:paraId="4B4F8CFB">
      <w:pPr>
        <w:snapToGrid w:val="0"/>
        <w:spacing w:line="360" w:lineRule="auto"/>
        <w:ind w:left="443" w:leftChars="-59" w:right="-248" w:rightChars="-118" w:hanging="567" w:hangingChars="270"/>
        <w:rPr>
          <w:rFonts w:ascii="宋体" w:hAnsi="宋体" w:eastAsia="宋体" w:cs="宋体"/>
          <w:szCs w:val="21"/>
          <w:highlight w:val="none"/>
        </w:rPr>
      </w:pPr>
      <w:r>
        <w:rPr>
          <w:rFonts w:hint="eastAsia" w:ascii="宋体" w:hAnsi="宋体" w:eastAsia="宋体" w:cs="宋体"/>
          <w:szCs w:val="21"/>
          <w:highlight w:val="none"/>
        </w:rPr>
        <w:t>（3）未按上述要求提供证明材料的业绩，或所附材料无法证明填报项目符合本项评分要求的业绩，在评标时将不予考虑。</w:t>
      </w:r>
    </w:p>
    <w:p w14:paraId="3EFD0F9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B9E38B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49C8AF7">
      <w:pPr>
        <w:jc w:val="center"/>
        <w:rPr>
          <w:rFonts w:hint="eastAsia" w:ascii="宋体" w:hAnsi="宋体" w:eastAsia="宋体" w:cs="Times New Roman"/>
          <w:b/>
          <w:bCs/>
          <w:color w:val="auto"/>
          <w:szCs w:val="24"/>
          <w:highlight w:val="none"/>
          <w:lang w:val="zh-CN"/>
        </w:rPr>
      </w:pPr>
    </w:p>
    <w:p w14:paraId="3BD7F8E9">
      <w:pPr>
        <w:ind w:firstLine="3162" w:firstLineChars="1500"/>
        <w:rPr>
          <w:rFonts w:hint="eastAsia" w:ascii="宋体" w:hAnsi="宋体" w:eastAsia="宋体" w:cs="宋体"/>
          <w:b/>
          <w:bCs/>
          <w:color w:val="auto"/>
          <w:kern w:val="0"/>
          <w:sz w:val="32"/>
          <w:szCs w:val="32"/>
          <w:highlight w:val="none"/>
          <w:lang w:val="en-US" w:eastAsia="zh-CN"/>
        </w:rPr>
      </w:pPr>
      <w:r>
        <w:rPr>
          <w:rFonts w:hint="eastAsia" w:ascii="宋体" w:hAnsi="宋体" w:eastAsia="宋体" w:cs="Times New Roman"/>
          <w:b/>
          <w:bCs/>
          <w:color w:val="auto"/>
          <w:szCs w:val="24"/>
          <w:highlight w:val="none"/>
          <w:lang w:val="zh-CN"/>
        </w:rPr>
        <w:t>说明：由投标人使用投标人的企业数字证书电子签名</w:t>
      </w:r>
      <w:r>
        <w:rPr>
          <w:rFonts w:hint="eastAsia" w:ascii="宋体" w:hAnsi="宋体" w:eastAsia="宋体" w:cs="宋体"/>
          <w:b/>
          <w:bCs/>
          <w:color w:val="auto"/>
          <w:kern w:val="0"/>
          <w:sz w:val="32"/>
          <w:szCs w:val="32"/>
          <w:highlight w:val="none"/>
          <w:lang w:val="en-US" w:eastAsia="zh-CN"/>
        </w:rPr>
        <w:br w:type="page"/>
      </w:r>
    </w:p>
    <w:bookmarkEnd w:id="688"/>
    <w:bookmarkEnd w:id="689"/>
    <w:p w14:paraId="66FA760F">
      <w:pPr>
        <w:jc w:val="both"/>
        <w:rPr>
          <w:rFonts w:hint="eastAsia" w:ascii="宋体" w:hAnsi="宋体" w:eastAsia="宋体" w:cs="宋体"/>
          <w:b/>
          <w:bCs/>
          <w:color w:val="auto"/>
          <w:kern w:val="0"/>
          <w:sz w:val="32"/>
          <w:szCs w:val="32"/>
          <w:highlight w:val="none"/>
          <w:lang w:val="en-US" w:eastAsia="zh-CN"/>
        </w:rPr>
      </w:pPr>
      <w:bookmarkStart w:id="690" w:name="_Toc8420"/>
      <w:bookmarkStart w:id="691" w:name="_Toc31135"/>
      <w:bookmarkStart w:id="692" w:name="_Toc102860428"/>
      <w:bookmarkStart w:id="693" w:name="_Toc2007"/>
      <w:bookmarkStart w:id="694" w:name="_Toc94107221"/>
      <w:bookmarkStart w:id="695" w:name="_Toc28042"/>
      <w:bookmarkStart w:id="696" w:name="_Toc1977738"/>
      <w:bookmarkStart w:id="697" w:name="_Toc29652"/>
      <w:bookmarkStart w:id="698" w:name="_Toc8116"/>
      <w:bookmarkStart w:id="699" w:name="_Toc102860084"/>
      <w:bookmarkStart w:id="700" w:name="_Toc195714398"/>
      <w:bookmarkStart w:id="701" w:name="_Toc140596939"/>
      <w:bookmarkStart w:id="702" w:name="_Toc18185"/>
      <w:bookmarkStart w:id="703" w:name="_Toc18762"/>
      <w:bookmarkStart w:id="704" w:name="_Toc142508379"/>
      <w:bookmarkStart w:id="705" w:name="_Toc104991886"/>
      <w:bookmarkStart w:id="706" w:name="_Toc24616"/>
      <w:bookmarkStart w:id="707" w:name="_Toc533708134"/>
      <w:bookmarkStart w:id="708" w:name="_Toc4861677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中标服务费承诺书格式</w:t>
      </w:r>
    </w:p>
    <w:p w14:paraId="511802CC">
      <w:pPr>
        <w:jc w:val="both"/>
        <w:rPr>
          <w:rFonts w:hint="eastAsia" w:ascii="宋体" w:hAnsi="宋体" w:eastAsia="宋体" w:cs="宋体"/>
          <w:b/>
          <w:bCs/>
          <w:color w:val="auto"/>
          <w:kern w:val="0"/>
          <w:sz w:val="32"/>
          <w:szCs w:val="32"/>
          <w:highlight w:val="none"/>
          <w:lang w:val="en-US" w:eastAsia="zh-CN"/>
        </w:rPr>
      </w:pPr>
    </w:p>
    <w:p w14:paraId="7DE6A4BF">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中标服务费承诺书</w:t>
      </w:r>
    </w:p>
    <w:p w14:paraId="1D38CF87">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val="en-US" w:eastAsia="zh-CN"/>
        </w:rPr>
        <w:t>致：广东晟拓工程咨询有限公司</w:t>
      </w:r>
      <w:r>
        <w:rPr>
          <w:rFonts w:hint="eastAsia" w:ascii="宋体" w:hAnsi="宋体" w:eastAsia="宋体" w:cs="宋体"/>
          <w:szCs w:val="21"/>
          <w:highlight w:val="none"/>
        </w:rPr>
        <w:t>：</w:t>
      </w:r>
    </w:p>
    <w:p w14:paraId="2CAC450A">
      <w:pPr>
        <w:tabs>
          <w:tab w:val="left" w:pos="-142"/>
        </w:tabs>
        <w:spacing w:line="360" w:lineRule="auto"/>
        <w:ind w:left="-31" w:leftChars="-15" w:right="18" w:firstLine="457" w:firstLineChars="218"/>
        <w:rPr>
          <w:rFonts w:hint="eastAsia" w:ascii="宋体" w:hAnsi="宋体" w:eastAsia="宋体" w:cs="宋体"/>
          <w:szCs w:val="21"/>
          <w:highlight w:val="none"/>
        </w:rPr>
      </w:pPr>
      <w:r>
        <w:rPr>
          <w:rFonts w:hint="eastAsia" w:ascii="宋体" w:hAnsi="宋体" w:eastAsia="宋体" w:cs="宋体"/>
          <w:szCs w:val="21"/>
          <w:highlight w:val="none"/>
        </w:rPr>
        <w:t>在贵司代理的</w:t>
      </w:r>
      <w:r>
        <w:rPr>
          <w:rFonts w:hint="eastAsia" w:ascii="宋体" w:hAnsi="宋体" w:eastAsia="宋体" w:cs="宋体"/>
          <w:szCs w:val="21"/>
          <w:highlight w:val="none"/>
          <w:u w:val="single"/>
          <w:lang w:eastAsia="zh-CN"/>
        </w:rPr>
        <w:t>东莞市水务环境投资控股集团有限公司招标采购代理协议服务项目</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u w:val="none"/>
          <w:lang w:val="en-US" w:eastAsia="zh-CN"/>
        </w:rPr>
        <w:t xml:space="preserve">标段    </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rPr>
        <w:t>(招标编号:</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)招标中，我司如获中标，</w:t>
      </w:r>
      <w:r>
        <w:rPr>
          <w:rFonts w:hint="eastAsia" w:ascii="宋体" w:hAnsi="宋体" w:eastAsia="宋体" w:cs="宋体"/>
          <w:color w:val="000000"/>
          <w:highlight w:val="none"/>
          <w:lang w:val="zh-CN"/>
        </w:rPr>
        <w:t>保证在领取中标通知书原件之</w:t>
      </w:r>
      <w:r>
        <w:rPr>
          <w:rFonts w:hint="eastAsia" w:ascii="宋体" w:hAnsi="宋体" w:eastAsia="宋体" w:cs="宋体"/>
          <w:color w:val="000000"/>
          <w:highlight w:val="none"/>
        </w:rPr>
        <w:t>前</w:t>
      </w:r>
      <w:r>
        <w:rPr>
          <w:rFonts w:hint="eastAsia" w:ascii="宋体" w:hAnsi="宋体" w:eastAsia="宋体" w:cs="宋体"/>
          <w:color w:val="000000"/>
          <w:highlight w:val="none"/>
          <w:lang w:val="zh-CN"/>
        </w:rPr>
        <w:t>按招标文件的规定向</w:t>
      </w:r>
      <w:r>
        <w:rPr>
          <w:rFonts w:hint="eastAsia" w:ascii="宋体" w:hAnsi="宋体" w:eastAsia="宋体" w:cs="宋体"/>
          <w:szCs w:val="21"/>
          <w:highlight w:val="none"/>
        </w:rPr>
        <w:t>贵司(即</w:t>
      </w:r>
      <w:r>
        <w:rPr>
          <w:rFonts w:hint="eastAsia" w:ascii="宋体" w:hAnsi="宋体" w:eastAsia="宋体" w:cs="宋体"/>
          <w:szCs w:val="21"/>
          <w:highlight w:val="none"/>
          <w:lang w:val="en-US" w:eastAsia="zh-CN"/>
        </w:rPr>
        <w:t>广东晟拓工程咨询有限公司</w:t>
      </w:r>
      <w:r>
        <w:rPr>
          <w:rFonts w:hint="eastAsia" w:ascii="宋体" w:hAnsi="宋体" w:eastAsia="宋体" w:cs="宋体"/>
          <w:szCs w:val="21"/>
          <w:highlight w:val="none"/>
        </w:rPr>
        <w:t>)指定的银行账号</w:t>
      </w:r>
      <w:r>
        <w:rPr>
          <w:rFonts w:hint="eastAsia" w:ascii="宋体" w:hAnsi="宋体" w:eastAsia="宋体" w:cs="宋体"/>
          <w:color w:val="000000"/>
          <w:szCs w:val="21"/>
          <w:highlight w:val="none"/>
          <w:lang w:val="zh-CN"/>
        </w:rPr>
        <w:t>，一次性交纳中标服务费</w:t>
      </w:r>
      <w:r>
        <w:rPr>
          <w:rFonts w:hint="eastAsia" w:ascii="宋体" w:hAnsi="宋体" w:eastAsia="宋体" w:cs="宋体"/>
          <w:szCs w:val="21"/>
          <w:highlight w:val="none"/>
        </w:rPr>
        <w:t>。</w:t>
      </w:r>
    </w:p>
    <w:p w14:paraId="01919123">
      <w:pPr>
        <w:spacing w:line="360" w:lineRule="auto"/>
        <w:ind w:firstLine="424" w:firstLineChars="202"/>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特此承诺。</w:t>
      </w:r>
    </w:p>
    <w:p w14:paraId="3D84D8B6">
      <w:pPr>
        <w:spacing w:line="360" w:lineRule="auto"/>
        <w:ind w:firstLine="424" w:firstLineChars="202"/>
        <w:rPr>
          <w:rFonts w:hint="eastAsia" w:ascii="宋体" w:hAnsi="宋体" w:eastAsia="宋体" w:cs="宋体"/>
          <w:szCs w:val="24"/>
          <w:highlight w:val="none"/>
        </w:rPr>
      </w:pPr>
    </w:p>
    <w:p w14:paraId="19BEA50C">
      <w:pPr>
        <w:spacing w:line="360" w:lineRule="auto"/>
        <w:ind w:right="893"/>
        <w:rPr>
          <w:rFonts w:ascii="宋体" w:hAnsi="宋体" w:eastAsia="宋体" w:cs="宋体"/>
          <w:color w:val="000000"/>
          <w:highlight w:val="none"/>
          <w:lang w:val="zh-CN"/>
        </w:rPr>
      </w:pPr>
      <w:r>
        <w:rPr>
          <w:rFonts w:hint="eastAsia" w:ascii="宋体" w:hAnsi="宋体" w:eastAsia="宋体" w:cs="宋体"/>
          <w:color w:val="000000"/>
          <w:highlight w:val="none"/>
          <w:lang w:val="zh-CN"/>
        </w:rPr>
        <w:t>地址：</w:t>
      </w:r>
      <w:r>
        <w:rPr>
          <w:rFonts w:hint="eastAsia" w:ascii="宋体" w:hAnsi="宋体" w:eastAsia="宋体" w:cs="宋体"/>
          <w:color w:val="000000"/>
          <w:highlight w:val="none"/>
          <w:u w:val="single"/>
          <w:lang w:val="zh-CN"/>
        </w:rPr>
        <w:t xml:space="preserve">                       </w:t>
      </w:r>
    </w:p>
    <w:p w14:paraId="0E0028EC">
      <w:pPr>
        <w:spacing w:line="360" w:lineRule="auto"/>
        <w:ind w:right="893"/>
        <w:rPr>
          <w:rFonts w:ascii="宋体" w:hAnsi="宋体" w:eastAsia="宋体" w:cs="宋体"/>
          <w:color w:val="000000"/>
          <w:highlight w:val="none"/>
          <w:u w:val="single"/>
          <w:lang w:val="zh-CN"/>
        </w:rPr>
      </w:pPr>
      <w:r>
        <w:rPr>
          <w:rFonts w:hint="eastAsia" w:ascii="宋体" w:hAnsi="宋体" w:eastAsia="宋体" w:cs="宋体"/>
          <w:color w:val="000000"/>
          <w:highlight w:val="none"/>
          <w:lang w:val="zh-CN"/>
        </w:rPr>
        <w:t xml:space="preserve">电话： </w:t>
      </w:r>
      <w:r>
        <w:rPr>
          <w:rFonts w:hint="eastAsia" w:ascii="宋体" w:hAnsi="宋体" w:eastAsia="宋体" w:cs="宋体"/>
          <w:color w:val="000000"/>
          <w:highlight w:val="none"/>
          <w:u w:val="single"/>
          <w:lang w:val="zh-CN"/>
        </w:rPr>
        <w:t xml:space="preserve">                      </w:t>
      </w:r>
      <w:r>
        <w:rPr>
          <w:rFonts w:hint="eastAsia" w:ascii="宋体" w:hAnsi="宋体" w:eastAsia="宋体" w:cs="宋体"/>
          <w:color w:val="000000"/>
          <w:highlight w:val="none"/>
          <w:lang w:val="zh-CN"/>
        </w:rPr>
        <w:t xml:space="preserve">       传真： </w:t>
      </w:r>
      <w:r>
        <w:rPr>
          <w:rFonts w:hint="eastAsia" w:ascii="宋体" w:hAnsi="宋体" w:eastAsia="宋体" w:cs="宋体"/>
          <w:color w:val="000000"/>
          <w:highlight w:val="none"/>
          <w:u w:val="single"/>
          <w:lang w:val="zh-CN"/>
        </w:rPr>
        <w:t xml:space="preserve">                  </w:t>
      </w:r>
    </w:p>
    <w:p w14:paraId="66446F38">
      <w:pPr>
        <w:spacing w:line="360" w:lineRule="auto"/>
        <w:ind w:right="893"/>
        <w:rPr>
          <w:rFonts w:ascii="宋体" w:hAnsi="宋体" w:eastAsia="宋体" w:cs="宋体"/>
          <w:color w:val="000000"/>
          <w:highlight w:val="none"/>
          <w:u w:val="single"/>
          <w:lang w:val="zh-CN"/>
        </w:rPr>
      </w:pPr>
      <w:r>
        <w:rPr>
          <w:rFonts w:hint="eastAsia" w:ascii="宋体" w:hAnsi="宋体" w:eastAsia="宋体" w:cs="宋体"/>
          <w:color w:val="000000"/>
          <w:highlight w:val="none"/>
          <w:lang w:val="zh-CN"/>
        </w:rPr>
        <w:t xml:space="preserve">邮箱： </w:t>
      </w:r>
      <w:r>
        <w:rPr>
          <w:rFonts w:hint="eastAsia" w:ascii="宋体" w:hAnsi="宋体" w:eastAsia="宋体" w:cs="宋体"/>
          <w:color w:val="000000"/>
          <w:highlight w:val="none"/>
          <w:u w:val="single"/>
          <w:lang w:val="zh-CN"/>
        </w:rPr>
        <w:t xml:space="preserve">                      </w:t>
      </w:r>
      <w:r>
        <w:rPr>
          <w:rFonts w:hint="eastAsia" w:ascii="宋体" w:hAnsi="宋体" w:eastAsia="宋体" w:cs="宋体"/>
          <w:color w:val="000000"/>
          <w:highlight w:val="none"/>
          <w:lang w:val="zh-CN"/>
        </w:rPr>
        <w:t xml:space="preserve">       邮编： </w:t>
      </w:r>
      <w:r>
        <w:rPr>
          <w:rFonts w:hint="eastAsia" w:ascii="宋体" w:hAnsi="宋体" w:eastAsia="宋体" w:cs="宋体"/>
          <w:color w:val="000000"/>
          <w:highlight w:val="none"/>
          <w:u w:val="single"/>
          <w:lang w:val="zh-CN"/>
        </w:rPr>
        <w:t xml:space="preserve">                  </w:t>
      </w:r>
    </w:p>
    <w:p w14:paraId="4B4B02AB">
      <w:pPr>
        <w:spacing w:line="360" w:lineRule="auto"/>
        <w:ind w:right="893"/>
        <w:rPr>
          <w:rFonts w:ascii="宋体" w:hAnsi="宋体" w:eastAsia="宋体" w:cs="宋体"/>
          <w:color w:val="000000"/>
          <w:highlight w:val="none"/>
          <w:lang w:val="zh-CN"/>
        </w:rPr>
      </w:pPr>
    </w:p>
    <w:p w14:paraId="196FA168">
      <w:pPr>
        <w:autoSpaceDE w:val="0"/>
        <w:autoSpaceDN w:val="0"/>
        <w:adjustRightInd w:val="0"/>
        <w:spacing w:line="360" w:lineRule="auto"/>
        <w:ind w:firstLine="3780" w:firstLineChars="1800"/>
        <w:rPr>
          <w:rFonts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投标人：</w:t>
      </w:r>
      <w:r>
        <w:rPr>
          <w:rFonts w:hint="eastAsia" w:ascii="宋体" w:hAnsi="宋体" w:eastAsia="宋体" w:cs="宋体"/>
          <w:color w:val="000000"/>
          <w:szCs w:val="21"/>
          <w:highlight w:val="none"/>
          <w:u w:val="single"/>
          <w:lang w:val="zh-CN"/>
        </w:rPr>
        <w:t xml:space="preserve">             （企业数字证书电子签名）</w:t>
      </w:r>
    </w:p>
    <w:p w14:paraId="65C0F6F9">
      <w:pPr>
        <w:autoSpaceDE w:val="0"/>
        <w:autoSpaceDN w:val="0"/>
        <w:adjustRightInd w:val="0"/>
        <w:spacing w:line="360" w:lineRule="auto"/>
        <w:ind w:firstLine="3780" w:firstLineChars="1800"/>
        <w:rPr>
          <w:rFonts w:hint="eastAsia" w:ascii="宋体" w:hAnsi="宋体" w:eastAsia="宋体" w:cs="Times New Roman"/>
          <w:color w:val="000000"/>
          <w:szCs w:val="24"/>
          <w:highlight w:val="none"/>
          <w:lang w:val="zh-CN"/>
        </w:rPr>
      </w:pPr>
      <w:r>
        <w:rPr>
          <w:rFonts w:hint="eastAsia" w:ascii="宋体" w:hAnsi="宋体" w:eastAsia="宋体" w:cs="宋体"/>
          <w:color w:val="000000"/>
          <w:szCs w:val="21"/>
          <w:highlight w:val="none"/>
          <w:lang w:val="zh-CN"/>
        </w:rPr>
        <w:t>日</w:t>
      </w:r>
      <w:r>
        <w:rPr>
          <w:rFonts w:hint="eastAsia" w:ascii="宋体" w:hAnsi="宋体" w:eastAsia="宋体" w:cs="Times New Roman"/>
          <w:color w:val="000000"/>
          <w:szCs w:val="24"/>
          <w:highlight w:val="none"/>
          <w:lang w:val="zh-CN"/>
        </w:rPr>
        <w:t>期：   年   月   日</w:t>
      </w:r>
    </w:p>
    <w:p w14:paraId="061D18E6">
      <w:pPr>
        <w:autoSpaceDE w:val="0"/>
        <w:autoSpaceDN w:val="0"/>
        <w:adjustRightInd w:val="0"/>
        <w:spacing w:line="360" w:lineRule="auto"/>
        <w:ind w:firstLine="0" w:firstLineChars="0"/>
        <w:jc w:val="center"/>
        <w:rPr>
          <w:rFonts w:hint="eastAsia" w:ascii="宋体" w:hAnsi="宋体" w:eastAsia="宋体" w:cs="Times New Roman"/>
          <w:b/>
          <w:bCs/>
          <w:color w:val="000000"/>
          <w:szCs w:val="24"/>
          <w:highlight w:val="none"/>
          <w:lang w:val="zh-CN"/>
        </w:rPr>
      </w:pPr>
    </w:p>
    <w:p w14:paraId="3EB2AF7A">
      <w:pPr>
        <w:spacing w:line="360" w:lineRule="auto"/>
        <w:ind w:right="628" w:rightChars="299" w:firstLine="3795" w:firstLineChars="1800"/>
        <w:jc w:val="left"/>
        <w:rPr>
          <w:rFonts w:ascii="宋体" w:hAnsi="宋体" w:eastAsia="宋体" w:cs="宋体"/>
          <w:szCs w:val="24"/>
          <w:highlight w:val="none"/>
        </w:rPr>
      </w:pPr>
      <w:r>
        <w:rPr>
          <w:rFonts w:hint="eastAsia" w:ascii="宋体" w:hAnsi="宋体" w:eastAsia="宋体" w:cs="Times New Roman"/>
          <w:b/>
          <w:bCs/>
          <w:color w:val="000000"/>
          <w:szCs w:val="24"/>
          <w:highlight w:val="none"/>
          <w:lang w:val="zh-CN"/>
        </w:rPr>
        <w:t>说明：由投标人使用投标人的企业数字证书电子签名。</w:t>
      </w:r>
    </w:p>
    <w:p w14:paraId="456973F4">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03540297">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十一、承诺函格式</w:t>
      </w:r>
    </w:p>
    <w:p w14:paraId="6CA20D20">
      <w:pPr>
        <w:spacing w:line="360" w:lineRule="auto"/>
        <w:jc w:val="cente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承诺函（标段一）</w:t>
      </w:r>
    </w:p>
    <w:p w14:paraId="245E6237">
      <w:pPr>
        <w:spacing w:line="360" w:lineRule="auto"/>
        <w:rPr>
          <w:rFonts w:ascii="宋体" w:hAnsi="宋体" w:eastAsia="宋体" w:cs="宋体"/>
          <w:b/>
          <w:bCs/>
          <w:szCs w:val="21"/>
          <w:highlight w:val="none"/>
          <w:lang w:val="zh-CN"/>
        </w:rPr>
      </w:pPr>
      <w:r>
        <w:rPr>
          <w:rFonts w:hint="eastAsia" w:ascii="宋体" w:hAnsi="宋体" w:eastAsia="宋体" w:cs="宋体"/>
          <w:b/>
          <w:bCs/>
          <w:szCs w:val="21"/>
          <w:highlight w:val="none"/>
          <w:lang w:val="zh-CN"/>
        </w:rPr>
        <w:t>致：东莞市水务环境投资控股集团有限公司</w:t>
      </w:r>
    </w:p>
    <w:p w14:paraId="5766C7C0">
      <w:pPr>
        <w:tabs>
          <w:tab w:val="left" w:pos="-142"/>
        </w:tabs>
        <w:spacing w:line="360" w:lineRule="auto"/>
        <w:ind w:left="-31" w:leftChars="-15" w:right="18" w:firstLine="457" w:firstLineChars="218"/>
        <w:rPr>
          <w:rFonts w:ascii="宋体" w:hAnsi="宋体" w:eastAsia="宋体" w:cs="宋体"/>
          <w:highlight w:val="none"/>
          <w:lang w:val="zh-CN"/>
        </w:rPr>
      </w:pPr>
      <w:r>
        <w:rPr>
          <w:rFonts w:hint="eastAsia" w:ascii="宋体" w:hAnsi="宋体" w:eastAsia="宋体" w:cs="宋体"/>
          <w:highlight w:val="none"/>
          <w:lang w:val="zh-CN"/>
        </w:rPr>
        <w:t>在贵单位组织招标的</w:t>
      </w:r>
      <w:r>
        <w:rPr>
          <w:rFonts w:hint="eastAsia" w:ascii="宋体" w:hAnsi="宋体" w:eastAsia="宋体" w:cs="宋体"/>
          <w:highlight w:val="none"/>
          <w:u w:val="single"/>
          <w:lang w:val="zh-CN"/>
        </w:rPr>
        <w:t>东莞市水务环境投资控股集团有限公司招标采购代理协议服务项目</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标段一</w:t>
      </w:r>
      <w:r>
        <w:rPr>
          <w:rFonts w:hint="eastAsia" w:ascii="宋体" w:hAnsi="宋体" w:eastAsia="宋体" w:cs="宋体"/>
          <w:szCs w:val="21"/>
          <w:highlight w:val="none"/>
          <w:lang w:val="zh-CN"/>
        </w:rPr>
        <w:t>）</w:t>
      </w:r>
      <w:r>
        <w:rPr>
          <w:rFonts w:hint="eastAsia" w:ascii="宋体" w:hAnsi="宋体" w:eastAsia="宋体" w:cs="宋体"/>
          <w:highlight w:val="none"/>
          <w:lang w:val="zh-CN"/>
        </w:rPr>
        <w:t>招标中，我司如获中标，承诺如下：</w:t>
      </w:r>
    </w:p>
    <w:p w14:paraId="020DB1E3">
      <w:pPr>
        <w:tabs>
          <w:tab w:val="left" w:pos="-142"/>
        </w:tabs>
        <w:spacing w:line="360" w:lineRule="auto"/>
        <w:ind w:left="-31" w:leftChars="-15" w:right="18" w:firstLine="457" w:firstLineChars="218"/>
        <w:rPr>
          <w:rFonts w:hint="eastAsia" w:ascii="宋体" w:hAnsi="宋体" w:eastAsia="宋体" w:cs="宋体"/>
          <w:highlight w:val="none"/>
          <w:lang w:val="zh-CN"/>
        </w:rPr>
      </w:pPr>
      <w:r>
        <w:rPr>
          <w:rFonts w:hint="eastAsia" w:ascii="宋体" w:hAnsi="宋体" w:eastAsia="宋体" w:cs="宋体"/>
          <w:highlight w:val="none"/>
          <w:lang w:val="zh-CN"/>
        </w:rPr>
        <w:t>□投标人须承诺中标后在东莞有固定的营业场所和开展代理业务所需设施及办公条件，包括但不限于开、评标场所，现场录像、录音、投影设备等充足的办公设施，能满足《电子招标投标办法》对于电子招标投标活动的设施要求。采购人有权在中标一个月内核查中标人办公室场所，若与承诺不一致的，采购人有权暂停其承接项目的资格，并限期内整改，在限期内未按采购人规定整改，采购人有权取消其中标资格，并根据评标委员会推荐顺序确定其他中标人。</w:t>
      </w:r>
    </w:p>
    <w:p w14:paraId="5C2B58F7">
      <w:pPr>
        <w:tabs>
          <w:tab w:val="left" w:pos="-142"/>
        </w:tabs>
        <w:spacing w:line="360" w:lineRule="auto"/>
        <w:ind w:left="-31" w:leftChars="-15" w:right="18" w:firstLine="457" w:firstLineChars="218"/>
        <w:rPr>
          <w:rFonts w:hint="eastAsia" w:ascii="宋体" w:hAnsi="宋体" w:eastAsia="宋体" w:cs="宋体"/>
          <w:highlight w:val="none"/>
          <w:lang w:val="zh-CN"/>
        </w:rPr>
      </w:pPr>
      <w:r>
        <w:rPr>
          <w:rFonts w:hint="eastAsia" w:ascii="宋体" w:hAnsi="宋体" w:eastAsia="宋体" w:cs="宋体"/>
          <w:highlight w:val="none"/>
          <w:lang w:val="zh-CN"/>
        </w:rPr>
        <w:t>□投标人参加采购代理库的投标，不得处于被限制使用东莞市公共资源交易系统办理招标代理业务的期间。</w:t>
      </w:r>
    </w:p>
    <w:p w14:paraId="79542D16">
      <w:pPr>
        <w:tabs>
          <w:tab w:val="left" w:pos="-142"/>
        </w:tabs>
        <w:spacing w:line="360" w:lineRule="auto"/>
        <w:ind w:left="-31" w:leftChars="-15" w:right="18" w:firstLine="457" w:firstLineChars="218"/>
        <w:rPr>
          <w:rFonts w:ascii="宋体" w:hAnsi="宋体" w:eastAsia="宋体" w:cs="宋体"/>
          <w:highlight w:val="none"/>
          <w:lang w:val="zh-CN"/>
        </w:rPr>
      </w:pPr>
      <w:r>
        <w:rPr>
          <w:rFonts w:hint="eastAsia" w:ascii="宋体" w:hAnsi="宋体" w:eastAsia="宋体" w:cs="宋体"/>
          <w:highlight w:val="none"/>
          <w:lang w:val="zh-CN"/>
        </w:rPr>
        <w:t>特此承诺。</w:t>
      </w:r>
    </w:p>
    <w:p w14:paraId="6E2384D7">
      <w:pPr>
        <w:pStyle w:val="16"/>
        <w:rPr>
          <w:rFonts w:ascii="宋体" w:hAnsi="宋体" w:eastAsia="宋体" w:cs="宋体"/>
          <w:color w:val="auto"/>
          <w:highlight w:val="none"/>
          <w:lang w:val="zh-CN"/>
        </w:rPr>
      </w:pPr>
    </w:p>
    <w:p w14:paraId="0309E395">
      <w:pPr>
        <w:widowControl/>
        <w:spacing w:line="540" w:lineRule="exact"/>
        <w:rPr>
          <w:rFonts w:hint="eastAsia" w:ascii="新宋体" w:hAnsi="新宋体" w:eastAsia="新宋体" w:cs="新宋体"/>
          <w:b/>
          <w:sz w:val="21"/>
          <w:szCs w:val="21"/>
          <w:highlight w:val="none"/>
        </w:rPr>
      </w:pPr>
      <w:r>
        <w:rPr>
          <w:rFonts w:hint="eastAsia" w:ascii="新宋体" w:hAnsi="新宋体" w:eastAsia="新宋体" w:cs="新宋体"/>
          <w:b/>
          <w:sz w:val="21"/>
          <w:szCs w:val="21"/>
          <w:highlight w:val="none"/>
          <w:lang w:val="en-US" w:eastAsia="zh-CN"/>
        </w:rPr>
        <w:t>重要提醒</w:t>
      </w:r>
      <w:r>
        <w:rPr>
          <w:rFonts w:hint="eastAsia" w:ascii="新宋体" w:hAnsi="新宋体" w:eastAsia="新宋体" w:cs="新宋体"/>
          <w:b/>
          <w:sz w:val="21"/>
          <w:szCs w:val="21"/>
          <w:highlight w:val="none"/>
        </w:rPr>
        <w:t>：</w:t>
      </w:r>
      <w:bookmarkStart w:id="709" w:name="_Hlk5782492"/>
      <w:r>
        <w:rPr>
          <w:rFonts w:hint="eastAsia" w:ascii="新宋体" w:hAnsi="新宋体" w:eastAsia="新宋体" w:cs="新宋体"/>
          <w:b/>
          <w:sz w:val="21"/>
          <w:szCs w:val="21"/>
          <w:highlight w:val="none"/>
        </w:rPr>
        <w:t>各投标人根据实际情况对以上</w:t>
      </w:r>
      <w:bookmarkEnd w:id="709"/>
      <w:r>
        <w:rPr>
          <w:rFonts w:hint="eastAsia" w:ascii="新宋体" w:hAnsi="新宋体" w:eastAsia="新宋体" w:cs="新宋体"/>
          <w:b/>
          <w:sz w:val="21"/>
          <w:szCs w:val="21"/>
          <w:highlight w:val="none"/>
        </w:rPr>
        <w:t>承诺事项进行勾选承诺，注有“■”或“</w:t>
      </w:r>
      <w:r>
        <w:rPr>
          <w:rFonts w:hint="eastAsia" w:ascii="新宋体" w:hAnsi="新宋体" w:eastAsia="新宋体" w:cs="新宋体"/>
          <w:b/>
          <w:sz w:val="21"/>
          <w:szCs w:val="21"/>
          <w:highlight w:val="none"/>
        </w:rPr>
        <w:sym w:font="Wingdings" w:char="00FE"/>
      </w:r>
      <w:r>
        <w:rPr>
          <w:rFonts w:hint="eastAsia" w:ascii="新宋体" w:hAnsi="新宋体" w:eastAsia="新宋体" w:cs="新宋体"/>
          <w:b/>
          <w:sz w:val="21"/>
          <w:szCs w:val="21"/>
          <w:highlight w:val="none"/>
        </w:rPr>
        <w:t>”符号的视为作出承诺，否则视为未作承诺。</w:t>
      </w:r>
    </w:p>
    <w:p w14:paraId="2E3534FC">
      <w:pPr>
        <w:spacing w:line="360" w:lineRule="auto"/>
        <w:ind w:right="893"/>
        <w:rPr>
          <w:rFonts w:ascii="宋体" w:hAnsi="宋体" w:eastAsia="宋体" w:cs="宋体"/>
          <w:highlight w:val="none"/>
        </w:rPr>
      </w:pPr>
    </w:p>
    <w:p w14:paraId="1DCBCB40">
      <w:pPr>
        <w:spacing w:line="360" w:lineRule="auto"/>
        <w:ind w:right="893"/>
        <w:rPr>
          <w:rFonts w:ascii="宋体" w:hAnsi="宋体" w:eastAsia="宋体" w:cs="宋体"/>
          <w:highlight w:val="none"/>
          <w:lang w:val="zh-CN"/>
        </w:rPr>
      </w:pPr>
      <w:r>
        <w:rPr>
          <w:rFonts w:hint="eastAsia" w:ascii="宋体" w:hAnsi="宋体" w:eastAsia="宋体" w:cs="宋体"/>
          <w:highlight w:val="none"/>
          <w:lang w:val="zh-CN"/>
        </w:rPr>
        <w:t>地址：</w:t>
      </w:r>
      <w:r>
        <w:rPr>
          <w:rFonts w:hint="eastAsia" w:ascii="宋体" w:hAnsi="宋体" w:eastAsia="宋体" w:cs="宋体"/>
          <w:highlight w:val="none"/>
          <w:u w:val="single"/>
          <w:lang w:val="zh-CN"/>
        </w:rPr>
        <w:t xml:space="preserve">                       </w:t>
      </w:r>
    </w:p>
    <w:p w14:paraId="66D7B51D">
      <w:pPr>
        <w:spacing w:line="360" w:lineRule="auto"/>
        <w:ind w:right="893"/>
        <w:rPr>
          <w:rFonts w:ascii="宋体" w:hAnsi="宋体" w:eastAsia="宋体" w:cs="宋体"/>
          <w:highlight w:val="none"/>
          <w:u w:val="single"/>
          <w:lang w:val="zh-CN"/>
        </w:rPr>
      </w:pPr>
      <w:r>
        <w:rPr>
          <w:rFonts w:hint="eastAsia" w:ascii="宋体" w:hAnsi="宋体" w:eastAsia="宋体" w:cs="宋体"/>
          <w:highlight w:val="none"/>
          <w:lang w:val="zh-CN"/>
        </w:rPr>
        <w:t xml:space="preserve">电话： </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 xml:space="preserve">       传真： </w:t>
      </w:r>
      <w:r>
        <w:rPr>
          <w:rFonts w:hint="eastAsia" w:ascii="宋体" w:hAnsi="宋体" w:eastAsia="宋体" w:cs="宋体"/>
          <w:highlight w:val="none"/>
          <w:u w:val="single"/>
          <w:lang w:val="zh-CN"/>
        </w:rPr>
        <w:t xml:space="preserve">                  </w:t>
      </w:r>
    </w:p>
    <w:p w14:paraId="7F6F6AB5">
      <w:pPr>
        <w:spacing w:line="360" w:lineRule="auto"/>
        <w:ind w:right="893"/>
        <w:rPr>
          <w:rFonts w:ascii="宋体" w:hAnsi="宋体" w:eastAsia="宋体" w:cs="宋体"/>
          <w:highlight w:val="none"/>
          <w:u w:val="single"/>
          <w:lang w:val="zh-CN"/>
        </w:rPr>
      </w:pPr>
      <w:r>
        <w:rPr>
          <w:rFonts w:hint="eastAsia" w:ascii="宋体" w:hAnsi="宋体" w:eastAsia="宋体" w:cs="宋体"/>
          <w:highlight w:val="none"/>
          <w:lang w:val="zh-CN"/>
        </w:rPr>
        <w:t xml:space="preserve">邮箱： </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 xml:space="preserve">       邮编： </w:t>
      </w:r>
      <w:r>
        <w:rPr>
          <w:rFonts w:hint="eastAsia" w:ascii="宋体" w:hAnsi="宋体" w:eastAsia="宋体" w:cs="宋体"/>
          <w:highlight w:val="none"/>
          <w:u w:val="single"/>
          <w:lang w:val="zh-CN"/>
        </w:rPr>
        <w:t xml:space="preserve">                  </w:t>
      </w:r>
    </w:p>
    <w:p w14:paraId="6B703BDB">
      <w:pPr>
        <w:spacing w:line="360" w:lineRule="auto"/>
        <w:ind w:right="893"/>
        <w:rPr>
          <w:rFonts w:ascii="宋体" w:hAnsi="宋体" w:eastAsia="宋体" w:cs="宋体"/>
          <w:highlight w:val="none"/>
          <w:lang w:val="zh-CN"/>
        </w:rPr>
      </w:pPr>
    </w:p>
    <w:p w14:paraId="7D75CFE2">
      <w:pPr>
        <w:autoSpaceDE w:val="0"/>
        <w:autoSpaceDN w:val="0"/>
        <w:adjustRightInd w:val="0"/>
        <w:spacing w:line="360" w:lineRule="auto"/>
        <w:ind w:firstLine="5040" w:firstLineChars="2400"/>
        <w:rPr>
          <w:rFonts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投标人：</w:t>
      </w:r>
      <w:r>
        <w:rPr>
          <w:rFonts w:hint="eastAsia" w:ascii="宋体" w:hAnsi="宋体" w:eastAsia="宋体" w:cs="宋体"/>
          <w:color w:val="000000"/>
          <w:szCs w:val="21"/>
          <w:highlight w:val="none"/>
          <w:u w:val="single"/>
          <w:lang w:val="zh-CN"/>
        </w:rPr>
        <w:t xml:space="preserve">             （企业数字证书电子签名）</w:t>
      </w:r>
    </w:p>
    <w:p w14:paraId="41BBD33F">
      <w:pPr>
        <w:spacing w:line="360" w:lineRule="auto"/>
        <w:ind w:firstLine="5040" w:firstLineChars="2400"/>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color w:val="000000"/>
          <w:szCs w:val="21"/>
          <w:highlight w:val="none"/>
          <w:lang w:val="zh-CN"/>
        </w:rPr>
        <w:t>日</w:t>
      </w:r>
      <w:r>
        <w:rPr>
          <w:rFonts w:hint="eastAsia" w:ascii="宋体" w:hAnsi="宋体" w:eastAsia="宋体" w:cs="Times New Roman"/>
          <w:color w:val="000000"/>
          <w:szCs w:val="24"/>
          <w:highlight w:val="none"/>
          <w:lang w:val="zh-CN"/>
        </w:rPr>
        <w:t>期：   年   月   日</w:t>
      </w:r>
    </w:p>
    <w:p w14:paraId="13D6AD4B">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7DB78D42">
      <w:pPr>
        <w:spacing w:line="360" w:lineRule="auto"/>
        <w:jc w:val="cente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承诺函（标段二）</w:t>
      </w:r>
    </w:p>
    <w:p w14:paraId="7C9AB810">
      <w:pPr>
        <w:spacing w:line="360" w:lineRule="auto"/>
        <w:rPr>
          <w:rFonts w:ascii="宋体" w:hAnsi="宋体" w:eastAsia="宋体" w:cs="宋体"/>
          <w:b/>
          <w:bCs/>
          <w:szCs w:val="21"/>
          <w:highlight w:val="none"/>
          <w:lang w:val="zh-CN"/>
        </w:rPr>
      </w:pPr>
      <w:r>
        <w:rPr>
          <w:rFonts w:hint="eastAsia" w:ascii="宋体" w:hAnsi="宋体" w:eastAsia="宋体" w:cs="宋体"/>
          <w:b/>
          <w:bCs/>
          <w:szCs w:val="21"/>
          <w:highlight w:val="none"/>
          <w:lang w:val="zh-CN"/>
        </w:rPr>
        <w:t>致：东莞市水务环境投资控股集团有限公司</w:t>
      </w:r>
    </w:p>
    <w:p w14:paraId="7A9A1572">
      <w:pPr>
        <w:tabs>
          <w:tab w:val="left" w:pos="-142"/>
        </w:tabs>
        <w:spacing w:line="360" w:lineRule="auto"/>
        <w:ind w:left="-31" w:leftChars="-15" w:right="18" w:firstLine="457" w:firstLineChars="218"/>
        <w:rPr>
          <w:rFonts w:ascii="宋体" w:hAnsi="宋体" w:eastAsia="宋体" w:cs="宋体"/>
          <w:highlight w:val="none"/>
          <w:lang w:val="zh-CN"/>
        </w:rPr>
      </w:pPr>
      <w:r>
        <w:rPr>
          <w:rFonts w:hint="eastAsia" w:ascii="宋体" w:hAnsi="宋体" w:eastAsia="宋体" w:cs="宋体"/>
          <w:highlight w:val="none"/>
          <w:lang w:val="zh-CN"/>
        </w:rPr>
        <w:t>在贵单位组织招标的</w:t>
      </w:r>
      <w:r>
        <w:rPr>
          <w:rFonts w:hint="eastAsia" w:ascii="宋体" w:hAnsi="宋体" w:eastAsia="宋体" w:cs="宋体"/>
          <w:highlight w:val="none"/>
          <w:u w:val="single"/>
          <w:lang w:val="zh-CN"/>
        </w:rPr>
        <w:t>东莞市水务环境投资控股集团有限公司招标采购代理协议服务项目</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标段二</w:t>
      </w:r>
      <w:r>
        <w:rPr>
          <w:rFonts w:hint="eastAsia" w:ascii="宋体" w:hAnsi="宋体" w:eastAsia="宋体" w:cs="宋体"/>
          <w:szCs w:val="21"/>
          <w:highlight w:val="none"/>
          <w:lang w:val="zh-CN"/>
        </w:rPr>
        <w:t>）</w:t>
      </w:r>
      <w:r>
        <w:rPr>
          <w:rFonts w:hint="eastAsia" w:ascii="宋体" w:hAnsi="宋体" w:eastAsia="宋体" w:cs="宋体"/>
          <w:highlight w:val="none"/>
          <w:lang w:val="zh-CN"/>
        </w:rPr>
        <w:t>招标中，我司如获中标，承诺如下：</w:t>
      </w:r>
    </w:p>
    <w:p w14:paraId="05DA35F8">
      <w:pPr>
        <w:tabs>
          <w:tab w:val="left" w:pos="-142"/>
        </w:tabs>
        <w:spacing w:line="360" w:lineRule="auto"/>
        <w:ind w:left="-31" w:leftChars="-15" w:right="18" w:firstLine="457" w:firstLineChars="218"/>
        <w:rPr>
          <w:rFonts w:hint="eastAsia" w:ascii="宋体" w:hAnsi="宋体" w:eastAsia="宋体" w:cs="宋体"/>
          <w:highlight w:val="none"/>
          <w:lang w:val="zh-CN"/>
        </w:rPr>
      </w:pPr>
      <w:r>
        <w:rPr>
          <w:rFonts w:hint="eastAsia" w:ascii="宋体" w:hAnsi="宋体" w:eastAsia="宋体" w:cs="宋体"/>
          <w:highlight w:val="none"/>
          <w:lang w:val="zh-CN"/>
        </w:rPr>
        <w:t>□投标人须承诺中标后在东莞有固定的营业场所和开展代理业务所需设施及办公条件，包括但不限于开、评标场所，现场录像、录音、投影设备等充足的办公设施，能满足《电子招标投标办法》对于电子招标投标活动的设施要求。招标人有权在中标一个月内核查中标人办公室场所，若与承诺不一致的，招标人有权暂停其承接项目的资格，并限期内整改，在限期内未按招标人规定整改，招标人有权取消其中标资格，并根据评标委员会推荐顺序确定其他中标人。</w:t>
      </w:r>
    </w:p>
    <w:p w14:paraId="5D87FA92">
      <w:pPr>
        <w:tabs>
          <w:tab w:val="left" w:pos="-142"/>
        </w:tabs>
        <w:spacing w:line="360" w:lineRule="auto"/>
        <w:ind w:left="-31" w:leftChars="-15" w:right="18" w:firstLine="457" w:firstLineChars="218"/>
        <w:rPr>
          <w:rFonts w:hint="eastAsia" w:ascii="宋体" w:hAnsi="宋体" w:eastAsia="宋体" w:cs="宋体"/>
          <w:highlight w:val="none"/>
          <w:lang w:val="zh-CN"/>
        </w:rPr>
      </w:pPr>
      <w:r>
        <w:rPr>
          <w:rFonts w:hint="eastAsia" w:ascii="宋体" w:hAnsi="宋体" w:eastAsia="宋体" w:cs="宋体"/>
          <w:highlight w:val="none"/>
          <w:lang w:val="zh-CN"/>
        </w:rPr>
        <w:t>□投标人参加招标代理库的投标，需在全国公共资源交易平台（广东省·东莞市）（网址：https://ygp.gdzwfw.gov.cn/ggzy-portal/index.html#/441900/index）完成企业库建档[企业类型必须为：建设工程类（招标代理机构）]，并录入代理人员信息（包括项目负责人、招标文件编制人、复核人及一般代理人员）。如果投标人在提交投标文件截止时间未能完成企业库建档，需提供单独的承诺书，承诺中标后一个月内在全国公共资源交易平台（广东省·东莞市）完成企业库建档工作。</w:t>
      </w:r>
    </w:p>
    <w:p w14:paraId="7F89B67C">
      <w:pPr>
        <w:tabs>
          <w:tab w:val="left" w:pos="-142"/>
        </w:tabs>
        <w:spacing w:line="360" w:lineRule="auto"/>
        <w:ind w:left="-31" w:leftChars="-15" w:right="18" w:firstLine="457" w:firstLineChars="218"/>
        <w:rPr>
          <w:rFonts w:hint="eastAsia" w:ascii="宋体" w:hAnsi="宋体" w:eastAsia="宋体" w:cs="宋体"/>
          <w:highlight w:val="none"/>
          <w:lang w:val="zh-CN"/>
        </w:rPr>
      </w:pPr>
      <w:r>
        <w:rPr>
          <w:rFonts w:hint="eastAsia" w:ascii="宋体" w:hAnsi="宋体" w:eastAsia="宋体" w:cs="宋体"/>
          <w:highlight w:val="none"/>
          <w:lang w:val="zh-CN"/>
        </w:rPr>
        <w:t>□投标人参加招标代理库的投标，需在东莞市住房和城乡建设局（网址：http://zjj.dg.gov.cn/）完成企业信息档案登记（企业类型必须为：招标代理机构），并且处于“可用状态”或“正常状态”</w:t>
      </w:r>
      <w:r>
        <w:rPr>
          <w:rFonts w:hint="eastAsia" w:ascii="宋体" w:hAnsi="宋体" w:eastAsia="宋体" w:cs="宋体"/>
          <w:b/>
          <w:bCs/>
          <w:highlight w:val="none"/>
          <w:lang w:val="zh-CN"/>
        </w:rPr>
        <w:t>（须提供截图并加盖投标人公章）</w:t>
      </w:r>
      <w:r>
        <w:rPr>
          <w:rFonts w:hint="eastAsia" w:ascii="宋体" w:hAnsi="宋体" w:eastAsia="宋体" w:cs="宋体"/>
          <w:highlight w:val="none"/>
          <w:lang w:val="zh-CN"/>
        </w:rPr>
        <w:t>。如果投标人在提交投标文件截止时间未能完成企业信息档案登记，需提供单独的承诺书，承诺中标后一个月内在东莞市住房和城乡建设局完成企业信息登记工作。</w:t>
      </w:r>
    </w:p>
    <w:p w14:paraId="019257AD">
      <w:pPr>
        <w:tabs>
          <w:tab w:val="left" w:pos="-142"/>
        </w:tabs>
        <w:spacing w:line="360" w:lineRule="auto"/>
        <w:ind w:left="-31" w:leftChars="-15" w:right="18" w:firstLine="457" w:firstLineChars="218"/>
        <w:rPr>
          <w:rFonts w:hint="eastAsia" w:ascii="宋体" w:hAnsi="宋体" w:eastAsia="宋体" w:cs="宋体"/>
          <w:highlight w:val="none"/>
          <w:lang w:val="zh-CN"/>
        </w:rPr>
      </w:pPr>
      <w:r>
        <w:rPr>
          <w:rFonts w:hint="eastAsia" w:ascii="宋体" w:hAnsi="宋体" w:eastAsia="宋体" w:cs="宋体"/>
          <w:highlight w:val="none"/>
          <w:lang w:val="zh-CN"/>
        </w:rPr>
        <w:t>□投标人参加招标代理库的投标，需在东莞市水务局-公共服务目录（网址：http://dgwater.dg.gov.cn/）水务工程参建企业信用管理系统完成企业登记信息（企业类别必须为：招标代理）</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须提供截图并加盖投标人公章</w:t>
      </w:r>
      <w:r>
        <w:rPr>
          <w:rFonts w:hint="eastAsia" w:ascii="宋体" w:hAnsi="宋体" w:eastAsia="宋体" w:cs="宋体"/>
          <w:b/>
          <w:bCs/>
          <w:color w:val="auto"/>
          <w:szCs w:val="21"/>
          <w:highlight w:val="none"/>
          <w:lang w:eastAsia="zh-CN"/>
        </w:rPr>
        <w:t>）</w:t>
      </w:r>
      <w:r>
        <w:rPr>
          <w:rFonts w:hint="eastAsia" w:ascii="宋体" w:hAnsi="宋体" w:eastAsia="宋体" w:cs="宋体"/>
          <w:highlight w:val="none"/>
          <w:lang w:val="zh-CN"/>
        </w:rPr>
        <w:t>。如果投标人在提交投标文件截止时间未能完成企业信息档案登记，需提供单独的承诺书，承诺中标后一个月内在东莞市水务局完成企业信息登记工作。</w:t>
      </w:r>
    </w:p>
    <w:p w14:paraId="1462BBA3">
      <w:pPr>
        <w:tabs>
          <w:tab w:val="left" w:pos="-142"/>
        </w:tabs>
        <w:spacing w:line="360" w:lineRule="auto"/>
        <w:ind w:left="-31" w:leftChars="-15" w:right="18" w:firstLine="457" w:firstLineChars="218"/>
        <w:rPr>
          <w:rFonts w:hint="eastAsia" w:ascii="宋体" w:hAnsi="宋体" w:eastAsia="宋体" w:cs="宋体"/>
          <w:highlight w:val="none"/>
          <w:lang w:val="zh-CN"/>
        </w:rPr>
      </w:pPr>
      <w:r>
        <w:rPr>
          <w:rFonts w:hint="eastAsia" w:ascii="宋体" w:hAnsi="宋体" w:eastAsia="宋体" w:cs="宋体"/>
          <w:highlight w:val="none"/>
          <w:lang w:val="zh-CN"/>
        </w:rPr>
        <w:t>□投标人参加招标代理库的投标，需按照《工程建设项目招标代理机构管理暂行办法》有关规定办理登记手续，如果投标人在提交投标文件截止时间未能完成企业信息登记，需提供单独的承诺书，承诺中标后一个月内完成企业信息登记工作。非投标人原因导致无法完成企业信息登记的除外。</w:t>
      </w:r>
    </w:p>
    <w:p w14:paraId="1E59ED41">
      <w:pPr>
        <w:tabs>
          <w:tab w:val="left" w:pos="-142"/>
        </w:tabs>
        <w:spacing w:line="360" w:lineRule="auto"/>
        <w:ind w:left="-31" w:leftChars="-15" w:right="18" w:firstLine="457" w:firstLineChars="218"/>
        <w:rPr>
          <w:rFonts w:hint="eastAsia" w:ascii="宋体" w:hAnsi="宋体" w:eastAsia="宋体" w:cs="宋体"/>
          <w:highlight w:val="none"/>
          <w:lang w:val="zh-CN"/>
        </w:rPr>
      </w:pPr>
      <w:r>
        <w:rPr>
          <w:rFonts w:hint="eastAsia" w:ascii="宋体" w:hAnsi="宋体" w:eastAsia="宋体" w:cs="宋体"/>
          <w:highlight w:val="none"/>
          <w:lang w:val="zh-CN"/>
        </w:rPr>
        <w:t>□投标人参加招标代理库的投标，不得处于被限制使用东莞市公共资源交易系统办理招标代理业务的期间。</w:t>
      </w:r>
    </w:p>
    <w:p w14:paraId="694F9FCA">
      <w:pPr>
        <w:tabs>
          <w:tab w:val="left" w:pos="-142"/>
        </w:tabs>
        <w:spacing w:line="360" w:lineRule="auto"/>
        <w:ind w:left="-31" w:leftChars="-15" w:right="18" w:firstLine="457" w:firstLineChars="218"/>
        <w:rPr>
          <w:rFonts w:ascii="宋体" w:hAnsi="宋体" w:eastAsia="宋体" w:cs="宋体"/>
          <w:highlight w:val="none"/>
          <w:lang w:val="zh-CN"/>
        </w:rPr>
      </w:pPr>
      <w:r>
        <w:rPr>
          <w:rFonts w:hint="eastAsia" w:ascii="宋体" w:hAnsi="宋体" w:eastAsia="宋体" w:cs="宋体"/>
          <w:highlight w:val="none"/>
          <w:lang w:val="zh-CN"/>
        </w:rPr>
        <w:t>特此承诺。</w:t>
      </w:r>
    </w:p>
    <w:p w14:paraId="2C6FD982">
      <w:pPr>
        <w:pStyle w:val="16"/>
        <w:rPr>
          <w:rFonts w:ascii="宋体" w:hAnsi="宋体" w:eastAsia="宋体" w:cs="宋体"/>
          <w:color w:val="auto"/>
          <w:highlight w:val="none"/>
          <w:lang w:val="zh-CN"/>
        </w:rPr>
      </w:pPr>
    </w:p>
    <w:p w14:paraId="47DE2D31">
      <w:pPr>
        <w:widowControl/>
        <w:spacing w:line="540" w:lineRule="exac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重要提醒</w:t>
      </w:r>
      <w:r>
        <w:rPr>
          <w:rFonts w:hint="eastAsia" w:ascii="宋体" w:hAnsi="宋体" w:eastAsia="宋体" w:cs="宋体"/>
          <w:b/>
          <w:sz w:val="21"/>
          <w:szCs w:val="21"/>
          <w:highlight w:val="none"/>
        </w:rPr>
        <w:t>：各投标人根据实际情况对以上承诺事项进行勾选承诺，</w:t>
      </w:r>
      <w:r>
        <w:rPr>
          <w:rFonts w:hint="eastAsia" w:ascii="宋体" w:hAnsi="宋体" w:eastAsia="宋体" w:cs="宋体"/>
          <w:b/>
          <w:sz w:val="21"/>
          <w:szCs w:val="21"/>
          <w:highlight w:val="none"/>
          <w:lang w:val="en-US" w:eastAsia="zh-CN"/>
        </w:rPr>
        <w:t>如上述要求提供截图的，须提供截图；未提供截图但</w:t>
      </w:r>
      <w:r>
        <w:rPr>
          <w:rFonts w:hint="eastAsia" w:ascii="宋体" w:hAnsi="宋体" w:eastAsia="宋体" w:cs="宋体"/>
          <w:b/>
          <w:sz w:val="21"/>
          <w:szCs w:val="21"/>
          <w:highlight w:val="none"/>
        </w:rPr>
        <w:t>注有“■”或“</w:t>
      </w:r>
      <w:r>
        <w:rPr>
          <w:rFonts w:hint="eastAsia" w:ascii="宋体" w:hAnsi="宋体" w:eastAsia="宋体" w:cs="宋体"/>
          <w:b/>
          <w:sz w:val="21"/>
          <w:szCs w:val="21"/>
          <w:highlight w:val="none"/>
        </w:rPr>
        <w:sym w:font="Wingdings" w:char="00FE"/>
      </w:r>
      <w:r>
        <w:rPr>
          <w:rFonts w:hint="eastAsia" w:ascii="宋体" w:hAnsi="宋体" w:eastAsia="宋体" w:cs="宋体"/>
          <w:b/>
          <w:sz w:val="21"/>
          <w:szCs w:val="21"/>
          <w:highlight w:val="none"/>
        </w:rPr>
        <w:t>”符号的视为作出承诺，否则视为未作承诺。</w:t>
      </w:r>
    </w:p>
    <w:p w14:paraId="539D855B">
      <w:pPr>
        <w:spacing w:line="360" w:lineRule="auto"/>
        <w:ind w:right="893"/>
        <w:rPr>
          <w:rFonts w:ascii="宋体" w:hAnsi="宋体" w:eastAsia="宋体" w:cs="宋体"/>
          <w:highlight w:val="none"/>
        </w:rPr>
      </w:pPr>
    </w:p>
    <w:p w14:paraId="6362A558">
      <w:pPr>
        <w:spacing w:line="360" w:lineRule="auto"/>
        <w:ind w:right="893"/>
        <w:rPr>
          <w:rFonts w:ascii="宋体" w:hAnsi="宋体" w:eastAsia="宋体" w:cs="宋体"/>
          <w:highlight w:val="none"/>
          <w:lang w:val="zh-CN"/>
        </w:rPr>
      </w:pPr>
      <w:r>
        <w:rPr>
          <w:rFonts w:hint="eastAsia" w:ascii="宋体" w:hAnsi="宋体" w:eastAsia="宋体" w:cs="宋体"/>
          <w:highlight w:val="none"/>
          <w:lang w:val="zh-CN"/>
        </w:rPr>
        <w:t>地址：</w:t>
      </w:r>
      <w:r>
        <w:rPr>
          <w:rFonts w:hint="eastAsia" w:ascii="宋体" w:hAnsi="宋体" w:eastAsia="宋体" w:cs="宋体"/>
          <w:highlight w:val="none"/>
          <w:u w:val="single"/>
          <w:lang w:val="zh-CN"/>
        </w:rPr>
        <w:t xml:space="preserve">                       </w:t>
      </w:r>
    </w:p>
    <w:p w14:paraId="6DF92713">
      <w:pPr>
        <w:spacing w:line="360" w:lineRule="auto"/>
        <w:ind w:right="893"/>
        <w:rPr>
          <w:rFonts w:ascii="宋体" w:hAnsi="宋体" w:eastAsia="宋体" w:cs="宋体"/>
          <w:highlight w:val="none"/>
          <w:u w:val="single"/>
          <w:lang w:val="zh-CN"/>
        </w:rPr>
      </w:pPr>
      <w:r>
        <w:rPr>
          <w:rFonts w:hint="eastAsia" w:ascii="宋体" w:hAnsi="宋体" w:eastAsia="宋体" w:cs="宋体"/>
          <w:highlight w:val="none"/>
          <w:lang w:val="zh-CN"/>
        </w:rPr>
        <w:t xml:space="preserve">电话： </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 xml:space="preserve">       传真： </w:t>
      </w:r>
      <w:r>
        <w:rPr>
          <w:rFonts w:hint="eastAsia" w:ascii="宋体" w:hAnsi="宋体" w:eastAsia="宋体" w:cs="宋体"/>
          <w:highlight w:val="none"/>
          <w:u w:val="single"/>
          <w:lang w:val="zh-CN"/>
        </w:rPr>
        <w:t xml:space="preserve">                  </w:t>
      </w:r>
    </w:p>
    <w:p w14:paraId="32034609">
      <w:pPr>
        <w:spacing w:line="360" w:lineRule="auto"/>
        <w:ind w:right="893"/>
        <w:rPr>
          <w:rFonts w:ascii="宋体" w:hAnsi="宋体" w:eastAsia="宋体" w:cs="宋体"/>
          <w:highlight w:val="none"/>
          <w:u w:val="single"/>
          <w:lang w:val="zh-CN"/>
        </w:rPr>
      </w:pPr>
      <w:r>
        <w:rPr>
          <w:rFonts w:hint="eastAsia" w:ascii="宋体" w:hAnsi="宋体" w:eastAsia="宋体" w:cs="宋体"/>
          <w:highlight w:val="none"/>
          <w:lang w:val="zh-CN"/>
        </w:rPr>
        <w:t xml:space="preserve">邮箱： </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 xml:space="preserve">       邮编： </w:t>
      </w:r>
      <w:r>
        <w:rPr>
          <w:rFonts w:hint="eastAsia" w:ascii="宋体" w:hAnsi="宋体" w:eastAsia="宋体" w:cs="宋体"/>
          <w:highlight w:val="none"/>
          <w:u w:val="single"/>
          <w:lang w:val="zh-CN"/>
        </w:rPr>
        <w:t xml:space="preserve">                  </w:t>
      </w:r>
    </w:p>
    <w:p w14:paraId="03F34182">
      <w:pPr>
        <w:spacing w:line="360" w:lineRule="auto"/>
        <w:ind w:right="893"/>
        <w:rPr>
          <w:rFonts w:ascii="宋体" w:hAnsi="宋体" w:eastAsia="宋体" w:cs="宋体"/>
          <w:highlight w:val="none"/>
          <w:lang w:val="zh-CN"/>
        </w:rPr>
      </w:pPr>
    </w:p>
    <w:p w14:paraId="14430D0B">
      <w:pPr>
        <w:autoSpaceDE w:val="0"/>
        <w:autoSpaceDN w:val="0"/>
        <w:adjustRightInd w:val="0"/>
        <w:spacing w:line="360" w:lineRule="auto"/>
        <w:ind w:firstLine="5040" w:firstLineChars="2400"/>
        <w:rPr>
          <w:rFonts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投标人：</w:t>
      </w:r>
      <w:r>
        <w:rPr>
          <w:rFonts w:hint="eastAsia" w:ascii="宋体" w:hAnsi="宋体" w:eastAsia="宋体" w:cs="宋体"/>
          <w:color w:val="000000"/>
          <w:szCs w:val="21"/>
          <w:highlight w:val="none"/>
          <w:u w:val="single"/>
          <w:lang w:val="zh-CN"/>
        </w:rPr>
        <w:t xml:space="preserve">             （企业数字证书电子签名）</w:t>
      </w:r>
    </w:p>
    <w:p w14:paraId="600F5207">
      <w:pPr>
        <w:spacing w:line="360" w:lineRule="auto"/>
        <w:ind w:firstLine="5040" w:firstLineChars="2400"/>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color w:val="000000"/>
          <w:szCs w:val="21"/>
          <w:highlight w:val="none"/>
          <w:lang w:val="zh-CN"/>
        </w:rPr>
        <w:t>日</w:t>
      </w:r>
      <w:r>
        <w:rPr>
          <w:rFonts w:hint="eastAsia" w:ascii="宋体" w:hAnsi="宋体" w:eastAsia="宋体" w:cs="Times New Roman"/>
          <w:color w:val="000000"/>
          <w:szCs w:val="24"/>
          <w:highlight w:val="none"/>
          <w:lang w:val="zh-CN"/>
        </w:rPr>
        <w:t>期：   年   月   日</w:t>
      </w:r>
    </w:p>
    <w:p w14:paraId="4C17740F">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51397BD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183" w:leftChars="-100" w:hanging="27" w:firstLineChars="0"/>
        <w:jc w:val="left"/>
        <w:textAlignment w:val="auto"/>
        <w:outlineLvl w:val="2"/>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000000"/>
          <w:kern w:val="0"/>
          <w:sz w:val="32"/>
          <w:szCs w:val="32"/>
          <w:highlight w:val="none"/>
          <w:lang w:val="zh-CN"/>
        </w:rPr>
        <w:t>投标人资格证明文件以外的其他资质证书、知识产权证书及获得的相关获奖、认证证书、社会评价资料证明文件</w:t>
      </w:r>
      <w:r>
        <w:rPr>
          <w:rFonts w:hint="eastAsia" w:ascii="宋体" w:hAnsi="宋体" w:eastAsia="宋体" w:cs="宋体"/>
          <w:b/>
          <w:bCs/>
          <w:color w:val="000000"/>
          <w:kern w:val="0"/>
          <w:sz w:val="32"/>
          <w:szCs w:val="32"/>
          <w:highlight w:val="none"/>
          <w:lang w:val="en-US" w:eastAsia="zh-CN"/>
        </w:rPr>
        <w:t>扫描件</w:t>
      </w:r>
      <w:r>
        <w:rPr>
          <w:rFonts w:hint="eastAsia" w:ascii="宋体" w:hAnsi="宋体" w:eastAsia="宋体" w:cs="宋体"/>
          <w:b/>
          <w:bCs/>
          <w:color w:val="000000"/>
          <w:kern w:val="0"/>
          <w:sz w:val="32"/>
          <w:szCs w:val="32"/>
          <w:highlight w:val="none"/>
          <w:lang w:val="zh-CN"/>
        </w:rPr>
        <w:t>等投标人认为有需要证明其具备为本次招标项目提供服务能力的有关其它商务文件（不做强制要求</w:t>
      </w:r>
      <w:r>
        <w:rPr>
          <w:rFonts w:hint="eastAsia" w:ascii="宋体" w:hAnsi="宋体" w:eastAsia="宋体" w:cs="宋体"/>
          <w:b/>
          <w:bCs/>
          <w:color w:val="auto"/>
          <w:kern w:val="0"/>
          <w:sz w:val="32"/>
          <w:szCs w:val="32"/>
          <w:highlight w:val="none"/>
          <w:lang w:val="zh-CN"/>
        </w:rPr>
        <w:t>）</w:t>
      </w:r>
    </w:p>
    <w:p w14:paraId="5573C000">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14:paraId="6C412404">
      <w:pPr>
        <w:jc w:val="both"/>
        <w:rPr>
          <w:rFonts w:hint="default" w:ascii="宋体" w:hAnsi="宋体" w:eastAsia="宋体" w:cs="宋体"/>
          <w:b/>
          <w:bCs/>
          <w:color w:val="auto"/>
          <w:kern w:val="0"/>
          <w:sz w:val="32"/>
          <w:szCs w:val="32"/>
          <w:highlight w:val="none"/>
          <w:lang w:val="en-US" w:eastAsia="zh-CN"/>
        </w:rPr>
        <w:sectPr>
          <w:pgSz w:w="12240" w:h="15840"/>
          <w:pgMar w:top="1191" w:right="1043" w:bottom="1191" w:left="1043" w:header="720" w:footer="720" w:gutter="0"/>
          <w:cols w:space="720" w:num="1"/>
          <w:titlePg/>
          <w:docGrid w:linePitch="326" w:charSpace="0"/>
        </w:sectPr>
      </w:pPr>
    </w:p>
    <w:p w14:paraId="7608B900">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kern w:val="0"/>
          <w:sz w:val="32"/>
          <w:szCs w:val="32"/>
          <w:highlight w:val="none"/>
        </w:rPr>
      </w:pPr>
      <w:bookmarkStart w:id="710" w:name="_Toc6456"/>
      <w:bookmarkStart w:id="711" w:name="_Toc195714399"/>
      <w:bookmarkStart w:id="712" w:name="_Toc2914"/>
      <w:bookmarkStart w:id="713" w:name="_Toc32650"/>
      <w:bookmarkStart w:id="714" w:name="_Toc14997"/>
      <w:bookmarkStart w:id="715" w:name="_Toc27993"/>
      <w:bookmarkStart w:id="716" w:name="_Toc4972"/>
      <w:bookmarkStart w:id="717" w:name="_Toc102860085"/>
      <w:bookmarkStart w:id="718" w:name="_Toc31916"/>
      <w:bookmarkStart w:id="719" w:name="_Toc1977739"/>
      <w:bookmarkStart w:id="720" w:name="_Toc102860429"/>
      <w:bookmarkStart w:id="721" w:name="_Toc18038"/>
      <w:bookmarkStart w:id="722" w:name="_Toc94107222"/>
      <w:bookmarkStart w:id="723" w:name="_Toc142508380"/>
      <w:bookmarkStart w:id="724" w:name="_Toc140596940"/>
      <w:bookmarkStart w:id="725" w:name="_Toc27482"/>
      <w:bookmarkStart w:id="726" w:name="_Toc104991887"/>
      <w:r>
        <w:rPr>
          <w:rFonts w:hint="eastAsia" w:ascii="宋体" w:hAnsi="宋体" w:eastAsia="宋体" w:cs="宋体"/>
          <w:b/>
          <w:color w:val="auto"/>
          <w:kern w:val="0"/>
          <w:sz w:val="32"/>
          <w:szCs w:val="32"/>
          <w:highlight w:val="none"/>
        </w:rPr>
        <w:t>二  技术标格式</w:t>
      </w:r>
      <w:bookmarkEnd w:id="710"/>
      <w:bookmarkEnd w:id="711"/>
      <w:bookmarkEnd w:id="712"/>
      <w:bookmarkEnd w:id="713"/>
      <w:bookmarkEnd w:id="714"/>
      <w:bookmarkEnd w:id="715"/>
      <w:bookmarkEnd w:id="716"/>
    </w:p>
    <w:p w14:paraId="06D5A687">
      <w:pPr>
        <w:kinsoku/>
        <w:overflowPunct/>
        <w:bidi w:val="0"/>
        <w:jc w:val="left"/>
        <w:outlineLvl w:val="9"/>
        <w:rPr>
          <w:rFonts w:ascii="宋体" w:hAnsi="宋体" w:eastAsia="宋体" w:cs="宋体"/>
          <w:b/>
          <w:color w:val="auto"/>
          <w:kern w:val="0"/>
          <w:sz w:val="32"/>
          <w:szCs w:val="32"/>
          <w:highlight w:val="none"/>
        </w:rPr>
      </w:pPr>
    </w:p>
    <w:bookmarkEnd w:id="707"/>
    <w:bookmarkEnd w:id="717"/>
    <w:bookmarkEnd w:id="718"/>
    <w:bookmarkEnd w:id="719"/>
    <w:bookmarkEnd w:id="720"/>
    <w:bookmarkEnd w:id="721"/>
    <w:bookmarkEnd w:id="722"/>
    <w:bookmarkEnd w:id="723"/>
    <w:bookmarkEnd w:id="724"/>
    <w:bookmarkEnd w:id="725"/>
    <w:bookmarkEnd w:id="726"/>
    <w:p w14:paraId="1F42E4BB">
      <w:pPr>
        <w:pStyle w:val="20"/>
        <w:kinsoku/>
        <w:overflowPunct/>
        <w:bidi w:val="0"/>
        <w:spacing w:line="360" w:lineRule="auto"/>
        <w:jc w:val="center"/>
        <w:outlineLvl w:val="9"/>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708"/>
      <w:bookmarkStart w:id="727" w:name="_Toc102860086"/>
      <w:bookmarkStart w:id="728" w:name="_Toc104991888"/>
      <w:bookmarkStart w:id="729" w:name="_Toc1977740"/>
      <w:bookmarkStart w:id="730" w:name="_Toc94107223"/>
      <w:bookmarkStart w:id="731" w:name="_Toc102860430"/>
      <w:bookmarkStart w:id="732" w:name="_Toc140596941"/>
      <w:bookmarkStart w:id="733" w:name="_Toc533708135"/>
      <w:bookmarkStart w:id="734" w:name="_Toc142508381"/>
    </w:p>
    <w:p w14:paraId="326151BA">
      <w:pPr>
        <w:pStyle w:val="20"/>
        <w:kinsoku/>
        <w:overflowPunct/>
        <w:bidi w:val="0"/>
        <w:spacing w:line="360" w:lineRule="auto"/>
        <w:jc w:val="center"/>
        <w:outlineLvl w:val="9"/>
        <w:rPr>
          <w:rFonts w:ascii="宋体" w:hAnsi="宋体" w:cs="宋体"/>
          <w:b/>
          <w:color w:val="auto"/>
          <w:kern w:val="0"/>
          <w:szCs w:val="21"/>
          <w:highlight w:val="none"/>
        </w:rPr>
      </w:pPr>
    </w:p>
    <w:p w14:paraId="189B076C">
      <w:pPr>
        <w:pStyle w:val="20"/>
        <w:kinsoku/>
        <w:overflowPunct/>
        <w:bidi w:val="0"/>
        <w:spacing w:line="360" w:lineRule="auto"/>
        <w:jc w:val="center"/>
        <w:outlineLvl w:val="9"/>
        <w:rPr>
          <w:rFonts w:ascii="宋体" w:hAnsi="宋体" w:cs="宋体"/>
          <w:b/>
          <w:color w:val="auto"/>
          <w:kern w:val="0"/>
          <w:szCs w:val="21"/>
          <w:highlight w:val="none"/>
        </w:rPr>
      </w:pPr>
    </w:p>
    <w:p w14:paraId="6DD5AA2C">
      <w:pPr>
        <w:pStyle w:val="20"/>
        <w:kinsoku/>
        <w:overflowPunct/>
        <w:bidi w:val="0"/>
        <w:spacing w:line="360" w:lineRule="auto"/>
        <w:jc w:val="center"/>
        <w:outlineLvl w:val="9"/>
        <w:rPr>
          <w:rFonts w:ascii="宋体" w:hAnsi="宋体" w:cs="宋体"/>
          <w:b/>
          <w:color w:val="auto"/>
          <w:kern w:val="0"/>
          <w:szCs w:val="21"/>
          <w:highlight w:val="none"/>
        </w:rPr>
      </w:pPr>
    </w:p>
    <w:p w14:paraId="1C1F7077">
      <w:pPr>
        <w:pStyle w:val="20"/>
        <w:kinsoku/>
        <w:overflowPunct/>
        <w:bidi w:val="0"/>
        <w:spacing w:line="360" w:lineRule="auto"/>
        <w:jc w:val="center"/>
        <w:outlineLvl w:val="9"/>
        <w:rPr>
          <w:rFonts w:ascii="宋体" w:hAnsi="宋体" w:cs="宋体"/>
          <w:b/>
          <w:color w:val="auto"/>
          <w:kern w:val="0"/>
          <w:szCs w:val="21"/>
          <w:highlight w:val="none"/>
        </w:rPr>
      </w:pPr>
    </w:p>
    <w:p w14:paraId="7AE485F7">
      <w:pPr>
        <w:pStyle w:val="20"/>
        <w:kinsoku/>
        <w:overflowPunct/>
        <w:bidi w:val="0"/>
        <w:spacing w:line="360" w:lineRule="auto"/>
        <w:jc w:val="center"/>
        <w:outlineLvl w:val="9"/>
        <w:rPr>
          <w:rFonts w:ascii="宋体" w:hAnsi="宋体" w:cs="宋体"/>
          <w:b/>
          <w:color w:val="auto"/>
          <w:kern w:val="0"/>
          <w:szCs w:val="21"/>
          <w:highlight w:val="none"/>
        </w:rPr>
      </w:pPr>
    </w:p>
    <w:p w14:paraId="015AF68B">
      <w:pPr>
        <w:pStyle w:val="20"/>
        <w:kinsoku/>
        <w:overflowPunct/>
        <w:bidi w:val="0"/>
        <w:spacing w:line="360" w:lineRule="auto"/>
        <w:jc w:val="center"/>
        <w:outlineLvl w:val="9"/>
        <w:rPr>
          <w:rFonts w:ascii="宋体" w:hAnsi="宋体" w:cs="宋体"/>
          <w:b/>
          <w:color w:val="auto"/>
          <w:kern w:val="0"/>
          <w:szCs w:val="21"/>
          <w:highlight w:val="none"/>
        </w:rPr>
      </w:pPr>
    </w:p>
    <w:p w14:paraId="3A1F9924">
      <w:pPr>
        <w:pStyle w:val="20"/>
        <w:kinsoku/>
        <w:overflowPunct/>
        <w:bidi w:val="0"/>
        <w:spacing w:line="360" w:lineRule="auto"/>
        <w:jc w:val="center"/>
        <w:outlineLvl w:val="9"/>
        <w:rPr>
          <w:rFonts w:ascii="宋体" w:hAnsi="宋体" w:cs="宋体"/>
          <w:b/>
          <w:color w:val="auto"/>
          <w:kern w:val="0"/>
          <w:szCs w:val="21"/>
          <w:highlight w:val="none"/>
        </w:rPr>
      </w:pPr>
    </w:p>
    <w:p w14:paraId="161A3E87">
      <w:pPr>
        <w:pStyle w:val="20"/>
        <w:kinsoku/>
        <w:overflowPunct/>
        <w:bidi w:val="0"/>
        <w:spacing w:line="360" w:lineRule="auto"/>
        <w:jc w:val="center"/>
        <w:outlineLvl w:val="9"/>
        <w:rPr>
          <w:rFonts w:ascii="宋体" w:hAnsi="宋体" w:cs="宋体"/>
          <w:b/>
          <w:color w:val="auto"/>
          <w:kern w:val="0"/>
          <w:szCs w:val="21"/>
          <w:highlight w:val="none"/>
        </w:rPr>
      </w:pPr>
    </w:p>
    <w:p w14:paraId="1C6F931D">
      <w:pPr>
        <w:pStyle w:val="20"/>
        <w:kinsoku/>
        <w:overflowPunct/>
        <w:bidi w:val="0"/>
        <w:spacing w:line="360" w:lineRule="auto"/>
        <w:jc w:val="center"/>
        <w:outlineLvl w:val="9"/>
        <w:rPr>
          <w:rFonts w:ascii="宋体" w:hAnsi="宋体" w:cs="宋体"/>
          <w:color w:val="auto"/>
          <w:sz w:val="84"/>
          <w:highlight w:val="none"/>
        </w:rPr>
      </w:pPr>
      <w:r>
        <w:rPr>
          <w:rFonts w:hint="eastAsia" w:ascii="宋体" w:hAnsi="宋体" w:cs="宋体"/>
          <w:color w:val="auto"/>
          <w:sz w:val="84"/>
          <w:highlight w:val="none"/>
        </w:rPr>
        <w:t>投 标 文 件</w:t>
      </w:r>
    </w:p>
    <w:p w14:paraId="4B99D658">
      <w:pPr>
        <w:pStyle w:val="20"/>
        <w:kinsoku/>
        <w:overflowPunct/>
        <w:bidi w:val="0"/>
        <w:spacing w:line="360" w:lineRule="auto"/>
        <w:outlineLvl w:val="9"/>
        <w:rPr>
          <w:rFonts w:ascii="宋体" w:hAnsi="宋体" w:cs="宋体"/>
          <w:color w:val="auto"/>
          <w:highlight w:val="none"/>
        </w:rPr>
      </w:pPr>
    </w:p>
    <w:p w14:paraId="3EE409C1">
      <w:pPr>
        <w:pStyle w:val="20"/>
        <w:kinsoku/>
        <w:overflowPunct/>
        <w:bidi w:val="0"/>
        <w:spacing w:line="360" w:lineRule="auto"/>
        <w:outlineLvl w:val="9"/>
        <w:rPr>
          <w:rFonts w:ascii="宋体" w:hAnsi="宋体" w:cs="宋体"/>
          <w:color w:val="auto"/>
          <w:highlight w:val="none"/>
        </w:rPr>
      </w:pPr>
    </w:p>
    <w:p w14:paraId="312CEA6B">
      <w:pPr>
        <w:pStyle w:val="20"/>
        <w:kinsoku/>
        <w:overflowPunct/>
        <w:bidi w:val="0"/>
        <w:spacing w:line="360" w:lineRule="auto"/>
        <w:outlineLvl w:val="9"/>
        <w:rPr>
          <w:rFonts w:ascii="宋体" w:hAnsi="宋体" w:cs="宋体"/>
          <w:color w:val="auto"/>
          <w:highlight w:val="none"/>
        </w:rPr>
      </w:pPr>
    </w:p>
    <w:p w14:paraId="42F73B9D">
      <w:pPr>
        <w:pStyle w:val="20"/>
        <w:kinsoku/>
        <w:overflowPunct/>
        <w:bidi w:val="0"/>
        <w:spacing w:line="360" w:lineRule="auto"/>
        <w:outlineLvl w:val="9"/>
        <w:rPr>
          <w:rFonts w:ascii="宋体" w:hAnsi="宋体" w:cs="宋体"/>
          <w:color w:val="auto"/>
          <w:highlight w:val="none"/>
        </w:rPr>
      </w:pPr>
    </w:p>
    <w:p w14:paraId="0CD98842">
      <w:pPr>
        <w:pStyle w:val="20"/>
        <w:kinsoku/>
        <w:overflowPunct/>
        <w:bidi w:val="0"/>
        <w:spacing w:line="360" w:lineRule="auto"/>
        <w:outlineLvl w:val="9"/>
        <w:rPr>
          <w:rFonts w:ascii="宋体" w:hAnsi="宋体" w:cs="宋体"/>
          <w:color w:val="auto"/>
          <w:highlight w:val="none"/>
        </w:rPr>
      </w:pPr>
    </w:p>
    <w:p w14:paraId="25ED9F7D">
      <w:pPr>
        <w:pStyle w:val="20"/>
        <w:kinsoku/>
        <w:overflowPunct/>
        <w:bidi w:val="0"/>
        <w:spacing w:line="360" w:lineRule="auto"/>
        <w:outlineLvl w:val="9"/>
        <w:rPr>
          <w:rFonts w:ascii="宋体" w:hAnsi="宋体" w:cs="宋体"/>
          <w:color w:val="auto"/>
          <w:highlight w:val="none"/>
        </w:rPr>
      </w:pPr>
    </w:p>
    <w:p w14:paraId="6CE993B6">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4E74C2EC">
      <w:pPr>
        <w:pStyle w:val="20"/>
        <w:kinsoku/>
        <w:overflowPunct/>
        <w:bidi w:val="0"/>
        <w:spacing w:line="360" w:lineRule="auto"/>
        <w:ind w:firstLine="1875" w:firstLineChars="625"/>
        <w:outlineLvl w:val="9"/>
        <w:rPr>
          <w:rFonts w:hint="default" w:ascii="宋体" w:hAnsi="宋体" w:eastAsia="宋体" w:cs="宋体"/>
          <w:color w:val="auto"/>
          <w:sz w:val="30"/>
          <w:highlight w:val="none"/>
          <w:u w:val="single"/>
          <w:lang w:val="en-US" w:eastAsia="zh-CN"/>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val="en-US" w:eastAsia="zh-CN"/>
        </w:rPr>
        <w:t xml:space="preserve">         </w:t>
      </w:r>
    </w:p>
    <w:p w14:paraId="1AD4D042">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06E0646E">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55B11DF2">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6952D3B6">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50AB0FAB">
      <w:pPr>
        <w:pStyle w:val="20"/>
        <w:kinsoku/>
        <w:overflowPunct/>
        <w:bidi w:val="0"/>
        <w:spacing w:line="360" w:lineRule="auto"/>
        <w:outlineLvl w:val="9"/>
        <w:rPr>
          <w:rFonts w:ascii="宋体" w:hAnsi="宋体" w:cs="宋体"/>
          <w:color w:val="auto"/>
          <w:highlight w:val="none"/>
        </w:rPr>
      </w:pPr>
    </w:p>
    <w:p w14:paraId="137AE7BB">
      <w:pPr>
        <w:pStyle w:val="20"/>
        <w:kinsoku/>
        <w:overflowPunct/>
        <w:bidi w:val="0"/>
        <w:spacing w:line="360" w:lineRule="auto"/>
        <w:outlineLvl w:val="9"/>
        <w:rPr>
          <w:rFonts w:ascii="宋体" w:hAnsi="宋体" w:cs="宋体"/>
          <w:color w:val="auto"/>
          <w:highlight w:val="none"/>
        </w:rPr>
      </w:pPr>
      <w:r>
        <w:rPr>
          <w:rFonts w:hint="eastAsia" w:ascii="宋体" w:hAnsi="宋体" w:cs="宋体"/>
          <w:color w:val="auto"/>
          <w:highlight w:val="none"/>
        </w:rPr>
        <w:br w:type="page"/>
      </w:r>
    </w:p>
    <w:p w14:paraId="4A4C989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2"/>
        <w:rPr>
          <w:rFonts w:ascii="宋体" w:hAnsi="宋体" w:eastAsia="宋体" w:cs="宋体"/>
          <w:b/>
          <w:color w:val="auto"/>
          <w:kern w:val="0"/>
          <w:sz w:val="24"/>
          <w:szCs w:val="24"/>
          <w:highlight w:val="none"/>
        </w:rPr>
      </w:pPr>
      <w:bookmarkStart w:id="735" w:name="_Toc14054"/>
      <w:bookmarkStart w:id="736" w:name="_Toc31225"/>
      <w:bookmarkStart w:id="737" w:name="_Toc11390"/>
      <w:bookmarkStart w:id="738" w:name="_Toc6833"/>
      <w:bookmarkStart w:id="739" w:name="_Toc23902"/>
      <w:bookmarkStart w:id="740" w:name="_Toc195714400"/>
      <w:bookmarkStart w:id="741" w:name="_Toc8004"/>
      <w:r>
        <w:rPr>
          <w:rFonts w:hint="eastAsia" w:ascii="宋体" w:hAnsi="宋体" w:eastAsia="宋体" w:cs="宋体"/>
          <w:b/>
          <w:color w:val="auto"/>
          <w:kern w:val="0"/>
          <w:sz w:val="24"/>
          <w:szCs w:val="24"/>
          <w:highlight w:val="none"/>
        </w:rPr>
        <w:t>目录</w:t>
      </w:r>
      <w:bookmarkEnd w:id="735"/>
      <w:bookmarkEnd w:id="736"/>
      <w:bookmarkEnd w:id="737"/>
      <w:bookmarkEnd w:id="738"/>
      <w:bookmarkEnd w:id="739"/>
      <w:bookmarkEnd w:id="740"/>
      <w:bookmarkEnd w:id="741"/>
    </w:p>
    <w:p w14:paraId="11A94F75">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一、用户需求的响应程度（用户需求偏离表）；</w:t>
      </w:r>
    </w:p>
    <w:p w14:paraId="0C86D4A8">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二、投入本项目服务人员情况；</w:t>
      </w:r>
    </w:p>
    <w:p w14:paraId="59BA0889">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三、对用户需求的理解、重难点及应对措施；</w:t>
      </w:r>
    </w:p>
    <w:p w14:paraId="09B24865">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四、服务方案；</w:t>
      </w:r>
    </w:p>
    <w:p w14:paraId="74D8E2ED">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五、应急预案及处理能力；</w:t>
      </w:r>
    </w:p>
    <w:p w14:paraId="376B7D8F">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lang w:val="en-US" w:eastAsia="zh-CN"/>
        </w:rPr>
        <w:t>六、</w:t>
      </w:r>
      <w:r>
        <w:rPr>
          <w:rFonts w:hint="eastAsia" w:ascii="宋体" w:hAnsi="宋体" w:eastAsia="宋体" w:cs="宋体"/>
          <w:b/>
          <w:bCs/>
          <w:color w:val="auto"/>
          <w:kern w:val="2"/>
          <w:szCs w:val="21"/>
          <w:highlight w:val="none"/>
        </w:rPr>
        <w:t>投标人认为有必要提供的其它材料（不做强制要求）。</w:t>
      </w:r>
    </w:p>
    <w:p w14:paraId="50921CDE">
      <w:pPr>
        <w:pBdr>
          <w:bottom w:val="single" w:color="auto" w:sz="6" w:space="0"/>
        </w:pBdr>
        <w:kinsoku/>
        <w:overflowPunct/>
        <w:bidi w:val="0"/>
        <w:spacing w:line="500" w:lineRule="exact"/>
        <w:ind w:firstLine="675" w:firstLineChars="224"/>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A809E5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0"/>
          <w:szCs w:val="30"/>
          <w:highlight w:val="none"/>
        </w:rPr>
      </w:pPr>
      <w:bookmarkStart w:id="742" w:name="_Toc195714401"/>
      <w:bookmarkStart w:id="743" w:name="_Toc20085"/>
      <w:bookmarkStart w:id="744" w:name="_Toc18999"/>
      <w:bookmarkStart w:id="745" w:name="_Toc28977"/>
      <w:bookmarkStart w:id="746" w:name="_Toc24129"/>
      <w:bookmarkStart w:id="747" w:name="_Toc24879"/>
      <w:bookmarkStart w:id="748" w:name="_Toc13608"/>
      <w:bookmarkStart w:id="749" w:name="_Toc30448"/>
      <w:bookmarkStart w:id="750" w:name="_Toc23268"/>
      <w:bookmarkStart w:id="751" w:name="_Toc27934"/>
      <w:r>
        <w:rPr>
          <w:rFonts w:hint="eastAsia" w:ascii="宋体" w:hAnsi="宋体" w:eastAsia="宋体" w:cs="宋体"/>
          <w:b/>
          <w:color w:val="auto"/>
          <w:kern w:val="0"/>
          <w:sz w:val="30"/>
          <w:szCs w:val="30"/>
          <w:highlight w:val="none"/>
        </w:rPr>
        <w:t>一、用户需求偏离表</w:t>
      </w:r>
      <w:bookmarkEnd w:id="727"/>
      <w:bookmarkEnd w:id="728"/>
      <w:bookmarkEnd w:id="729"/>
      <w:bookmarkEnd w:id="730"/>
      <w:bookmarkEnd w:id="731"/>
      <w:bookmarkEnd w:id="732"/>
      <w:bookmarkEnd w:id="733"/>
      <w:bookmarkEnd w:id="734"/>
      <w:bookmarkEnd w:id="742"/>
      <w:bookmarkEnd w:id="743"/>
      <w:bookmarkEnd w:id="744"/>
      <w:bookmarkEnd w:id="745"/>
      <w:bookmarkEnd w:id="746"/>
      <w:bookmarkEnd w:id="747"/>
      <w:bookmarkEnd w:id="748"/>
      <w:bookmarkEnd w:id="749"/>
      <w:bookmarkEnd w:id="750"/>
      <w:bookmarkEnd w:id="751"/>
    </w:p>
    <w:p w14:paraId="2E3E505E">
      <w:pPr>
        <w:kinsoku/>
        <w:overflowPunct/>
        <w:bidi w:val="0"/>
        <w:spacing w:before="120" w:after="120" w:line="360" w:lineRule="auto"/>
        <w:jc w:val="center"/>
        <w:outlineLvl w:val="9"/>
        <w:rPr>
          <w:rFonts w:ascii="宋体" w:hAnsi="宋体" w:eastAsia="宋体" w:cs="Times New Roman"/>
          <w:color w:val="auto"/>
          <w:kern w:val="0"/>
          <w:szCs w:val="21"/>
          <w:highlight w:val="none"/>
        </w:rPr>
      </w:pPr>
      <w:bookmarkStart w:id="752" w:name="_Toc17449_WPSOffice_Level3"/>
      <w:r>
        <w:rPr>
          <w:rFonts w:hint="eastAsia" w:ascii="宋体" w:hAnsi="宋体" w:eastAsia="宋体" w:cs="宋体"/>
          <w:b/>
          <w:color w:val="auto"/>
          <w:kern w:val="0"/>
          <w:sz w:val="30"/>
          <w:szCs w:val="30"/>
          <w:highlight w:val="none"/>
          <w:lang w:val="zh-CN"/>
        </w:rPr>
        <w:t>用户需求偏离表</w:t>
      </w:r>
      <w:bookmarkEnd w:id="752"/>
      <w:r>
        <w:rPr>
          <w:rFonts w:hint="eastAsia" w:ascii="宋体" w:hAnsi="宋体" w:eastAsia="宋体" w:cs="宋体"/>
          <w:b/>
          <w:color w:val="auto"/>
          <w:kern w:val="0"/>
          <w:sz w:val="30"/>
          <w:szCs w:val="30"/>
          <w:highlight w:val="none"/>
          <w:lang w:val="zh-CN"/>
        </w:rPr>
        <w:t>（</w:t>
      </w:r>
      <w:r>
        <w:rPr>
          <w:rFonts w:hint="eastAsia" w:ascii="宋体" w:hAnsi="宋体" w:eastAsia="宋体" w:cs="宋体"/>
          <w:b/>
          <w:color w:val="auto"/>
          <w:kern w:val="0"/>
          <w:sz w:val="30"/>
          <w:szCs w:val="30"/>
          <w:highlight w:val="none"/>
          <w:lang w:val="en-US" w:eastAsia="zh-CN"/>
        </w:rPr>
        <w:t>标段一</w:t>
      </w:r>
      <w:r>
        <w:rPr>
          <w:rFonts w:hint="eastAsia" w:ascii="宋体" w:hAnsi="宋体" w:eastAsia="宋体" w:cs="宋体"/>
          <w:b/>
          <w:color w:val="auto"/>
          <w:kern w:val="0"/>
          <w:sz w:val="30"/>
          <w:szCs w:val="30"/>
          <w:highlight w:val="none"/>
          <w:lang w:val="zh-CN"/>
        </w:rPr>
        <w:t>）</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031"/>
        <w:gridCol w:w="4546"/>
        <w:gridCol w:w="1404"/>
        <w:gridCol w:w="1989"/>
        <w:gridCol w:w="840"/>
      </w:tblGrid>
      <w:tr w14:paraId="61F8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Merge w:val="restart"/>
            <w:vAlign w:val="center"/>
          </w:tcPr>
          <w:p w14:paraId="55E7D03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2689" w:type="pct"/>
            <w:gridSpan w:val="2"/>
            <w:vAlign w:val="center"/>
          </w:tcPr>
          <w:p w14:paraId="4711A97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招标文件要求</w:t>
            </w:r>
          </w:p>
        </w:tc>
        <w:tc>
          <w:tcPr>
            <w:tcW w:w="2040" w:type="pct"/>
            <w:gridSpan w:val="3"/>
            <w:vAlign w:val="center"/>
          </w:tcPr>
          <w:p w14:paraId="5B53C52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投标文件内容</w:t>
            </w:r>
          </w:p>
        </w:tc>
      </w:tr>
      <w:tr w14:paraId="1863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Merge w:val="continue"/>
            <w:vAlign w:val="center"/>
          </w:tcPr>
          <w:p w14:paraId="2512D6B6">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20"/>
                <w:szCs w:val="20"/>
                <w:highlight w:val="none"/>
              </w:rPr>
            </w:pPr>
          </w:p>
        </w:tc>
        <w:tc>
          <w:tcPr>
            <w:tcW w:w="497" w:type="pct"/>
            <w:vAlign w:val="center"/>
          </w:tcPr>
          <w:p w14:paraId="495DFB0B">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条款号</w:t>
            </w:r>
          </w:p>
        </w:tc>
        <w:tc>
          <w:tcPr>
            <w:tcW w:w="2191" w:type="pct"/>
            <w:vAlign w:val="center"/>
          </w:tcPr>
          <w:p w14:paraId="47035368">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简要内容</w:t>
            </w:r>
          </w:p>
        </w:tc>
        <w:tc>
          <w:tcPr>
            <w:tcW w:w="677" w:type="pct"/>
            <w:vAlign w:val="center"/>
          </w:tcPr>
          <w:p w14:paraId="7393EDE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偏离情况</w:t>
            </w:r>
          </w:p>
        </w:tc>
        <w:tc>
          <w:tcPr>
            <w:tcW w:w="959" w:type="pct"/>
            <w:vAlign w:val="center"/>
          </w:tcPr>
          <w:p w14:paraId="2EE508D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实质性响应的具体内容</w:t>
            </w:r>
          </w:p>
        </w:tc>
        <w:tc>
          <w:tcPr>
            <w:tcW w:w="404" w:type="pct"/>
            <w:vAlign w:val="center"/>
          </w:tcPr>
          <w:p w14:paraId="67D20108">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对应证明材料页码</w:t>
            </w:r>
          </w:p>
        </w:tc>
      </w:tr>
      <w:tr w14:paraId="6B7A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70" w:type="pct"/>
            <w:vAlign w:val="center"/>
          </w:tcPr>
          <w:p w14:paraId="6E20FD7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w:t>
            </w:r>
          </w:p>
        </w:tc>
        <w:tc>
          <w:tcPr>
            <w:tcW w:w="497" w:type="pct"/>
            <w:vAlign w:val="center"/>
          </w:tcPr>
          <w:p w14:paraId="1883B1C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p>
        </w:tc>
        <w:tc>
          <w:tcPr>
            <w:tcW w:w="2191" w:type="pct"/>
            <w:vAlign w:val="center"/>
          </w:tcPr>
          <w:p w14:paraId="14F3F37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招标内容</w:t>
            </w:r>
          </w:p>
        </w:tc>
        <w:tc>
          <w:tcPr>
            <w:tcW w:w="677" w:type="pct"/>
            <w:vAlign w:val="center"/>
          </w:tcPr>
          <w:p w14:paraId="2F60330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9" w:type="pct"/>
            <w:vAlign w:val="center"/>
          </w:tcPr>
          <w:p w14:paraId="586D3EF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512AA40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C7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3F48C1B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97" w:type="pct"/>
            <w:vAlign w:val="center"/>
          </w:tcPr>
          <w:p w14:paraId="6DBD02A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二</w:t>
            </w:r>
          </w:p>
        </w:tc>
        <w:tc>
          <w:tcPr>
            <w:tcW w:w="2191" w:type="pct"/>
            <w:vAlign w:val="center"/>
          </w:tcPr>
          <w:p w14:paraId="6FFE8DB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协议服务期限及服务内容</w:t>
            </w:r>
          </w:p>
        </w:tc>
        <w:tc>
          <w:tcPr>
            <w:tcW w:w="677" w:type="pct"/>
            <w:vAlign w:val="center"/>
          </w:tcPr>
          <w:p w14:paraId="65F5179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9" w:type="pct"/>
            <w:vAlign w:val="center"/>
          </w:tcPr>
          <w:p w14:paraId="4F025E7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4A0D0A6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41A6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6905879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97" w:type="pct"/>
            <w:vAlign w:val="center"/>
          </w:tcPr>
          <w:p w14:paraId="243E17A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zh-CN"/>
              </w:rPr>
              <w:t>三</w:t>
            </w:r>
          </w:p>
        </w:tc>
        <w:tc>
          <w:tcPr>
            <w:tcW w:w="2191" w:type="pct"/>
            <w:vAlign w:val="center"/>
          </w:tcPr>
          <w:p w14:paraId="69475D9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Cs w:val="21"/>
                <w:highlight w:val="none"/>
              </w:rPr>
              <w:t>投标报价及招标代理服务费支付方式</w:t>
            </w:r>
          </w:p>
        </w:tc>
        <w:tc>
          <w:tcPr>
            <w:tcW w:w="677" w:type="pct"/>
            <w:vAlign w:val="center"/>
          </w:tcPr>
          <w:p w14:paraId="13A9078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9" w:type="pct"/>
            <w:vAlign w:val="center"/>
          </w:tcPr>
          <w:p w14:paraId="451CD53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55BCD3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0A84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70" w:type="pct"/>
            <w:vAlign w:val="center"/>
          </w:tcPr>
          <w:p w14:paraId="3E0D030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97" w:type="pct"/>
            <w:vAlign w:val="center"/>
          </w:tcPr>
          <w:p w14:paraId="5CA78F2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四</w:t>
            </w:r>
          </w:p>
        </w:tc>
        <w:tc>
          <w:tcPr>
            <w:tcW w:w="2191" w:type="pct"/>
            <w:vAlign w:val="center"/>
          </w:tcPr>
          <w:p w14:paraId="4827C03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服务管理</w:t>
            </w:r>
          </w:p>
        </w:tc>
        <w:tc>
          <w:tcPr>
            <w:tcW w:w="677" w:type="pct"/>
            <w:vAlign w:val="center"/>
          </w:tcPr>
          <w:p w14:paraId="518D100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9" w:type="pct"/>
            <w:vAlign w:val="center"/>
          </w:tcPr>
          <w:p w14:paraId="3086A96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73EE6A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996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73CEAF3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97" w:type="pct"/>
            <w:vAlign w:val="center"/>
          </w:tcPr>
          <w:p w14:paraId="4778EF3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p>
        </w:tc>
        <w:tc>
          <w:tcPr>
            <w:tcW w:w="2191" w:type="pct"/>
            <w:vAlign w:val="center"/>
          </w:tcPr>
          <w:p w14:paraId="14B7086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Cs w:val="21"/>
                <w:highlight w:val="none"/>
              </w:rPr>
              <w:t>代理机构（中标人）服务要求</w:t>
            </w:r>
          </w:p>
        </w:tc>
        <w:tc>
          <w:tcPr>
            <w:tcW w:w="677" w:type="pct"/>
            <w:vAlign w:val="center"/>
          </w:tcPr>
          <w:p w14:paraId="28E4737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9" w:type="pct"/>
            <w:vAlign w:val="center"/>
          </w:tcPr>
          <w:p w14:paraId="2B0B3A0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808F5E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4C9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1D458C3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97" w:type="pct"/>
            <w:vAlign w:val="center"/>
          </w:tcPr>
          <w:p w14:paraId="1F390C1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w:t>
            </w:r>
          </w:p>
        </w:tc>
        <w:tc>
          <w:tcPr>
            <w:tcW w:w="2191" w:type="pct"/>
            <w:vAlign w:val="center"/>
          </w:tcPr>
          <w:p w14:paraId="2BA2DAE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val="0"/>
                <w:color w:val="auto"/>
                <w:szCs w:val="21"/>
                <w:highlight w:val="none"/>
              </w:rPr>
              <w:t>项目分配方式及代理考核方式</w:t>
            </w:r>
          </w:p>
        </w:tc>
        <w:tc>
          <w:tcPr>
            <w:tcW w:w="677" w:type="pct"/>
            <w:vAlign w:val="center"/>
          </w:tcPr>
          <w:p w14:paraId="5A65742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9" w:type="pct"/>
            <w:vAlign w:val="center"/>
          </w:tcPr>
          <w:p w14:paraId="403507E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30D2A98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8EE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33E9F12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bookmarkStart w:id="753" w:name="_Toc7969"/>
            <w:bookmarkStart w:id="754" w:name="_Toc23757"/>
            <w:bookmarkStart w:id="755" w:name="_Toc3668"/>
            <w:bookmarkStart w:id="756" w:name="_Toc11673"/>
            <w:r>
              <w:rPr>
                <w:rFonts w:hint="eastAsia" w:ascii="宋体" w:hAnsi="宋体" w:eastAsia="宋体" w:cs="宋体"/>
                <w:color w:val="auto"/>
                <w:kern w:val="0"/>
                <w:sz w:val="21"/>
                <w:szCs w:val="21"/>
                <w:highlight w:val="none"/>
                <w:lang w:val="en-US" w:eastAsia="zh-CN"/>
              </w:rPr>
              <w:t>7</w:t>
            </w:r>
          </w:p>
        </w:tc>
        <w:tc>
          <w:tcPr>
            <w:tcW w:w="497" w:type="pct"/>
            <w:vAlign w:val="center"/>
          </w:tcPr>
          <w:p w14:paraId="356A9E9B">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附件</w:t>
            </w:r>
          </w:p>
        </w:tc>
        <w:tc>
          <w:tcPr>
            <w:tcW w:w="2191" w:type="pct"/>
            <w:vAlign w:val="center"/>
          </w:tcPr>
          <w:p w14:paraId="31F010E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采购代理机构考核表</w:t>
            </w:r>
          </w:p>
        </w:tc>
        <w:tc>
          <w:tcPr>
            <w:tcW w:w="677" w:type="pct"/>
            <w:vAlign w:val="center"/>
          </w:tcPr>
          <w:p w14:paraId="7BDDD94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9" w:type="pct"/>
            <w:vAlign w:val="center"/>
          </w:tcPr>
          <w:p w14:paraId="2E3BC21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E1959B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C9A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43A9A62">
            <w:pPr>
              <w:keepNext/>
              <w:keepLines/>
              <w:suppressLineNumbers w:val="0"/>
              <w:spacing w:before="0" w:beforeAutospacing="0" w:after="0" w:afterAutospacing="0" w:line="400" w:lineRule="exact"/>
              <w:ind w:left="0" w:right="0"/>
              <w:jc w:val="both"/>
              <w:outlineLvl w:val="2"/>
              <w:rPr>
                <w:rFonts w:hint="default" w:ascii="宋体" w:hAnsi="宋体" w:eastAsia="宋体" w:cs="宋体"/>
                <w:color w:val="auto"/>
                <w:kern w:val="0"/>
                <w:sz w:val="18"/>
                <w:szCs w:val="18"/>
                <w:highlight w:val="none"/>
              </w:rPr>
            </w:pPr>
            <w:bookmarkStart w:id="757" w:name="_Toc19756"/>
            <w:bookmarkStart w:id="758" w:name="_Toc15423"/>
            <w:bookmarkStart w:id="759" w:name="_Toc31442"/>
            <w:bookmarkStart w:id="760" w:name="_Toc23418"/>
            <w:bookmarkStart w:id="761" w:name="_Toc19104"/>
            <w:bookmarkStart w:id="762" w:name="_Toc24022"/>
            <w:bookmarkStart w:id="763" w:name="_Toc5959"/>
            <w:bookmarkStart w:id="764" w:name="_Toc18566"/>
            <w:bookmarkStart w:id="765" w:name="_Toc19315"/>
            <w:bookmarkStart w:id="766" w:name="_Toc26884"/>
            <w:bookmarkStart w:id="767" w:name="_Toc20071"/>
            <w:r>
              <w:rPr>
                <w:rFonts w:hint="eastAsia" w:ascii="宋体" w:hAnsi="宋体" w:eastAsia="宋体" w:cs="宋体"/>
                <w:color w:val="000000"/>
                <w:kern w:val="0"/>
                <w:sz w:val="21"/>
                <w:szCs w:val="21"/>
                <w:highlight w:val="none"/>
              </w:rPr>
              <w:t>用户需求书“★”条款汇总：</w:t>
            </w:r>
            <w:bookmarkEnd w:id="757"/>
            <w:bookmarkEnd w:id="758"/>
            <w:bookmarkEnd w:id="759"/>
            <w:bookmarkEnd w:id="760"/>
            <w:bookmarkEnd w:id="761"/>
            <w:bookmarkEnd w:id="762"/>
            <w:bookmarkEnd w:id="763"/>
            <w:bookmarkEnd w:id="764"/>
            <w:bookmarkEnd w:id="765"/>
            <w:bookmarkEnd w:id="766"/>
            <w:bookmarkEnd w:id="767"/>
          </w:p>
        </w:tc>
      </w:tr>
      <w:tr w14:paraId="332C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5E9A999C">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97" w:type="pct"/>
            <w:vAlign w:val="center"/>
          </w:tcPr>
          <w:p w14:paraId="56E093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eastAsia="zh-CN"/>
              </w:rPr>
              <w:t>五</w:t>
            </w:r>
            <w:r>
              <w:rPr>
                <w:rFonts w:hint="eastAsia" w:ascii="宋体" w:hAnsi="宋体" w:eastAsia="宋体" w:cs="宋体"/>
                <w:color w:val="auto"/>
                <w:kern w:val="0"/>
                <w:sz w:val="21"/>
                <w:szCs w:val="21"/>
                <w:highlight w:val="none"/>
                <w:lang w:val="zh-CN"/>
              </w:rPr>
              <w:t>、</w:t>
            </w:r>
            <w:r>
              <w:rPr>
                <w:rFonts w:hint="eastAsia" w:ascii="宋体" w:hAnsi="宋体" w:eastAsia="宋体" w:cs="宋体"/>
                <w:b w:val="0"/>
                <w:bCs w:val="0"/>
                <w:color w:val="auto"/>
                <w:sz w:val="21"/>
                <w:szCs w:val="21"/>
                <w:highlight w:val="none"/>
              </w:rPr>
              <w:t>代理机构（中标人）服务要求</w:t>
            </w:r>
          </w:p>
        </w:tc>
        <w:tc>
          <w:tcPr>
            <w:tcW w:w="2191" w:type="pct"/>
            <w:vAlign w:val="center"/>
          </w:tcPr>
          <w:p w14:paraId="5EBD1F5D">
            <w:pPr>
              <w:keepNext w:val="0"/>
              <w:keepLines w:val="0"/>
              <w:suppressLineNumbers w:val="0"/>
              <w:spacing w:before="0" w:beforeAutospacing="0" w:after="0" w:afterAutospacing="0" w:line="400" w:lineRule="exact"/>
              <w:ind w:left="0" w:leftChars="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6.18★</w:t>
            </w:r>
            <w:r>
              <w:rPr>
                <w:rFonts w:hint="eastAsia" w:ascii="宋体" w:hAnsi="宋体" w:eastAsia="宋体" w:cs="宋体"/>
                <w:b w:val="0"/>
                <w:bCs w:val="0"/>
                <w:color w:val="auto"/>
                <w:sz w:val="21"/>
                <w:szCs w:val="21"/>
                <w:highlight w:val="none"/>
              </w:rPr>
              <w:t>投标人须承诺中标后在东莞有固定的营业场所和开展代理业务所需设施及办公条件，包括但不限于开、评标场所，现场录像、录音、投影设备等充足的办公设施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能满足《</w:t>
            </w:r>
            <w:r>
              <w:rPr>
                <w:rFonts w:hint="eastAsia" w:ascii="宋体" w:hAnsi="宋体" w:eastAsia="宋体" w:cs="宋体"/>
                <w:color w:val="auto"/>
                <w:szCs w:val="21"/>
                <w:highlight w:val="none"/>
              </w:rPr>
              <w:t>电子招标投标办法</w:t>
            </w:r>
            <w:r>
              <w:rPr>
                <w:rFonts w:hint="eastAsia" w:ascii="宋体" w:hAnsi="宋体" w:eastAsia="宋体" w:cs="宋体"/>
                <w:b w:val="0"/>
                <w:bCs w:val="0"/>
                <w:color w:val="auto"/>
                <w:sz w:val="21"/>
                <w:szCs w:val="21"/>
                <w:highlight w:val="none"/>
                <w:lang w:val="en-US" w:eastAsia="zh-CN"/>
              </w:rPr>
              <w:t>》对于</w:t>
            </w:r>
            <w:r>
              <w:rPr>
                <w:rFonts w:hint="eastAsia" w:ascii="宋体" w:hAnsi="宋体" w:eastAsia="宋体" w:cs="宋体"/>
                <w:color w:val="auto"/>
                <w:szCs w:val="21"/>
                <w:highlight w:val="none"/>
              </w:rPr>
              <w:t>电子招标投标活动</w:t>
            </w:r>
            <w:r>
              <w:rPr>
                <w:rFonts w:hint="eastAsia" w:ascii="宋体" w:hAnsi="宋体" w:eastAsia="宋体" w:cs="宋体"/>
                <w:color w:val="auto"/>
                <w:szCs w:val="21"/>
                <w:highlight w:val="none"/>
                <w:lang w:val="en-US" w:eastAsia="zh-CN"/>
              </w:rPr>
              <w:t>的设施要求</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有权在中标一个月内核查中标人办公室场所，若与承诺不一致的，</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有权暂停其承接项目的资格，并限期内整改，在限期内未按</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规定整改，</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有权取消其中标资格，并根据评标委员会推荐顺序确定其他中标人（须提供承诺函加盖</w:t>
            </w:r>
            <w:r>
              <w:rPr>
                <w:rFonts w:hint="eastAsia" w:ascii="宋体" w:hAnsi="宋体" w:eastAsia="宋体" w:cs="宋体"/>
                <w:color w:val="auto"/>
                <w:kern w:val="0"/>
                <w:sz w:val="21"/>
                <w:szCs w:val="21"/>
                <w:highlight w:val="none"/>
                <w:lang w:val="en-US" w:eastAsia="zh-CN"/>
              </w:rPr>
              <w:t>投标人公章）。</w:t>
            </w:r>
          </w:p>
        </w:tc>
        <w:tc>
          <w:tcPr>
            <w:tcW w:w="677" w:type="pct"/>
            <w:vAlign w:val="center"/>
          </w:tcPr>
          <w:p w14:paraId="392017E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9" w:type="pct"/>
            <w:vAlign w:val="center"/>
          </w:tcPr>
          <w:p w14:paraId="6500DC0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AEE0D8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0C8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44047299">
            <w:pPr>
              <w:keepNext w:val="0"/>
              <w:keepLines w:val="0"/>
              <w:suppressLineNumbers w:val="0"/>
              <w:spacing w:before="0" w:beforeAutospacing="0" w:after="0" w:afterAutospacing="0" w:line="400" w:lineRule="exact"/>
              <w:ind w:left="0" w:right="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497" w:type="pct"/>
            <w:vAlign w:val="center"/>
          </w:tcPr>
          <w:p w14:paraId="20F497E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eastAsia="zh-CN"/>
              </w:rPr>
              <w:t>五</w:t>
            </w:r>
            <w:r>
              <w:rPr>
                <w:rFonts w:hint="eastAsia" w:ascii="宋体" w:hAnsi="宋体" w:eastAsia="宋体" w:cs="宋体"/>
                <w:color w:val="auto"/>
                <w:kern w:val="0"/>
                <w:sz w:val="21"/>
                <w:szCs w:val="21"/>
                <w:highlight w:val="none"/>
                <w:lang w:val="zh-CN"/>
              </w:rPr>
              <w:t>、</w:t>
            </w:r>
            <w:r>
              <w:rPr>
                <w:rFonts w:hint="eastAsia" w:ascii="宋体" w:hAnsi="宋体" w:eastAsia="宋体" w:cs="宋体"/>
                <w:b w:val="0"/>
                <w:bCs w:val="0"/>
                <w:color w:val="auto"/>
                <w:sz w:val="21"/>
                <w:szCs w:val="21"/>
                <w:highlight w:val="none"/>
              </w:rPr>
              <w:t>代理机构（中标人）服务要求</w:t>
            </w:r>
          </w:p>
        </w:tc>
        <w:tc>
          <w:tcPr>
            <w:tcW w:w="2191" w:type="pct"/>
            <w:vAlign w:val="center"/>
          </w:tcPr>
          <w:p w14:paraId="20B1D725">
            <w:pPr>
              <w:pStyle w:val="138"/>
              <w:keepNext w:val="0"/>
              <w:keepLines w:val="0"/>
              <w:suppressLineNumbers w:val="0"/>
              <w:wordWrap w:val="0"/>
              <w:spacing w:before="0" w:beforeAutospacing="0" w:after="0" w:afterAutospacing="0" w:line="360" w:lineRule="auto"/>
              <w:ind w:left="0" w:leftChars="0" w:right="0" w:righ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6.19</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投标人</w:t>
            </w:r>
            <w:r>
              <w:rPr>
                <w:rFonts w:hint="eastAsia" w:ascii="宋体" w:hAnsi="宋体" w:eastAsia="宋体" w:cs="宋体"/>
                <w:b w:val="0"/>
                <w:bCs w:val="0"/>
                <w:color w:val="auto"/>
                <w:sz w:val="21"/>
                <w:szCs w:val="21"/>
                <w:highlight w:val="none"/>
                <w:lang w:val="en-US" w:eastAsia="zh-CN"/>
              </w:rPr>
              <w:t>参加采购代理库的投标，不得处于被限制使用东莞市公共资源交易系统办理招标代理业务的期间</w:t>
            </w:r>
            <w:r>
              <w:rPr>
                <w:rFonts w:hint="eastAsia" w:ascii="宋体" w:hAnsi="宋体" w:eastAsia="宋体" w:cs="宋体"/>
                <w:b w:val="0"/>
                <w:bCs w:val="0"/>
                <w:color w:val="auto"/>
                <w:sz w:val="21"/>
                <w:szCs w:val="21"/>
                <w:highlight w:val="none"/>
              </w:rPr>
              <w:t>（须提供承诺函加盖</w:t>
            </w:r>
            <w:r>
              <w:rPr>
                <w:rFonts w:hint="eastAsia" w:ascii="宋体" w:hAnsi="宋体" w:eastAsia="宋体" w:cs="宋体"/>
                <w:b w:val="0"/>
                <w:bCs w:val="0"/>
                <w:color w:val="auto"/>
                <w:sz w:val="21"/>
                <w:szCs w:val="21"/>
                <w:highlight w:val="none"/>
                <w:lang w:eastAsia="zh-CN"/>
              </w:rPr>
              <w:t>投标人公章</w:t>
            </w:r>
            <w:r>
              <w:rPr>
                <w:rFonts w:hint="eastAsia" w:ascii="宋体" w:hAnsi="宋体" w:eastAsia="宋体" w:cs="宋体"/>
                <w:b w:val="0"/>
                <w:bCs w:val="0"/>
                <w:color w:val="auto"/>
                <w:sz w:val="21"/>
                <w:szCs w:val="21"/>
                <w:highlight w:val="none"/>
              </w:rPr>
              <w:t>）</w:t>
            </w:r>
          </w:p>
        </w:tc>
        <w:tc>
          <w:tcPr>
            <w:tcW w:w="677" w:type="pct"/>
            <w:vAlign w:val="center"/>
          </w:tcPr>
          <w:p w14:paraId="6C3E38A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9" w:type="pct"/>
            <w:vAlign w:val="center"/>
          </w:tcPr>
          <w:p w14:paraId="50A34FE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1E2762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bookmarkEnd w:id="753"/>
      <w:bookmarkEnd w:id="754"/>
      <w:bookmarkEnd w:id="755"/>
      <w:bookmarkEnd w:id="756"/>
    </w:tbl>
    <w:p w14:paraId="315F3E64">
      <w:pPr>
        <w:kinsoku/>
        <w:overflowPunct/>
        <w:bidi w:val="0"/>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56192FE">
      <w:pPr>
        <w:spacing w:line="360" w:lineRule="auto"/>
        <w:ind w:left="605" w:leftChars="18" w:hanging="567" w:hangingChars="270"/>
        <w:rPr>
          <w:rFonts w:hint="eastAsia" w:ascii="宋体" w:hAnsi="宋体" w:eastAsia="宋体" w:cs="宋体"/>
          <w:color w:val="000000"/>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000000"/>
          <w:szCs w:val="21"/>
          <w:highlight w:val="none"/>
          <w:u w:val="single"/>
        </w:rPr>
        <w:t>投标人应对照招标文件用户需求书的响应，逐条逐项、如实地填写“偏离情况”，</w:t>
      </w:r>
      <w:r>
        <w:rPr>
          <w:rFonts w:hint="eastAsia" w:ascii="宋体" w:hAnsi="宋体" w:eastAsia="宋体" w:cs="宋体"/>
          <w:b/>
          <w:color w:val="000000"/>
          <w:kern w:val="0"/>
          <w:szCs w:val="21"/>
          <w:highlight w:val="none"/>
          <w:u w:val="single"/>
        </w:rPr>
        <w:t>若发现未填写本表，或虚假填写本表，或伪造、变造证明材料的，按无效投标文件处理</w:t>
      </w:r>
      <w:r>
        <w:rPr>
          <w:rFonts w:hint="eastAsia" w:ascii="宋体" w:hAnsi="宋体" w:eastAsia="宋体" w:cs="宋体"/>
          <w:b/>
          <w:color w:val="000000"/>
          <w:szCs w:val="21"/>
          <w:highlight w:val="none"/>
          <w:u w:val="single"/>
        </w:rPr>
        <w:t>。若招标文件用户需求书中有“★”条款须逐条逐项、如实地填写“偏离情况”，未填写“★”条款以外的条款的，视为完全满足招标文件要求。</w:t>
      </w:r>
    </w:p>
    <w:p w14:paraId="69354809">
      <w:pPr>
        <w:spacing w:line="360" w:lineRule="auto"/>
        <w:ind w:left="605" w:leftChars="18" w:hanging="567" w:hangingChars="27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4BA3A7F">
      <w:pPr>
        <w:spacing w:line="360" w:lineRule="auto"/>
        <w:ind w:left="607" w:leftChars="18" w:hanging="569" w:hangingChars="270"/>
        <w:rPr>
          <w:rFonts w:hint="eastAsia" w:ascii="宋体" w:hAnsi="宋体" w:eastAsia="宋体" w:cs="宋体"/>
          <w:b/>
          <w:color w:val="000000"/>
          <w:kern w:val="0"/>
          <w:szCs w:val="21"/>
          <w:highlight w:val="none"/>
          <w:u w:val="single"/>
        </w:rPr>
      </w:pPr>
      <w:r>
        <w:rPr>
          <w:rFonts w:hint="eastAsia" w:ascii="宋体" w:hAnsi="宋体" w:eastAsia="宋体" w:cs="宋体"/>
          <w:b/>
          <w:color w:val="000000"/>
          <w:szCs w:val="21"/>
          <w:highlight w:val="none"/>
        </w:rPr>
        <w:t>（3）</w:t>
      </w:r>
      <w:r>
        <w:rPr>
          <w:rFonts w:hint="eastAsia" w:ascii="宋体" w:hAnsi="宋体" w:eastAsia="宋体" w:cs="宋体"/>
          <w:b/>
          <w:color w:val="000000"/>
          <w:kern w:val="0"/>
          <w:szCs w:val="21"/>
          <w:highlight w:val="none"/>
          <w:u w:val="single"/>
        </w:rPr>
        <w:t>应逐条</w:t>
      </w:r>
      <w:r>
        <w:rPr>
          <w:rFonts w:hint="eastAsia" w:ascii="宋体" w:hAnsi="宋体" w:eastAsia="宋体" w:cs="宋体"/>
          <w:b/>
          <w:color w:val="000000"/>
          <w:szCs w:val="21"/>
          <w:highlight w:val="none"/>
          <w:u w:val="single"/>
        </w:rPr>
        <w:t>逐项</w:t>
      </w:r>
      <w:r>
        <w:rPr>
          <w:rFonts w:hint="eastAsia" w:ascii="宋体" w:hAnsi="宋体" w:eastAsia="宋体" w:cs="宋体"/>
          <w:b/>
          <w:color w:val="000000"/>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000000"/>
          <w:kern w:val="0"/>
          <w:szCs w:val="21"/>
          <w:highlight w:val="none"/>
          <w:u w:val="single"/>
          <w:lang w:val="en-US" w:eastAsia="zh-CN"/>
        </w:rPr>
        <w:t>服务能力</w:t>
      </w:r>
      <w:r>
        <w:rPr>
          <w:rFonts w:hint="eastAsia" w:ascii="宋体" w:hAnsi="宋体" w:eastAsia="宋体" w:cs="宋体"/>
          <w:b/>
          <w:color w:val="000000"/>
          <w:kern w:val="0"/>
          <w:szCs w:val="21"/>
          <w:highlight w:val="none"/>
          <w:u w:val="single"/>
        </w:rPr>
        <w:t>的技术支持资料作为本表的附件，并在本偏离表“对应证明材料页码”项内注明其在投标文件中的具体页码。</w:t>
      </w:r>
    </w:p>
    <w:p w14:paraId="57A0C97F">
      <w:pPr>
        <w:kinsoku/>
        <w:overflowPunct/>
        <w:bidi w:val="0"/>
        <w:spacing w:line="360" w:lineRule="auto"/>
        <w:ind w:left="607" w:leftChars="18" w:hanging="569" w:hangingChars="270"/>
        <w:outlineLvl w:val="9"/>
        <w:rPr>
          <w:rFonts w:ascii="宋体" w:hAnsi="宋体" w:eastAsia="宋体" w:cs="Times New Roman"/>
          <w:b/>
          <w:color w:val="auto"/>
          <w:kern w:val="0"/>
          <w:szCs w:val="21"/>
          <w:highlight w:val="none"/>
          <w:u w:val="single"/>
        </w:rPr>
      </w:pPr>
      <w:r>
        <w:rPr>
          <w:rFonts w:hint="eastAsia" w:ascii="宋体" w:hAnsi="宋体" w:eastAsia="宋体" w:cs="宋体"/>
          <w:b/>
          <w:color w:val="000000"/>
          <w:szCs w:val="21"/>
          <w:highlight w:val="none"/>
        </w:rPr>
        <w:t>（4）</w:t>
      </w:r>
      <w:r>
        <w:rPr>
          <w:rFonts w:hint="eastAsia" w:ascii="宋体" w:hAnsi="宋体" w:eastAsia="宋体" w:cs="宋体"/>
          <w:b/>
          <w:color w:val="000000"/>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ascii="宋体" w:hAnsi="宋体" w:eastAsia="宋体" w:cs="Times New Roman"/>
          <w:b/>
          <w:color w:val="auto"/>
          <w:kern w:val="0"/>
          <w:sz w:val="24"/>
          <w:szCs w:val="21"/>
          <w:highlight w:val="none"/>
          <w:u w:val="single"/>
          <w:lang w:val="zh-CN"/>
        </w:rPr>
        <w:t>。</w:t>
      </w:r>
    </w:p>
    <w:p w14:paraId="2FDFD58C">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D99BEA0">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F3F25DE">
      <w:pPr>
        <w:widowControl/>
        <w:kinsoku/>
        <w:overflowPunct/>
        <w:autoSpaceDE w:val="0"/>
        <w:autoSpaceDN w:val="0"/>
        <w:bidi w:val="0"/>
        <w:adjustRightInd w:val="0"/>
        <w:spacing w:line="360" w:lineRule="auto"/>
        <w:jc w:val="center"/>
        <w:outlineLvl w:val="9"/>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3FFC8C5">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3E1389F">
      <w:pPr>
        <w:kinsoku/>
        <w:overflowPunct/>
        <w:bidi w:val="0"/>
        <w:spacing w:before="120" w:after="120" w:line="360" w:lineRule="auto"/>
        <w:jc w:val="center"/>
        <w:outlineLvl w:val="9"/>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r>
        <w:rPr>
          <w:rFonts w:hint="eastAsia" w:ascii="宋体" w:hAnsi="宋体" w:eastAsia="宋体" w:cs="宋体"/>
          <w:b/>
          <w:color w:val="auto"/>
          <w:kern w:val="0"/>
          <w:sz w:val="30"/>
          <w:szCs w:val="30"/>
          <w:highlight w:val="none"/>
          <w:lang w:val="en-US" w:eastAsia="zh-CN"/>
        </w:rPr>
        <w:t>标段二</w:t>
      </w:r>
      <w:r>
        <w:rPr>
          <w:rFonts w:hint="eastAsia" w:ascii="宋体" w:hAnsi="宋体" w:eastAsia="宋体" w:cs="宋体"/>
          <w:b/>
          <w:color w:val="auto"/>
          <w:kern w:val="0"/>
          <w:sz w:val="30"/>
          <w:szCs w:val="30"/>
          <w:highlight w:val="none"/>
          <w:lang w:val="zh-CN"/>
        </w:rPr>
        <w:t>）</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23"/>
        <w:gridCol w:w="4552"/>
        <w:gridCol w:w="1412"/>
        <w:gridCol w:w="1988"/>
        <w:gridCol w:w="834"/>
      </w:tblGrid>
      <w:tr w14:paraId="5E08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Merge w:val="restart"/>
            <w:vAlign w:val="center"/>
          </w:tcPr>
          <w:p w14:paraId="468937F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2688" w:type="pct"/>
            <w:gridSpan w:val="2"/>
            <w:vAlign w:val="center"/>
          </w:tcPr>
          <w:p w14:paraId="3EEA8BC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招标文件要求</w:t>
            </w:r>
          </w:p>
        </w:tc>
        <w:tc>
          <w:tcPr>
            <w:tcW w:w="2041" w:type="pct"/>
            <w:gridSpan w:val="3"/>
            <w:vAlign w:val="center"/>
          </w:tcPr>
          <w:p w14:paraId="0A7C638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投标文件内容</w:t>
            </w:r>
          </w:p>
        </w:tc>
      </w:tr>
      <w:tr w14:paraId="20AB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Merge w:val="continue"/>
            <w:vAlign w:val="center"/>
          </w:tcPr>
          <w:p w14:paraId="7870C08D">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20"/>
                <w:szCs w:val="20"/>
                <w:highlight w:val="none"/>
              </w:rPr>
            </w:pPr>
          </w:p>
        </w:tc>
        <w:tc>
          <w:tcPr>
            <w:tcW w:w="493" w:type="pct"/>
            <w:vAlign w:val="center"/>
          </w:tcPr>
          <w:p w14:paraId="78EADA82">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条款号</w:t>
            </w:r>
          </w:p>
        </w:tc>
        <w:tc>
          <w:tcPr>
            <w:tcW w:w="2194" w:type="pct"/>
            <w:vAlign w:val="center"/>
          </w:tcPr>
          <w:p w14:paraId="7D4A7FF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简要内容</w:t>
            </w:r>
          </w:p>
        </w:tc>
        <w:tc>
          <w:tcPr>
            <w:tcW w:w="680" w:type="pct"/>
            <w:vAlign w:val="center"/>
          </w:tcPr>
          <w:p w14:paraId="7F6074FC">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偏离情况</w:t>
            </w:r>
          </w:p>
        </w:tc>
        <w:tc>
          <w:tcPr>
            <w:tcW w:w="958" w:type="pct"/>
            <w:vAlign w:val="center"/>
          </w:tcPr>
          <w:p w14:paraId="75B8739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实质性响应的具体内容</w:t>
            </w:r>
          </w:p>
        </w:tc>
        <w:tc>
          <w:tcPr>
            <w:tcW w:w="402" w:type="pct"/>
            <w:vAlign w:val="center"/>
          </w:tcPr>
          <w:p w14:paraId="202D0008">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对应证明材料页码</w:t>
            </w:r>
          </w:p>
        </w:tc>
      </w:tr>
      <w:tr w14:paraId="439E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70" w:type="pct"/>
            <w:vAlign w:val="center"/>
          </w:tcPr>
          <w:p w14:paraId="699AA3E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w:t>
            </w:r>
          </w:p>
        </w:tc>
        <w:tc>
          <w:tcPr>
            <w:tcW w:w="493" w:type="pct"/>
            <w:vAlign w:val="center"/>
          </w:tcPr>
          <w:p w14:paraId="6524DAD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p>
        </w:tc>
        <w:tc>
          <w:tcPr>
            <w:tcW w:w="2194" w:type="pct"/>
            <w:vAlign w:val="center"/>
          </w:tcPr>
          <w:p w14:paraId="08293F5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招标内容</w:t>
            </w:r>
          </w:p>
        </w:tc>
        <w:tc>
          <w:tcPr>
            <w:tcW w:w="680" w:type="pct"/>
            <w:vAlign w:val="center"/>
          </w:tcPr>
          <w:p w14:paraId="2D8EBD5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6633C02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307F80E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2F9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1240139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93" w:type="pct"/>
            <w:vAlign w:val="center"/>
          </w:tcPr>
          <w:p w14:paraId="2EE1B86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二</w:t>
            </w:r>
          </w:p>
        </w:tc>
        <w:tc>
          <w:tcPr>
            <w:tcW w:w="2194" w:type="pct"/>
            <w:vAlign w:val="center"/>
          </w:tcPr>
          <w:p w14:paraId="462FB61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协议服务期限及服务内容</w:t>
            </w:r>
          </w:p>
        </w:tc>
        <w:tc>
          <w:tcPr>
            <w:tcW w:w="680" w:type="pct"/>
            <w:vAlign w:val="center"/>
          </w:tcPr>
          <w:p w14:paraId="318362A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16FAB4C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43276B7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4C1D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1024BBE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93" w:type="pct"/>
            <w:vAlign w:val="center"/>
          </w:tcPr>
          <w:p w14:paraId="1E41B8B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zh-CN"/>
              </w:rPr>
              <w:t>三</w:t>
            </w:r>
          </w:p>
        </w:tc>
        <w:tc>
          <w:tcPr>
            <w:tcW w:w="2194" w:type="pct"/>
            <w:vAlign w:val="center"/>
          </w:tcPr>
          <w:p w14:paraId="6185715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Cs w:val="21"/>
                <w:highlight w:val="none"/>
              </w:rPr>
              <w:t>投标报价及招标代理服务费支付方式</w:t>
            </w:r>
          </w:p>
        </w:tc>
        <w:tc>
          <w:tcPr>
            <w:tcW w:w="680" w:type="pct"/>
            <w:vAlign w:val="center"/>
          </w:tcPr>
          <w:p w14:paraId="1346092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396CA77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0153664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078D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1A65B13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93" w:type="pct"/>
            <w:vAlign w:val="center"/>
          </w:tcPr>
          <w:p w14:paraId="6367ECA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四</w:t>
            </w:r>
          </w:p>
        </w:tc>
        <w:tc>
          <w:tcPr>
            <w:tcW w:w="2194" w:type="pct"/>
            <w:vAlign w:val="center"/>
          </w:tcPr>
          <w:p w14:paraId="7E10E3D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服务管理</w:t>
            </w:r>
          </w:p>
        </w:tc>
        <w:tc>
          <w:tcPr>
            <w:tcW w:w="680" w:type="pct"/>
            <w:vAlign w:val="center"/>
          </w:tcPr>
          <w:p w14:paraId="2B39916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4E544BC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3342082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337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095845D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93" w:type="pct"/>
            <w:vAlign w:val="center"/>
          </w:tcPr>
          <w:p w14:paraId="055BB68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p>
        </w:tc>
        <w:tc>
          <w:tcPr>
            <w:tcW w:w="2194" w:type="pct"/>
            <w:vAlign w:val="center"/>
          </w:tcPr>
          <w:p w14:paraId="185C147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Cs w:val="21"/>
                <w:highlight w:val="none"/>
              </w:rPr>
              <w:t>代理机构（中标人）服务要求</w:t>
            </w:r>
          </w:p>
        </w:tc>
        <w:tc>
          <w:tcPr>
            <w:tcW w:w="680" w:type="pct"/>
            <w:vAlign w:val="center"/>
          </w:tcPr>
          <w:p w14:paraId="37B0924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1659BF2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2531DB9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359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420F22B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93" w:type="pct"/>
            <w:vAlign w:val="center"/>
          </w:tcPr>
          <w:p w14:paraId="633BCD7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w:t>
            </w:r>
          </w:p>
        </w:tc>
        <w:tc>
          <w:tcPr>
            <w:tcW w:w="2194" w:type="pct"/>
            <w:vAlign w:val="center"/>
          </w:tcPr>
          <w:p w14:paraId="69748A5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val="0"/>
                <w:color w:val="auto"/>
                <w:szCs w:val="21"/>
                <w:highlight w:val="none"/>
              </w:rPr>
              <w:t>项目分配方式及代理考核方式</w:t>
            </w:r>
          </w:p>
        </w:tc>
        <w:tc>
          <w:tcPr>
            <w:tcW w:w="680" w:type="pct"/>
            <w:vAlign w:val="center"/>
          </w:tcPr>
          <w:p w14:paraId="6DFC112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3E1D55C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47F88C7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76C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56F3EB4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93" w:type="pct"/>
            <w:vAlign w:val="center"/>
          </w:tcPr>
          <w:p w14:paraId="2F32CD8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附件</w:t>
            </w:r>
          </w:p>
        </w:tc>
        <w:tc>
          <w:tcPr>
            <w:tcW w:w="2194" w:type="pct"/>
            <w:vAlign w:val="center"/>
          </w:tcPr>
          <w:p w14:paraId="67E3B49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代理机构考核表</w:t>
            </w:r>
          </w:p>
        </w:tc>
        <w:tc>
          <w:tcPr>
            <w:tcW w:w="680" w:type="pct"/>
            <w:vAlign w:val="center"/>
          </w:tcPr>
          <w:p w14:paraId="4EC2A4A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390C3F8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6C7213F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268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6DE21F6">
            <w:pPr>
              <w:keepNext/>
              <w:keepLines/>
              <w:suppressLineNumbers w:val="0"/>
              <w:spacing w:before="0" w:beforeAutospacing="0" w:after="0" w:afterAutospacing="0" w:line="400" w:lineRule="exact"/>
              <w:ind w:left="0" w:right="0"/>
              <w:jc w:val="both"/>
              <w:outlineLvl w:val="2"/>
              <w:rPr>
                <w:rFonts w:hint="default" w:ascii="宋体" w:hAnsi="宋体" w:eastAsia="宋体" w:cs="宋体"/>
                <w:color w:val="auto"/>
                <w:kern w:val="0"/>
                <w:sz w:val="18"/>
                <w:szCs w:val="18"/>
                <w:highlight w:val="none"/>
              </w:rPr>
            </w:pPr>
            <w:r>
              <w:rPr>
                <w:rFonts w:hint="eastAsia" w:ascii="宋体" w:hAnsi="宋体" w:eastAsia="宋体" w:cs="宋体"/>
                <w:color w:val="000000"/>
                <w:kern w:val="0"/>
                <w:sz w:val="21"/>
                <w:szCs w:val="21"/>
                <w:highlight w:val="none"/>
              </w:rPr>
              <w:t>用户需求书“★”条款汇总：</w:t>
            </w:r>
          </w:p>
        </w:tc>
      </w:tr>
      <w:tr w14:paraId="222A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39AAF3BA">
            <w:pPr>
              <w:keepNext w:val="0"/>
              <w:keepLines w:val="0"/>
              <w:suppressLineNumbers w:val="0"/>
              <w:spacing w:before="0" w:beforeAutospacing="0" w:after="0" w:afterAutospacing="0" w:line="400" w:lineRule="exact"/>
              <w:ind w:left="0" w:right="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493" w:type="pct"/>
            <w:vAlign w:val="center"/>
          </w:tcPr>
          <w:p w14:paraId="2DFAE30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Cs w:val="21"/>
                <w:highlight w:val="none"/>
              </w:rPr>
              <w:t>代理机构（中标人）服务要求</w:t>
            </w:r>
          </w:p>
        </w:tc>
        <w:tc>
          <w:tcPr>
            <w:tcW w:w="2194" w:type="pct"/>
            <w:vAlign w:val="center"/>
          </w:tcPr>
          <w:p w14:paraId="6801767A">
            <w:pPr>
              <w:pStyle w:val="138"/>
              <w:keepNext w:val="0"/>
              <w:keepLines w:val="0"/>
              <w:suppressLineNumbers w:val="0"/>
              <w:spacing w:before="0" w:beforeAutospacing="0" w:after="0" w:afterAutospacing="0" w:line="360" w:lineRule="auto"/>
              <w:ind w:left="0" w:leftChars="0" w:righ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.18★投标人须承诺中标后在东莞有固定的营业场所和开展代理业务所需设施及办公条件，包括但不限于开、评标场所，现场录像、录音、投影设备等充足的办公设施</w:t>
            </w:r>
            <w:r>
              <w:rPr>
                <w:rFonts w:hint="eastAsia" w:eastAsia="宋体"/>
                <w:highlight w:val="none"/>
                <w:lang w:eastAsia="zh-CN"/>
              </w:rPr>
              <w:t>，</w:t>
            </w:r>
            <w:r>
              <w:rPr>
                <w:rFonts w:hint="eastAsia" w:ascii="宋体" w:hAnsi="宋体" w:eastAsia="宋体" w:cs="宋体"/>
                <w:b w:val="0"/>
                <w:bCs w:val="0"/>
                <w:color w:val="auto"/>
                <w:sz w:val="21"/>
                <w:szCs w:val="21"/>
                <w:highlight w:val="none"/>
                <w:lang w:val="en-US" w:eastAsia="zh-CN"/>
              </w:rPr>
              <w:t>能满足《</w:t>
            </w:r>
            <w:r>
              <w:rPr>
                <w:rFonts w:hint="eastAsia" w:ascii="宋体" w:hAnsi="宋体" w:eastAsia="宋体" w:cs="宋体"/>
                <w:color w:val="auto"/>
                <w:szCs w:val="21"/>
                <w:highlight w:val="none"/>
              </w:rPr>
              <w:t>电子招标投标办法</w:t>
            </w:r>
            <w:r>
              <w:rPr>
                <w:rFonts w:hint="eastAsia" w:ascii="宋体" w:hAnsi="宋体" w:eastAsia="宋体" w:cs="宋体"/>
                <w:b w:val="0"/>
                <w:bCs w:val="0"/>
                <w:color w:val="auto"/>
                <w:sz w:val="21"/>
                <w:szCs w:val="21"/>
                <w:highlight w:val="none"/>
                <w:lang w:val="en-US" w:eastAsia="zh-CN"/>
              </w:rPr>
              <w:t>》对于</w:t>
            </w:r>
            <w:r>
              <w:rPr>
                <w:rFonts w:hint="eastAsia" w:ascii="宋体" w:hAnsi="宋体" w:eastAsia="宋体" w:cs="宋体"/>
                <w:color w:val="auto"/>
                <w:szCs w:val="21"/>
                <w:highlight w:val="none"/>
              </w:rPr>
              <w:t>电子招标投标活动</w:t>
            </w:r>
            <w:r>
              <w:rPr>
                <w:rFonts w:hint="eastAsia" w:ascii="宋体" w:hAnsi="宋体" w:eastAsia="宋体" w:cs="宋体"/>
                <w:color w:val="auto"/>
                <w:szCs w:val="21"/>
                <w:highlight w:val="none"/>
                <w:lang w:val="en-US" w:eastAsia="zh-CN"/>
              </w:rPr>
              <w:t>的设施要求</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eastAsia="zh-CN"/>
              </w:rPr>
              <w:t>招标人</w:t>
            </w:r>
            <w:r>
              <w:rPr>
                <w:rFonts w:hint="eastAsia" w:ascii="宋体" w:hAnsi="宋体" w:eastAsia="宋体" w:cs="宋体"/>
                <w:b w:val="0"/>
                <w:bCs w:val="0"/>
                <w:color w:val="auto"/>
                <w:szCs w:val="21"/>
                <w:highlight w:val="none"/>
              </w:rPr>
              <w:t>有权在中标一个月内核查中标人办公室场所，若与承诺不一致的，</w:t>
            </w:r>
            <w:r>
              <w:rPr>
                <w:rFonts w:hint="eastAsia" w:ascii="宋体" w:hAnsi="宋体" w:eastAsia="宋体" w:cs="宋体"/>
                <w:b w:val="0"/>
                <w:bCs w:val="0"/>
                <w:color w:val="auto"/>
                <w:szCs w:val="21"/>
                <w:highlight w:val="none"/>
                <w:lang w:eastAsia="zh-CN"/>
              </w:rPr>
              <w:t>招标人</w:t>
            </w:r>
            <w:r>
              <w:rPr>
                <w:rFonts w:hint="eastAsia" w:ascii="宋体" w:hAnsi="宋体" w:eastAsia="宋体" w:cs="宋体"/>
                <w:b w:val="0"/>
                <w:bCs w:val="0"/>
                <w:color w:val="auto"/>
                <w:szCs w:val="21"/>
                <w:highlight w:val="none"/>
              </w:rPr>
              <w:t>有权暂停其承接项目的资格，并限期内整改，在限期内未按</w:t>
            </w:r>
            <w:r>
              <w:rPr>
                <w:rFonts w:hint="eastAsia" w:ascii="宋体" w:hAnsi="宋体" w:eastAsia="宋体" w:cs="宋体"/>
                <w:b w:val="0"/>
                <w:bCs w:val="0"/>
                <w:color w:val="auto"/>
                <w:szCs w:val="21"/>
                <w:highlight w:val="none"/>
                <w:lang w:eastAsia="zh-CN"/>
              </w:rPr>
              <w:t>招标人</w:t>
            </w:r>
            <w:r>
              <w:rPr>
                <w:rFonts w:hint="eastAsia" w:ascii="宋体" w:hAnsi="宋体" w:eastAsia="宋体" w:cs="宋体"/>
                <w:b w:val="0"/>
                <w:bCs w:val="0"/>
                <w:color w:val="auto"/>
                <w:szCs w:val="21"/>
                <w:highlight w:val="none"/>
              </w:rPr>
              <w:t>规定整改，</w:t>
            </w:r>
            <w:r>
              <w:rPr>
                <w:rFonts w:hint="eastAsia" w:ascii="宋体" w:hAnsi="宋体" w:eastAsia="宋体" w:cs="宋体"/>
                <w:b w:val="0"/>
                <w:bCs w:val="0"/>
                <w:color w:val="auto"/>
                <w:szCs w:val="21"/>
                <w:highlight w:val="none"/>
                <w:lang w:eastAsia="zh-CN"/>
              </w:rPr>
              <w:t>招标人</w:t>
            </w:r>
            <w:r>
              <w:rPr>
                <w:rFonts w:hint="eastAsia" w:ascii="宋体" w:hAnsi="宋体" w:eastAsia="宋体" w:cs="宋体"/>
                <w:b w:val="0"/>
                <w:bCs w:val="0"/>
                <w:color w:val="auto"/>
                <w:szCs w:val="21"/>
                <w:highlight w:val="none"/>
              </w:rPr>
              <w:t>有权取消其中标资格，并根据评标委员会推荐顺序确定其他中标人（须提供承诺函加盖</w:t>
            </w:r>
            <w:r>
              <w:rPr>
                <w:rFonts w:hint="eastAsia" w:ascii="宋体" w:hAnsi="宋体" w:eastAsia="宋体" w:cs="宋体"/>
                <w:b w:val="0"/>
                <w:bCs w:val="0"/>
                <w:color w:val="auto"/>
                <w:szCs w:val="21"/>
                <w:highlight w:val="none"/>
                <w:lang w:eastAsia="zh-CN"/>
              </w:rPr>
              <w:t>投标人公章</w:t>
            </w:r>
            <w:r>
              <w:rPr>
                <w:rFonts w:hint="eastAsia" w:ascii="宋体" w:hAnsi="宋体" w:eastAsia="宋体" w:cs="宋体"/>
                <w:b w:val="0"/>
                <w:bCs w:val="0"/>
                <w:color w:val="auto"/>
                <w:szCs w:val="21"/>
                <w:highlight w:val="none"/>
              </w:rPr>
              <w:t>）。</w:t>
            </w:r>
          </w:p>
        </w:tc>
        <w:tc>
          <w:tcPr>
            <w:tcW w:w="680" w:type="pct"/>
            <w:vAlign w:val="center"/>
          </w:tcPr>
          <w:p w14:paraId="745AC09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7C6DC0F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6A8B10E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E7F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10668563">
            <w:pPr>
              <w:keepNext w:val="0"/>
              <w:keepLines w:val="0"/>
              <w:suppressLineNumbers w:val="0"/>
              <w:spacing w:before="0" w:beforeAutospacing="0" w:after="0" w:afterAutospacing="0" w:line="400" w:lineRule="exact"/>
              <w:ind w:left="0" w:right="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493" w:type="pct"/>
            <w:shd w:val="clear" w:color="auto" w:fill="auto"/>
            <w:vAlign w:val="center"/>
          </w:tcPr>
          <w:p w14:paraId="0C794AF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五</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Cs w:val="21"/>
                <w:highlight w:val="none"/>
              </w:rPr>
              <w:t>代理机构（中标人）服务要求</w:t>
            </w:r>
          </w:p>
        </w:tc>
        <w:tc>
          <w:tcPr>
            <w:tcW w:w="2194" w:type="pct"/>
            <w:vAlign w:val="center"/>
          </w:tcPr>
          <w:p w14:paraId="52DFDCAD">
            <w:pPr>
              <w:pStyle w:val="138"/>
              <w:keepNext w:val="0"/>
              <w:keepLines w:val="0"/>
              <w:suppressLineNumbers w:val="0"/>
              <w:spacing w:before="0" w:beforeAutospacing="0" w:after="0" w:afterAutospacing="0" w:line="360" w:lineRule="auto"/>
              <w:ind w:left="0" w:leftChars="0" w:right="0" w:firstLine="0" w:firstLineChars="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rPr>
              <w:t>.1</w:t>
            </w:r>
            <w:r>
              <w:rPr>
                <w:rFonts w:hint="eastAsia" w:ascii="宋体" w:hAnsi="宋体" w:eastAsia="宋体" w:cs="宋体"/>
                <w:b w:val="0"/>
                <w:bCs w:val="0"/>
                <w:color w:val="auto"/>
                <w:szCs w:val="21"/>
                <w:highlight w:val="none"/>
              </w:rPr>
              <w:t>9</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rPr>
              <w:t>投标人</w:t>
            </w:r>
            <w:r>
              <w:rPr>
                <w:rFonts w:hint="eastAsia" w:ascii="宋体" w:hAnsi="宋体" w:eastAsia="宋体" w:cs="宋体"/>
                <w:b w:val="0"/>
                <w:bCs w:val="0"/>
                <w:color w:val="auto"/>
                <w:szCs w:val="21"/>
                <w:highlight w:val="none"/>
                <w:lang w:val="en-US" w:eastAsia="zh-CN"/>
              </w:rPr>
              <w:t>参加招标代理库的投标，</w:t>
            </w:r>
            <w:r>
              <w:rPr>
                <w:rFonts w:hint="eastAsia" w:ascii="宋体" w:hAnsi="宋体" w:eastAsia="宋体" w:cs="宋体"/>
                <w:b w:val="0"/>
                <w:bCs w:val="0"/>
                <w:color w:val="auto"/>
                <w:szCs w:val="21"/>
                <w:highlight w:val="none"/>
                <w:lang w:val="zh-CN"/>
              </w:rPr>
              <w:t>需在全国公共资源交易平台</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广东省</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东莞市</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网址</w:t>
            </w:r>
            <w:r>
              <w:rPr>
                <w:rFonts w:hint="eastAsia" w:ascii="宋体" w:hAnsi="宋体" w:eastAsia="宋体" w:cs="宋体"/>
                <w:b w:val="0"/>
                <w:bCs w:val="0"/>
                <w:color w:val="auto"/>
                <w:szCs w:val="21"/>
                <w:highlight w:val="none"/>
                <w:lang w:val="en-US"/>
              </w:rPr>
              <w:t>：https://ygp.gdzwfw.gov.cn/ggzy-portal/index.html#/441900/index）</w:t>
            </w:r>
            <w:r>
              <w:rPr>
                <w:rFonts w:hint="eastAsia" w:ascii="宋体" w:hAnsi="宋体" w:eastAsia="宋体" w:cs="宋体"/>
                <w:b w:val="0"/>
                <w:bCs w:val="0"/>
                <w:color w:val="auto"/>
                <w:szCs w:val="21"/>
                <w:highlight w:val="none"/>
                <w:lang w:val="zh-CN"/>
              </w:rPr>
              <w:t>完成企业库建档</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企业类型必须为</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建设工程类</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招标代理机构</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并录入代理人员信息</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包括项目负责人、招标文件编制人、复核人及一般代理人员</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lang w:val="zh-CN"/>
              </w:rPr>
              <w:t>。如果投标人在提交投标文件截止时间未能完成企业库建档，需提供单独的承诺书，承诺中标后一个月内在全国公共资源交易平台（广东省·东莞市）完成企业库建档工作（须提供承诺函加盖投标人公章）。</w:t>
            </w:r>
          </w:p>
        </w:tc>
        <w:tc>
          <w:tcPr>
            <w:tcW w:w="680" w:type="pct"/>
            <w:vAlign w:val="center"/>
          </w:tcPr>
          <w:p w14:paraId="0A1A153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58EB677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15F4AFE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825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1" w:type="dxa"/>
            <w:vAlign w:val="center"/>
          </w:tcPr>
          <w:p w14:paraId="4D78616A">
            <w:pPr>
              <w:keepNext w:val="0"/>
              <w:keepLines w:val="0"/>
              <w:suppressLineNumbers w:val="0"/>
              <w:spacing w:before="0" w:beforeAutospacing="0" w:after="0" w:afterAutospacing="0" w:line="400" w:lineRule="exact"/>
              <w:ind w:left="0" w:leftChars="0" w:right="0" w:rightChars="0"/>
              <w:jc w:val="center"/>
              <w:rPr>
                <w:rFonts w:hint="default"/>
                <w:highlight w:val="none"/>
              </w:rPr>
            </w:pPr>
            <w:r>
              <w:rPr>
                <w:rFonts w:hint="eastAsia" w:ascii="宋体" w:hAnsi="宋体" w:eastAsia="宋体" w:cs="宋体"/>
                <w:highlight w:val="none"/>
                <w:lang w:val="en-US" w:eastAsia="zh-CN"/>
              </w:rPr>
              <w:t>3</w:t>
            </w:r>
          </w:p>
        </w:tc>
        <w:tc>
          <w:tcPr>
            <w:tcW w:w="1023" w:type="dxa"/>
            <w:vAlign w:val="center"/>
          </w:tcPr>
          <w:p w14:paraId="35B1ABB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Cs w:val="21"/>
                <w:highlight w:val="none"/>
              </w:rPr>
              <w:t>代理机构（中标人）服务要求</w:t>
            </w:r>
          </w:p>
        </w:tc>
        <w:tc>
          <w:tcPr>
            <w:tcW w:w="2194" w:type="pct"/>
            <w:vAlign w:val="center"/>
          </w:tcPr>
          <w:p w14:paraId="4C912885">
            <w:pPr>
              <w:pStyle w:val="138"/>
              <w:keepNext w:val="0"/>
              <w:keepLines w:val="0"/>
              <w:suppressLineNumbers w:val="0"/>
              <w:spacing w:before="0" w:beforeAutospacing="0" w:after="0" w:afterAutospacing="0" w:line="360" w:lineRule="auto"/>
              <w:ind w:left="0" w:leftChars="0" w:right="0" w:firstLine="0" w:firstLineChars="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.20投标人</w:t>
            </w:r>
            <w:r>
              <w:rPr>
                <w:rFonts w:hint="eastAsia" w:ascii="宋体" w:hAnsi="宋体" w:eastAsia="宋体" w:cs="宋体"/>
                <w:b w:val="0"/>
                <w:bCs w:val="0"/>
                <w:color w:val="auto"/>
                <w:szCs w:val="21"/>
                <w:highlight w:val="none"/>
                <w:lang w:val="en-US" w:eastAsia="zh-CN"/>
              </w:rPr>
              <w:t>参加招标代理库的投标，</w:t>
            </w:r>
            <w:r>
              <w:rPr>
                <w:rFonts w:hint="eastAsia" w:ascii="宋体" w:hAnsi="宋体" w:eastAsia="宋体" w:cs="宋体"/>
                <w:b w:val="0"/>
                <w:bCs w:val="0"/>
                <w:color w:val="auto"/>
                <w:szCs w:val="21"/>
                <w:highlight w:val="none"/>
              </w:rPr>
              <w:t>需在东莞市住房和城乡建设局（网址：http://zjj.dg.gov.cn/）完成企业信息档案登记（企业类型必须为：招标代理机构），并且处于“可用状态”或“正常状态”(须提供截图并加盖投标人公章)。如果投标人在提交投标文件截止时间未能完成企业信息档案登记，需提供单独的承诺书，承诺中标后一个月内在东莞市住房和城乡建设局完成企业信息登记工作（须提供承诺函加盖</w:t>
            </w:r>
            <w:r>
              <w:rPr>
                <w:rFonts w:hint="eastAsia" w:ascii="宋体" w:hAnsi="宋体" w:eastAsia="宋体" w:cs="宋体"/>
                <w:b w:val="0"/>
                <w:bCs w:val="0"/>
                <w:color w:val="auto"/>
                <w:szCs w:val="21"/>
                <w:highlight w:val="none"/>
                <w:lang w:eastAsia="zh-CN"/>
              </w:rPr>
              <w:t>投标人公章</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w:t>
            </w:r>
          </w:p>
        </w:tc>
        <w:tc>
          <w:tcPr>
            <w:tcW w:w="680" w:type="pct"/>
            <w:vAlign w:val="center"/>
          </w:tcPr>
          <w:p w14:paraId="447E7C0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2C6DB4B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04750C4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4A4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1" w:type="dxa"/>
            <w:vAlign w:val="center"/>
          </w:tcPr>
          <w:p w14:paraId="106EC8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1023" w:type="dxa"/>
            <w:vAlign w:val="center"/>
          </w:tcPr>
          <w:p w14:paraId="3FD099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Cs w:val="21"/>
                <w:highlight w:val="none"/>
              </w:rPr>
              <w:t>代理机构（中标人）服务要求</w:t>
            </w:r>
          </w:p>
        </w:tc>
        <w:tc>
          <w:tcPr>
            <w:tcW w:w="2194" w:type="pct"/>
            <w:vAlign w:val="center"/>
          </w:tcPr>
          <w:p w14:paraId="0312F65C">
            <w:pPr>
              <w:pStyle w:val="138"/>
              <w:keepNext w:val="0"/>
              <w:keepLines w:val="0"/>
              <w:suppressLineNumbers w:val="0"/>
              <w:spacing w:before="0" w:beforeAutospacing="0" w:after="0" w:afterAutospacing="0" w:line="360" w:lineRule="auto"/>
              <w:ind w:left="0" w:leftChars="0" w:right="0" w:firstLine="0" w:firstLineChars="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.21★投标人</w:t>
            </w:r>
            <w:r>
              <w:rPr>
                <w:rFonts w:hint="eastAsia" w:ascii="宋体" w:hAnsi="宋体" w:eastAsia="宋体" w:cs="宋体"/>
                <w:b w:val="0"/>
                <w:bCs w:val="0"/>
                <w:color w:val="auto"/>
                <w:szCs w:val="21"/>
                <w:highlight w:val="none"/>
                <w:lang w:val="en-US" w:eastAsia="zh-CN"/>
              </w:rPr>
              <w:t>参加招标代理库的投标，</w:t>
            </w:r>
            <w:r>
              <w:rPr>
                <w:rFonts w:hint="eastAsia" w:ascii="宋体" w:hAnsi="宋体" w:eastAsia="宋体" w:cs="宋体"/>
                <w:b w:val="0"/>
                <w:bCs w:val="0"/>
                <w:color w:val="auto"/>
                <w:szCs w:val="21"/>
                <w:highlight w:val="none"/>
              </w:rPr>
              <w:t>需在东莞市水务局</w:t>
            </w:r>
            <w:r>
              <w:rPr>
                <w:rFonts w:hint="eastAsia" w:ascii="宋体" w:hAnsi="宋体" w:eastAsia="宋体" w:cs="宋体"/>
                <w:b w:val="0"/>
                <w:bCs w:val="0"/>
                <w:color w:val="auto"/>
                <w:szCs w:val="21"/>
                <w:highlight w:val="none"/>
                <w:lang w:val="en-US" w:eastAsia="zh-CN"/>
              </w:rPr>
              <w:t>-公共服务目录</w:t>
            </w:r>
            <w:r>
              <w:rPr>
                <w:rFonts w:hint="eastAsia" w:ascii="宋体" w:hAnsi="宋体" w:eastAsia="宋体" w:cs="宋体"/>
                <w:b w:val="0"/>
                <w:bCs w:val="0"/>
                <w:color w:val="auto"/>
                <w:szCs w:val="21"/>
                <w:highlight w:val="none"/>
              </w:rPr>
              <w:t>（网址：http://dgwater.dg.gov.cn/）水务工程参建企业信用管理系统完成企业</w:t>
            </w:r>
            <w:r>
              <w:rPr>
                <w:rFonts w:hint="eastAsia" w:ascii="宋体" w:hAnsi="宋体" w:eastAsia="宋体" w:cs="宋体"/>
                <w:b w:val="0"/>
                <w:bCs w:val="0"/>
                <w:color w:val="auto"/>
                <w:szCs w:val="21"/>
                <w:highlight w:val="none"/>
                <w:lang w:val="en-US" w:eastAsia="zh-CN"/>
              </w:rPr>
              <w:t>登记信息</w:t>
            </w:r>
            <w:r>
              <w:rPr>
                <w:rFonts w:hint="eastAsia" w:ascii="宋体" w:hAnsi="宋体" w:eastAsia="宋体" w:cs="宋体"/>
                <w:b w:val="0"/>
                <w:bCs w:val="0"/>
                <w:color w:val="auto"/>
                <w:szCs w:val="21"/>
                <w:highlight w:val="none"/>
              </w:rPr>
              <w:t>（企业</w:t>
            </w:r>
            <w:r>
              <w:rPr>
                <w:rFonts w:hint="eastAsia" w:ascii="宋体" w:hAnsi="宋体" w:eastAsia="宋体" w:cs="宋体"/>
                <w:b w:val="0"/>
                <w:bCs w:val="0"/>
                <w:color w:val="auto"/>
                <w:szCs w:val="21"/>
                <w:highlight w:val="none"/>
                <w:lang w:val="en-US" w:eastAsia="zh-CN"/>
              </w:rPr>
              <w:t>类别</w:t>
            </w:r>
            <w:r>
              <w:rPr>
                <w:rFonts w:hint="eastAsia" w:ascii="宋体" w:hAnsi="宋体" w:eastAsia="宋体" w:cs="宋体"/>
                <w:b w:val="0"/>
                <w:bCs w:val="0"/>
                <w:color w:val="auto"/>
                <w:szCs w:val="21"/>
                <w:highlight w:val="none"/>
              </w:rPr>
              <w:t>必须为：招标代理）</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须提供截图并加盖投标人公章</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。如果投标人在提交投标文件截止时间未能完成企业信息档案登记，需提供单独的承诺书，承诺中标后一个月内在东莞市水务局完成企业信息登记工作（须提供承诺函加盖</w:t>
            </w:r>
            <w:r>
              <w:rPr>
                <w:rFonts w:hint="eastAsia" w:ascii="宋体" w:hAnsi="宋体" w:eastAsia="宋体" w:cs="宋体"/>
                <w:b w:val="0"/>
                <w:bCs w:val="0"/>
                <w:color w:val="auto"/>
                <w:szCs w:val="21"/>
                <w:highlight w:val="none"/>
                <w:lang w:eastAsia="zh-CN"/>
              </w:rPr>
              <w:t>投标人公章</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eastAsia="zh-CN"/>
              </w:rPr>
              <w:t>。</w:t>
            </w:r>
          </w:p>
        </w:tc>
        <w:tc>
          <w:tcPr>
            <w:tcW w:w="680" w:type="pct"/>
            <w:vAlign w:val="center"/>
          </w:tcPr>
          <w:p w14:paraId="6B6C51E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128A875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27A779B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715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1" w:type="dxa"/>
            <w:vAlign w:val="center"/>
          </w:tcPr>
          <w:p w14:paraId="04A6F7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1023" w:type="dxa"/>
            <w:vAlign w:val="center"/>
          </w:tcPr>
          <w:p w14:paraId="52E4697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Cs w:val="21"/>
                <w:highlight w:val="none"/>
              </w:rPr>
              <w:t>代理机构（中标人）服务要求</w:t>
            </w:r>
          </w:p>
        </w:tc>
        <w:tc>
          <w:tcPr>
            <w:tcW w:w="2194" w:type="pct"/>
            <w:vAlign w:val="center"/>
          </w:tcPr>
          <w:p w14:paraId="1C0905C2">
            <w:pPr>
              <w:pStyle w:val="138"/>
              <w:keepNext w:val="0"/>
              <w:keepLines w:val="0"/>
              <w:suppressLineNumbers w:val="0"/>
              <w:spacing w:before="0" w:beforeAutospacing="0" w:after="0" w:afterAutospacing="0" w:line="360" w:lineRule="auto"/>
              <w:ind w:left="0" w:leftChars="0" w:right="0" w:firstLine="0" w:firstLineChars="0"/>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Cs w:val="21"/>
                <w:highlight w:val="none"/>
                <w:lang w:val="en-US" w:eastAsia="zh-CN"/>
              </w:rPr>
              <w:t>6.22</w:t>
            </w:r>
            <w:r>
              <w:rPr>
                <w:rFonts w:hint="eastAsia" w:ascii="宋体" w:hAnsi="宋体" w:eastAsia="宋体" w:cs="宋体"/>
                <w:b w:val="0"/>
                <w:bCs w:val="0"/>
                <w:color w:val="auto"/>
                <w:szCs w:val="21"/>
                <w:highlight w:val="none"/>
              </w:rPr>
              <w:t>★投标人</w:t>
            </w:r>
            <w:r>
              <w:rPr>
                <w:rFonts w:hint="eastAsia" w:ascii="宋体" w:hAnsi="宋体" w:eastAsia="宋体" w:cs="宋体"/>
                <w:b w:val="0"/>
                <w:bCs w:val="0"/>
                <w:color w:val="auto"/>
                <w:szCs w:val="21"/>
                <w:highlight w:val="none"/>
                <w:lang w:val="en-US" w:eastAsia="zh-CN"/>
              </w:rPr>
              <w:t>参加招标代理库的投标，需按照《</w:t>
            </w:r>
            <w:r>
              <w:rPr>
                <w:rFonts w:hint="eastAsia" w:ascii="宋体" w:hAnsi="宋体" w:eastAsia="宋体" w:cs="宋体"/>
                <w:b w:val="0"/>
                <w:bCs w:val="0"/>
                <w:i w:val="0"/>
                <w:iCs w:val="0"/>
                <w:color w:val="auto"/>
                <w:spacing w:val="0"/>
                <w:sz w:val="21"/>
                <w:szCs w:val="21"/>
                <w:highlight w:val="none"/>
              </w:rPr>
              <w:t>工程建设项目招标代理机构管理暂行办法</w:t>
            </w:r>
            <w:r>
              <w:rPr>
                <w:rFonts w:hint="eastAsia" w:ascii="宋体" w:hAnsi="宋体" w:eastAsia="宋体" w:cs="宋体"/>
                <w:b w:val="0"/>
                <w:bCs w:val="0"/>
                <w:color w:val="auto"/>
                <w:szCs w:val="21"/>
                <w:highlight w:val="none"/>
                <w:lang w:val="en-US" w:eastAsia="zh-CN"/>
              </w:rPr>
              <w:t>》有关规定办理登记手续，</w:t>
            </w:r>
            <w:r>
              <w:rPr>
                <w:rFonts w:hint="eastAsia" w:ascii="宋体" w:hAnsi="宋体" w:eastAsia="宋体" w:cs="宋体"/>
                <w:b w:val="0"/>
                <w:bCs w:val="0"/>
                <w:color w:val="auto"/>
                <w:szCs w:val="21"/>
                <w:highlight w:val="none"/>
              </w:rPr>
              <w:t>如果投标人在提交投标文件截止时间未能完成企业信息登记，需提供单独的承诺书，承诺中标后一个月内完成企业信息登记工作</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非投标人原因导致无法完成</w:t>
            </w:r>
            <w:r>
              <w:rPr>
                <w:rFonts w:hint="eastAsia" w:ascii="宋体" w:hAnsi="宋体" w:eastAsia="宋体" w:cs="宋体"/>
                <w:b w:val="0"/>
                <w:bCs w:val="0"/>
                <w:color w:val="auto"/>
                <w:szCs w:val="21"/>
                <w:highlight w:val="none"/>
              </w:rPr>
              <w:t>企业信息</w:t>
            </w:r>
            <w:r>
              <w:rPr>
                <w:rFonts w:hint="eastAsia" w:ascii="宋体" w:hAnsi="宋体" w:eastAsia="宋体" w:cs="宋体"/>
                <w:b w:val="0"/>
                <w:bCs w:val="0"/>
                <w:color w:val="auto"/>
                <w:szCs w:val="21"/>
                <w:highlight w:val="none"/>
                <w:lang w:val="en-US" w:eastAsia="zh-CN"/>
              </w:rPr>
              <w:t>登记的除外。</w:t>
            </w:r>
            <w:r>
              <w:rPr>
                <w:rFonts w:hint="eastAsia" w:ascii="宋体" w:hAnsi="宋体" w:eastAsia="宋体" w:cs="宋体"/>
                <w:b w:val="0"/>
                <w:bCs w:val="0"/>
                <w:color w:val="auto"/>
                <w:szCs w:val="21"/>
                <w:highlight w:val="none"/>
              </w:rPr>
              <w:t>（须提供承诺函加盖</w:t>
            </w:r>
            <w:r>
              <w:rPr>
                <w:rFonts w:hint="eastAsia" w:ascii="宋体" w:hAnsi="宋体" w:eastAsia="宋体" w:cs="宋体"/>
                <w:b w:val="0"/>
                <w:bCs w:val="0"/>
                <w:color w:val="auto"/>
                <w:szCs w:val="21"/>
                <w:highlight w:val="none"/>
                <w:lang w:eastAsia="zh-CN"/>
              </w:rPr>
              <w:t>投标人公章</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eastAsia="zh-CN"/>
              </w:rPr>
              <w:t>。</w:t>
            </w:r>
          </w:p>
        </w:tc>
        <w:tc>
          <w:tcPr>
            <w:tcW w:w="680" w:type="pct"/>
            <w:vAlign w:val="center"/>
          </w:tcPr>
          <w:p w14:paraId="6B9B2C2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2D56A33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2E5B80B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A9D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69A4AA47">
            <w:pPr>
              <w:keepNext w:val="0"/>
              <w:keepLines w:val="0"/>
              <w:suppressLineNumbers w:val="0"/>
              <w:spacing w:before="0" w:beforeAutospacing="0" w:after="0" w:afterAutospacing="0" w:line="400" w:lineRule="exact"/>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1023" w:type="dxa"/>
            <w:vAlign w:val="center"/>
          </w:tcPr>
          <w:p w14:paraId="5229729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Cs w:val="21"/>
                <w:highlight w:val="none"/>
              </w:rPr>
              <w:t>代理机构（中标人）服务要求</w:t>
            </w:r>
          </w:p>
        </w:tc>
        <w:tc>
          <w:tcPr>
            <w:tcW w:w="2194" w:type="pct"/>
            <w:vAlign w:val="center"/>
          </w:tcPr>
          <w:p w14:paraId="60F9873D">
            <w:pPr>
              <w:pStyle w:val="138"/>
              <w:keepNext w:val="0"/>
              <w:keepLines w:val="0"/>
              <w:suppressLineNumbers w:val="0"/>
              <w:spacing w:before="0" w:beforeAutospacing="0" w:after="0" w:afterAutospacing="0" w:line="360" w:lineRule="auto"/>
              <w:ind w:left="0" w:leftChars="0" w:right="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6.23</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投标人</w:t>
            </w:r>
            <w:r>
              <w:rPr>
                <w:rFonts w:hint="eastAsia" w:ascii="宋体" w:hAnsi="宋体" w:eastAsia="宋体" w:cs="宋体"/>
                <w:b w:val="0"/>
                <w:bCs w:val="0"/>
                <w:color w:val="auto"/>
                <w:sz w:val="21"/>
                <w:szCs w:val="21"/>
                <w:highlight w:val="none"/>
                <w:lang w:val="en-US" w:eastAsia="zh-CN"/>
              </w:rPr>
              <w:t>参加招标代理库的投标，不得处于被限制使用东莞市公共资源交易系统办理招标代理业务的期间</w:t>
            </w:r>
            <w:r>
              <w:rPr>
                <w:rFonts w:hint="eastAsia" w:ascii="宋体" w:hAnsi="宋体" w:eastAsia="宋体" w:cs="宋体"/>
                <w:b w:val="0"/>
                <w:bCs w:val="0"/>
                <w:color w:val="auto"/>
                <w:sz w:val="21"/>
                <w:szCs w:val="21"/>
                <w:highlight w:val="none"/>
              </w:rPr>
              <w:t>（须提供承诺函加盖</w:t>
            </w:r>
            <w:r>
              <w:rPr>
                <w:rFonts w:hint="eastAsia" w:ascii="宋体" w:hAnsi="宋体" w:eastAsia="宋体" w:cs="宋体"/>
                <w:b w:val="0"/>
                <w:bCs w:val="0"/>
                <w:color w:val="auto"/>
                <w:sz w:val="21"/>
                <w:szCs w:val="21"/>
                <w:highlight w:val="none"/>
                <w:lang w:eastAsia="zh-CN"/>
              </w:rPr>
              <w:t>投标人公章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p>
        </w:tc>
        <w:tc>
          <w:tcPr>
            <w:tcW w:w="680" w:type="pct"/>
            <w:vAlign w:val="center"/>
          </w:tcPr>
          <w:p w14:paraId="328175F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958" w:type="pct"/>
            <w:vAlign w:val="center"/>
          </w:tcPr>
          <w:p w14:paraId="0320819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2" w:type="pct"/>
            <w:vAlign w:val="center"/>
          </w:tcPr>
          <w:p w14:paraId="20E528D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bl>
    <w:p w14:paraId="5D701813">
      <w:pPr>
        <w:kinsoku/>
        <w:overflowPunct/>
        <w:bidi w:val="0"/>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E7F8B9B">
      <w:pPr>
        <w:spacing w:line="360" w:lineRule="auto"/>
        <w:ind w:left="605" w:leftChars="18" w:hanging="567" w:hangingChars="270"/>
        <w:rPr>
          <w:rFonts w:hint="eastAsia" w:ascii="宋体" w:hAnsi="宋体" w:eastAsia="宋体" w:cs="宋体"/>
          <w:color w:val="000000"/>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000000"/>
          <w:szCs w:val="21"/>
          <w:highlight w:val="none"/>
          <w:u w:val="single"/>
        </w:rPr>
        <w:t>投标人应对照招标文件用户需求书的响应，逐条逐项、如实地填写“偏离情况”，</w:t>
      </w:r>
      <w:r>
        <w:rPr>
          <w:rFonts w:hint="eastAsia" w:ascii="宋体" w:hAnsi="宋体" w:eastAsia="宋体" w:cs="宋体"/>
          <w:b/>
          <w:color w:val="000000"/>
          <w:kern w:val="0"/>
          <w:szCs w:val="21"/>
          <w:highlight w:val="none"/>
          <w:u w:val="single"/>
        </w:rPr>
        <w:t>若发现未填写本表，或虚假填写本表，或伪造、变造证明材料的，按无效投标文件处理</w:t>
      </w:r>
      <w:r>
        <w:rPr>
          <w:rFonts w:hint="eastAsia" w:ascii="宋体" w:hAnsi="宋体" w:eastAsia="宋体" w:cs="宋体"/>
          <w:b/>
          <w:color w:val="000000"/>
          <w:szCs w:val="21"/>
          <w:highlight w:val="none"/>
          <w:u w:val="single"/>
        </w:rPr>
        <w:t>。若招标文件用户需求书中有“★”条款须逐条逐项、如实地填写“偏离情况”，未填写“★”条款以外的条款的，视为完全满足招标文件要求。</w:t>
      </w:r>
    </w:p>
    <w:p w14:paraId="3D7CF093">
      <w:pPr>
        <w:spacing w:line="360" w:lineRule="auto"/>
        <w:ind w:left="605" w:leftChars="18" w:hanging="567" w:hangingChars="27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0D5621C">
      <w:pPr>
        <w:spacing w:line="360" w:lineRule="auto"/>
        <w:ind w:left="607" w:leftChars="18" w:hanging="569" w:hangingChars="270"/>
        <w:rPr>
          <w:rFonts w:hint="eastAsia" w:ascii="宋体" w:hAnsi="宋体" w:eastAsia="宋体" w:cs="宋体"/>
          <w:b/>
          <w:color w:val="000000"/>
          <w:kern w:val="0"/>
          <w:szCs w:val="21"/>
          <w:highlight w:val="none"/>
          <w:u w:val="single"/>
        </w:rPr>
      </w:pPr>
      <w:r>
        <w:rPr>
          <w:rFonts w:hint="eastAsia" w:ascii="宋体" w:hAnsi="宋体" w:eastAsia="宋体" w:cs="宋体"/>
          <w:b/>
          <w:color w:val="000000"/>
          <w:szCs w:val="21"/>
          <w:highlight w:val="none"/>
        </w:rPr>
        <w:t>（3）</w:t>
      </w:r>
      <w:r>
        <w:rPr>
          <w:rFonts w:hint="eastAsia" w:ascii="宋体" w:hAnsi="宋体" w:eastAsia="宋体" w:cs="宋体"/>
          <w:b/>
          <w:color w:val="000000"/>
          <w:kern w:val="0"/>
          <w:szCs w:val="21"/>
          <w:highlight w:val="none"/>
          <w:u w:val="single"/>
        </w:rPr>
        <w:t>应逐条</w:t>
      </w:r>
      <w:r>
        <w:rPr>
          <w:rFonts w:hint="eastAsia" w:ascii="宋体" w:hAnsi="宋体" w:eastAsia="宋体" w:cs="宋体"/>
          <w:b/>
          <w:color w:val="000000"/>
          <w:szCs w:val="21"/>
          <w:highlight w:val="none"/>
          <w:u w:val="single"/>
        </w:rPr>
        <w:t>逐项</w:t>
      </w:r>
      <w:r>
        <w:rPr>
          <w:rFonts w:hint="eastAsia" w:ascii="宋体" w:hAnsi="宋体" w:eastAsia="宋体" w:cs="宋体"/>
          <w:b/>
          <w:color w:val="000000"/>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000000"/>
          <w:kern w:val="0"/>
          <w:szCs w:val="21"/>
          <w:highlight w:val="none"/>
          <w:u w:val="single"/>
          <w:lang w:val="en-US" w:eastAsia="zh-CN"/>
        </w:rPr>
        <w:t>服务能力</w:t>
      </w:r>
      <w:r>
        <w:rPr>
          <w:rFonts w:hint="eastAsia" w:ascii="宋体" w:hAnsi="宋体" w:eastAsia="宋体" w:cs="宋体"/>
          <w:b/>
          <w:color w:val="000000"/>
          <w:kern w:val="0"/>
          <w:szCs w:val="21"/>
          <w:highlight w:val="none"/>
          <w:u w:val="single"/>
        </w:rPr>
        <w:t>的技术支持资料作为本表的附件，并在本偏离表“对应证明材料页码”项内注明其在投标文件中的具体页码。</w:t>
      </w:r>
    </w:p>
    <w:p w14:paraId="16D245FD">
      <w:pPr>
        <w:kinsoku/>
        <w:overflowPunct/>
        <w:bidi w:val="0"/>
        <w:spacing w:line="360" w:lineRule="auto"/>
        <w:ind w:left="607" w:leftChars="18" w:hanging="569" w:hangingChars="270"/>
        <w:outlineLvl w:val="9"/>
        <w:rPr>
          <w:rFonts w:ascii="宋体" w:hAnsi="宋体" w:eastAsia="宋体" w:cs="Times New Roman"/>
          <w:b/>
          <w:color w:val="auto"/>
          <w:kern w:val="0"/>
          <w:szCs w:val="21"/>
          <w:highlight w:val="none"/>
          <w:u w:val="single"/>
        </w:rPr>
      </w:pPr>
      <w:r>
        <w:rPr>
          <w:rFonts w:hint="eastAsia" w:ascii="宋体" w:hAnsi="宋体" w:eastAsia="宋体" w:cs="宋体"/>
          <w:b/>
          <w:color w:val="000000"/>
          <w:szCs w:val="21"/>
          <w:highlight w:val="none"/>
        </w:rPr>
        <w:t>（4）</w:t>
      </w:r>
      <w:r>
        <w:rPr>
          <w:rFonts w:hint="eastAsia" w:ascii="宋体" w:hAnsi="宋体" w:eastAsia="宋体" w:cs="宋体"/>
          <w:b/>
          <w:color w:val="000000"/>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ascii="宋体" w:hAnsi="宋体" w:eastAsia="宋体" w:cs="Times New Roman"/>
          <w:b/>
          <w:color w:val="auto"/>
          <w:kern w:val="0"/>
          <w:sz w:val="24"/>
          <w:szCs w:val="21"/>
          <w:highlight w:val="none"/>
          <w:u w:val="single"/>
          <w:lang w:val="zh-CN"/>
        </w:rPr>
        <w:t>。</w:t>
      </w:r>
    </w:p>
    <w:p w14:paraId="38A9F179">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0ECDFC3">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97BCE01">
      <w:pPr>
        <w:widowControl/>
        <w:kinsoku/>
        <w:overflowPunct/>
        <w:autoSpaceDE w:val="0"/>
        <w:autoSpaceDN w:val="0"/>
        <w:bidi w:val="0"/>
        <w:adjustRightInd w:val="0"/>
        <w:spacing w:line="360" w:lineRule="auto"/>
        <w:jc w:val="center"/>
        <w:outlineLvl w:val="9"/>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427C32EB">
      <w:pPr>
        <w:tabs>
          <w:tab w:val="left" w:pos="567"/>
        </w:tabs>
        <w:kinsoku/>
        <w:overflowPunct/>
        <w:autoSpaceDE w:val="0"/>
        <w:autoSpaceDN w:val="0"/>
        <w:bidi w:val="0"/>
        <w:adjustRightInd w:val="0"/>
        <w:spacing w:line="360" w:lineRule="auto"/>
        <w:jc w:val="left"/>
        <w:outlineLvl w:val="9"/>
        <w:rPr>
          <w:rFonts w:hint="default" w:ascii="宋体" w:hAnsi="宋体" w:eastAsia="宋体" w:cs="宋体"/>
          <w:b/>
          <w:color w:val="auto"/>
          <w:kern w:val="0"/>
          <w:sz w:val="30"/>
          <w:szCs w:val="30"/>
          <w:highlight w:val="none"/>
          <w:lang w:val="en-US"/>
        </w:rPr>
      </w:pPr>
      <w:r>
        <w:rPr>
          <w:rFonts w:hint="eastAsia" w:ascii="宋体" w:hAnsi="宋体" w:eastAsia="宋体" w:cs="宋体"/>
          <w:b/>
          <w:color w:val="auto"/>
          <w:kern w:val="0"/>
          <w:sz w:val="30"/>
          <w:szCs w:val="30"/>
          <w:highlight w:val="none"/>
        </w:rPr>
        <w:br w:type="page"/>
      </w:r>
      <w:bookmarkStart w:id="768" w:name="_Toc2738"/>
      <w:bookmarkStart w:id="769" w:name="_Toc195714407"/>
      <w:bookmarkStart w:id="770" w:name="_Toc25329"/>
      <w:bookmarkStart w:id="771" w:name="_Toc14730"/>
      <w:bookmarkStart w:id="772" w:name="_Toc21914"/>
      <w:bookmarkStart w:id="773" w:name="_Toc19562"/>
      <w:bookmarkStart w:id="774" w:name="_Toc9659"/>
      <w:bookmarkStart w:id="775" w:name="_Toc140596949"/>
      <w:bookmarkStart w:id="776" w:name="_Toc102860438"/>
      <w:bookmarkStart w:id="777" w:name="_Toc142508389"/>
      <w:bookmarkStart w:id="778" w:name="_Toc102860094"/>
      <w:bookmarkStart w:id="779" w:name="_Toc104991896"/>
      <w:bookmarkStart w:id="780" w:name="_Toc533708139"/>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w:t>
      </w:r>
      <w:bookmarkEnd w:id="768"/>
      <w:bookmarkEnd w:id="769"/>
      <w:bookmarkEnd w:id="770"/>
      <w:bookmarkEnd w:id="771"/>
      <w:bookmarkEnd w:id="772"/>
      <w:bookmarkEnd w:id="773"/>
      <w:bookmarkEnd w:id="774"/>
      <w:r>
        <w:rPr>
          <w:rFonts w:hint="eastAsia" w:ascii="宋体" w:hAnsi="宋体" w:eastAsia="宋体" w:cs="宋体"/>
          <w:b/>
          <w:kern w:val="0"/>
          <w:sz w:val="30"/>
          <w:szCs w:val="30"/>
          <w:highlight w:val="none"/>
          <w:lang w:val="zh-CN"/>
        </w:rPr>
        <w:t>投入本项目服务人员情况</w:t>
      </w:r>
    </w:p>
    <w:p w14:paraId="63F86E40">
      <w:pPr>
        <w:autoSpaceDE w:val="0"/>
        <w:autoSpaceDN w:val="0"/>
        <w:adjustRightInd w:val="0"/>
        <w:snapToGrid/>
        <w:spacing w:line="360" w:lineRule="auto"/>
        <w:ind w:firstLine="0" w:firstLineChars="0"/>
        <w:contextualSpacing w:val="0"/>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sz w:val="32"/>
          <w:szCs w:val="32"/>
          <w:highlight w:val="none"/>
          <w:lang w:val="zh-CN"/>
        </w:rPr>
        <w:t>投入本项目的</w:t>
      </w:r>
      <w:r>
        <w:rPr>
          <w:rFonts w:hint="eastAsia" w:ascii="宋体" w:hAnsi="宋体" w:eastAsia="宋体" w:cs="宋体"/>
          <w:b/>
          <w:sz w:val="32"/>
          <w:szCs w:val="32"/>
          <w:highlight w:val="none"/>
        </w:rPr>
        <w:t>服务</w:t>
      </w:r>
      <w:r>
        <w:rPr>
          <w:rFonts w:hint="eastAsia" w:ascii="宋体" w:hAnsi="宋体" w:eastAsia="宋体" w:cs="宋体"/>
          <w:b/>
          <w:sz w:val="32"/>
          <w:szCs w:val="32"/>
          <w:highlight w:val="none"/>
          <w:lang w:val="zh-CN"/>
        </w:rPr>
        <w:t>人员表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4"/>
        <w:gridCol w:w="737"/>
        <w:gridCol w:w="737"/>
        <w:gridCol w:w="737"/>
        <w:gridCol w:w="1241"/>
        <w:gridCol w:w="1158"/>
        <w:gridCol w:w="2747"/>
        <w:gridCol w:w="1031"/>
      </w:tblGrid>
      <w:tr w14:paraId="2FEA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0" w:type="pct"/>
            <w:vAlign w:val="center"/>
          </w:tcPr>
          <w:p w14:paraId="7860505C">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序号</w:t>
            </w:r>
          </w:p>
        </w:tc>
        <w:tc>
          <w:tcPr>
            <w:tcW w:w="614" w:type="pct"/>
            <w:vAlign w:val="center"/>
          </w:tcPr>
          <w:p w14:paraId="36385C76">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姓名</w:t>
            </w:r>
          </w:p>
        </w:tc>
        <w:tc>
          <w:tcPr>
            <w:tcW w:w="355" w:type="pct"/>
            <w:vAlign w:val="center"/>
          </w:tcPr>
          <w:p w14:paraId="266C908C">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性别</w:t>
            </w:r>
          </w:p>
        </w:tc>
        <w:tc>
          <w:tcPr>
            <w:tcW w:w="355" w:type="pct"/>
            <w:vAlign w:val="center"/>
          </w:tcPr>
          <w:p w14:paraId="12C316B6">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年龄</w:t>
            </w:r>
          </w:p>
        </w:tc>
        <w:tc>
          <w:tcPr>
            <w:tcW w:w="355" w:type="pct"/>
            <w:vAlign w:val="center"/>
          </w:tcPr>
          <w:p w14:paraId="703FE51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学历</w:t>
            </w:r>
          </w:p>
        </w:tc>
        <w:tc>
          <w:tcPr>
            <w:tcW w:w="598" w:type="pct"/>
            <w:vAlign w:val="center"/>
          </w:tcPr>
          <w:p w14:paraId="1D0F9BFE">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资格/职称证书</w:t>
            </w:r>
          </w:p>
        </w:tc>
        <w:tc>
          <w:tcPr>
            <w:tcW w:w="558" w:type="pct"/>
            <w:vAlign w:val="center"/>
          </w:tcPr>
          <w:p w14:paraId="2F41278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本项目担任职务</w:t>
            </w:r>
          </w:p>
        </w:tc>
        <w:tc>
          <w:tcPr>
            <w:tcW w:w="1324" w:type="pct"/>
            <w:vAlign w:val="center"/>
          </w:tcPr>
          <w:p w14:paraId="0D6F95B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r>
              <w:rPr>
                <w:rFonts w:hint="eastAsia" w:ascii="宋体" w:hAnsi="宋体" w:eastAsia="宋体" w:cs="宋体"/>
                <w:szCs w:val="21"/>
                <w:highlight w:val="none"/>
              </w:rPr>
              <w:t>从事本行业年限</w:t>
            </w:r>
          </w:p>
        </w:tc>
        <w:tc>
          <w:tcPr>
            <w:tcW w:w="497" w:type="pct"/>
            <w:vAlign w:val="center"/>
          </w:tcPr>
          <w:p w14:paraId="2DFDA504">
            <w:pPr>
              <w:keepNext w:val="0"/>
              <w:keepLines w:val="0"/>
              <w:suppressLineNumbers w:val="0"/>
              <w:spacing w:before="0" w:beforeAutospacing="0" w:after="0" w:afterAutospacing="0" w:line="360" w:lineRule="auto"/>
              <w:ind w:left="0" w:right="0"/>
              <w:rPr>
                <w:rFonts w:hint="default" w:ascii="宋体" w:hAnsi="宋体" w:eastAsia="宋体" w:cs="宋体"/>
                <w:szCs w:val="21"/>
                <w:highlight w:val="none"/>
              </w:rPr>
            </w:pPr>
            <w:r>
              <w:rPr>
                <w:rFonts w:hint="eastAsia" w:ascii="宋体" w:hAnsi="宋体" w:eastAsia="宋体" w:cs="宋体"/>
                <w:szCs w:val="21"/>
                <w:highlight w:val="none"/>
              </w:rPr>
              <w:t xml:space="preserve">  备注</w:t>
            </w:r>
          </w:p>
        </w:tc>
      </w:tr>
      <w:tr w14:paraId="1A80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0" w:type="pct"/>
            <w:vAlign w:val="center"/>
          </w:tcPr>
          <w:p w14:paraId="420AB304">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1228B9B4">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77D4F514">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12F6832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6048B1F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2269E167">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021B4CB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10110C9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64AF9A71">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744E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0" w:type="pct"/>
            <w:vAlign w:val="center"/>
          </w:tcPr>
          <w:p w14:paraId="03700B7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32534A5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79DD8BDE">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18A8974C">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53DE6A7C">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5EE5D3B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40E7486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402E870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48CA502E">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5E61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59B1AD7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5414D39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079AC9D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2C5B7301">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7022627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14490601">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6C0BC1E7">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738433D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00D807E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292B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01923361">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340B112F">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79FDF0A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345C8F9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292E002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4137EADF">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430CDCD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0688F072">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72262014">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6F1B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0C262732">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128BF00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16F8131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710AF59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1F800C9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36D0E9E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47AC68FD">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20FE0F0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2E1AB9E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6136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166486DE">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0E555AC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3F4C3B56">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1D700BD7">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31BCD6B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3AA525F7">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52111C9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24AE1F3D">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1A40B94C">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2503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048295CB">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64F0891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6020B8B1">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7B8E8B8F">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25F6EE1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71CCA3E4">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59739BAC">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773DB2B7">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7D1723DB">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2F1A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0" w:type="pct"/>
            <w:vAlign w:val="center"/>
          </w:tcPr>
          <w:p w14:paraId="169605A7">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3EF8DE8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3E60CDFF">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7C82000F">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59063F8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4D00279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4972E26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38A94361">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2C4A6F22">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7AFF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0" w:type="pct"/>
            <w:vAlign w:val="center"/>
          </w:tcPr>
          <w:p w14:paraId="5609871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3ADECB1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5C39850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3E7FF82B">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2A52C0F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32F42708">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0B832A5A">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6701B05F">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0AD3510D">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r w14:paraId="5C03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 w:type="pct"/>
            <w:vAlign w:val="center"/>
          </w:tcPr>
          <w:p w14:paraId="26B76B3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614" w:type="pct"/>
            <w:vAlign w:val="center"/>
          </w:tcPr>
          <w:p w14:paraId="4EE82740">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3661581F">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3F6B3EBB">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355" w:type="pct"/>
            <w:vAlign w:val="center"/>
          </w:tcPr>
          <w:p w14:paraId="2D2EBF13">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98" w:type="pct"/>
            <w:vAlign w:val="center"/>
          </w:tcPr>
          <w:p w14:paraId="0AD76202">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558" w:type="pct"/>
            <w:vAlign w:val="center"/>
          </w:tcPr>
          <w:p w14:paraId="0C17AD89">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1324" w:type="pct"/>
            <w:vAlign w:val="center"/>
          </w:tcPr>
          <w:p w14:paraId="0BB4DFB4">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c>
          <w:tcPr>
            <w:tcW w:w="497" w:type="pct"/>
            <w:vAlign w:val="center"/>
          </w:tcPr>
          <w:p w14:paraId="5B4BB8D5">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highlight w:val="none"/>
              </w:rPr>
            </w:pPr>
          </w:p>
        </w:tc>
      </w:tr>
    </w:tbl>
    <w:p w14:paraId="0F248148">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b/>
          <w:szCs w:val="21"/>
          <w:highlight w:val="none"/>
        </w:rPr>
        <w:t>备注：</w:t>
      </w:r>
      <w:r>
        <w:rPr>
          <w:rFonts w:hint="eastAsia" w:ascii="宋体" w:hAnsi="宋体" w:eastAsia="宋体" w:cs="宋体"/>
          <w:b/>
          <w:bCs/>
          <w:szCs w:val="21"/>
          <w:highlight w:val="none"/>
        </w:rPr>
        <w:t>须附以上人员的身份证、职称证</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或</w:t>
      </w:r>
      <w:r>
        <w:rPr>
          <w:rFonts w:hint="eastAsia" w:ascii="宋体" w:hAnsi="宋体" w:eastAsia="宋体" w:cs="宋体"/>
          <w:b/>
          <w:bCs/>
          <w:szCs w:val="21"/>
          <w:highlight w:val="none"/>
        </w:rPr>
        <w:t>评价证书</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、社会保障部门出具的最近1年（即2024年11月至2025年10月）在投标人单位缴纳社会养老保险有效凭证等证明材料复印件并加盖</w:t>
      </w:r>
      <w:r>
        <w:rPr>
          <w:rFonts w:hint="eastAsia" w:ascii="宋体" w:hAnsi="宋体" w:eastAsia="宋体" w:cs="宋体"/>
          <w:b/>
          <w:bCs/>
          <w:szCs w:val="21"/>
          <w:highlight w:val="none"/>
          <w:lang w:eastAsia="zh-CN"/>
        </w:rPr>
        <w:t>投标人公章。</w:t>
      </w:r>
    </w:p>
    <w:p w14:paraId="54C1635A">
      <w:pPr>
        <w:autoSpaceDE w:val="0"/>
        <w:autoSpaceDN w:val="0"/>
        <w:adjustRightInd w:val="0"/>
        <w:spacing w:beforeLines="0" w:afterLines="0" w:line="360" w:lineRule="auto"/>
        <w:ind w:firstLine="4960" w:firstLineChars="2362"/>
        <w:rPr>
          <w:rFonts w:hint="default" w:ascii="宋体" w:hAnsi="宋体" w:eastAsia="宋体" w:cs="宋体"/>
          <w:color w:val="auto"/>
          <w:sz w:val="21"/>
          <w:szCs w:val="21"/>
          <w:highlight w:val="none"/>
          <w:lang w:val="zh-CN"/>
        </w:rPr>
      </w:pPr>
    </w:p>
    <w:p w14:paraId="5800DE9B">
      <w:pPr>
        <w:autoSpaceDE w:val="0"/>
        <w:autoSpaceDN w:val="0"/>
        <w:adjustRightInd w:val="0"/>
        <w:spacing w:beforeLines="0" w:afterLines="0" w:line="360" w:lineRule="auto"/>
        <w:ind w:firstLine="4960" w:firstLineChars="2362"/>
        <w:rPr>
          <w:rFonts w:hint="default" w:ascii="宋体" w:hAnsi="宋体" w:eastAsia="宋体" w:cs="宋体"/>
          <w:color w:val="auto"/>
          <w:sz w:val="21"/>
          <w:szCs w:val="21"/>
          <w:highlight w:val="none"/>
          <w:lang w:val="zh-CN"/>
        </w:rPr>
      </w:pPr>
    </w:p>
    <w:p w14:paraId="2134277F">
      <w:pPr>
        <w:autoSpaceDE w:val="0"/>
        <w:autoSpaceDN w:val="0"/>
        <w:adjustRightInd w:val="0"/>
        <w:spacing w:beforeLines="0" w:afterLines="0" w:line="360" w:lineRule="auto"/>
        <w:ind w:firstLine="4960" w:firstLineChars="2362"/>
        <w:rPr>
          <w:rFonts w:hint="default" w:ascii="宋体" w:hAnsi="宋体" w:eastAsia="宋体" w:cs="宋体"/>
          <w:color w:val="auto"/>
          <w:sz w:val="21"/>
          <w:szCs w:val="21"/>
          <w:highlight w:val="none"/>
          <w:lang w:val="zh-CN"/>
        </w:rPr>
      </w:pPr>
      <w:r>
        <w:rPr>
          <w:rFonts w:hint="default" w:ascii="宋体" w:hAnsi="宋体" w:eastAsia="宋体" w:cs="宋体"/>
          <w:color w:val="auto"/>
          <w:sz w:val="21"/>
          <w:szCs w:val="21"/>
          <w:highlight w:val="none"/>
          <w:lang w:val="zh-CN"/>
        </w:rPr>
        <w:t>投标人：</w:t>
      </w:r>
      <w:r>
        <w:rPr>
          <w:rFonts w:hint="default" w:ascii="宋体" w:hAnsi="宋体" w:eastAsia="宋体" w:cs="宋体"/>
          <w:color w:val="auto"/>
          <w:sz w:val="21"/>
          <w:szCs w:val="21"/>
          <w:highlight w:val="none"/>
          <w:u w:val="single"/>
          <w:lang w:val="zh-CN"/>
        </w:rPr>
        <w:t xml:space="preserve">             （企业数字证书电子签名）</w:t>
      </w:r>
    </w:p>
    <w:p w14:paraId="398D5040">
      <w:pPr>
        <w:autoSpaceDE w:val="0"/>
        <w:autoSpaceDN w:val="0"/>
        <w:adjustRightInd w:val="0"/>
        <w:spacing w:beforeLines="0" w:afterLines="0" w:line="360" w:lineRule="auto"/>
        <w:ind w:firstLine="4960" w:firstLineChars="2362"/>
        <w:rPr>
          <w:rFonts w:hint="default" w:ascii="宋体" w:hAnsi="宋体" w:eastAsia="宋体"/>
          <w:color w:val="auto"/>
          <w:sz w:val="21"/>
          <w:szCs w:val="24"/>
          <w:highlight w:val="none"/>
          <w:lang w:val="zh-CN"/>
        </w:rPr>
      </w:pPr>
      <w:r>
        <w:rPr>
          <w:rFonts w:hint="default" w:ascii="宋体" w:hAnsi="宋体" w:eastAsia="宋体" w:cs="宋体"/>
          <w:color w:val="auto"/>
          <w:sz w:val="21"/>
          <w:szCs w:val="21"/>
          <w:highlight w:val="none"/>
          <w:lang w:val="zh-CN"/>
        </w:rPr>
        <w:t>日</w:t>
      </w:r>
      <w:r>
        <w:rPr>
          <w:rFonts w:hint="default" w:ascii="宋体" w:hAnsi="宋体" w:eastAsia="宋体"/>
          <w:color w:val="auto"/>
          <w:sz w:val="21"/>
          <w:szCs w:val="24"/>
          <w:highlight w:val="none"/>
          <w:lang w:val="zh-CN"/>
        </w:rPr>
        <w:t>期：   年   月   日</w:t>
      </w:r>
    </w:p>
    <w:p w14:paraId="1C3539E3">
      <w:pPr>
        <w:autoSpaceDE w:val="0"/>
        <w:autoSpaceDN w:val="0"/>
        <w:adjustRightInd w:val="0"/>
        <w:spacing w:beforeLines="0" w:afterLines="0" w:line="360" w:lineRule="auto"/>
        <w:jc w:val="center"/>
        <w:rPr>
          <w:rFonts w:hint="default" w:ascii="宋体" w:hAnsi="宋体" w:eastAsia="宋体"/>
          <w:b/>
          <w:color w:val="auto"/>
          <w:sz w:val="21"/>
          <w:szCs w:val="24"/>
          <w:highlight w:val="none"/>
          <w:lang w:val="zh-CN"/>
        </w:rPr>
      </w:pPr>
    </w:p>
    <w:p w14:paraId="3EF216D7">
      <w:pPr>
        <w:autoSpaceDE w:val="0"/>
        <w:autoSpaceDN w:val="0"/>
        <w:adjustRightInd w:val="0"/>
        <w:spacing w:beforeLines="0" w:afterLines="0" w:line="360" w:lineRule="auto"/>
        <w:jc w:val="center"/>
        <w:rPr>
          <w:rFonts w:ascii="宋体" w:hAnsi="宋体" w:eastAsia="宋体" w:cs="宋体"/>
          <w:b/>
          <w:color w:val="auto"/>
          <w:kern w:val="0"/>
          <w:sz w:val="30"/>
          <w:szCs w:val="30"/>
          <w:highlight w:val="none"/>
        </w:rPr>
      </w:pPr>
      <w:r>
        <w:rPr>
          <w:rFonts w:hint="eastAsia" w:ascii="宋体" w:hAnsi="宋体" w:eastAsia="宋体"/>
          <w:b/>
          <w:color w:val="auto"/>
          <w:sz w:val="21"/>
          <w:szCs w:val="24"/>
          <w:highlight w:val="none"/>
          <w:lang w:val="en-US" w:eastAsia="zh-CN"/>
        </w:rPr>
        <w:t xml:space="preserve">                               </w:t>
      </w:r>
      <w:r>
        <w:rPr>
          <w:rFonts w:hint="default" w:ascii="宋体" w:hAnsi="宋体" w:eastAsia="宋体"/>
          <w:b/>
          <w:color w:val="auto"/>
          <w:sz w:val="21"/>
          <w:szCs w:val="24"/>
          <w:highlight w:val="none"/>
          <w:lang w:val="zh-CN"/>
        </w:rPr>
        <w:t>说明：由投标人使用投标人的企业数字证书。</w:t>
      </w:r>
    </w:p>
    <w:p w14:paraId="7C161B53">
      <w:pPr>
        <w:rPr>
          <w:rFonts w:hint="eastAsia" w:ascii="宋体" w:hAnsi="宋体" w:eastAsia="宋体" w:cs="宋体"/>
          <w:b/>
          <w:color w:val="auto"/>
          <w:kern w:val="0"/>
          <w:sz w:val="30"/>
          <w:szCs w:val="30"/>
          <w:highlight w:val="none"/>
          <w:lang w:val="en-US" w:eastAsia="zh-CN" w:bidi="ar-SA"/>
        </w:rPr>
      </w:pPr>
      <w:bookmarkStart w:id="781" w:name="_Toc16997"/>
      <w:bookmarkStart w:id="782" w:name="_Toc7771"/>
      <w:bookmarkStart w:id="783" w:name="_Toc2282"/>
      <w:bookmarkStart w:id="784" w:name="_Toc195714408"/>
      <w:bookmarkStart w:id="785" w:name="_Toc24563"/>
      <w:bookmarkStart w:id="786" w:name="_Toc29450"/>
      <w:bookmarkStart w:id="787" w:name="_Toc6066"/>
      <w:r>
        <w:rPr>
          <w:rFonts w:hint="eastAsia" w:ascii="宋体" w:hAnsi="宋体" w:eastAsia="宋体" w:cs="宋体"/>
          <w:b/>
          <w:color w:val="auto"/>
          <w:kern w:val="0"/>
          <w:sz w:val="30"/>
          <w:szCs w:val="30"/>
          <w:highlight w:val="none"/>
          <w:lang w:val="en-US" w:eastAsia="zh-CN" w:bidi="ar-SA"/>
        </w:rPr>
        <w:br w:type="page"/>
      </w:r>
    </w:p>
    <w:p w14:paraId="66912C70">
      <w:pPr>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bidi="ar-SA"/>
        </w:rPr>
        <w:t>三、</w:t>
      </w:r>
      <w:bookmarkEnd w:id="781"/>
      <w:bookmarkEnd w:id="782"/>
      <w:bookmarkEnd w:id="783"/>
      <w:r>
        <w:rPr>
          <w:rFonts w:hint="eastAsia" w:ascii="宋体" w:hAnsi="宋体" w:eastAsia="宋体" w:cs="宋体"/>
          <w:b/>
          <w:color w:val="auto"/>
          <w:kern w:val="0"/>
          <w:sz w:val="30"/>
          <w:szCs w:val="30"/>
          <w:highlight w:val="none"/>
          <w:lang w:val="en-US" w:eastAsia="zh-CN" w:bidi="ar-SA"/>
        </w:rPr>
        <w:t>对用户需求的理解、重难点及应对措施</w:t>
      </w:r>
    </w:p>
    <w:p w14:paraId="273C20E0">
      <w:pPr>
        <w:keepNext w:val="0"/>
        <w:keepLines w:val="0"/>
        <w:pageBreakBefore/>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hint="eastAsia" w:ascii="宋体" w:hAnsi="宋体" w:eastAsia="宋体" w:cs="宋体"/>
          <w:b/>
          <w:color w:val="auto"/>
          <w:kern w:val="0"/>
          <w:sz w:val="30"/>
          <w:szCs w:val="30"/>
          <w:highlight w:val="none"/>
          <w:lang w:val="en-US" w:eastAsia="zh-CN"/>
        </w:rPr>
      </w:pPr>
      <w:bookmarkStart w:id="788" w:name="_Toc13611"/>
      <w:bookmarkStart w:id="789" w:name="_Toc15438"/>
      <w:bookmarkStart w:id="790" w:name="_Toc16807"/>
      <w:r>
        <w:rPr>
          <w:rFonts w:hint="eastAsia" w:ascii="宋体" w:hAnsi="宋体" w:eastAsia="宋体" w:cs="宋体"/>
          <w:b/>
          <w:color w:val="auto"/>
          <w:kern w:val="0"/>
          <w:sz w:val="30"/>
          <w:szCs w:val="30"/>
          <w:highlight w:val="none"/>
          <w:lang w:val="en-US" w:eastAsia="zh-CN" w:bidi="ar-SA"/>
        </w:rPr>
        <w:t>四</w:t>
      </w:r>
      <w:r>
        <w:rPr>
          <w:rFonts w:ascii="宋体" w:hAnsi="宋体" w:eastAsia="宋体" w:cs="宋体"/>
          <w:b/>
          <w:color w:val="auto"/>
          <w:kern w:val="0"/>
          <w:sz w:val="30"/>
          <w:szCs w:val="30"/>
          <w:highlight w:val="none"/>
          <w:lang w:val="en-US" w:eastAsia="zh-CN" w:bidi="ar-SA"/>
        </w:rPr>
        <w:t>、</w:t>
      </w:r>
      <w:bookmarkEnd w:id="788"/>
      <w:bookmarkEnd w:id="789"/>
      <w:bookmarkEnd w:id="790"/>
      <w:r>
        <w:rPr>
          <w:rFonts w:hint="eastAsia" w:ascii="宋体" w:hAnsi="宋体" w:eastAsia="宋体" w:cs="宋体"/>
          <w:b/>
          <w:color w:val="auto"/>
          <w:kern w:val="0"/>
          <w:sz w:val="30"/>
          <w:szCs w:val="30"/>
          <w:highlight w:val="none"/>
          <w:lang w:val="en-US" w:eastAsia="zh-CN" w:bidi="ar-SA"/>
        </w:rPr>
        <w:t>服务方案</w:t>
      </w:r>
    </w:p>
    <w:p w14:paraId="52452341">
      <w:pPr>
        <w:keepNext w:val="0"/>
        <w:keepLines w:val="0"/>
        <w:pageBreakBefore/>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ascii="宋体" w:hAnsi="宋体" w:eastAsia="宋体" w:cs="宋体"/>
          <w:b/>
          <w:color w:val="auto"/>
          <w:kern w:val="0"/>
          <w:sz w:val="30"/>
          <w:szCs w:val="30"/>
          <w:highlight w:val="none"/>
        </w:rPr>
      </w:pPr>
      <w:bookmarkStart w:id="791" w:name="_Toc3308"/>
      <w:bookmarkStart w:id="792" w:name="_Toc13649"/>
      <w:bookmarkStart w:id="793" w:name="_Toc27655"/>
      <w:r>
        <w:rPr>
          <w:rFonts w:hint="eastAsia" w:ascii="宋体" w:hAnsi="宋体" w:eastAsia="宋体" w:cs="宋体"/>
          <w:b/>
          <w:color w:val="auto"/>
          <w:kern w:val="0"/>
          <w:sz w:val="30"/>
          <w:szCs w:val="30"/>
          <w:highlight w:val="none"/>
          <w:lang w:val="en-US" w:eastAsia="zh-CN" w:bidi="ar-SA"/>
        </w:rPr>
        <w:t>五</w:t>
      </w:r>
      <w:r>
        <w:rPr>
          <w:rFonts w:ascii="宋体" w:hAnsi="宋体" w:eastAsia="宋体" w:cs="宋体"/>
          <w:b/>
          <w:color w:val="auto"/>
          <w:kern w:val="0"/>
          <w:sz w:val="30"/>
          <w:szCs w:val="30"/>
          <w:highlight w:val="none"/>
          <w:lang w:val="en-US" w:eastAsia="zh-CN" w:bidi="ar-SA"/>
        </w:rPr>
        <w:t>、</w:t>
      </w:r>
      <w:bookmarkEnd w:id="791"/>
      <w:bookmarkEnd w:id="792"/>
      <w:bookmarkEnd w:id="793"/>
      <w:r>
        <w:rPr>
          <w:rFonts w:hint="eastAsia" w:ascii="宋体" w:hAnsi="宋体" w:eastAsia="宋体" w:cs="宋体"/>
          <w:b/>
          <w:color w:val="auto"/>
          <w:kern w:val="0"/>
          <w:sz w:val="30"/>
          <w:szCs w:val="30"/>
          <w:highlight w:val="none"/>
          <w:lang w:val="en-US" w:eastAsia="zh-CN" w:bidi="ar-SA"/>
        </w:rPr>
        <w:t>应急预案及处理能力</w:t>
      </w:r>
    </w:p>
    <w:p w14:paraId="32E97FBA">
      <w:pPr>
        <w:keepNext w:val="0"/>
        <w:keepLines w:val="0"/>
        <w:pageBreakBefore/>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ascii="宋体" w:hAnsi="宋体" w:eastAsia="宋体" w:cs="宋体"/>
          <w:b/>
          <w:color w:val="auto"/>
          <w:kern w:val="0"/>
          <w:sz w:val="30"/>
          <w:szCs w:val="30"/>
          <w:highlight w:val="none"/>
        </w:rPr>
      </w:pPr>
      <w:bookmarkStart w:id="794" w:name="_Toc8905"/>
      <w:bookmarkStart w:id="795" w:name="_Toc15567"/>
      <w:bookmarkStart w:id="796" w:name="_Toc27006"/>
      <w:r>
        <w:rPr>
          <w:rFonts w:hint="eastAsia" w:ascii="宋体" w:hAnsi="宋体" w:eastAsia="宋体" w:cs="宋体"/>
          <w:b/>
          <w:color w:val="auto"/>
          <w:kern w:val="0"/>
          <w:sz w:val="30"/>
          <w:szCs w:val="30"/>
          <w:highlight w:val="none"/>
          <w:lang w:val="en-US" w:eastAsia="zh-CN" w:bidi="ar-SA"/>
        </w:rPr>
        <w:t>六</w:t>
      </w:r>
      <w:r>
        <w:rPr>
          <w:rFonts w:ascii="宋体" w:hAnsi="宋体" w:eastAsia="宋体" w:cs="宋体"/>
          <w:b/>
          <w:color w:val="auto"/>
          <w:kern w:val="0"/>
          <w:sz w:val="30"/>
          <w:szCs w:val="30"/>
          <w:highlight w:val="none"/>
          <w:lang w:val="en-US" w:eastAsia="zh-CN" w:bidi="ar-SA"/>
        </w:rPr>
        <w:t>、</w:t>
      </w:r>
      <w:r>
        <w:rPr>
          <w:rFonts w:hint="eastAsia" w:ascii="宋体" w:hAnsi="宋体" w:eastAsia="宋体" w:cs="宋体"/>
          <w:b/>
          <w:color w:val="auto"/>
          <w:kern w:val="0"/>
          <w:sz w:val="30"/>
          <w:szCs w:val="30"/>
          <w:highlight w:val="none"/>
        </w:rPr>
        <w:t>投标人认为有必要提供的其它材料（不做强制要求）</w:t>
      </w:r>
      <w:bookmarkEnd w:id="794"/>
      <w:bookmarkEnd w:id="795"/>
      <w:bookmarkEnd w:id="796"/>
    </w:p>
    <w:bookmarkEnd w:id="784"/>
    <w:bookmarkEnd w:id="785"/>
    <w:bookmarkEnd w:id="786"/>
    <w:bookmarkEnd w:id="787"/>
    <w:p w14:paraId="31A68860">
      <w:pPr>
        <w:widowControl/>
        <w:kinsoku/>
        <w:overflowPunct/>
        <w:autoSpaceDE w:val="0"/>
        <w:autoSpaceDN w:val="0"/>
        <w:bidi w:val="0"/>
        <w:adjustRightInd w:val="0"/>
        <w:spacing w:line="360" w:lineRule="auto"/>
        <w:jc w:val="center"/>
        <w:outlineLvl w:val="9"/>
        <w:rPr>
          <w:rFonts w:ascii="宋体" w:hAnsi="宋体" w:eastAsia="宋体" w:cs="Times New Roman"/>
          <w:color w:val="auto"/>
          <w:szCs w:val="21"/>
          <w:highlight w:val="none"/>
        </w:rPr>
      </w:pPr>
    </w:p>
    <w:p w14:paraId="1A5852D9">
      <w:pPr>
        <w:pStyle w:val="16"/>
        <w:kinsoku/>
        <w:overflowPunct/>
        <w:bidi w:val="0"/>
        <w:outlineLvl w:val="9"/>
        <w:rPr>
          <w:rFonts w:hint="eastAsia" w:ascii="宋体" w:hAnsi="宋体" w:eastAsia="宋体" w:cs="宋体"/>
          <w:color w:val="auto"/>
          <w:highlight w:val="none"/>
          <w:lang w:eastAsia="zh-CN"/>
        </w:rPr>
      </w:pPr>
      <w:r>
        <w:rPr>
          <w:rFonts w:hint="eastAsia" w:ascii="宋体" w:hAnsi="宋体" w:eastAsia="宋体" w:cs="宋体"/>
          <w:bCs/>
          <w:color w:val="000000"/>
          <w:szCs w:val="21"/>
          <w:highlight w:val="none"/>
          <w:lang w:val="en-US" w:eastAsia="zh-CN"/>
        </w:rPr>
        <w:t>备注</w:t>
      </w:r>
      <w:r>
        <w:rPr>
          <w:rFonts w:hint="eastAsia" w:ascii="宋体" w:hAnsi="宋体" w:eastAsia="宋体" w:cs="宋体"/>
          <w:bCs/>
          <w:color w:val="000000"/>
          <w:szCs w:val="21"/>
          <w:highlight w:val="none"/>
        </w:rPr>
        <w:t>：不做强制提交要求，由投标人自行编制</w:t>
      </w:r>
      <w:r>
        <w:rPr>
          <w:rFonts w:hint="eastAsia" w:ascii="宋体" w:hAnsi="宋体" w:eastAsia="宋体" w:cs="宋体"/>
          <w:bCs/>
          <w:color w:val="000000"/>
          <w:szCs w:val="21"/>
          <w:highlight w:val="none"/>
          <w:lang w:eastAsia="zh-CN"/>
        </w:rPr>
        <w:t>。</w:t>
      </w:r>
    </w:p>
    <w:p w14:paraId="30608917">
      <w:pPr>
        <w:tabs>
          <w:tab w:val="left" w:pos="567"/>
        </w:tabs>
        <w:kinsoku/>
        <w:overflowPunct/>
        <w:autoSpaceDE w:val="0"/>
        <w:autoSpaceDN w:val="0"/>
        <w:bidi w:val="0"/>
        <w:adjustRightInd w:val="0"/>
        <w:spacing w:line="360" w:lineRule="auto"/>
        <w:jc w:val="left"/>
        <w:outlineLvl w:val="9"/>
        <w:rPr>
          <w:rFonts w:ascii="宋体" w:hAnsi="宋体" w:eastAsia="宋体" w:cs="宋体"/>
          <w:b/>
          <w:color w:val="auto"/>
          <w:kern w:val="0"/>
          <w:sz w:val="30"/>
          <w:szCs w:val="30"/>
          <w:highlight w:val="none"/>
        </w:rPr>
      </w:pPr>
    </w:p>
    <w:p w14:paraId="4B59AD00">
      <w:pPr>
        <w:tabs>
          <w:tab w:val="left" w:pos="567"/>
        </w:tabs>
        <w:kinsoku/>
        <w:overflowPunct/>
        <w:autoSpaceDE w:val="0"/>
        <w:autoSpaceDN w:val="0"/>
        <w:bidi w:val="0"/>
        <w:adjustRightInd w:val="0"/>
        <w:spacing w:line="360" w:lineRule="auto"/>
        <w:jc w:val="left"/>
        <w:outlineLvl w:val="9"/>
        <w:rPr>
          <w:rFonts w:ascii="宋体" w:hAnsi="宋体" w:eastAsia="宋体" w:cs="宋体"/>
          <w:b/>
          <w:color w:val="auto"/>
          <w:kern w:val="0"/>
          <w:sz w:val="30"/>
          <w:szCs w:val="30"/>
          <w:highlight w:val="none"/>
        </w:rPr>
      </w:pPr>
    </w:p>
    <w:bookmarkEnd w:id="775"/>
    <w:bookmarkEnd w:id="776"/>
    <w:bookmarkEnd w:id="777"/>
    <w:bookmarkEnd w:id="778"/>
    <w:bookmarkEnd w:id="779"/>
    <w:p w14:paraId="0D8F132C">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1382774B">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6846406E">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2038AECF">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07D4DA7A">
      <w:pPr>
        <w:kinsoku/>
        <w:overflowPunct/>
        <w:autoSpaceDE/>
        <w:autoSpaceDN/>
        <w:bidi w:val="0"/>
        <w:adjustRightInd/>
        <w:jc w:val="left"/>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D856E1">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kern w:val="0"/>
          <w:sz w:val="32"/>
          <w:szCs w:val="32"/>
          <w:highlight w:val="none"/>
        </w:rPr>
      </w:pPr>
      <w:bookmarkStart w:id="797" w:name="_Toc13980"/>
      <w:bookmarkStart w:id="798" w:name="_Toc12718"/>
      <w:bookmarkStart w:id="799" w:name="_Toc13597"/>
      <w:bookmarkStart w:id="800" w:name="_Toc195714410"/>
      <w:bookmarkStart w:id="801" w:name="_Toc29896"/>
      <w:bookmarkStart w:id="802" w:name="_Toc13576"/>
      <w:bookmarkStart w:id="803" w:name="_Toc18687"/>
      <w:r>
        <w:rPr>
          <w:rFonts w:hint="eastAsia" w:ascii="宋体" w:hAnsi="宋体" w:eastAsia="宋体" w:cs="宋体"/>
          <w:b/>
          <w:color w:val="auto"/>
          <w:kern w:val="0"/>
          <w:sz w:val="32"/>
          <w:szCs w:val="32"/>
          <w:highlight w:val="none"/>
        </w:rPr>
        <w:t>三  投标文件报价信封格式</w:t>
      </w:r>
      <w:bookmarkEnd w:id="797"/>
      <w:bookmarkEnd w:id="798"/>
      <w:bookmarkEnd w:id="799"/>
      <w:bookmarkEnd w:id="800"/>
      <w:bookmarkEnd w:id="801"/>
      <w:bookmarkEnd w:id="802"/>
      <w:bookmarkEnd w:id="803"/>
    </w:p>
    <w:p w14:paraId="3E15FDBD">
      <w:pPr>
        <w:kinsoku/>
        <w:overflowPunct/>
        <w:bidi w:val="0"/>
        <w:jc w:val="center"/>
        <w:outlineLvl w:val="9"/>
        <w:rPr>
          <w:rFonts w:ascii="宋体" w:hAnsi="宋体" w:eastAsia="宋体" w:cs="宋体"/>
          <w:b/>
          <w:color w:val="auto"/>
          <w:kern w:val="0"/>
          <w:sz w:val="32"/>
          <w:szCs w:val="32"/>
          <w:highlight w:val="none"/>
        </w:rPr>
      </w:pPr>
    </w:p>
    <w:p w14:paraId="2FD3A51E">
      <w:pPr>
        <w:kinsoku/>
        <w:overflowPunct/>
        <w:autoSpaceDE w:val="0"/>
        <w:autoSpaceDN w:val="0"/>
        <w:bidi w:val="0"/>
        <w:adjustRightInd w:val="0"/>
        <w:spacing w:line="360" w:lineRule="auto"/>
        <w:jc w:val="left"/>
        <w:outlineLvl w:val="9"/>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5A8211E8">
      <w:pPr>
        <w:kinsoku/>
        <w:overflowPunct/>
        <w:autoSpaceDE w:val="0"/>
        <w:autoSpaceDN w:val="0"/>
        <w:bidi w:val="0"/>
        <w:adjustRightInd w:val="0"/>
        <w:spacing w:line="360" w:lineRule="auto"/>
        <w:jc w:val="left"/>
        <w:outlineLvl w:val="9"/>
        <w:rPr>
          <w:rFonts w:hint="eastAsia" w:ascii="宋体" w:hAnsi="宋体" w:eastAsia="宋体" w:cs="Times New Roman"/>
          <w:color w:val="auto"/>
          <w:kern w:val="0"/>
          <w:szCs w:val="21"/>
          <w:highlight w:val="none"/>
          <w:lang w:val="en-US" w:eastAsia="zh-CN"/>
        </w:rPr>
      </w:pPr>
    </w:p>
    <w:p w14:paraId="2955DB34">
      <w:pPr>
        <w:kinsoku/>
        <w:overflowPunct/>
        <w:autoSpaceDE w:val="0"/>
        <w:autoSpaceDN w:val="0"/>
        <w:bidi w:val="0"/>
        <w:adjustRightInd w:val="0"/>
        <w:spacing w:line="360" w:lineRule="auto"/>
        <w:jc w:val="left"/>
        <w:outlineLvl w:val="9"/>
        <w:rPr>
          <w:rFonts w:hint="eastAsia" w:ascii="宋体" w:hAnsi="宋体" w:eastAsia="宋体" w:cs="Times New Roman"/>
          <w:b/>
          <w:bCs/>
          <w:color w:val="auto"/>
          <w:kern w:val="0"/>
          <w:szCs w:val="21"/>
          <w:highlight w:val="none"/>
          <w:lang w:val="en-US" w:eastAsia="zh-CN"/>
        </w:rPr>
      </w:pPr>
      <w:r>
        <w:rPr>
          <w:rFonts w:hint="eastAsia" w:ascii="宋体" w:hAnsi="宋体" w:eastAsia="宋体" w:cs="Times New Roman"/>
          <w:b/>
          <w:bCs/>
          <w:color w:val="auto"/>
          <w:kern w:val="0"/>
          <w:szCs w:val="21"/>
          <w:highlight w:val="none"/>
          <w:lang w:val="en-US" w:eastAsia="zh-CN"/>
        </w:rPr>
        <w:t>注：投标人的投标文件无需填报具体服务价格，但需按投标文件要求使用电子标书制作软件编制并生成报价信封，报价信封的“投标值”不作为确定服务价格的依据，投标人可统一填报“0”。</w:t>
      </w:r>
    </w:p>
    <w:p w14:paraId="24B68916">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3ADBBB6A">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574F0B86">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28ABFCF1">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0C835401">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46A81F7A">
      <w:pPr>
        <w:widowControl/>
        <w:kinsoku/>
        <w:overflowPunct/>
        <w:bidi w:val="0"/>
        <w:jc w:val="left"/>
        <w:outlineLvl w:val="9"/>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7B3C62DF">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67FB9BD5">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ascii="宋体" w:hAnsi="宋体" w:eastAsia="宋体" w:cs="宋体"/>
          <w:b/>
          <w:bCs/>
          <w:color w:val="auto"/>
          <w:kern w:val="44"/>
          <w:sz w:val="32"/>
          <w:szCs w:val="32"/>
          <w:highlight w:val="none"/>
          <w:lang w:val="zh-CN"/>
        </w:rPr>
      </w:pPr>
      <w:bookmarkStart w:id="804" w:name="_Toc21059"/>
      <w:bookmarkStart w:id="805" w:name="_Toc22689"/>
      <w:bookmarkStart w:id="806" w:name="_Toc195714411"/>
      <w:bookmarkStart w:id="807" w:name="_Toc14977"/>
      <w:bookmarkStart w:id="808" w:name="_Toc142508390"/>
      <w:bookmarkStart w:id="809" w:name="_Toc22601_WPSOffice_Level1"/>
      <w:bookmarkStart w:id="810" w:name="_Toc521918141"/>
      <w:bookmarkStart w:id="811" w:name="_Toc522047402"/>
      <w:r>
        <w:rPr>
          <w:rFonts w:hint="eastAsia" w:ascii="宋体" w:hAnsi="宋体" w:eastAsia="宋体" w:cs="宋体"/>
          <w:b/>
          <w:bCs/>
          <w:color w:val="auto"/>
          <w:kern w:val="44"/>
          <w:sz w:val="32"/>
          <w:szCs w:val="32"/>
          <w:highlight w:val="none"/>
          <w:lang w:val="zh-CN"/>
        </w:rPr>
        <w:t>附件一：评标工作大纲</w:t>
      </w:r>
      <w:bookmarkEnd w:id="804"/>
      <w:bookmarkEnd w:id="805"/>
      <w:bookmarkEnd w:id="806"/>
      <w:bookmarkEnd w:id="807"/>
      <w:bookmarkEnd w:id="808"/>
    </w:p>
    <w:p w14:paraId="501E27B3">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3DC110F7">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1F900A7D">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0693901E">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50309557">
      <w:pPr>
        <w:kinsoku/>
        <w:overflowPunct/>
        <w:autoSpaceDE w:val="0"/>
        <w:autoSpaceDN w:val="0"/>
        <w:bidi w:val="0"/>
        <w:adjustRightInd w:val="0"/>
        <w:spacing w:line="360" w:lineRule="auto"/>
        <w:jc w:val="center"/>
        <w:outlineLvl w:val="9"/>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东莞市水务环境投资控股集团有限公司招标采购代理协议服务项目</w:t>
      </w:r>
    </w:p>
    <w:p w14:paraId="554C1F1B">
      <w:pPr>
        <w:kinsoku/>
        <w:overflowPunct/>
        <w:autoSpaceDE w:val="0"/>
        <w:autoSpaceDN w:val="0"/>
        <w:bidi w:val="0"/>
        <w:adjustRightInd w:val="0"/>
        <w:spacing w:line="360" w:lineRule="auto"/>
        <w:jc w:val="center"/>
        <w:outlineLvl w:val="9"/>
        <w:rPr>
          <w:rFonts w:ascii="宋体" w:hAnsi="宋体" w:eastAsia="宋体" w:cs="宋体"/>
          <w:b/>
          <w:bCs/>
          <w:color w:val="auto"/>
          <w:sz w:val="36"/>
          <w:szCs w:val="36"/>
          <w:highlight w:val="none"/>
        </w:rPr>
      </w:pPr>
      <w:bookmarkStart w:id="812"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lang w:val="en-US" w:eastAsia="zh-CN"/>
        </w:rPr>
        <w:t xml:space="preserve">    </w:t>
      </w:r>
      <w:bookmarkEnd w:id="812"/>
      <w:r>
        <w:rPr>
          <w:rFonts w:hint="eastAsia" w:ascii="宋体" w:hAnsi="宋体" w:eastAsia="宋体" w:cs="宋体"/>
          <w:b/>
          <w:bCs/>
          <w:color w:val="auto"/>
          <w:sz w:val="36"/>
          <w:szCs w:val="36"/>
          <w:highlight w:val="none"/>
          <w:lang w:val="en-US" w:eastAsia="zh-CN"/>
        </w:rPr>
        <w:t xml:space="preserve">   （标段一</w:t>
      </w:r>
      <w:r>
        <w:rPr>
          <w:rFonts w:hint="eastAsia" w:ascii="宋体" w:hAnsi="宋体" w:eastAsia="宋体" w:cs="宋体"/>
          <w:b/>
          <w:bCs/>
          <w:color w:val="auto"/>
          <w:sz w:val="36"/>
          <w:szCs w:val="36"/>
          <w:highlight w:val="none"/>
          <w:lang w:val="zh-CN"/>
        </w:rPr>
        <w:t>））</w:t>
      </w:r>
    </w:p>
    <w:p w14:paraId="7D498963">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7FB6908F">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197F8611">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645CA744">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1DC30000">
      <w:pPr>
        <w:kinsoku/>
        <w:overflowPunct/>
        <w:autoSpaceDE w:val="0"/>
        <w:autoSpaceDN w:val="0"/>
        <w:bidi w:val="0"/>
        <w:adjustRightInd w:val="0"/>
        <w:spacing w:line="400" w:lineRule="atLeast"/>
        <w:jc w:val="center"/>
        <w:outlineLvl w:val="9"/>
        <w:rPr>
          <w:rFonts w:ascii="宋体" w:hAnsi="宋体" w:eastAsia="宋体" w:cs="宋体"/>
          <w:b/>
          <w:bCs/>
          <w:color w:val="auto"/>
          <w:sz w:val="72"/>
          <w:szCs w:val="72"/>
          <w:highlight w:val="none"/>
          <w:lang w:val="zh-CN"/>
        </w:rPr>
      </w:pPr>
      <w:bookmarkStart w:id="813" w:name="_Toc18947_WPSOffice_Level2"/>
      <w:r>
        <w:rPr>
          <w:rFonts w:hint="eastAsia" w:ascii="宋体" w:hAnsi="宋体" w:eastAsia="宋体" w:cs="宋体"/>
          <w:b/>
          <w:bCs/>
          <w:color w:val="auto"/>
          <w:sz w:val="72"/>
          <w:szCs w:val="72"/>
          <w:highlight w:val="none"/>
          <w:lang w:val="zh-CN"/>
        </w:rPr>
        <w:t>评标工作大纲</w:t>
      </w:r>
      <w:bookmarkEnd w:id="813"/>
    </w:p>
    <w:p w14:paraId="680699CE">
      <w:pPr>
        <w:kinsoku/>
        <w:overflowPunct/>
        <w:autoSpaceDE w:val="0"/>
        <w:autoSpaceDN w:val="0"/>
        <w:bidi w:val="0"/>
        <w:adjustRightInd w:val="0"/>
        <w:spacing w:line="400" w:lineRule="atLeast"/>
        <w:jc w:val="center"/>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适用于标段一</w:t>
      </w:r>
      <w:r>
        <w:rPr>
          <w:rFonts w:hint="eastAsia" w:ascii="宋体" w:hAnsi="宋体" w:eastAsia="宋体" w:cs="宋体"/>
          <w:b/>
          <w:bCs/>
          <w:color w:val="auto"/>
          <w:sz w:val="36"/>
          <w:szCs w:val="36"/>
          <w:highlight w:val="none"/>
          <w:lang w:eastAsia="zh-CN"/>
        </w:rPr>
        <w:t>）</w:t>
      </w:r>
    </w:p>
    <w:p w14:paraId="3158D449">
      <w:pPr>
        <w:kinsoku/>
        <w:overflowPunct/>
        <w:autoSpaceDE w:val="0"/>
        <w:autoSpaceDN w:val="0"/>
        <w:bidi w:val="0"/>
        <w:adjustRightInd w:val="0"/>
        <w:spacing w:line="400" w:lineRule="atLeast"/>
        <w:outlineLvl w:val="9"/>
        <w:rPr>
          <w:rFonts w:ascii="宋体" w:hAnsi="宋体" w:eastAsia="宋体" w:cs="宋体"/>
          <w:b/>
          <w:bCs/>
          <w:color w:val="auto"/>
          <w:sz w:val="36"/>
          <w:szCs w:val="36"/>
          <w:highlight w:val="none"/>
        </w:rPr>
      </w:pPr>
    </w:p>
    <w:p w14:paraId="12B43282">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543F21C0">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668E917C">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2998F75A">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广东晟拓工程咨询有限公司</w:t>
      </w:r>
    </w:p>
    <w:p w14:paraId="543EAB4D">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1B93E924">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4676B287">
      <w:pPr>
        <w:autoSpaceDE w:val="0"/>
        <w:autoSpaceDN w:val="0"/>
        <w:adjustRightInd w:val="0"/>
        <w:spacing w:line="400" w:lineRule="exact"/>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zh-CN"/>
        </w:rPr>
        <w:t>目录</w:t>
      </w:r>
    </w:p>
    <w:p w14:paraId="6A715C8C">
      <w:pPr>
        <w:autoSpaceDE w:val="0"/>
        <w:autoSpaceDN w:val="0"/>
        <w:adjustRightInd w:val="0"/>
        <w:spacing w:line="400" w:lineRule="exact"/>
        <w:jc w:val="center"/>
        <w:rPr>
          <w:rFonts w:hint="eastAsia" w:ascii="宋体" w:hAnsi="宋体" w:eastAsia="宋体" w:cs="宋体"/>
          <w:sz w:val="44"/>
          <w:szCs w:val="44"/>
          <w:highlight w:val="none"/>
        </w:rPr>
      </w:pPr>
    </w:p>
    <w:p w14:paraId="17263F6A">
      <w:pPr>
        <w:autoSpaceDE w:val="0"/>
        <w:autoSpaceDN w:val="0"/>
        <w:adjustRightInd w:val="0"/>
        <w:spacing w:line="400" w:lineRule="exact"/>
        <w:ind w:left="567" w:hanging="567"/>
        <w:rPr>
          <w:rFonts w:hint="eastAsia" w:ascii="宋体" w:hAnsi="宋体" w:eastAsia="宋体" w:cs="宋体"/>
          <w:szCs w:val="30"/>
          <w:highlight w:val="none"/>
        </w:rPr>
      </w:pPr>
      <w:r>
        <w:rPr>
          <w:rFonts w:hint="eastAsia" w:ascii="宋体" w:hAnsi="宋体" w:eastAsia="宋体" w:cs="宋体"/>
          <w:szCs w:val="30"/>
          <w:highlight w:val="none"/>
          <w:lang w:val="zh-CN"/>
        </w:rPr>
        <w:t>一、</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总则</w:t>
      </w:r>
    </w:p>
    <w:p w14:paraId="5DA16989">
      <w:pPr>
        <w:autoSpaceDE w:val="0"/>
        <w:autoSpaceDN w:val="0"/>
        <w:adjustRightInd w:val="0"/>
        <w:spacing w:line="400" w:lineRule="exact"/>
        <w:ind w:left="567" w:hanging="567"/>
        <w:rPr>
          <w:rFonts w:hint="eastAsia" w:ascii="宋体" w:hAnsi="宋体" w:eastAsia="宋体" w:cs="宋体"/>
          <w:szCs w:val="30"/>
          <w:highlight w:val="none"/>
        </w:rPr>
      </w:pPr>
      <w:r>
        <w:rPr>
          <w:rFonts w:hint="eastAsia" w:ascii="宋体" w:hAnsi="宋体" w:eastAsia="宋体" w:cs="宋体"/>
          <w:szCs w:val="30"/>
          <w:highlight w:val="none"/>
          <w:lang w:val="zh-CN"/>
        </w:rPr>
        <w:t>二、</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投标文件的初审</w:t>
      </w:r>
    </w:p>
    <w:p w14:paraId="5A6C69CB">
      <w:pPr>
        <w:autoSpaceDE w:val="0"/>
        <w:autoSpaceDN w:val="0"/>
        <w:adjustRightInd w:val="0"/>
        <w:spacing w:line="400" w:lineRule="exact"/>
        <w:ind w:left="567" w:hanging="567"/>
        <w:rPr>
          <w:rFonts w:hint="eastAsia" w:ascii="宋体" w:hAnsi="宋体" w:eastAsia="宋体" w:cs="宋体"/>
          <w:szCs w:val="30"/>
          <w:highlight w:val="none"/>
        </w:rPr>
      </w:pPr>
      <w:r>
        <w:rPr>
          <w:rFonts w:hint="eastAsia" w:ascii="宋体" w:hAnsi="宋体" w:eastAsia="宋体" w:cs="宋体"/>
          <w:szCs w:val="30"/>
          <w:highlight w:val="none"/>
          <w:lang w:val="zh-CN"/>
        </w:rPr>
        <w:t>三、</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澄清有关问题</w:t>
      </w:r>
    </w:p>
    <w:p w14:paraId="4A620CCA">
      <w:pPr>
        <w:autoSpaceDE w:val="0"/>
        <w:autoSpaceDN w:val="0"/>
        <w:adjustRightInd w:val="0"/>
        <w:spacing w:line="400" w:lineRule="exact"/>
        <w:ind w:left="567" w:hanging="567"/>
        <w:rPr>
          <w:rFonts w:hint="eastAsia" w:ascii="宋体" w:hAnsi="宋体" w:eastAsia="宋体" w:cs="宋体"/>
          <w:szCs w:val="30"/>
          <w:highlight w:val="none"/>
        </w:rPr>
      </w:pPr>
      <w:r>
        <w:rPr>
          <w:rFonts w:hint="eastAsia" w:ascii="宋体" w:hAnsi="宋体" w:eastAsia="宋体" w:cs="宋体"/>
          <w:szCs w:val="30"/>
          <w:highlight w:val="none"/>
        </w:rPr>
        <w:t>四、 比较和评价</w:t>
      </w:r>
    </w:p>
    <w:p w14:paraId="064DA4C5">
      <w:pPr>
        <w:autoSpaceDE w:val="0"/>
        <w:autoSpaceDN w:val="0"/>
        <w:adjustRightInd w:val="0"/>
        <w:spacing w:line="400" w:lineRule="exact"/>
        <w:ind w:left="567" w:hanging="567"/>
        <w:rPr>
          <w:rFonts w:hint="eastAsia" w:ascii="宋体" w:hAnsi="宋体" w:eastAsia="宋体" w:cs="宋体"/>
          <w:szCs w:val="30"/>
          <w:highlight w:val="none"/>
        </w:rPr>
      </w:pPr>
      <w:r>
        <w:rPr>
          <w:rFonts w:hint="eastAsia" w:ascii="宋体" w:hAnsi="宋体" w:eastAsia="宋体" w:cs="宋体"/>
          <w:szCs w:val="30"/>
          <w:highlight w:val="none"/>
          <w:lang w:val="zh-CN"/>
        </w:rPr>
        <w:t>五、</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推荐中标候选人名单</w:t>
      </w:r>
    </w:p>
    <w:p w14:paraId="11AB2368">
      <w:pPr>
        <w:autoSpaceDE w:val="0"/>
        <w:autoSpaceDN w:val="0"/>
        <w:adjustRightInd w:val="0"/>
        <w:spacing w:line="400" w:lineRule="exact"/>
        <w:ind w:left="567" w:hanging="567"/>
        <w:rPr>
          <w:rFonts w:hint="eastAsia" w:ascii="宋体" w:hAnsi="宋体" w:eastAsia="宋体" w:cs="宋体"/>
          <w:szCs w:val="30"/>
          <w:highlight w:val="none"/>
        </w:rPr>
      </w:pPr>
      <w:r>
        <w:rPr>
          <w:rFonts w:hint="eastAsia" w:ascii="宋体" w:hAnsi="宋体" w:eastAsia="宋体" w:cs="宋体"/>
          <w:szCs w:val="30"/>
          <w:highlight w:val="none"/>
          <w:lang w:val="zh-CN"/>
        </w:rPr>
        <w:t>六、</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编写评标报告</w:t>
      </w:r>
    </w:p>
    <w:p w14:paraId="218B4778">
      <w:pPr>
        <w:autoSpaceDE w:val="0"/>
        <w:autoSpaceDN w:val="0"/>
        <w:adjustRightInd w:val="0"/>
        <w:spacing w:line="400" w:lineRule="exact"/>
        <w:ind w:left="567" w:hanging="567"/>
        <w:rPr>
          <w:rFonts w:hint="eastAsia" w:ascii="宋体" w:hAnsi="宋体" w:eastAsia="宋体" w:cs="宋体"/>
          <w:szCs w:val="30"/>
          <w:highlight w:val="none"/>
        </w:rPr>
      </w:pPr>
      <w:r>
        <w:rPr>
          <w:rFonts w:hint="eastAsia" w:ascii="宋体" w:hAnsi="宋体" w:eastAsia="宋体" w:cs="宋体"/>
          <w:szCs w:val="30"/>
          <w:highlight w:val="none"/>
          <w:lang w:val="zh-CN"/>
        </w:rPr>
        <w:t>七、</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注意事项</w:t>
      </w:r>
    </w:p>
    <w:p w14:paraId="6F9128AE">
      <w:pPr>
        <w:tabs>
          <w:tab w:val="right" w:pos="7320"/>
        </w:tabs>
        <w:autoSpaceDE w:val="0"/>
        <w:autoSpaceDN w:val="0"/>
        <w:adjustRightInd w:val="0"/>
        <w:spacing w:line="400" w:lineRule="exact"/>
        <w:ind w:left="720" w:hanging="720"/>
        <w:rPr>
          <w:rFonts w:hint="eastAsia" w:ascii="宋体" w:hAnsi="宋体" w:eastAsia="宋体" w:cs="宋体"/>
          <w:szCs w:val="30"/>
          <w:highlight w:val="none"/>
        </w:rPr>
      </w:pPr>
    </w:p>
    <w:p w14:paraId="16DAD629">
      <w:pPr>
        <w:tabs>
          <w:tab w:val="right" w:pos="7320"/>
        </w:tabs>
        <w:autoSpaceDE w:val="0"/>
        <w:autoSpaceDN w:val="0"/>
        <w:adjustRightInd w:val="0"/>
        <w:spacing w:line="400" w:lineRule="exact"/>
        <w:ind w:left="720" w:hanging="720"/>
        <w:rPr>
          <w:rFonts w:hint="eastAsia" w:ascii="宋体" w:hAnsi="宋体" w:eastAsia="宋体" w:cs="宋体"/>
          <w:szCs w:val="30"/>
          <w:highlight w:val="none"/>
        </w:rPr>
      </w:pPr>
    </w:p>
    <w:p w14:paraId="23B0AEBF">
      <w:pPr>
        <w:tabs>
          <w:tab w:val="left" w:pos="1080"/>
          <w:tab w:val="right" w:pos="7320"/>
        </w:tabs>
        <w:autoSpaceDE w:val="0"/>
        <w:autoSpaceDN w:val="0"/>
        <w:adjustRightInd w:val="0"/>
        <w:spacing w:line="400" w:lineRule="exact"/>
        <w:ind w:left="720" w:hanging="720"/>
        <w:rPr>
          <w:rFonts w:hint="eastAsia" w:ascii="宋体" w:hAnsi="宋体" w:eastAsia="宋体" w:cs="宋体"/>
          <w:szCs w:val="30"/>
          <w:highlight w:val="none"/>
        </w:rPr>
      </w:pPr>
    </w:p>
    <w:p w14:paraId="44402F5D">
      <w:pPr>
        <w:tabs>
          <w:tab w:val="left" w:pos="1140"/>
        </w:tabs>
        <w:autoSpaceDE w:val="0"/>
        <w:autoSpaceDN w:val="0"/>
        <w:adjustRightInd w:val="0"/>
        <w:spacing w:line="400" w:lineRule="exact"/>
        <w:jc w:val="center"/>
        <w:rPr>
          <w:rFonts w:hint="eastAsia" w:ascii="宋体" w:hAnsi="宋体" w:eastAsia="宋体" w:cs="宋体"/>
          <w:b/>
          <w:bCs/>
          <w:sz w:val="28"/>
          <w:szCs w:val="28"/>
          <w:highlight w:val="none"/>
        </w:rPr>
      </w:pPr>
      <w:r>
        <w:rPr>
          <w:rFonts w:hint="eastAsia" w:ascii="宋体" w:hAnsi="宋体" w:eastAsia="宋体" w:cs="宋体"/>
          <w:sz w:val="30"/>
          <w:szCs w:val="30"/>
          <w:highlight w:val="none"/>
        </w:rPr>
        <w:br w:type="page"/>
      </w:r>
      <w:r>
        <w:rPr>
          <w:rFonts w:hint="eastAsia" w:ascii="宋体" w:hAnsi="宋体" w:eastAsia="宋体" w:cs="宋体"/>
          <w:sz w:val="28"/>
          <w:szCs w:val="28"/>
          <w:highlight w:val="none"/>
          <w:lang w:val="zh-CN"/>
        </w:rPr>
        <w:t>一、</w:t>
      </w:r>
      <w:r>
        <w:rPr>
          <w:rFonts w:hint="eastAsia" w:ascii="宋体" w:hAnsi="宋体" w:eastAsia="宋体" w:cs="宋体"/>
          <w:b/>
          <w:bCs/>
          <w:sz w:val="28"/>
          <w:szCs w:val="28"/>
          <w:highlight w:val="none"/>
          <w:lang w:val="zh-CN"/>
        </w:rPr>
        <w:t>总则</w:t>
      </w:r>
    </w:p>
    <w:p w14:paraId="3603D251">
      <w:pPr>
        <w:tabs>
          <w:tab w:val="left" w:pos="567"/>
          <w:tab w:val="left" w:pos="600"/>
        </w:tabs>
        <w:autoSpaceDE w:val="0"/>
        <w:autoSpaceDN w:val="0"/>
        <w:adjustRightInd w:val="0"/>
        <w:spacing w:line="400" w:lineRule="exact"/>
        <w:ind w:left="600" w:hanging="600"/>
        <w:rPr>
          <w:rFonts w:hint="eastAsia" w:ascii="宋体" w:hAnsi="宋体" w:eastAsia="宋体" w:cs="宋体"/>
          <w:b/>
          <w:bCs/>
          <w:szCs w:val="24"/>
          <w:highlight w:val="none"/>
          <w:lang w:val="zh-CN"/>
        </w:rPr>
      </w:pPr>
      <w:r>
        <w:rPr>
          <w:rFonts w:hint="eastAsia" w:ascii="宋体" w:hAnsi="宋体" w:eastAsia="宋体" w:cs="宋体"/>
          <w:b/>
          <w:bCs/>
          <w:szCs w:val="24"/>
          <w:highlight w:val="none"/>
          <w:lang w:val="zh-CN"/>
        </w:rPr>
        <w:t>1、一般规定</w:t>
      </w:r>
    </w:p>
    <w:p w14:paraId="46F4A9B9">
      <w:pPr>
        <w:autoSpaceDE w:val="0"/>
        <w:autoSpaceDN w:val="0"/>
        <w:adjustRightInd w:val="0"/>
        <w:spacing w:line="400" w:lineRule="exact"/>
        <w:ind w:left="567" w:hanging="567"/>
        <w:rPr>
          <w:rFonts w:hint="eastAsia" w:ascii="宋体" w:hAnsi="宋体" w:eastAsia="宋体" w:cs="宋体"/>
          <w:kern w:val="0"/>
          <w:szCs w:val="32"/>
          <w:highlight w:val="none"/>
        </w:rPr>
      </w:pPr>
      <w:r>
        <w:rPr>
          <w:rFonts w:hint="eastAsia" w:ascii="宋体" w:hAnsi="宋体" w:eastAsia="宋体" w:cs="宋体"/>
          <w:szCs w:val="21"/>
          <w:highlight w:val="none"/>
          <w:lang w:val="zh-CN"/>
        </w:rPr>
        <w:t>1.1</w:t>
      </w:r>
      <w:r>
        <w:rPr>
          <w:rFonts w:hint="eastAsia" w:ascii="宋体" w:hAnsi="宋体" w:eastAsia="宋体" w:cs="宋体"/>
          <w:szCs w:val="21"/>
          <w:highlight w:val="none"/>
          <w:lang w:val="zh-CN"/>
        </w:rPr>
        <w:tab/>
      </w:r>
      <w:r>
        <w:rPr>
          <w:rFonts w:hint="eastAsia" w:ascii="宋体" w:hAnsi="宋体" w:eastAsia="宋体" w:cs="宋体"/>
          <w:kern w:val="0"/>
          <w:szCs w:val="21"/>
          <w:highlight w:val="none"/>
          <w:lang w:eastAsia="zh-CN"/>
        </w:rPr>
        <w:t>东莞市水务环境投资控股集团有限公司招标采购代理协议服务项目</w:t>
      </w:r>
      <w:r>
        <w:rPr>
          <w:rFonts w:hint="eastAsia" w:ascii="宋体" w:hAnsi="宋体" w:eastAsia="宋体" w:cs="宋体"/>
          <w:kern w:val="0"/>
          <w:szCs w:val="32"/>
          <w:highlight w:val="none"/>
        </w:rPr>
        <w:t>的</w:t>
      </w:r>
      <w:r>
        <w:rPr>
          <w:rFonts w:hint="eastAsia" w:ascii="宋体" w:hAnsi="宋体" w:eastAsia="宋体" w:cs="宋体"/>
          <w:szCs w:val="21"/>
          <w:highlight w:val="none"/>
          <w:lang w:val="zh-CN"/>
        </w:rPr>
        <w:t>招标</w:t>
      </w:r>
      <w:r>
        <w:rPr>
          <w:rFonts w:hint="eastAsia" w:ascii="宋体" w:hAnsi="宋体" w:eastAsia="宋体" w:cs="宋体"/>
          <w:kern w:val="0"/>
          <w:szCs w:val="32"/>
          <w:highlight w:val="none"/>
        </w:rPr>
        <w:t>按照《中华人民共和国招标投标法》等有关规定进行。</w:t>
      </w:r>
    </w:p>
    <w:p w14:paraId="361A2955">
      <w:pPr>
        <w:autoSpaceDE w:val="0"/>
        <w:autoSpaceDN w:val="0"/>
        <w:adjustRightInd w:val="0"/>
        <w:spacing w:line="400" w:lineRule="exact"/>
        <w:ind w:left="567" w:hanging="567"/>
        <w:rPr>
          <w:rFonts w:hint="eastAsia" w:ascii="宋体" w:hAnsi="宋体" w:eastAsia="宋体" w:cs="宋体"/>
          <w:szCs w:val="24"/>
          <w:highlight w:val="none"/>
          <w:lang w:val="zh-CN"/>
        </w:rPr>
      </w:pPr>
      <w:r>
        <w:rPr>
          <w:rFonts w:hint="eastAsia" w:ascii="宋体" w:hAnsi="宋体" w:eastAsia="宋体" w:cs="宋体"/>
          <w:szCs w:val="24"/>
          <w:highlight w:val="none"/>
          <w:lang w:val="zh-CN"/>
        </w:rPr>
        <w:t>1.2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评标必须遵循公平、公正、诚实信用的原则。</w:t>
      </w:r>
    </w:p>
    <w:p w14:paraId="22CA9043">
      <w:pPr>
        <w:autoSpaceDE w:val="0"/>
        <w:autoSpaceDN w:val="0"/>
        <w:adjustRightInd w:val="0"/>
        <w:spacing w:line="400" w:lineRule="exact"/>
        <w:ind w:left="567" w:hanging="567"/>
        <w:rPr>
          <w:rFonts w:hint="eastAsia" w:ascii="宋体" w:hAnsi="宋体" w:eastAsia="宋体" w:cs="宋体"/>
          <w:szCs w:val="24"/>
          <w:highlight w:val="none"/>
          <w:lang w:val="zh-CN"/>
        </w:rPr>
      </w:pPr>
      <w:r>
        <w:rPr>
          <w:rFonts w:hint="eastAsia" w:ascii="宋体" w:hAnsi="宋体" w:eastAsia="宋体" w:cs="宋体"/>
          <w:szCs w:val="24"/>
          <w:highlight w:val="none"/>
          <w:lang w:val="zh-CN"/>
        </w:rPr>
        <w:t>1.3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招标代理机构</w:t>
      </w:r>
      <w:r>
        <w:rPr>
          <w:rFonts w:hint="eastAsia" w:ascii="宋体" w:hAnsi="宋体" w:eastAsia="宋体" w:cs="宋体"/>
          <w:kern w:val="0"/>
          <w:szCs w:val="32"/>
          <w:highlight w:val="none"/>
        </w:rPr>
        <w:t>组</w:t>
      </w:r>
      <w:r>
        <w:rPr>
          <w:rFonts w:hint="eastAsia" w:ascii="宋体" w:hAnsi="宋体" w:eastAsia="宋体" w:cs="宋体"/>
          <w:szCs w:val="24"/>
          <w:highlight w:val="none"/>
          <w:lang w:val="zh-CN"/>
        </w:rPr>
        <w:t>织评标工作，全过程接受招标（采购）人及相关部门的监督、管理和指导。</w:t>
      </w:r>
    </w:p>
    <w:p w14:paraId="315AF6EE">
      <w:pPr>
        <w:autoSpaceDE w:val="0"/>
        <w:autoSpaceDN w:val="0"/>
        <w:adjustRightInd w:val="0"/>
        <w:spacing w:line="400" w:lineRule="exact"/>
        <w:ind w:left="567" w:hanging="567"/>
        <w:rPr>
          <w:rFonts w:hint="eastAsia" w:ascii="宋体" w:hAnsi="宋体" w:eastAsia="宋体" w:cs="宋体"/>
          <w:szCs w:val="24"/>
          <w:highlight w:val="none"/>
          <w:lang w:val="zh-CN"/>
        </w:rPr>
      </w:pPr>
      <w:r>
        <w:rPr>
          <w:rFonts w:hint="eastAsia" w:ascii="宋体" w:hAnsi="宋体" w:eastAsia="宋体" w:cs="宋体"/>
          <w:szCs w:val="24"/>
          <w:highlight w:val="none"/>
          <w:lang w:val="zh-CN"/>
        </w:rPr>
        <w:t>1.4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评标按照招标（采购）文件规定的内容进行，采取综合评分</w:t>
      </w:r>
      <w:r>
        <w:rPr>
          <w:rFonts w:hint="eastAsia" w:ascii="宋体" w:hAnsi="宋体" w:eastAsia="宋体" w:cs="宋体"/>
          <w:szCs w:val="21"/>
          <w:highlight w:val="none"/>
        </w:rPr>
        <w:t>法进行评审</w:t>
      </w:r>
      <w:r>
        <w:rPr>
          <w:rFonts w:hint="eastAsia" w:ascii="宋体" w:hAnsi="宋体" w:eastAsia="宋体" w:cs="宋体"/>
          <w:szCs w:val="24"/>
          <w:highlight w:val="none"/>
          <w:lang w:val="zh-CN"/>
        </w:rPr>
        <w:t>。</w:t>
      </w:r>
    </w:p>
    <w:p w14:paraId="50B028A2">
      <w:pPr>
        <w:numPr>
          <w:ilvl w:val="1"/>
          <w:numId w:val="4"/>
        </w:numPr>
        <w:autoSpaceDE w:val="0"/>
        <w:autoSpaceDN w:val="0"/>
        <w:adjustRightInd w:val="0"/>
        <w:spacing w:line="400" w:lineRule="exact"/>
        <w:ind w:left="565" w:hanging="564" w:hangingChars="269"/>
        <w:jc w:val="left"/>
        <w:rPr>
          <w:rFonts w:hint="eastAsia" w:ascii="宋体" w:hAnsi="宋体" w:eastAsia="宋体" w:cs="宋体"/>
          <w:szCs w:val="24"/>
          <w:highlight w:val="none"/>
          <w:lang w:val="zh-CN"/>
        </w:rPr>
      </w:pP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val="zh-CN"/>
        </w:rPr>
        <w:t>本办法的评审对象是指投标人按照招标（采购）文件要求提供的有效投标文件，包括投标人应评标委员会要求对原投标文件作出的正式书面澄清文件。</w:t>
      </w:r>
    </w:p>
    <w:p w14:paraId="605E7A39">
      <w:pPr>
        <w:autoSpaceDE w:val="0"/>
        <w:autoSpaceDN w:val="0"/>
        <w:adjustRightInd w:val="0"/>
        <w:spacing w:line="400" w:lineRule="exact"/>
        <w:rPr>
          <w:rFonts w:hint="eastAsia" w:ascii="宋体" w:hAnsi="宋体" w:eastAsia="宋体" w:cs="宋体"/>
          <w:sz w:val="24"/>
          <w:szCs w:val="24"/>
          <w:highlight w:val="none"/>
          <w:lang w:val="zh-CN"/>
        </w:rPr>
      </w:pPr>
    </w:p>
    <w:p w14:paraId="23D9E3E6">
      <w:pPr>
        <w:tabs>
          <w:tab w:val="left" w:pos="360"/>
          <w:tab w:val="left" w:pos="600"/>
        </w:tabs>
        <w:autoSpaceDE w:val="0"/>
        <w:autoSpaceDN w:val="0"/>
        <w:adjustRightInd w:val="0"/>
        <w:spacing w:line="400" w:lineRule="exact"/>
        <w:ind w:left="600" w:hanging="600"/>
        <w:rPr>
          <w:rFonts w:hint="eastAsia" w:ascii="宋体" w:hAnsi="宋体" w:eastAsia="宋体" w:cs="宋体"/>
          <w:b/>
          <w:bCs/>
          <w:szCs w:val="24"/>
          <w:highlight w:val="none"/>
          <w:lang w:val="zh-CN"/>
        </w:rPr>
      </w:pPr>
      <w:r>
        <w:rPr>
          <w:rFonts w:hint="eastAsia" w:ascii="宋体" w:hAnsi="宋体" w:eastAsia="宋体" w:cs="宋体"/>
          <w:b/>
          <w:bCs/>
          <w:szCs w:val="24"/>
          <w:highlight w:val="none"/>
          <w:lang w:val="zh-CN"/>
        </w:rPr>
        <w:t>2、</w:t>
      </w:r>
      <w:r>
        <w:rPr>
          <w:rFonts w:hint="eastAsia" w:ascii="宋体" w:hAnsi="宋体" w:eastAsia="宋体" w:cs="宋体"/>
          <w:b/>
          <w:bCs/>
          <w:szCs w:val="24"/>
          <w:highlight w:val="none"/>
          <w:lang w:val="zh-CN"/>
        </w:rPr>
        <w:tab/>
      </w:r>
      <w:r>
        <w:rPr>
          <w:rFonts w:hint="eastAsia" w:ascii="宋体" w:hAnsi="宋体" w:eastAsia="宋体" w:cs="宋体"/>
          <w:b/>
          <w:bCs/>
          <w:szCs w:val="24"/>
          <w:highlight w:val="none"/>
          <w:lang w:val="zh-CN"/>
        </w:rPr>
        <w:t>评标组织机构的组成</w:t>
      </w:r>
    </w:p>
    <w:p w14:paraId="7DBF2B46">
      <w:pPr>
        <w:tabs>
          <w:tab w:val="left" w:pos="567"/>
          <w:tab w:val="left" w:pos="1145"/>
        </w:tabs>
        <w:autoSpaceDE w:val="0"/>
        <w:autoSpaceDN w:val="0"/>
        <w:adjustRightInd w:val="0"/>
        <w:spacing w:line="400" w:lineRule="exact"/>
        <w:ind w:left="600" w:hanging="600"/>
        <w:rPr>
          <w:rFonts w:hint="eastAsia" w:ascii="宋体" w:hAnsi="宋体" w:eastAsia="宋体" w:cs="宋体"/>
          <w:szCs w:val="24"/>
          <w:highlight w:val="none"/>
          <w:lang w:val="zh-CN"/>
        </w:rPr>
      </w:pPr>
      <w:r>
        <w:rPr>
          <w:rFonts w:hint="eastAsia" w:ascii="宋体" w:hAnsi="宋体" w:eastAsia="宋体" w:cs="宋体"/>
          <w:szCs w:val="24"/>
          <w:highlight w:val="none"/>
          <w:lang w:val="zh-CN"/>
        </w:rPr>
        <w:t>2.1</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w:t>
      </w:r>
      <w:r>
        <w:rPr>
          <w:rFonts w:hint="eastAsia" w:ascii="宋体" w:hAnsi="宋体" w:eastAsia="宋体" w:cs="宋体"/>
          <w:kern w:val="0"/>
          <w:szCs w:val="24"/>
          <w:highlight w:val="none"/>
        </w:rPr>
        <w:t>由</w:t>
      </w:r>
      <w:r>
        <w:rPr>
          <w:rFonts w:hint="eastAsia" w:ascii="宋体" w:hAnsi="宋体" w:eastAsia="宋体" w:cs="宋体"/>
          <w:kern w:val="0"/>
          <w:szCs w:val="24"/>
          <w:highlight w:val="none"/>
          <w:lang w:eastAsia="zh-CN"/>
        </w:rPr>
        <w:t>招标（采购）人</w:t>
      </w:r>
      <w:r>
        <w:rPr>
          <w:rFonts w:hint="eastAsia" w:ascii="宋体" w:hAnsi="宋体" w:eastAsia="宋体" w:cs="宋体"/>
          <w:kern w:val="0"/>
          <w:szCs w:val="24"/>
          <w:highlight w:val="none"/>
        </w:rPr>
        <w:t>和技术、经济等方面的专家组成，成员为</w:t>
      </w:r>
      <w:r>
        <w:rPr>
          <w:rFonts w:hint="eastAsia" w:ascii="宋体" w:hAnsi="宋体" w:eastAsia="宋体" w:cs="宋体"/>
          <w:b/>
          <w:bCs/>
          <w:kern w:val="0"/>
          <w:szCs w:val="24"/>
          <w:highlight w:val="none"/>
        </w:rPr>
        <w:t>7人以上（含7人）单数</w:t>
      </w:r>
      <w:r>
        <w:rPr>
          <w:rFonts w:hint="eastAsia" w:ascii="宋体" w:hAnsi="宋体" w:eastAsia="宋体" w:cs="宋体"/>
          <w:kern w:val="0"/>
          <w:szCs w:val="24"/>
          <w:highlight w:val="none"/>
        </w:rPr>
        <w:t>，其中技术、经济等方面的专家不少于成员总数的三分之二。</w:t>
      </w:r>
      <w:r>
        <w:rPr>
          <w:rFonts w:hint="eastAsia" w:ascii="宋体" w:hAnsi="宋体" w:eastAsia="宋体" w:cs="宋体"/>
          <w:szCs w:val="24"/>
          <w:highlight w:val="none"/>
          <w:lang w:val="zh-CN"/>
        </w:rPr>
        <w:t>专家依法从</w:t>
      </w:r>
      <w:r>
        <w:rPr>
          <w:rFonts w:hint="eastAsia" w:ascii="宋体" w:hAnsi="宋体" w:eastAsia="宋体" w:cs="宋体"/>
          <w:kern w:val="0"/>
          <w:szCs w:val="24"/>
          <w:highlight w:val="none"/>
        </w:rPr>
        <w:t>专家库中随机抽取产生。</w:t>
      </w:r>
    </w:p>
    <w:p w14:paraId="45A3F791">
      <w:pPr>
        <w:tabs>
          <w:tab w:val="left" w:pos="567"/>
          <w:tab w:val="left" w:pos="1145"/>
        </w:tabs>
        <w:autoSpaceDE w:val="0"/>
        <w:autoSpaceDN w:val="0"/>
        <w:adjustRightInd w:val="0"/>
        <w:spacing w:line="400" w:lineRule="exact"/>
        <w:ind w:left="600" w:hanging="600"/>
        <w:rPr>
          <w:rFonts w:hint="eastAsia" w:ascii="宋体" w:hAnsi="宋体" w:eastAsia="宋体" w:cs="宋体"/>
          <w:szCs w:val="24"/>
          <w:highlight w:val="none"/>
          <w:lang w:val="zh-CN"/>
        </w:rPr>
      </w:pPr>
      <w:r>
        <w:rPr>
          <w:rFonts w:hint="eastAsia" w:ascii="宋体" w:hAnsi="宋体" w:eastAsia="宋体" w:cs="宋体"/>
          <w:szCs w:val="24"/>
          <w:highlight w:val="none"/>
          <w:lang w:val="zh-CN"/>
        </w:rPr>
        <w:t>2.2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评标工作组由招标（采购）人、招标代理机构及有关专家组成，由评标委员会确认，并接受其领导。</w:t>
      </w:r>
    </w:p>
    <w:p w14:paraId="49324A90">
      <w:pPr>
        <w:autoSpaceDE w:val="0"/>
        <w:autoSpaceDN w:val="0"/>
        <w:adjustRightInd w:val="0"/>
        <w:spacing w:line="400" w:lineRule="exact"/>
        <w:ind w:left="600" w:hanging="600"/>
        <w:rPr>
          <w:rFonts w:hint="eastAsia" w:ascii="宋体" w:hAnsi="宋体" w:eastAsia="宋体" w:cs="宋体"/>
          <w:szCs w:val="24"/>
          <w:highlight w:val="none"/>
          <w:lang w:val="zh-CN"/>
        </w:rPr>
      </w:pPr>
      <w:r>
        <w:rPr>
          <w:rFonts w:hint="eastAsia" w:ascii="宋体" w:hAnsi="宋体" w:eastAsia="宋体" w:cs="宋体"/>
          <w:szCs w:val="24"/>
          <w:highlight w:val="none"/>
          <w:lang w:val="zh-CN"/>
        </w:rPr>
        <w:t>2.3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评标工作组分成评标委员会、秘书组。</w:t>
      </w:r>
    </w:p>
    <w:p w14:paraId="00ADA4D4">
      <w:pPr>
        <w:autoSpaceDE w:val="0"/>
        <w:autoSpaceDN w:val="0"/>
        <w:adjustRightInd w:val="0"/>
        <w:spacing w:line="400" w:lineRule="exact"/>
        <w:ind w:left="600" w:hanging="600"/>
        <w:rPr>
          <w:rFonts w:hint="eastAsia" w:ascii="宋体" w:hAnsi="宋体" w:eastAsia="宋体" w:cs="宋体"/>
          <w:szCs w:val="24"/>
          <w:highlight w:val="none"/>
          <w:lang w:val="zh-CN"/>
        </w:rPr>
      </w:pPr>
      <w:r>
        <w:rPr>
          <w:rFonts w:hint="eastAsia" w:ascii="宋体" w:hAnsi="宋体" w:eastAsia="宋体" w:cs="宋体"/>
          <w:szCs w:val="24"/>
          <w:highlight w:val="none"/>
          <w:lang w:val="zh-CN"/>
        </w:rPr>
        <w:t>2.4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9563DE8">
      <w:pPr>
        <w:autoSpaceDE w:val="0"/>
        <w:autoSpaceDN w:val="0"/>
        <w:adjustRightInd w:val="0"/>
        <w:spacing w:line="400" w:lineRule="exact"/>
        <w:rPr>
          <w:rFonts w:hint="eastAsia" w:ascii="宋体" w:hAnsi="宋体" w:eastAsia="宋体" w:cs="宋体"/>
          <w:sz w:val="24"/>
          <w:szCs w:val="24"/>
          <w:highlight w:val="none"/>
          <w:lang w:val="zh-CN"/>
        </w:rPr>
      </w:pPr>
    </w:p>
    <w:p w14:paraId="1A4AF1C1">
      <w:pPr>
        <w:autoSpaceDE w:val="0"/>
        <w:autoSpaceDN w:val="0"/>
        <w:adjustRightInd w:val="0"/>
        <w:spacing w:line="400" w:lineRule="exact"/>
        <w:rPr>
          <w:rFonts w:hint="eastAsia" w:ascii="宋体" w:hAnsi="宋体" w:eastAsia="宋体" w:cs="宋体"/>
          <w:sz w:val="24"/>
          <w:szCs w:val="24"/>
          <w:highlight w:val="none"/>
          <w:lang w:val="zh-CN"/>
        </w:rPr>
      </w:pPr>
      <w:r>
        <w:rPr>
          <w:rFonts w:hint="eastAsia" w:ascii="宋体" w:hAnsi="宋体" w:eastAsia="宋体" w:cs="宋体"/>
          <w:b/>
          <w:szCs w:val="21"/>
          <w:highlight w:val="none"/>
          <w:lang w:val="zh-CN"/>
        </w:rPr>
        <w:t>3、</w:t>
      </w:r>
      <w:r>
        <w:rPr>
          <w:rFonts w:hint="eastAsia" w:ascii="宋体" w:hAnsi="宋体" w:eastAsia="宋体" w:cs="宋体"/>
          <w:b/>
          <w:bCs/>
          <w:szCs w:val="21"/>
          <w:highlight w:val="none"/>
          <w:lang w:val="zh-CN"/>
        </w:rPr>
        <w:t>评标</w:t>
      </w:r>
      <w:r>
        <w:rPr>
          <w:rFonts w:hint="eastAsia" w:ascii="宋体" w:hAnsi="宋体" w:eastAsia="宋体" w:cs="宋体"/>
          <w:b/>
          <w:bCs/>
          <w:szCs w:val="24"/>
          <w:highlight w:val="none"/>
          <w:lang w:val="zh-CN"/>
        </w:rPr>
        <w:t>委员会职责</w:t>
      </w:r>
    </w:p>
    <w:p w14:paraId="5D3CA958">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3.1  审查投标文件是否符合招标（采购）文件要求，并作出评价；</w:t>
      </w:r>
    </w:p>
    <w:p w14:paraId="305454DC">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3.2  要求投标人对投标文件有关事项作出解释或者澄清；</w:t>
      </w:r>
    </w:p>
    <w:p w14:paraId="58461AD1">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3.3</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推荐中标候选人名单及排序；</w:t>
      </w:r>
    </w:p>
    <w:p w14:paraId="585B786C">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3.4</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向招标（采购）人、招标代理机构或者有关部门报告非法干预评标工作的行为。</w:t>
      </w:r>
    </w:p>
    <w:p w14:paraId="75B2B000">
      <w:pPr>
        <w:autoSpaceDE w:val="0"/>
        <w:autoSpaceDN w:val="0"/>
        <w:adjustRightInd w:val="0"/>
        <w:spacing w:line="400" w:lineRule="exact"/>
        <w:jc w:val="left"/>
        <w:rPr>
          <w:rFonts w:hint="eastAsia" w:ascii="宋体" w:hAnsi="宋体" w:eastAsia="宋体" w:cs="宋体"/>
          <w:kern w:val="0"/>
          <w:sz w:val="24"/>
          <w:szCs w:val="24"/>
          <w:highlight w:val="none"/>
          <w:lang w:val="zh-CN"/>
        </w:rPr>
      </w:pPr>
    </w:p>
    <w:p w14:paraId="2B18CA20">
      <w:pPr>
        <w:tabs>
          <w:tab w:val="left" w:pos="720"/>
        </w:tabs>
        <w:autoSpaceDE w:val="0"/>
        <w:autoSpaceDN w:val="0"/>
        <w:adjustRightInd w:val="0"/>
        <w:spacing w:line="400" w:lineRule="exact"/>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4、评标委员会义务</w:t>
      </w:r>
    </w:p>
    <w:p w14:paraId="138ACFEA">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4.1  遵纪守法，客观、公正、廉洁地履行职责；</w:t>
      </w:r>
    </w:p>
    <w:p w14:paraId="3007B467">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4.2  按照招标（采购）文件规定的评标方法和评标标准进行评审，对评审意见承担个人责任；</w:t>
      </w:r>
    </w:p>
    <w:p w14:paraId="2E88278B">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4.3  对评标过程和结果，以及投标人的商业秘密保密；</w:t>
      </w:r>
    </w:p>
    <w:p w14:paraId="11D64227">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4.4  参与评标报告的起草；</w:t>
      </w:r>
    </w:p>
    <w:p w14:paraId="3177CBDC">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4.5  配合有关部门的投诉处理工作；</w:t>
      </w:r>
    </w:p>
    <w:p w14:paraId="3BAC2AD2">
      <w:pPr>
        <w:autoSpaceDE w:val="0"/>
        <w:autoSpaceDN w:val="0"/>
        <w:adjustRightInd w:val="0"/>
        <w:spacing w:line="400" w:lineRule="exact"/>
        <w:jc w:val="left"/>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4.6  配合招标（采购）人、招标代理机构答复投标人提出的质疑、异议。</w:t>
      </w:r>
    </w:p>
    <w:p w14:paraId="0D44FBCC">
      <w:pPr>
        <w:tabs>
          <w:tab w:val="left" w:pos="720"/>
        </w:tabs>
        <w:autoSpaceDE w:val="0"/>
        <w:autoSpaceDN w:val="0"/>
        <w:adjustRightInd w:val="0"/>
        <w:spacing w:line="400" w:lineRule="exact"/>
        <w:rPr>
          <w:rFonts w:hint="eastAsia" w:ascii="宋体" w:hAnsi="宋体" w:eastAsia="宋体" w:cs="宋体"/>
          <w:sz w:val="24"/>
          <w:szCs w:val="24"/>
          <w:highlight w:val="none"/>
          <w:lang w:val="zh-CN"/>
        </w:rPr>
      </w:pPr>
    </w:p>
    <w:p w14:paraId="244CD349">
      <w:pPr>
        <w:tabs>
          <w:tab w:val="left" w:pos="1547"/>
        </w:tabs>
        <w:autoSpaceDE w:val="0"/>
        <w:autoSpaceDN w:val="0"/>
        <w:adjustRightInd w:val="0"/>
        <w:spacing w:line="400" w:lineRule="exact"/>
        <w:rPr>
          <w:rFonts w:hint="eastAsia" w:ascii="宋体" w:hAnsi="宋体" w:eastAsia="宋体" w:cs="宋体"/>
          <w:b/>
          <w:szCs w:val="24"/>
          <w:highlight w:val="none"/>
          <w:lang w:val="zh-CN"/>
        </w:rPr>
      </w:pPr>
      <w:r>
        <w:rPr>
          <w:rFonts w:hint="eastAsia" w:ascii="宋体" w:hAnsi="宋体" w:eastAsia="宋体" w:cs="宋体"/>
          <w:b/>
          <w:bCs/>
          <w:szCs w:val="21"/>
          <w:highlight w:val="none"/>
          <w:lang w:val="zh-CN"/>
        </w:rPr>
        <w:t>5、评审程序</w:t>
      </w:r>
    </w:p>
    <w:p w14:paraId="0A3D78AE">
      <w:pPr>
        <w:autoSpaceDE w:val="0"/>
        <w:autoSpaceDN w:val="0"/>
        <w:adjustRightInd w:val="0"/>
        <w:spacing w:line="400" w:lineRule="exact"/>
        <w:ind w:left="567" w:hanging="567"/>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公开招标：</w:t>
      </w:r>
    </w:p>
    <w:p w14:paraId="6788DF4D">
      <w:pPr>
        <w:autoSpaceDE w:val="0"/>
        <w:autoSpaceDN w:val="0"/>
        <w:adjustRightInd w:val="0"/>
        <w:spacing w:line="400" w:lineRule="exact"/>
        <w:ind w:left="567" w:hanging="567"/>
        <w:rPr>
          <w:rFonts w:hint="eastAsia" w:ascii="宋体" w:hAnsi="宋体" w:eastAsia="宋体" w:cs="宋体"/>
          <w:bCs/>
          <w:szCs w:val="24"/>
          <w:highlight w:val="none"/>
          <w:lang w:val="zh-CN"/>
        </w:rPr>
      </w:pPr>
      <w:r>
        <w:rPr>
          <w:rFonts w:hint="eastAsia" w:ascii="宋体" w:hAnsi="宋体" w:eastAsia="宋体" w:cs="宋体"/>
          <w:szCs w:val="24"/>
          <w:highlight w:val="none"/>
          <w:lang w:val="zh-CN"/>
        </w:rPr>
        <w:t>5.1</w:t>
      </w:r>
      <w:r>
        <w:rPr>
          <w:rFonts w:hint="eastAsia" w:ascii="宋体" w:hAnsi="宋体" w:eastAsia="宋体" w:cs="宋体"/>
          <w:szCs w:val="24"/>
          <w:highlight w:val="none"/>
          <w:lang w:val="zh-CN"/>
        </w:rPr>
        <w:tab/>
      </w:r>
      <w:r>
        <w:rPr>
          <w:rFonts w:hint="eastAsia" w:ascii="宋体" w:hAnsi="宋体" w:eastAsia="宋体" w:cs="宋体"/>
          <w:bCs/>
          <w:szCs w:val="24"/>
          <w:highlight w:val="none"/>
          <w:lang w:val="zh-CN"/>
        </w:rPr>
        <w:t>评审首先由评标委员会对投标人的</w:t>
      </w:r>
      <w:r>
        <w:rPr>
          <w:rFonts w:hint="eastAsia" w:ascii="宋体" w:hAnsi="宋体" w:eastAsia="宋体" w:cs="宋体"/>
          <w:szCs w:val="24"/>
          <w:highlight w:val="none"/>
          <w:lang w:val="zh-CN"/>
        </w:rPr>
        <w:t>投标</w:t>
      </w:r>
      <w:r>
        <w:rPr>
          <w:rFonts w:hint="eastAsia" w:ascii="宋体" w:hAnsi="宋体" w:eastAsia="宋体" w:cs="宋体"/>
          <w:bCs/>
          <w:szCs w:val="24"/>
          <w:highlight w:val="none"/>
          <w:lang w:val="zh-CN"/>
        </w:rPr>
        <w:t>文件做初审，对未能通过初审的投标文件不再进入下一阶段评审。</w:t>
      </w:r>
    </w:p>
    <w:p w14:paraId="35525DD5">
      <w:pPr>
        <w:autoSpaceDE w:val="0"/>
        <w:autoSpaceDN w:val="0"/>
        <w:adjustRightInd w:val="0"/>
        <w:spacing w:line="400" w:lineRule="exact"/>
        <w:ind w:left="567" w:hanging="567"/>
        <w:rPr>
          <w:rFonts w:hint="eastAsia" w:ascii="宋体" w:hAnsi="宋体" w:eastAsia="宋体" w:cs="宋体"/>
          <w:szCs w:val="24"/>
          <w:highlight w:val="none"/>
          <w:lang w:val="zh-CN"/>
        </w:rPr>
      </w:pPr>
      <w:r>
        <w:rPr>
          <w:rFonts w:hint="eastAsia" w:ascii="宋体" w:hAnsi="宋体" w:eastAsia="宋体" w:cs="宋体"/>
          <w:szCs w:val="24"/>
          <w:highlight w:val="none"/>
          <w:lang w:val="zh-CN"/>
        </w:rPr>
        <w:t>5.2</w:t>
      </w:r>
      <w:r>
        <w:rPr>
          <w:rFonts w:hint="eastAsia" w:ascii="宋体" w:hAnsi="宋体" w:eastAsia="宋体" w:cs="宋体"/>
          <w:szCs w:val="24"/>
          <w:highlight w:val="none"/>
          <w:lang w:val="zh-CN"/>
        </w:rPr>
        <w:tab/>
      </w:r>
      <w:r>
        <w:rPr>
          <w:rFonts w:hint="eastAsia" w:ascii="宋体" w:hAnsi="宋体" w:eastAsia="宋体" w:cs="宋体"/>
          <w:bCs/>
          <w:szCs w:val="24"/>
          <w:highlight w:val="none"/>
          <w:lang w:val="zh-CN"/>
        </w:rPr>
        <w:t>评标</w:t>
      </w:r>
      <w:r>
        <w:rPr>
          <w:rFonts w:hint="eastAsia" w:ascii="宋体" w:hAnsi="宋体" w:eastAsia="宋体" w:cs="宋体"/>
          <w:szCs w:val="24"/>
          <w:highlight w:val="none"/>
          <w:lang w:val="zh-CN"/>
        </w:rPr>
        <w:t>委员会对通过初审的投标人的投标文件进行详细的比较和评价。如需要，进行必要的澄清工作。</w:t>
      </w:r>
    </w:p>
    <w:p w14:paraId="6AE49212">
      <w:pPr>
        <w:autoSpaceDE w:val="0"/>
        <w:autoSpaceDN w:val="0"/>
        <w:adjustRightInd w:val="0"/>
        <w:spacing w:line="400" w:lineRule="exact"/>
        <w:ind w:left="567" w:hanging="567"/>
        <w:rPr>
          <w:rFonts w:hint="eastAsia" w:ascii="宋体" w:hAnsi="宋体" w:eastAsia="宋体" w:cs="宋体"/>
          <w:szCs w:val="24"/>
          <w:highlight w:val="none"/>
          <w:lang w:val="zh-CN"/>
        </w:rPr>
      </w:pPr>
      <w:r>
        <w:rPr>
          <w:rFonts w:hint="eastAsia" w:ascii="宋体" w:hAnsi="宋体" w:eastAsia="宋体" w:cs="宋体"/>
          <w:szCs w:val="24"/>
          <w:highlight w:val="none"/>
          <w:lang w:val="zh-CN"/>
        </w:rPr>
        <w:t>5.3  依据评分标准以及各项权重，各位评标委员会成员单独就每个投标人的商务状况、技术状况进行比较和评价，分别评出其商务得分和技术得分。</w:t>
      </w:r>
    </w:p>
    <w:p w14:paraId="0F134BD9">
      <w:pPr>
        <w:autoSpaceDE w:val="0"/>
        <w:autoSpaceDN w:val="0"/>
        <w:adjustRightInd w:val="0"/>
        <w:spacing w:line="400" w:lineRule="exact"/>
        <w:ind w:left="567" w:hanging="567"/>
        <w:rPr>
          <w:rFonts w:hint="eastAsia" w:ascii="宋体" w:hAnsi="宋体" w:eastAsia="宋体" w:cs="宋体"/>
          <w:kern w:val="0"/>
          <w:szCs w:val="24"/>
          <w:highlight w:val="none"/>
          <w:lang w:val="zh-CN"/>
        </w:rPr>
      </w:pPr>
      <w:r>
        <w:rPr>
          <w:rFonts w:hint="eastAsia" w:ascii="宋体" w:hAnsi="宋体" w:eastAsia="宋体" w:cs="宋体"/>
          <w:kern w:val="0"/>
          <w:szCs w:val="24"/>
          <w:highlight w:val="none"/>
          <w:lang w:val="zh-CN"/>
        </w:rPr>
        <w:t>5.</w:t>
      </w:r>
      <w:r>
        <w:rPr>
          <w:rFonts w:hint="eastAsia" w:ascii="宋体" w:hAnsi="宋体" w:eastAsia="宋体" w:cs="宋体"/>
          <w:kern w:val="0"/>
          <w:szCs w:val="24"/>
          <w:highlight w:val="none"/>
        </w:rPr>
        <w:t>4</w:t>
      </w:r>
      <w:r>
        <w:rPr>
          <w:rFonts w:hint="eastAsia" w:ascii="宋体" w:hAnsi="宋体" w:eastAsia="宋体" w:cs="宋体"/>
          <w:kern w:val="0"/>
          <w:szCs w:val="24"/>
          <w:highlight w:val="none"/>
          <w:lang w:val="zh-CN"/>
        </w:rPr>
        <w:t xml:space="preserve">  将各</w:t>
      </w:r>
      <w:r>
        <w:rPr>
          <w:rFonts w:hint="eastAsia" w:ascii="宋体" w:hAnsi="宋体" w:eastAsia="宋体" w:cs="宋体"/>
          <w:szCs w:val="24"/>
          <w:highlight w:val="none"/>
          <w:lang w:val="zh-CN"/>
        </w:rPr>
        <w:t>评委对</w:t>
      </w:r>
      <w:r>
        <w:rPr>
          <w:rFonts w:hint="eastAsia" w:ascii="宋体" w:hAnsi="宋体" w:eastAsia="宋体" w:cs="宋体"/>
          <w:kern w:val="0"/>
          <w:szCs w:val="24"/>
          <w:highlight w:val="none"/>
          <w:lang w:val="zh-CN"/>
        </w:rPr>
        <w:t>投标人的技术打分的最终综合得分、商务打分的算术平均值得分相加得出投标人的总分。</w:t>
      </w:r>
    </w:p>
    <w:p w14:paraId="02752786">
      <w:pPr>
        <w:autoSpaceDE w:val="0"/>
        <w:autoSpaceDN w:val="0"/>
        <w:adjustRightInd w:val="0"/>
        <w:spacing w:line="400" w:lineRule="exact"/>
        <w:ind w:left="567" w:hanging="567"/>
        <w:rPr>
          <w:rFonts w:hint="eastAsia" w:ascii="宋体" w:hAnsi="宋体" w:eastAsia="宋体" w:cs="宋体"/>
          <w:kern w:val="0"/>
          <w:szCs w:val="21"/>
          <w:highlight w:val="none"/>
        </w:rPr>
      </w:pPr>
      <w:r>
        <w:rPr>
          <w:rFonts w:hint="eastAsia" w:ascii="宋体" w:hAnsi="宋体" w:eastAsia="宋体" w:cs="宋体"/>
          <w:bCs/>
          <w:kern w:val="0"/>
          <w:szCs w:val="24"/>
          <w:highlight w:val="none"/>
        </w:rPr>
        <w:t xml:space="preserve">5.5  </w:t>
      </w:r>
      <w:r>
        <w:rPr>
          <w:rFonts w:hint="eastAsia" w:ascii="宋体" w:hAnsi="宋体" w:eastAsia="宋体" w:cs="宋体"/>
          <w:kern w:val="0"/>
          <w:szCs w:val="21"/>
          <w:highlight w:val="none"/>
        </w:rPr>
        <w:t>评标委员会将向</w:t>
      </w:r>
      <w:r>
        <w:rPr>
          <w:rFonts w:hint="eastAsia" w:ascii="宋体" w:hAnsi="宋体" w:eastAsia="宋体" w:cs="宋体"/>
          <w:kern w:val="0"/>
          <w:szCs w:val="21"/>
          <w:highlight w:val="none"/>
          <w:lang w:eastAsia="zh-CN"/>
        </w:rPr>
        <w:t>招标（采购）人</w:t>
      </w:r>
      <w:r>
        <w:rPr>
          <w:rFonts w:hint="eastAsia" w:ascii="宋体" w:hAnsi="宋体" w:eastAsia="宋体" w:cs="宋体"/>
          <w:kern w:val="0"/>
          <w:szCs w:val="21"/>
          <w:highlight w:val="none"/>
        </w:rPr>
        <w:t>推荐评标最后综合得分最高的前</w:t>
      </w: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rPr>
        <w:t>名的投标人为第一中标候选人，综合得分排名第</w:t>
      </w:r>
      <w:r>
        <w:rPr>
          <w:rFonts w:hint="eastAsia" w:ascii="宋体" w:hAnsi="宋体" w:eastAsia="宋体" w:cs="宋体"/>
          <w:kern w:val="0"/>
          <w:szCs w:val="21"/>
          <w:highlight w:val="none"/>
          <w:lang w:val="en-US" w:eastAsia="zh-CN"/>
        </w:rPr>
        <w:t>五</w:t>
      </w:r>
      <w:r>
        <w:rPr>
          <w:rFonts w:hint="eastAsia" w:ascii="宋体" w:hAnsi="宋体" w:eastAsia="宋体" w:cs="宋体"/>
          <w:kern w:val="0"/>
          <w:szCs w:val="21"/>
          <w:highlight w:val="none"/>
        </w:rPr>
        <w:t>名的为第二中标候选人，综合得分排名第</w:t>
      </w:r>
      <w:r>
        <w:rPr>
          <w:rFonts w:hint="eastAsia" w:ascii="宋体" w:hAnsi="宋体" w:eastAsia="宋体" w:cs="宋体"/>
          <w:kern w:val="0"/>
          <w:szCs w:val="21"/>
          <w:highlight w:val="none"/>
          <w:lang w:val="en-US" w:eastAsia="zh-CN"/>
        </w:rPr>
        <w:t>六</w:t>
      </w:r>
      <w:r>
        <w:rPr>
          <w:rFonts w:hint="eastAsia" w:ascii="宋体" w:hAnsi="宋体" w:eastAsia="宋体" w:cs="宋体"/>
          <w:kern w:val="0"/>
          <w:szCs w:val="21"/>
          <w:highlight w:val="none"/>
        </w:rPr>
        <w:t>名的为第三中标候选人，以此类推（若有效投标人不足</w:t>
      </w:r>
      <w:r>
        <w:rPr>
          <w:rFonts w:hint="eastAsia" w:ascii="宋体" w:hAnsi="宋体" w:eastAsia="宋体" w:cs="宋体"/>
          <w:kern w:val="0"/>
          <w:szCs w:val="21"/>
          <w:highlight w:val="none"/>
          <w:lang w:val="en-US" w:eastAsia="zh-CN"/>
        </w:rPr>
        <w:t>六</w:t>
      </w:r>
      <w:r>
        <w:rPr>
          <w:rFonts w:hint="eastAsia" w:ascii="宋体" w:hAnsi="宋体" w:eastAsia="宋体" w:cs="宋体"/>
          <w:kern w:val="0"/>
          <w:szCs w:val="21"/>
          <w:highlight w:val="none"/>
        </w:rPr>
        <w:t>家的则根据实际情况推荐）。</w:t>
      </w:r>
    </w:p>
    <w:p w14:paraId="2F71C56C">
      <w:pPr>
        <w:autoSpaceDE w:val="0"/>
        <w:autoSpaceDN w:val="0"/>
        <w:adjustRightInd w:val="0"/>
        <w:spacing w:line="400" w:lineRule="exact"/>
        <w:ind w:left="525" w:hanging="525" w:hangingChars="250"/>
        <w:jc w:val="left"/>
        <w:rPr>
          <w:rFonts w:hint="eastAsia" w:ascii="宋体" w:hAnsi="宋体" w:eastAsia="宋体" w:cs="宋体"/>
          <w:szCs w:val="24"/>
          <w:highlight w:val="none"/>
          <w:lang w:val="zh-CN"/>
        </w:rPr>
      </w:pPr>
      <w:r>
        <w:rPr>
          <w:rFonts w:hint="eastAsia" w:ascii="宋体" w:hAnsi="宋体" w:eastAsia="宋体" w:cs="宋体"/>
          <w:kern w:val="0"/>
          <w:szCs w:val="24"/>
          <w:highlight w:val="none"/>
          <w:lang w:val="zh-CN"/>
        </w:rPr>
        <w:t>5.</w:t>
      </w:r>
      <w:r>
        <w:rPr>
          <w:rFonts w:hint="eastAsia" w:ascii="宋体" w:hAnsi="宋体" w:eastAsia="宋体" w:cs="宋体"/>
          <w:szCs w:val="24"/>
          <w:highlight w:val="none"/>
        </w:rPr>
        <w:t>6</w:t>
      </w:r>
      <w:r>
        <w:rPr>
          <w:rFonts w:hint="eastAsia" w:ascii="宋体" w:hAnsi="宋体" w:eastAsia="宋体" w:cs="宋体"/>
          <w:szCs w:val="24"/>
          <w:highlight w:val="none"/>
          <w:lang w:val="zh-CN"/>
        </w:rPr>
        <w:tab/>
      </w:r>
      <w:r>
        <w:rPr>
          <w:rFonts w:hint="eastAsia" w:ascii="宋体" w:hAnsi="宋体" w:eastAsia="宋体" w:cs="宋体"/>
          <w:kern w:val="0"/>
          <w:szCs w:val="24"/>
          <w:highlight w:val="none"/>
          <w:lang w:val="zh-CN"/>
        </w:rPr>
        <w:t>评标委员会</w:t>
      </w:r>
      <w:r>
        <w:rPr>
          <w:rFonts w:hint="eastAsia" w:ascii="宋体" w:hAnsi="宋体" w:eastAsia="宋体" w:cs="宋体"/>
          <w:szCs w:val="24"/>
          <w:highlight w:val="none"/>
          <w:lang w:val="zh-CN"/>
        </w:rPr>
        <w:t>根据评审结果编写评标报告。</w:t>
      </w:r>
    </w:p>
    <w:p w14:paraId="4CE40C33">
      <w:pPr>
        <w:autoSpaceDE w:val="0"/>
        <w:autoSpaceDN w:val="0"/>
        <w:adjustRightInd w:val="0"/>
        <w:spacing w:line="400" w:lineRule="exact"/>
        <w:ind w:left="525" w:hanging="525" w:hangingChars="250"/>
        <w:jc w:val="left"/>
        <w:rPr>
          <w:rFonts w:hint="eastAsia" w:ascii="宋体" w:hAnsi="宋体" w:eastAsia="宋体" w:cs="宋体"/>
          <w:szCs w:val="24"/>
          <w:highlight w:val="none"/>
          <w:lang w:val="zh-CN"/>
        </w:rPr>
      </w:pPr>
    </w:p>
    <w:p w14:paraId="7B1473FC">
      <w:pPr>
        <w:tabs>
          <w:tab w:val="left" w:pos="1140"/>
        </w:tabs>
        <w:autoSpaceDE w:val="0"/>
        <w:autoSpaceDN w:val="0"/>
        <w:adjustRightInd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zh-CN"/>
        </w:rPr>
        <w:t>二、投标文件的初审</w:t>
      </w:r>
    </w:p>
    <w:p w14:paraId="36983B5C">
      <w:pPr>
        <w:autoSpaceDE w:val="0"/>
        <w:autoSpaceDN w:val="0"/>
        <w:adjustRightInd w:val="0"/>
        <w:spacing w:line="400" w:lineRule="exact"/>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6、投标文件的初审分为资格性检查和符合性检查。</w:t>
      </w:r>
    </w:p>
    <w:p w14:paraId="15F653EC">
      <w:pPr>
        <w:autoSpaceDE w:val="0"/>
        <w:autoSpaceDN w:val="0"/>
        <w:adjustRightInd w:val="0"/>
        <w:spacing w:line="400" w:lineRule="exact"/>
        <w:ind w:left="529" w:hanging="529" w:hangingChars="252"/>
        <w:rPr>
          <w:rFonts w:hint="eastAsia" w:ascii="宋体" w:hAnsi="宋体" w:eastAsia="宋体" w:cs="宋体"/>
          <w:szCs w:val="24"/>
          <w:highlight w:val="none"/>
          <w:lang w:val="zh-CN"/>
        </w:rPr>
      </w:pPr>
      <w:r>
        <w:rPr>
          <w:rFonts w:hint="eastAsia" w:ascii="宋体" w:hAnsi="宋体" w:eastAsia="宋体" w:cs="宋体"/>
          <w:szCs w:val="24"/>
          <w:highlight w:val="none"/>
          <w:lang w:val="zh-CN"/>
        </w:rPr>
        <w:t>6.1  资格性检查是指评标委员会依据法律法规和招标（采购）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1D70908">
      <w:pPr>
        <w:autoSpaceDE w:val="0"/>
        <w:autoSpaceDN w:val="0"/>
        <w:adjustRightInd w:val="0"/>
        <w:spacing w:line="400" w:lineRule="exact"/>
        <w:ind w:left="529" w:hanging="529" w:hangingChars="252"/>
        <w:rPr>
          <w:rFonts w:hint="eastAsia" w:ascii="宋体" w:hAnsi="宋体" w:eastAsia="宋体" w:cs="宋体"/>
          <w:szCs w:val="24"/>
          <w:highlight w:val="none"/>
          <w:lang w:val="zh-CN"/>
        </w:rPr>
      </w:pPr>
      <w:r>
        <w:rPr>
          <w:rFonts w:hint="eastAsia" w:ascii="宋体" w:hAnsi="宋体" w:eastAsia="宋体" w:cs="宋体"/>
          <w:szCs w:val="24"/>
          <w:highlight w:val="none"/>
          <w:lang w:val="zh-CN"/>
        </w:rPr>
        <w:t>6.2  符合性检查是指评标委员会依据招标（采购）文件规定，从投标文件的有效性、完整性和对招标（采购）文件的响应程度进行审查，以确定是否对招标（采购）文件的实质性要求作出响应。</w:t>
      </w:r>
    </w:p>
    <w:p w14:paraId="44442F25">
      <w:pPr>
        <w:autoSpaceDE w:val="0"/>
        <w:autoSpaceDN w:val="0"/>
        <w:adjustRightInd w:val="0"/>
        <w:spacing w:line="400" w:lineRule="exact"/>
        <w:ind w:left="420" w:leftChars="200" w:firstLine="42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实质性响应的投标指的是符合招标（采购）文件要求的全部“★”条款和验收标准而无任何重大偏离或保留。重大偏离或保留系指实质上影响到合同项下的服务范围、质量，或指与招标（采购）文件有实质不一致，限制了合同项下委托人的权利和承包人的义务, 或对该重大偏离的修改对提交实质性响应投标的其他投标人将不公平。</w:t>
      </w:r>
    </w:p>
    <w:p w14:paraId="6390584E">
      <w:pPr>
        <w:autoSpaceDE w:val="0"/>
        <w:autoSpaceDN w:val="0"/>
        <w:adjustRightInd w:val="0"/>
        <w:spacing w:line="400" w:lineRule="exact"/>
        <w:ind w:firstLine="840" w:firstLineChars="400"/>
        <w:rPr>
          <w:rFonts w:hint="eastAsia" w:ascii="宋体" w:hAnsi="宋体" w:eastAsia="宋体" w:cs="宋体"/>
          <w:szCs w:val="24"/>
          <w:highlight w:val="none"/>
          <w:lang w:val="zh-CN"/>
        </w:rPr>
      </w:pPr>
      <w:r>
        <w:rPr>
          <w:rFonts w:hint="eastAsia" w:ascii="宋体" w:hAnsi="宋体" w:eastAsia="宋体" w:cs="宋体"/>
          <w:szCs w:val="24"/>
          <w:highlight w:val="none"/>
          <w:lang w:val="zh-CN"/>
        </w:rPr>
        <w:t>评标委员会决定投标文件的响应性是基于投标文件的内容本身而不靠外部的证据。</w:t>
      </w:r>
    </w:p>
    <w:p w14:paraId="58D5D3C0">
      <w:pPr>
        <w:autoSpaceDE w:val="0"/>
        <w:autoSpaceDN w:val="0"/>
        <w:adjustRightInd w:val="0"/>
        <w:spacing w:line="400" w:lineRule="exact"/>
        <w:ind w:left="420" w:leftChars="200" w:firstLine="422" w:firstLineChars="200"/>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对是否符合实质性响应招标（采购）文件有争议的投标文件,评标委员会成员将以记名方式表决,根据少数服</w:t>
      </w:r>
      <w:r>
        <w:rPr>
          <w:rFonts w:hint="eastAsia" w:ascii="宋体" w:hAnsi="宋体" w:eastAsia="宋体" w:cs="宋体"/>
          <w:b/>
          <w:szCs w:val="24"/>
          <w:highlight w:val="none"/>
        </w:rPr>
        <w:t>从</w:t>
      </w:r>
      <w:r>
        <w:rPr>
          <w:rFonts w:hint="eastAsia" w:ascii="宋体" w:hAnsi="宋体" w:eastAsia="宋体" w:cs="宋体"/>
          <w:b/>
          <w:szCs w:val="24"/>
          <w:highlight w:val="none"/>
          <w:lang w:val="zh-CN"/>
        </w:rPr>
        <w:t>多数的原则，获多数表决通过的投标人才有资格进入下一阶段的评审,否则将被认定为无效投标文件。</w:t>
      </w:r>
    </w:p>
    <w:p w14:paraId="3F78ABE7">
      <w:pPr>
        <w:autoSpaceDE w:val="0"/>
        <w:autoSpaceDN w:val="0"/>
        <w:adjustRightInd w:val="0"/>
        <w:spacing w:line="400" w:lineRule="exact"/>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7、投标文件出现下列情况之一的，被认定为无效投标：</w:t>
      </w:r>
    </w:p>
    <w:p w14:paraId="4833DC86">
      <w:pPr>
        <w:autoSpaceDE w:val="0"/>
        <w:autoSpaceDN w:val="0"/>
        <w:adjustRightInd w:val="0"/>
        <w:spacing w:line="400" w:lineRule="exact"/>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 xml:space="preserve">7.1  </w:t>
      </w:r>
      <w:r>
        <w:rPr>
          <w:rFonts w:hint="eastAsia" w:ascii="宋体" w:hAnsi="宋体" w:eastAsia="宋体" w:cs="宋体"/>
          <w:b/>
          <w:bCs/>
          <w:kern w:val="0"/>
          <w:szCs w:val="21"/>
          <w:highlight w:val="none"/>
        </w:rPr>
        <w:t>投标人未按</w:t>
      </w:r>
      <w:r>
        <w:rPr>
          <w:rFonts w:hint="eastAsia" w:ascii="宋体" w:hAnsi="宋体" w:eastAsia="宋体" w:cs="宋体"/>
          <w:b/>
          <w:bCs/>
          <w:kern w:val="0"/>
          <w:szCs w:val="21"/>
          <w:highlight w:val="none"/>
          <w:lang w:eastAsia="zh-CN"/>
        </w:rPr>
        <w:t>招标（采购）文件</w:t>
      </w:r>
      <w:r>
        <w:rPr>
          <w:rFonts w:hint="eastAsia" w:ascii="宋体" w:hAnsi="宋体" w:eastAsia="宋体" w:cs="宋体"/>
          <w:b/>
          <w:bCs/>
          <w:kern w:val="0"/>
          <w:szCs w:val="21"/>
          <w:highlight w:val="none"/>
        </w:rPr>
        <w:t>要求交纳投标保证金的；</w:t>
      </w:r>
    </w:p>
    <w:p w14:paraId="3C090487">
      <w:pPr>
        <w:tabs>
          <w:tab w:val="left" w:pos="567"/>
        </w:tabs>
        <w:spacing w:line="400" w:lineRule="exact"/>
        <w:ind w:left="632" w:hanging="632" w:hangingChars="3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7.2  </w:t>
      </w:r>
      <w:r>
        <w:rPr>
          <w:rFonts w:hint="eastAsia" w:ascii="宋体" w:hAnsi="宋体" w:eastAsia="宋体" w:cs="宋体"/>
          <w:b/>
          <w:kern w:val="0"/>
          <w:szCs w:val="21"/>
          <w:highlight w:val="none"/>
        </w:rPr>
        <w:t>投标文件中的投标报价</w:t>
      </w:r>
      <w:r>
        <w:rPr>
          <w:rFonts w:hint="eastAsia" w:ascii="宋体" w:hAnsi="宋体" w:eastAsia="宋体" w:cs="宋体"/>
          <w:b/>
          <w:bCs/>
          <w:kern w:val="0"/>
          <w:szCs w:val="21"/>
          <w:highlight w:val="none"/>
        </w:rPr>
        <w:t>未按</w:t>
      </w:r>
      <w:r>
        <w:rPr>
          <w:rFonts w:hint="eastAsia" w:ascii="宋体" w:hAnsi="宋体" w:eastAsia="宋体" w:cs="宋体"/>
          <w:b/>
          <w:bCs/>
          <w:kern w:val="0"/>
          <w:szCs w:val="21"/>
          <w:highlight w:val="none"/>
          <w:lang w:eastAsia="zh-CN"/>
        </w:rPr>
        <w:t>招标（采购）文件</w:t>
      </w:r>
      <w:r>
        <w:rPr>
          <w:rFonts w:hint="eastAsia" w:ascii="宋体" w:hAnsi="宋体" w:eastAsia="宋体" w:cs="宋体"/>
          <w:b/>
          <w:bCs/>
          <w:kern w:val="0"/>
          <w:szCs w:val="21"/>
          <w:highlight w:val="none"/>
        </w:rPr>
        <w:t>要求进行报价的；</w:t>
      </w:r>
    </w:p>
    <w:p w14:paraId="157530E3">
      <w:pPr>
        <w:tabs>
          <w:tab w:val="left" w:pos="567"/>
        </w:tabs>
        <w:spacing w:line="400" w:lineRule="exact"/>
        <w:ind w:left="632" w:hanging="632" w:hangingChars="3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7.3  协议服务期未满足</w:t>
      </w:r>
      <w:r>
        <w:rPr>
          <w:rFonts w:hint="eastAsia" w:ascii="宋体" w:hAnsi="宋体" w:eastAsia="宋体" w:cs="宋体"/>
          <w:b/>
          <w:bCs/>
          <w:kern w:val="0"/>
          <w:szCs w:val="21"/>
          <w:highlight w:val="none"/>
          <w:lang w:eastAsia="zh-CN"/>
        </w:rPr>
        <w:t>招标（采购）文件</w:t>
      </w:r>
      <w:r>
        <w:rPr>
          <w:rFonts w:hint="eastAsia" w:ascii="宋体" w:hAnsi="宋体" w:eastAsia="宋体" w:cs="宋体"/>
          <w:b/>
          <w:bCs/>
          <w:kern w:val="0"/>
          <w:szCs w:val="21"/>
          <w:highlight w:val="none"/>
        </w:rPr>
        <w:t>要求的；</w:t>
      </w:r>
    </w:p>
    <w:p w14:paraId="63E7D295">
      <w:pPr>
        <w:tabs>
          <w:tab w:val="left" w:pos="567"/>
        </w:tabs>
        <w:spacing w:line="400" w:lineRule="exact"/>
        <w:ind w:left="632" w:hanging="632" w:hangingChars="300"/>
        <w:rPr>
          <w:rFonts w:hint="eastAsia" w:ascii="宋体" w:hAnsi="宋体" w:eastAsia="宋体" w:cs="宋体"/>
          <w:b/>
          <w:kern w:val="0"/>
          <w:szCs w:val="21"/>
          <w:highlight w:val="none"/>
        </w:rPr>
      </w:pPr>
      <w:r>
        <w:rPr>
          <w:rFonts w:hint="eastAsia" w:ascii="宋体" w:hAnsi="宋体" w:eastAsia="宋体" w:cs="宋体"/>
          <w:b/>
          <w:kern w:val="0"/>
          <w:szCs w:val="21"/>
          <w:highlight w:val="none"/>
        </w:rPr>
        <w:t>7.4  投标人递交两份或多份内容不同的投标文件，或在一份投标文件中报有两个或多个报价，且未书面声明哪一个有效；</w:t>
      </w:r>
    </w:p>
    <w:p w14:paraId="5496B79F">
      <w:pPr>
        <w:tabs>
          <w:tab w:val="left" w:pos="567"/>
        </w:tabs>
        <w:spacing w:line="400" w:lineRule="exact"/>
        <w:ind w:left="632" w:hanging="632" w:hangingChars="3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7.5  </w:t>
      </w:r>
      <w:r>
        <w:rPr>
          <w:rFonts w:hint="eastAsia" w:ascii="宋体" w:hAnsi="宋体" w:eastAsia="宋体" w:cs="宋体"/>
          <w:b/>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1EC65F6">
      <w:pPr>
        <w:spacing w:line="400" w:lineRule="exact"/>
        <w:ind w:left="527" w:hanging="527" w:hangingChars="25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7.6  投标文件未按照</w:t>
      </w:r>
      <w:r>
        <w:rPr>
          <w:rFonts w:hint="eastAsia" w:ascii="宋体" w:hAnsi="宋体" w:eastAsia="宋体" w:cs="宋体"/>
          <w:b/>
          <w:bCs/>
          <w:kern w:val="0"/>
          <w:szCs w:val="21"/>
          <w:highlight w:val="none"/>
          <w:lang w:eastAsia="zh-CN"/>
        </w:rPr>
        <w:t>招标（采购）文件</w:t>
      </w:r>
      <w:r>
        <w:rPr>
          <w:rFonts w:hint="eastAsia" w:ascii="宋体" w:hAnsi="宋体" w:eastAsia="宋体" w:cs="宋体"/>
          <w:b/>
          <w:bCs/>
          <w:kern w:val="0"/>
          <w:szCs w:val="21"/>
          <w:highlight w:val="none"/>
        </w:rPr>
        <w:t>规定要求密封；投标文件无法定代表人或其授权代表签字（或盖私章），或签字人无法定代表人有效授权的；签字盖章不符合</w:t>
      </w:r>
      <w:r>
        <w:rPr>
          <w:rFonts w:hint="eastAsia" w:ascii="宋体" w:hAnsi="宋体" w:eastAsia="宋体" w:cs="宋体"/>
          <w:b/>
          <w:bCs/>
          <w:kern w:val="0"/>
          <w:szCs w:val="21"/>
          <w:highlight w:val="none"/>
          <w:lang w:eastAsia="zh-CN"/>
        </w:rPr>
        <w:t>招标（采购）文件</w:t>
      </w:r>
      <w:r>
        <w:rPr>
          <w:rFonts w:hint="eastAsia" w:ascii="宋体" w:hAnsi="宋体" w:eastAsia="宋体" w:cs="宋体"/>
          <w:b/>
          <w:bCs/>
          <w:kern w:val="0"/>
          <w:szCs w:val="21"/>
          <w:highlight w:val="none"/>
        </w:rPr>
        <w:t xml:space="preserve">要求的； </w:t>
      </w:r>
    </w:p>
    <w:p w14:paraId="7BB2EBD7">
      <w:pPr>
        <w:spacing w:line="400" w:lineRule="exact"/>
        <w:ind w:left="527" w:hanging="527" w:hangingChars="25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7.7  投标有效期限不符合要求；</w:t>
      </w:r>
    </w:p>
    <w:p w14:paraId="06047E3E">
      <w:pPr>
        <w:spacing w:line="400" w:lineRule="exact"/>
        <w:ind w:left="527" w:hanging="527" w:hangingChars="25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7.8  投标文件未对招标范围内的全部内容进行投标报价</w:t>
      </w:r>
      <w:r>
        <w:rPr>
          <w:rFonts w:hint="eastAsia" w:ascii="宋体" w:hAnsi="宋体" w:eastAsia="宋体" w:cs="宋体"/>
          <w:b/>
          <w:kern w:val="0"/>
          <w:szCs w:val="21"/>
          <w:highlight w:val="none"/>
        </w:rPr>
        <w:t>或投标方案不是唯一</w:t>
      </w:r>
      <w:r>
        <w:rPr>
          <w:rFonts w:hint="eastAsia" w:ascii="宋体" w:hAnsi="宋体" w:eastAsia="宋体" w:cs="宋体"/>
          <w:b/>
          <w:bCs/>
          <w:kern w:val="0"/>
          <w:szCs w:val="21"/>
          <w:highlight w:val="none"/>
        </w:rPr>
        <w:t>；</w:t>
      </w:r>
    </w:p>
    <w:p w14:paraId="4EFF9462">
      <w:pPr>
        <w:spacing w:line="400" w:lineRule="exact"/>
        <w:ind w:left="413" w:hanging="413" w:hangingChars="196"/>
        <w:rPr>
          <w:rFonts w:hint="eastAsia" w:ascii="宋体" w:hAnsi="宋体" w:eastAsia="宋体" w:cs="宋体"/>
          <w:b/>
          <w:kern w:val="0"/>
          <w:szCs w:val="21"/>
          <w:highlight w:val="none"/>
        </w:rPr>
      </w:pPr>
      <w:r>
        <w:rPr>
          <w:rFonts w:hint="eastAsia" w:ascii="宋体" w:hAnsi="宋体" w:eastAsia="宋体" w:cs="宋体"/>
          <w:b/>
          <w:kern w:val="0"/>
          <w:szCs w:val="21"/>
          <w:highlight w:val="none"/>
        </w:rPr>
        <w:t>7.9  未提供或虚假填写《合同条款偏离表》，或对《合同条款偏离表》有负偏离的；</w:t>
      </w:r>
    </w:p>
    <w:p w14:paraId="3A0FB71A">
      <w:pPr>
        <w:spacing w:line="400" w:lineRule="exact"/>
        <w:ind w:left="413" w:hanging="413" w:hangingChars="196"/>
        <w:rPr>
          <w:rFonts w:hint="eastAsia" w:ascii="宋体" w:hAnsi="宋体" w:eastAsia="宋体" w:cs="宋体"/>
          <w:b/>
          <w:kern w:val="0"/>
          <w:szCs w:val="21"/>
          <w:highlight w:val="none"/>
        </w:rPr>
      </w:pPr>
      <w:r>
        <w:rPr>
          <w:rFonts w:hint="eastAsia" w:ascii="宋体" w:hAnsi="宋体" w:eastAsia="宋体" w:cs="宋体"/>
          <w:b/>
          <w:kern w:val="0"/>
          <w:szCs w:val="21"/>
          <w:highlight w:val="none"/>
        </w:rPr>
        <w:t>7.10  未填写或虚假填写《用户需求偏离表》的；</w:t>
      </w:r>
    </w:p>
    <w:p w14:paraId="3367DDC4">
      <w:pPr>
        <w:spacing w:line="400" w:lineRule="exact"/>
        <w:ind w:left="413" w:hanging="413" w:hangingChars="196"/>
        <w:rPr>
          <w:rFonts w:hint="eastAsia" w:ascii="宋体" w:hAnsi="宋体" w:eastAsia="宋体" w:cs="宋体"/>
          <w:b/>
          <w:kern w:val="0"/>
          <w:szCs w:val="21"/>
          <w:highlight w:val="none"/>
        </w:rPr>
      </w:pPr>
      <w:r>
        <w:rPr>
          <w:rFonts w:hint="eastAsia" w:ascii="宋体" w:hAnsi="宋体" w:eastAsia="宋体" w:cs="宋体"/>
          <w:b/>
          <w:kern w:val="0"/>
          <w:szCs w:val="21"/>
          <w:highlight w:val="none"/>
        </w:rPr>
        <w:t>7.11  未响应</w:t>
      </w:r>
      <w:r>
        <w:rPr>
          <w:rFonts w:hint="eastAsia" w:ascii="宋体" w:hAnsi="宋体" w:eastAsia="宋体" w:cs="宋体"/>
          <w:b/>
          <w:kern w:val="0"/>
          <w:szCs w:val="21"/>
          <w:highlight w:val="none"/>
          <w:lang w:eastAsia="zh-CN"/>
        </w:rPr>
        <w:t>招标（采购）文件</w:t>
      </w:r>
      <w:r>
        <w:rPr>
          <w:rFonts w:hint="eastAsia" w:ascii="宋体" w:hAnsi="宋体" w:eastAsia="宋体" w:cs="宋体"/>
          <w:b/>
          <w:kern w:val="0"/>
          <w:szCs w:val="21"/>
          <w:highlight w:val="none"/>
        </w:rPr>
        <w:t>提出的实质性要求和条件（标注★的条款）。</w:t>
      </w:r>
    </w:p>
    <w:p w14:paraId="5BBDE227">
      <w:pPr>
        <w:spacing w:line="400" w:lineRule="exact"/>
        <w:ind w:left="413" w:hanging="413" w:hangingChars="196"/>
        <w:rPr>
          <w:rFonts w:hint="default" w:ascii="宋体" w:hAnsi="宋体" w:eastAsia="宋体" w:cs="宋体"/>
          <w:b/>
          <w:kern w:val="0"/>
          <w:szCs w:val="21"/>
          <w:highlight w:val="none"/>
          <w:lang w:val="en-US" w:eastAsia="zh-CN"/>
        </w:rPr>
      </w:pPr>
      <w:r>
        <w:rPr>
          <w:rFonts w:hint="eastAsia" w:ascii="宋体" w:hAnsi="宋体" w:eastAsia="宋体" w:cs="宋体"/>
          <w:b/>
          <w:kern w:val="0"/>
          <w:szCs w:val="21"/>
          <w:highlight w:val="none"/>
          <w:lang w:val="en-US" w:eastAsia="zh-CN"/>
        </w:rPr>
        <w:t>7.12  投标人不符合“第二篇 投标人须知”第26款要求的。</w:t>
      </w:r>
    </w:p>
    <w:p w14:paraId="05B06A0E">
      <w:pPr>
        <w:spacing w:line="400" w:lineRule="exact"/>
        <w:ind w:left="413" w:hanging="413" w:hangingChars="196"/>
        <w:rPr>
          <w:rFonts w:hint="eastAsia" w:ascii="宋体" w:hAnsi="宋体" w:eastAsia="宋体" w:cs="宋体"/>
          <w:b/>
          <w:kern w:val="0"/>
          <w:szCs w:val="21"/>
          <w:highlight w:val="none"/>
        </w:rPr>
      </w:pPr>
    </w:p>
    <w:p w14:paraId="647EB27E">
      <w:pPr>
        <w:autoSpaceDE w:val="0"/>
        <w:autoSpaceDN w:val="0"/>
        <w:adjustRightInd w:val="0"/>
        <w:spacing w:line="400" w:lineRule="exact"/>
        <w:ind w:left="315" w:hanging="315" w:hangingChars="150"/>
        <w:rPr>
          <w:rFonts w:hint="eastAsia" w:ascii="宋体" w:hAnsi="宋体" w:eastAsia="宋体" w:cs="宋体"/>
          <w:kern w:val="0"/>
          <w:szCs w:val="24"/>
          <w:highlight w:val="none"/>
          <w:lang w:val="zh-CN"/>
        </w:rPr>
      </w:pPr>
      <w:r>
        <w:rPr>
          <w:rFonts w:hint="eastAsia" w:ascii="宋体" w:hAnsi="宋体" w:eastAsia="宋体" w:cs="宋体"/>
          <w:bCs/>
          <w:kern w:val="0"/>
          <w:szCs w:val="24"/>
          <w:highlight w:val="none"/>
          <w:lang w:val="zh-CN"/>
        </w:rPr>
        <w:t>8、</w:t>
      </w:r>
      <w:r>
        <w:rPr>
          <w:rFonts w:hint="eastAsia" w:ascii="宋体" w:hAnsi="宋体" w:eastAsia="宋体" w:cs="宋体"/>
          <w:kern w:val="0"/>
          <w:szCs w:val="24"/>
          <w:highlight w:val="none"/>
          <w:lang w:val="zh-CN"/>
        </w:rPr>
        <w:t>评标委员会应当书面要求存在细微偏差的投标人在开标评审结束前予以补正。细微偏差是指投标文件在实质上响应招标（采购）文件要求，但在个别地方存在漏项或者提供了不完整的技术方案信息和数据等情况，并且补正这些遗漏或者不完整不会对其他投标人造成不公平的结果。细微偏差不影响投标文件的有效性。</w:t>
      </w:r>
    </w:p>
    <w:p w14:paraId="0FD28EEE">
      <w:pPr>
        <w:spacing w:line="400" w:lineRule="exact"/>
        <w:ind w:left="480"/>
        <w:rPr>
          <w:rFonts w:hint="eastAsia" w:ascii="宋体" w:hAnsi="宋体" w:eastAsia="宋体" w:cs="宋体"/>
          <w:b/>
          <w:kern w:val="0"/>
          <w:szCs w:val="21"/>
          <w:highlight w:val="none"/>
        </w:rPr>
      </w:pPr>
    </w:p>
    <w:p w14:paraId="592A15D9">
      <w:pPr>
        <w:tabs>
          <w:tab w:val="left" w:pos="1140"/>
        </w:tabs>
        <w:autoSpaceDE w:val="0"/>
        <w:autoSpaceDN w:val="0"/>
        <w:adjustRightInd w:val="0"/>
        <w:spacing w:line="400" w:lineRule="exact"/>
        <w:ind w:firstLine="3528" w:firstLineChars="1255"/>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zh-CN"/>
        </w:rPr>
        <w:t>三、澄清有关问题</w:t>
      </w:r>
    </w:p>
    <w:p w14:paraId="1C62B61E">
      <w:pPr>
        <w:autoSpaceDE w:val="0"/>
        <w:autoSpaceDN w:val="0"/>
        <w:adjustRightInd w:val="0"/>
        <w:spacing w:line="400" w:lineRule="exact"/>
        <w:ind w:left="315" w:hanging="315" w:hangingChars="150"/>
        <w:rPr>
          <w:rFonts w:hint="eastAsia" w:ascii="宋体" w:hAnsi="宋体" w:eastAsia="宋体" w:cs="宋体"/>
          <w:szCs w:val="24"/>
          <w:highlight w:val="none"/>
          <w:lang w:val="zh-CN"/>
        </w:rPr>
      </w:pPr>
      <w:r>
        <w:rPr>
          <w:rFonts w:hint="eastAsia" w:ascii="宋体" w:hAnsi="宋体" w:eastAsia="宋体" w:cs="宋体"/>
          <w:bCs/>
          <w:szCs w:val="24"/>
          <w:highlight w:val="none"/>
          <w:lang w:val="zh-CN"/>
        </w:rPr>
        <w:t>9、</w:t>
      </w:r>
      <w:r>
        <w:rPr>
          <w:rFonts w:hint="eastAsia" w:ascii="宋体" w:hAnsi="宋体" w:eastAsia="宋体" w:cs="宋体"/>
          <w:szCs w:val="24"/>
          <w:highlight w:val="none"/>
          <w:lang w:val="zh-CN"/>
        </w:rPr>
        <w:t>在</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的商务、技术资格性检查及符合性检查过程中，</w:t>
      </w:r>
      <w:r>
        <w:rPr>
          <w:rFonts w:hint="eastAsia" w:ascii="宋体" w:hAnsi="宋体" w:eastAsia="宋体" w:cs="宋体"/>
          <w:kern w:val="0"/>
          <w:szCs w:val="24"/>
          <w:highlight w:val="none"/>
          <w:lang w:val="zh-CN"/>
        </w:rPr>
        <w:t>投标人</w:t>
      </w:r>
      <w:r>
        <w:rPr>
          <w:rFonts w:hint="eastAsia" w:ascii="宋体" w:hAnsi="宋体" w:eastAsia="宋体" w:cs="宋体"/>
          <w:szCs w:val="24"/>
          <w:highlight w:val="none"/>
          <w:lang w:val="zh-CN"/>
        </w:rPr>
        <w:t>可应评标委员会要求对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中有关问题进行书面澄清。该书面澄清作为其</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的一部分。</w:t>
      </w:r>
    </w:p>
    <w:p w14:paraId="515E0828">
      <w:pPr>
        <w:autoSpaceDE w:val="0"/>
        <w:autoSpaceDN w:val="0"/>
        <w:adjustRightInd w:val="0"/>
        <w:spacing w:line="400" w:lineRule="exact"/>
        <w:ind w:left="529" w:hanging="529" w:hangingChars="252"/>
        <w:rPr>
          <w:rFonts w:hint="eastAsia" w:ascii="宋体" w:hAnsi="宋体" w:eastAsia="宋体" w:cs="宋体"/>
          <w:szCs w:val="24"/>
          <w:highlight w:val="none"/>
          <w:lang w:val="zh-CN"/>
        </w:rPr>
      </w:pPr>
      <w:r>
        <w:rPr>
          <w:rFonts w:hint="eastAsia" w:ascii="宋体" w:hAnsi="宋体" w:eastAsia="宋体" w:cs="宋体"/>
          <w:szCs w:val="24"/>
          <w:highlight w:val="none"/>
          <w:lang w:val="zh-CN"/>
        </w:rPr>
        <w:t>9.1  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A1E048E">
      <w:pPr>
        <w:autoSpaceDE w:val="0"/>
        <w:autoSpaceDN w:val="0"/>
        <w:adjustRightInd w:val="0"/>
        <w:spacing w:line="400" w:lineRule="exact"/>
        <w:ind w:left="529" w:hanging="529" w:hangingChars="252"/>
        <w:rPr>
          <w:rFonts w:hint="eastAsia" w:ascii="宋体" w:hAnsi="宋体" w:eastAsia="宋体" w:cs="宋体"/>
          <w:szCs w:val="24"/>
          <w:highlight w:val="none"/>
          <w:lang w:val="zh-CN"/>
        </w:rPr>
      </w:pPr>
      <w:r>
        <w:rPr>
          <w:rFonts w:hint="eastAsia" w:ascii="宋体" w:hAnsi="宋体" w:eastAsia="宋体" w:cs="宋体"/>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8D6FA2F">
      <w:pPr>
        <w:autoSpaceDE w:val="0"/>
        <w:autoSpaceDN w:val="0"/>
        <w:adjustRightInd w:val="0"/>
        <w:spacing w:line="400" w:lineRule="exact"/>
        <w:ind w:left="529" w:right="18" w:hanging="529" w:hangingChars="252"/>
        <w:rPr>
          <w:rFonts w:hint="eastAsia" w:ascii="宋体" w:hAnsi="宋体" w:eastAsia="宋体" w:cs="宋体"/>
          <w:szCs w:val="24"/>
          <w:highlight w:val="none"/>
          <w:lang w:val="zh-CN"/>
        </w:rPr>
      </w:pPr>
      <w:r>
        <w:rPr>
          <w:rFonts w:hint="eastAsia" w:ascii="宋体" w:hAnsi="宋体" w:eastAsia="宋体" w:cs="宋体"/>
          <w:szCs w:val="24"/>
          <w:highlight w:val="none"/>
          <w:lang w:val="zh-CN"/>
        </w:rPr>
        <w:t>9.3  经过澄清后仍不符合要求，则该项目在下一步评审进行评分调整；若重大（实质性）偏差仍存在，且不可接受，投标人则被认为是“不响应招标（采购）文件要求的投标人”，不再进入下一步评审。</w:t>
      </w:r>
    </w:p>
    <w:p w14:paraId="5DD54393">
      <w:pPr>
        <w:autoSpaceDE w:val="0"/>
        <w:autoSpaceDN w:val="0"/>
        <w:adjustRightInd w:val="0"/>
        <w:spacing w:line="400" w:lineRule="exact"/>
        <w:jc w:val="center"/>
        <w:rPr>
          <w:rFonts w:hint="eastAsia" w:ascii="宋体" w:hAnsi="宋体" w:eastAsia="宋体" w:cs="宋体"/>
          <w:b/>
          <w:bCs/>
          <w:sz w:val="28"/>
          <w:szCs w:val="28"/>
          <w:highlight w:val="none"/>
          <w:lang w:val="zh-CN"/>
        </w:rPr>
      </w:pPr>
    </w:p>
    <w:p w14:paraId="6DC1000F">
      <w:pPr>
        <w:autoSpaceDE w:val="0"/>
        <w:autoSpaceDN w:val="0"/>
        <w:adjustRightInd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zh-CN"/>
        </w:rPr>
        <w:t>四、比较和评价</w:t>
      </w:r>
    </w:p>
    <w:p w14:paraId="738A0430">
      <w:pPr>
        <w:autoSpaceDE w:val="0"/>
        <w:autoSpaceDN w:val="0"/>
        <w:adjustRightInd w:val="0"/>
        <w:spacing w:line="400" w:lineRule="exact"/>
        <w:ind w:left="422" w:leftChars="1" w:hanging="420" w:hangingChars="200"/>
        <w:rPr>
          <w:rFonts w:hint="eastAsia" w:ascii="宋体" w:hAnsi="宋体" w:eastAsia="宋体" w:cs="宋体"/>
          <w:szCs w:val="24"/>
          <w:highlight w:val="none"/>
          <w:lang w:val="zh-CN"/>
        </w:rPr>
      </w:pPr>
      <w:r>
        <w:rPr>
          <w:rFonts w:hint="eastAsia" w:ascii="宋体" w:hAnsi="宋体" w:eastAsia="宋体" w:cs="宋体"/>
          <w:bCs/>
          <w:szCs w:val="24"/>
          <w:highlight w:val="none"/>
          <w:lang w:val="zh-CN"/>
        </w:rPr>
        <w:t>10、</w:t>
      </w:r>
      <w:r>
        <w:rPr>
          <w:rFonts w:hint="eastAsia" w:ascii="宋体" w:hAnsi="宋体" w:eastAsia="宋体" w:cs="宋体"/>
          <w:szCs w:val="24"/>
          <w:highlight w:val="none"/>
          <w:lang w:val="zh-CN"/>
        </w:rPr>
        <w:t>评标委员会按招标（采购）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41A9D89D">
      <w:pPr>
        <w:autoSpaceDE w:val="0"/>
        <w:autoSpaceDN w:val="0"/>
        <w:adjustRightInd w:val="0"/>
        <w:spacing w:line="400" w:lineRule="exact"/>
        <w:ind w:left="422" w:leftChars="1" w:hanging="420" w:hangingChars="200"/>
        <w:rPr>
          <w:rFonts w:hint="eastAsia" w:ascii="宋体" w:hAnsi="宋体" w:eastAsia="宋体" w:cs="宋体"/>
          <w:szCs w:val="24"/>
          <w:highlight w:val="none"/>
          <w:lang w:val="zh-CN"/>
        </w:rPr>
      </w:pPr>
    </w:p>
    <w:p w14:paraId="5A73D09D">
      <w:pPr>
        <w:tabs>
          <w:tab w:val="left" w:pos="1701"/>
        </w:tabs>
        <w:autoSpaceDE w:val="0"/>
        <w:autoSpaceDN w:val="0"/>
        <w:adjustRightInd w:val="0"/>
        <w:spacing w:line="400" w:lineRule="exact"/>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11、评委打分办法</w:t>
      </w:r>
    </w:p>
    <w:p w14:paraId="0361A0EA">
      <w:pPr>
        <w:autoSpaceDE w:val="0"/>
        <w:autoSpaceDN w:val="0"/>
        <w:adjustRightInd w:val="0"/>
        <w:spacing w:line="400" w:lineRule="exact"/>
        <w:rPr>
          <w:rFonts w:hint="eastAsia" w:ascii="宋体" w:hAnsi="宋体" w:eastAsia="宋体" w:cs="宋体"/>
          <w:szCs w:val="24"/>
          <w:highlight w:val="none"/>
          <w:lang w:val="zh-CN"/>
        </w:rPr>
      </w:pPr>
      <w:r>
        <w:rPr>
          <w:rFonts w:hint="eastAsia" w:ascii="宋体" w:hAnsi="宋体" w:eastAsia="宋体" w:cs="宋体"/>
          <w:szCs w:val="24"/>
          <w:highlight w:val="none"/>
          <w:lang w:val="zh-CN"/>
        </w:rPr>
        <w:t>11.1 参加评分的评委应尽力体现客观、实事求是，避免学派偏见和个人偏好。</w:t>
      </w:r>
    </w:p>
    <w:p w14:paraId="727CE807">
      <w:pPr>
        <w:autoSpaceDE w:val="0"/>
        <w:autoSpaceDN w:val="0"/>
        <w:adjustRightInd w:val="0"/>
        <w:spacing w:line="400" w:lineRule="exact"/>
        <w:ind w:left="565" w:leftChars="-1" w:hanging="567" w:hangingChars="270"/>
        <w:rPr>
          <w:rFonts w:hint="eastAsia" w:ascii="宋体" w:hAnsi="宋体" w:eastAsia="宋体" w:cs="宋体"/>
          <w:szCs w:val="24"/>
          <w:highlight w:val="none"/>
          <w:lang w:val="zh-CN"/>
        </w:rPr>
      </w:pPr>
      <w:r>
        <w:rPr>
          <w:rFonts w:hint="eastAsia" w:ascii="宋体" w:hAnsi="宋体" w:eastAsia="宋体" w:cs="宋体"/>
          <w:szCs w:val="24"/>
          <w:highlight w:val="none"/>
          <w:lang w:val="zh-CN"/>
        </w:rPr>
        <w:t>11.2 衡量、对比的依据，应以招标（采购）文件、投标文件、提供的正式试验数据、开标澄清中的文字为准，口头回答和收集的资料只作为参考。</w:t>
      </w:r>
    </w:p>
    <w:p w14:paraId="6898FA44">
      <w:pPr>
        <w:autoSpaceDE w:val="0"/>
        <w:autoSpaceDN w:val="0"/>
        <w:adjustRightInd w:val="0"/>
        <w:spacing w:line="400" w:lineRule="exact"/>
        <w:ind w:left="565" w:leftChars="-1" w:hanging="567" w:hangingChars="270"/>
        <w:rPr>
          <w:rFonts w:hint="eastAsia" w:ascii="宋体" w:hAnsi="宋体" w:eastAsia="宋体" w:cs="宋体"/>
          <w:kern w:val="0"/>
          <w:szCs w:val="21"/>
          <w:highlight w:val="none"/>
        </w:rPr>
      </w:pPr>
      <w:r>
        <w:rPr>
          <w:rFonts w:hint="eastAsia" w:ascii="宋体" w:hAnsi="宋体" w:eastAsia="宋体" w:cs="宋体"/>
          <w:szCs w:val="24"/>
          <w:highlight w:val="none"/>
          <w:lang w:val="zh-CN"/>
        </w:rPr>
        <w:t>11.3 评分主要是为比较各投标人的商务、技术综合排序。</w:t>
      </w:r>
      <w:r>
        <w:rPr>
          <w:rFonts w:hint="eastAsia" w:ascii="宋体" w:hAnsi="宋体" w:eastAsia="宋体" w:cs="宋体"/>
          <w:kern w:val="0"/>
          <w:szCs w:val="21"/>
          <w:highlight w:val="none"/>
        </w:rPr>
        <w:t>评标委员会专家组的每一位评委根据</w:t>
      </w:r>
      <w:r>
        <w:rPr>
          <w:rFonts w:hint="eastAsia" w:ascii="宋体" w:hAnsi="宋体" w:eastAsia="宋体" w:cs="宋体"/>
          <w:kern w:val="0"/>
          <w:szCs w:val="21"/>
          <w:highlight w:val="none"/>
          <w:lang w:eastAsia="zh-CN"/>
        </w:rPr>
        <w:t>招标（采购）文件</w:t>
      </w:r>
      <w:r>
        <w:rPr>
          <w:rFonts w:hint="eastAsia" w:ascii="宋体" w:hAnsi="宋体" w:eastAsia="宋体" w:cs="宋体"/>
          <w:kern w:val="0"/>
          <w:szCs w:val="21"/>
          <w:highlight w:val="none"/>
        </w:rPr>
        <w:t>评分标准对投标文件分别评审，对有效投标人投标文件的商务、技术分别评分。</w:t>
      </w:r>
    </w:p>
    <w:p w14:paraId="194CB95C">
      <w:pPr>
        <w:autoSpaceDE w:val="0"/>
        <w:autoSpaceDN w:val="0"/>
        <w:adjustRightInd w:val="0"/>
        <w:spacing w:line="400" w:lineRule="exact"/>
        <w:ind w:left="565" w:leftChars="-1" w:hanging="567" w:hangingChars="270"/>
        <w:rPr>
          <w:rFonts w:hint="eastAsia" w:ascii="宋体" w:hAnsi="宋体" w:eastAsia="宋体" w:cs="宋体"/>
          <w:kern w:val="0"/>
          <w:szCs w:val="21"/>
          <w:highlight w:val="none"/>
        </w:rPr>
      </w:pPr>
      <w:r>
        <w:rPr>
          <w:rFonts w:hint="eastAsia" w:ascii="宋体" w:hAnsi="宋体" w:eastAsia="宋体" w:cs="宋体"/>
          <w:kern w:val="0"/>
          <w:szCs w:val="21"/>
          <w:highlight w:val="none"/>
        </w:rPr>
        <w:t>（1）评标委员会首先对商务标进行评审，按评标标准打分后，取所有评委评分的平均值得出该投标人的商务评分；</w:t>
      </w:r>
    </w:p>
    <w:p w14:paraId="6B139309">
      <w:pPr>
        <w:autoSpaceDE w:val="0"/>
        <w:autoSpaceDN w:val="0"/>
        <w:adjustRightInd w:val="0"/>
        <w:spacing w:line="400" w:lineRule="exact"/>
        <w:ind w:left="565" w:leftChars="-1" w:hanging="567" w:hangingChars="270"/>
        <w:rPr>
          <w:rFonts w:hint="eastAsia" w:ascii="宋体" w:hAnsi="宋体" w:eastAsia="宋体" w:cs="宋体"/>
          <w:szCs w:val="21"/>
          <w:highlight w:val="none"/>
        </w:rPr>
      </w:pPr>
      <w:r>
        <w:rPr>
          <w:rFonts w:hint="eastAsia" w:ascii="宋体" w:hAnsi="宋体" w:eastAsia="宋体" w:cs="宋体"/>
          <w:kern w:val="0"/>
          <w:szCs w:val="21"/>
          <w:highlight w:val="none"/>
        </w:rPr>
        <w:t>（2）然后评标委员会对技术标进行评审，按评标标准打分后，</w:t>
      </w:r>
      <w:r>
        <w:rPr>
          <w:rFonts w:hint="eastAsia" w:ascii="宋体" w:hAnsi="宋体" w:eastAsia="宋体" w:cs="宋体"/>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9525F7B">
      <w:pPr>
        <w:tabs>
          <w:tab w:val="left" w:pos="600"/>
        </w:tabs>
        <w:autoSpaceDE w:val="0"/>
        <w:autoSpaceDN w:val="0"/>
        <w:adjustRightInd w:val="0"/>
        <w:spacing w:line="400" w:lineRule="exact"/>
        <w:rPr>
          <w:rFonts w:hint="eastAsia" w:ascii="宋体" w:hAnsi="宋体" w:eastAsia="宋体" w:cs="宋体"/>
          <w:szCs w:val="24"/>
          <w:highlight w:val="none"/>
          <w:lang w:val="zh-CN"/>
        </w:rPr>
      </w:pPr>
      <w:r>
        <w:rPr>
          <w:rFonts w:hint="eastAsia" w:ascii="宋体" w:hAnsi="宋体" w:eastAsia="宋体" w:cs="宋体"/>
          <w:szCs w:val="24"/>
          <w:highlight w:val="none"/>
          <w:lang w:val="zh-CN"/>
        </w:rPr>
        <w:t>11.4 评标委员会打分采取记名形式。</w:t>
      </w:r>
    </w:p>
    <w:p w14:paraId="18296C9E">
      <w:pPr>
        <w:autoSpaceDE w:val="0"/>
        <w:autoSpaceDN w:val="0"/>
        <w:adjustRightInd w:val="0"/>
        <w:spacing w:line="400" w:lineRule="exact"/>
        <w:ind w:left="565" w:leftChars="-1" w:hanging="567" w:hangingChars="270"/>
        <w:rPr>
          <w:rFonts w:hint="eastAsia" w:ascii="宋体" w:hAnsi="宋体" w:eastAsia="宋体" w:cs="宋体"/>
          <w:szCs w:val="24"/>
          <w:highlight w:val="none"/>
          <w:lang w:val="zh-CN"/>
        </w:rPr>
      </w:pPr>
      <w:r>
        <w:rPr>
          <w:rFonts w:hint="eastAsia" w:ascii="宋体" w:hAnsi="宋体" w:eastAsia="宋体" w:cs="宋体"/>
          <w:szCs w:val="24"/>
          <w:highlight w:val="none"/>
          <w:lang w:val="zh-CN"/>
        </w:rPr>
        <w:t>11.5 各评委根据秘书组提供的打分表严格按照评标大纲内的评分标准独立自主打分，任何人不得要求评委统一打分或统一确定等次顺序。</w:t>
      </w:r>
    </w:p>
    <w:p w14:paraId="56073F05">
      <w:pPr>
        <w:autoSpaceDE w:val="0"/>
        <w:autoSpaceDN w:val="0"/>
        <w:adjustRightInd w:val="0"/>
        <w:spacing w:line="400" w:lineRule="exact"/>
        <w:ind w:left="426" w:hanging="426"/>
        <w:rPr>
          <w:rFonts w:hint="eastAsia" w:ascii="宋体" w:hAnsi="宋体" w:eastAsia="宋体" w:cs="宋体"/>
          <w:szCs w:val="24"/>
          <w:highlight w:val="none"/>
          <w:lang w:val="zh-CN"/>
        </w:rPr>
      </w:pPr>
      <w:r>
        <w:rPr>
          <w:rFonts w:hint="eastAsia" w:ascii="宋体" w:hAnsi="宋体" w:eastAsia="宋体" w:cs="宋体"/>
          <w:szCs w:val="24"/>
          <w:highlight w:val="none"/>
          <w:lang w:val="zh-CN"/>
        </w:rPr>
        <w:t>11.6 对打分表中的每项条款，各评委应根据投标文件、澄清材料、招标（采购）文件要求，按满足的程度给投标人打分。</w:t>
      </w:r>
    </w:p>
    <w:p w14:paraId="57212004">
      <w:pPr>
        <w:tabs>
          <w:tab w:val="left" w:pos="600"/>
        </w:tabs>
        <w:autoSpaceDE w:val="0"/>
        <w:autoSpaceDN w:val="0"/>
        <w:adjustRightInd w:val="0"/>
        <w:spacing w:line="400" w:lineRule="exact"/>
        <w:rPr>
          <w:rFonts w:hint="eastAsia" w:ascii="宋体" w:hAnsi="宋体" w:eastAsia="宋体" w:cs="宋体"/>
          <w:szCs w:val="24"/>
          <w:highlight w:val="none"/>
          <w:lang w:val="zh-CN"/>
        </w:rPr>
      </w:pPr>
      <w:r>
        <w:rPr>
          <w:rFonts w:hint="eastAsia" w:ascii="宋体" w:hAnsi="宋体" w:eastAsia="宋体" w:cs="宋体"/>
          <w:szCs w:val="24"/>
          <w:highlight w:val="none"/>
          <w:lang w:val="zh-CN"/>
        </w:rPr>
        <w:t>11.7 评分程序</w:t>
      </w:r>
    </w:p>
    <w:p w14:paraId="07446DD6">
      <w:pPr>
        <w:tabs>
          <w:tab w:val="left" w:pos="1134"/>
        </w:tabs>
        <w:autoSpaceDE w:val="0"/>
        <w:autoSpaceDN w:val="0"/>
        <w:adjustRightInd w:val="0"/>
        <w:spacing w:line="400" w:lineRule="exact"/>
        <w:ind w:left="565" w:leftChars="-1" w:hanging="567" w:hangingChars="270"/>
        <w:rPr>
          <w:rFonts w:hint="eastAsia" w:ascii="宋体" w:hAnsi="宋体" w:eastAsia="宋体" w:cs="宋体"/>
          <w:szCs w:val="24"/>
          <w:highlight w:val="none"/>
          <w:lang w:val="zh-CN"/>
        </w:rPr>
      </w:pPr>
      <w:r>
        <w:rPr>
          <w:rFonts w:hint="eastAsia" w:ascii="宋体" w:hAnsi="宋体" w:eastAsia="宋体" w:cs="宋体"/>
          <w:szCs w:val="24"/>
          <w:highlight w:val="none"/>
          <w:lang w:val="zh-CN"/>
        </w:rPr>
        <w:t>（1）就投标人的投标文件对照整理出商务、技术评标因素对比表、偏差表，并在经过校核的基础上逐项打分。</w:t>
      </w:r>
    </w:p>
    <w:p w14:paraId="702B5671">
      <w:pPr>
        <w:tabs>
          <w:tab w:val="left" w:pos="1134"/>
        </w:tabs>
        <w:autoSpaceDE w:val="0"/>
        <w:autoSpaceDN w:val="0"/>
        <w:adjustRightInd w:val="0"/>
        <w:spacing w:line="400" w:lineRule="exact"/>
        <w:ind w:left="565" w:leftChars="-1" w:hanging="567" w:hangingChars="270"/>
        <w:rPr>
          <w:rFonts w:hint="eastAsia" w:ascii="宋体" w:hAnsi="宋体" w:eastAsia="宋体" w:cs="宋体"/>
          <w:szCs w:val="24"/>
          <w:highlight w:val="none"/>
          <w:lang w:val="zh-CN"/>
        </w:rPr>
      </w:pPr>
      <w:r>
        <w:rPr>
          <w:rFonts w:hint="eastAsia" w:ascii="宋体" w:hAnsi="宋体" w:eastAsia="宋体" w:cs="宋体"/>
          <w:szCs w:val="24"/>
          <w:highlight w:val="none"/>
          <w:lang w:val="zh-CN"/>
        </w:rPr>
        <w:t>（2）各评委独立完成打分后，将统计好的评分表交给招标代理机构秘书组复核。</w:t>
      </w:r>
    </w:p>
    <w:p w14:paraId="32B606C0">
      <w:pPr>
        <w:tabs>
          <w:tab w:val="left" w:pos="1134"/>
        </w:tabs>
        <w:autoSpaceDE w:val="0"/>
        <w:autoSpaceDN w:val="0"/>
        <w:adjustRightInd w:val="0"/>
        <w:spacing w:line="400" w:lineRule="exact"/>
        <w:ind w:left="565" w:leftChars="-1" w:hanging="567" w:hangingChars="270"/>
        <w:rPr>
          <w:rFonts w:hint="eastAsia" w:ascii="宋体" w:hAnsi="宋体" w:eastAsia="宋体" w:cs="宋体"/>
          <w:szCs w:val="24"/>
          <w:highlight w:val="none"/>
          <w:lang w:val="zh-CN"/>
        </w:rPr>
      </w:pPr>
      <w:r>
        <w:rPr>
          <w:rFonts w:hint="eastAsia" w:ascii="宋体" w:hAnsi="宋体" w:eastAsia="宋体" w:cs="宋体"/>
          <w:szCs w:val="24"/>
          <w:highlight w:val="none"/>
          <w:lang w:val="zh-CN"/>
        </w:rPr>
        <w:t>（3）评分统计表中各投标人技术得分应为最终综合得分，商务得分应为评委打分的算术平均值。</w:t>
      </w:r>
    </w:p>
    <w:p w14:paraId="10325672">
      <w:pPr>
        <w:autoSpaceDE w:val="0"/>
        <w:autoSpaceDN w:val="0"/>
        <w:adjustRightInd w:val="0"/>
        <w:spacing w:line="400" w:lineRule="exact"/>
        <w:rPr>
          <w:rFonts w:hint="eastAsia" w:ascii="宋体" w:hAnsi="宋体" w:eastAsia="宋体" w:cs="宋体"/>
          <w:szCs w:val="24"/>
          <w:highlight w:val="none"/>
          <w:lang w:val="zh-CN"/>
        </w:rPr>
      </w:pPr>
    </w:p>
    <w:p w14:paraId="447EE20F">
      <w:pPr>
        <w:tabs>
          <w:tab w:val="left" w:pos="1701"/>
        </w:tabs>
        <w:autoSpaceDE w:val="0"/>
        <w:autoSpaceDN w:val="0"/>
        <w:adjustRightInd w:val="0"/>
        <w:spacing w:line="400" w:lineRule="exact"/>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12、评分因素及分值</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08F27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F6B1A0C">
            <w:pPr>
              <w:keepNext w:val="0"/>
              <w:keepLines w:val="0"/>
              <w:suppressLineNumbers w:val="0"/>
              <w:spacing w:before="0" w:beforeAutospacing="0" w:after="0" w:afterAutospacing="0" w:line="400" w:lineRule="exact"/>
              <w:ind w:left="0" w:right="0"/>
              <w:jc w:val="center"/>
              <w:rPr>
                <w:rFonts w:hint="eastAsia" w:ascii="宋体" w:hAnsi="宋体" w:eastAsia="宋体" w:cs="宋体"/>
                <w:b/>
                <w:kern w:val="0"/>
                <w:sz w:val="22"/>
                <w:highlight w:val="none"/>
                <w:lang w:val="zh-CN"/>
              </w:rPr>
            </w:pPr>
            <w:r>
              <w:rPr>
                <w:rFonts w:hint="eastAsia" w:ascii="宋体" w:hAnsi="宋体" w:eastAsia="宋体" w:cs="宋体"/>
                <w:b/>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24C0407">
            <w:pPr>
              <w:keepNext w:val="0"/>
              <w:keepLines w:val="0"/>
              <w:suppressLineNumbers w:val="0"/>
              <w:spacing w:before="0" w:beforeAutospacing="0" w:after="0" w:afterAutospacing="0" w:line="400" w:lineRule="exact"/>
              <w:ind w:left="0" w:right="0"/>
              <w:jc w:val="center"/>
              <w:rPr>
                <w:rFonts w:hint="eastAsia" w:ascii="宋体" w:hAnsi="宋体" w:eastAsia="宋体" w:cs="宋体"/>
                <w:b/>
                <w:kern w:val="0"/>
                <w:sz w:val="22"/>
                <w:highlight w:val="none"/>
                <w:lang w:val="zh-CN"/>
              </w:rPr>
            </w:pPr>
            <w:r>
              <w:rPr>
                <w:rFonts w:hint="eastAsia" w:ascii="宋体" w:hAnsi="宋体" w:eastAsia="宋体" w:cs="宋体"/>
                <w:b/>
                <w:kern w:val="0"/>
                <w:sz w:val="22"/>
                <w:highlight w:val="none"/>
                <w:lang w:val="zh-CN"/>
              </w:rPr>
              <w:t>分值</w:t>
            </w:r>
          </w:p>
        </w:tc>
      </w:tr>
      <w:tr w14:paraId="59A3B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9AD6E3F">
            <w:pPr>
              <w:keepNext w:val="0"/>
              <w:keepLines w:val="0"/>
              <w:suppressLineNumbers w:val="0"/>
              <w:spacing w:before="0" w:beforeAutospacing="0" w:after="0" w:afterAutospacing="0" w:line="400" w:lineRule="exact"/>
              <w:ind w:left="0" w:right="0"/>
              <w:jc w:val="center"/>
              <w:rPr>
                <w:rFonts w:hint="eastAsia" w:ascii="宋体" w:hAnsi="宋体" w:eastAsia="宋体" w:cs="宋体"/>
                <w:b/>
                <w:kern w:val="0"/>
                <w:szCs w:val="21"/>
                <w:highlight w:val="none"/>
                <w:lang w:val="zh-CN"/>
              </w:rPr>
            </w:pPr>
            <w:r>
              <w:rPr>
                <w:rFonts w:hint="eastAsia" w:ascii="宋体" w:hAnsi="宋体" w:eastAsia="宋体" w:cs="宋体"/>
                <w:b/>
                <w:kern w:val="0"/>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0C0627A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kern w:val="0"/>
                <w:szCs w:val="21"/>
                <w:highlight w:val="none"/>
                <w:lang w:val="zh-CN"/>
              </w:rPr>
            </w:pPr>
            <w:r>
              <w:rPr>
                <w:rFonts w:hint="eastAsia" w:ascii="宋体" w:hAnsi="宋体" w:eastAsia="宋体" w:cs="宋体"/>
                <w:b/>
                <w:szCs w:val="21"/>
                <w:highlight w:val="none"/>
              </w:rPr>
              <w:t>55</w:t>
            </w:r>
            <w:r>
              <w:rPr>
                <w:rFonts w:hint="eastAsia" w:ascii="宋体" w:hAnsi="宋体" w:eastAsia="宋体" w:cs="宋体"/>
                <w:b/>
                <w:szCs w:val="21"/>
                <w:highlight w:val="none"/>
                <w:lang w:val="zh-CN"/>
              </w:rPr>
              <w:t>分</w:t>
            </w:r>
          </w:p>
        </w:tc>
      </w:tr>
      <w:tr w14:paraId="0054B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2BE9838">
            <w:pPr>
              <w:keepNext w:val="0"/>
              <w:keepLines w:val="0"/>
              <w:suppressLineNumbers w:val="0"/>
              <w:spacing w:before="0" w:beforeAutospacing="0" w:after="0" w:afterAutospacing="0" w:line="400" w:lineRule="exact"/>
              <w:ind w:left="0" w:right="0"/>
              <w:jc w:val="center"/>
              <w:rPr>
                <w:rFonts w:hint="eastAsia" w:ascii="宋体" w:hAnsi="宋体" w:eastAsia="宋体" w:cs="宋体"/>
                <w:b/>
                <w:kern w:val="0"/>
                <w:szCs w:val="21"/>
                <w:highlight w:val="none"/>
                <w:lang w:val="zh-CN"/>
              </w:rPr>
            </w:pPr>
            <w:r>
              <w:rPr>
                <w:rFonts w:hint="eastAsia" w:ascii="宋体" w:hAnsi="宋体" w:eastAsia="宋体" w:cs="宋体"/>
                <w:b/>
                <w:kern w:val="0"/>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08DE4E1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kern w:val="0"/>
                <w:szCs w:val="21"/>
                <w:highlight w:val="none"/>
                <w:lang w:val="zh-CN"/>
              </w:rPr>
            </w:pPr>
            <w:r>
              <w:rPr>
                <w:rFonts w:hint="eastAsia" w:ascii="宋体" w:hAnsi="宋体" w:eastAsia="宋体" w:cs="宋体"/>
                <w:b/>
                <w:szCs w:val="21"/>
                <w:highlight w:val="none"/>
              </w:rPr>
              <w:t>45</w:t>
            </w:r>
            <w:r>
              <w:rPr>
                <w:rFonts w:hint="eastAsia" w:ascii="宋体" w:hAnsi="宋体" w:eastAsia="宋体" w:cs="宋体"/>
                <w:b/>
                <w:szCs w:val="21"/>
                <w:highlight w:val="none"/>
                <w:lang w:val="zh-CN"/>
              </w:rPr>
              <w:t>分</w:t>
            </w:r>
          </w:p>
        </w:tc>
      </w:tr>
    </w:tbl>
    <w:p w14:paraId="428FD054">
      <w:pPr>
        <w:tabs>
          <w:tab w:val="left" w:pos="585"/>
        </w:tabs>
        <w:autoSpaceDE w:val="0"/>
        <w:autoSpaceDN w:val="0"/>
        <w:adjustRightInd w:val="0"/>
        <w:spacing w:line="400" w:lineRule="exact"/>
        <w:rPr>
          <w:rFonts w:hint="eastAsia" w:ascii="宋体" w:hAnsi="宋体" w:eastAsia="宋体" w:cs="宋体"/>
          <w:b/>
          <w:szCs w:val="21"/>
          <w:highlight w:val="none"/>
        </w:rPr>
      </w:pPr>
      <w:bookmarkStart w:id="814" w:name="_Toc18349_WPSOffice_Level2"/>
    </w:p>
    <w:p w14:paraId="1E73523C">
      <w:pPr>
        <w:tabs>
          <w:tab w:val="left" w:pos="585"/>
        </w:tabs>
        <w:autoSpaceDE w:val="0"/>
        <w:autoSpaceDN w:val="0"/>
        <w:adjustRightInd w:val="0"/>
        <w:spacing w:line="400" w:lineRule="exact"/>
        <w:rPr>
          <w:rFonts w:hint="eastAsia" w:ascii="宋体" w:hAnsi="宋体" w:eastAsia="宋体" w:cs="宋体"/>
          <w:b/>
          <w:szCs w:val="21"/>
          <w:highlight w:val="none"/>
          <w:lang w:val="zh-CN"/>
        </w:rPr>
      </w:pPr>
      <w:r>
        <w:rPr>
          <w:rFonts w:hint="eastAsia" w:ascii="宋体" w:hAnsi="宋体" w:eastAsia="宋体" w:cs="宋体"/>
          <w:b/>
          <w:szCs w:val="21"/>
          <w:highlight w:val="none"/>
        </w:rPr>
        <w:t>（1）</w:t>
      </w:r>
      <w:r>
        <w:rPr>
          <w:rFonts w:hint="eastAsia" w:ascii="宋体" w:hAnsi="宋体" w:eastAsia="宋体" w:cs="宋体"/>
          <w:b/>
          <w:szCs w:val="21"/>
          <w:highlight w:val="none"/>
          <w:lang w:val="zh-CN"/>
        </w:rPr>
        <w:t>商务：总分</w:t>
      </w:r>
      <w:r>
        <w:rPr>
          <w:rFonts w:hint="eastAsia" w:ascii="宋体" w:hAnsi="宋体" w:eastAsia="宋体" w:cs="宋体"/>
          <w:b/>
          <w:szCs w:val="21"/>
          <w:highlight w:val="none"/>
        </w:rPr>
        <w:t>55</w:t>
      </w:r>
      <w:r>
        <w:rPr>
          <w:rFonts w:hint="eastAsia" w:ascii="宋体" w:hAnsi="宋体" w:eastAsia="宋体" w:cs="宋体"/>
          <w:b/>
          <w:szCs w:val="21"/>
          <w:highlight w:val="none"/>
          <w:lang w:val="zh-CN"/>
        </w:rPr>
        <w:t>分</w:t>
      </w:r>
      <w:bookmarkEnd w:id="814"/>
    </w:p>
    <w:tbl>
      <w:tblPr>
        <w:tblStyle w:val="4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41"/>
        <w:gridCol w:w="1315"/>
        <w:gridCol w:w="7443"/>
        <w:gridCol w:w="971"/>
      </w:tblGrid>
      <w:tr w14:paraId="30912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0" w:hRule="atLeast"/>
          <w:jc w:val="center"/>
        </w:trPr>
        <w:tc>
          <w:tcPr>
            <w:tcW w:w="309" w:type="pct"/>
            <w:tcBorders>
              <w:top w:val="single" w:color="auto" w:sz="2" w:space="0"/>
              <w:left w:val="single" w:color="auto" w:sz="2" w:space="0"/>
              <w:bottom w:val="single" w:color="auto" w:sz="2" w:space="0"/>
              <w:right w:val="single" w:color="auto" w:sz="4" w:space="0"/>
            </w:tcBorders>
            <w:shd w:val="clear" w:color="auto" w:fill="FFFFFF"/>
            <w:vAlign w:val="center"/>
          </w:tcPr>
          <w:p w14:paraId="4F2E2B89">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highlight w:val="none"/>
              </w:rPr>
            </w:pPr>
            <w:bookmarkStart w:id="815" w:name="_Toc11639_WPSOffice_Level2"/>
            <w:r>
              <w:rPr>
                <w:rFonts w:hint="eastAsia" w:ascii="宋体" w:hAnsi="宋体" w:eastAsia="宋体" w:cs="宋体"/>
                <w:b/>
                <w:szCs w:val="21"/>
                <w:highlight w:val="none"/>
              </w:rPr>
              <w:t>序号</w:t>
            </w:r>
          </w:p>
        </w:tc>
        <w:tc>
          <w:tcPr>
            <w:tcW w:w="634" w:type="pct"/>
            <w:tcBorders>
              <w:top w:val="single" w:color="auto" w:sz="2" w:space="0"/>
              <w:left w:val="single" w:color="auto" w:sz="4" w:space="0"/>
              <w:bottom w:val="single" w:color="auto" w:sz="2" w:space="0"/>
              <w:right w:val="single" w:color="auto" w:sz="2" w:space="0"/>
            </w:tcBorders>
            <w:shd w:val="clear" w:color="auto" w:fill="FFFFFF"/>
            <w:vAlign w:val="center"/>
          </w:tcPr>
          <w:p w14:paraId="6A03F77D">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评审内容</w:t>
            </w:r>
          </w:p>
        </w:tc>
        <w:tc>
          <w:tcPr>
            <w:tcW w:w="3588" w:type="pct"/>
            <w:tcBorders>
              <w:top w:val="single" w:color="auto" w:sz="4" w:space="0"/>
              <w:left w:val="single" w:color="auto" w:sz="4" w:space="0"/>
              <w:bottom w:val="single" w:color="auto" w:sz="2" w:space="0"/>
              <w:right w:val="single" w:color="auto" w:sz="2" w:space="0"/>
            </w:tcBorders>
            <w:shd w:val="clear" w:color="auto" w:fill="FFFFFF"/>
            <w:vAlign w:val="center"/>
          </w:tcPr>
          <w:p w14:paraId="3C689B92">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评审细则</w:t>
            </w:r>
          </w:p>
        </w:tc>
        <w:tc>
          <w:tcPr>
            <w:tcW w:w="468" w:type="pct"/>
            <w:tcBorders>
              <w:top w:val="single" w:color="auto" w:sz="4" w:space="0"/>
              <w:left w:val="single" w:color="auto" w:sz="4" w:space="0"/>
              <w:bottom w:val="single" w:color="auto" w:sz="2" w:space="0"/>
              <w:right w:val="single" w:color="auto" w:sz="2" w:space="0"/>
            </w:tcBorders>
            <w:shd w:val="clear" w:color="auto" w:fill="FFFFFF"/>
            <w:vAlign w:val="center"/>
          </w:tcPr>
          <w:p w14:paraId="4EA4B4BC">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满分值（分）</w:t>
            </w:r>
          </w:p>
        </w:tc>
      </w:tr>
      <w:tr w14:paraId="23ABD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309" w:type="pct"/>
            <w:tcBorders>
              <w:top w:val="single" w:color="auto" w:sz="2" w:space="0"/>
              <w:left w:val="single" w:color="auto" w:sz="2" w:space="0"/>
              <w:bottom w:val="single" w:color="auto" w:sz="2" w:space="0"/>
              <w:right w:val="single" w:color="auto" w:sz="4" w:space="0"/>
            </w:tcBorders>
            <w:shd w:val="clear" w:color="auto" w:fill="FFFFFF"/>
            <w:vAlign w:val="center"/>
          </w:tcPr>
          <w:p w14:paraId="573664BA">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34" w:type="pct"/>
            <w:tcBorders>
              <w:top w:val="single" w:color="auto" w:sz="2" w:space="0"/>
              <w:left w:val="single" w:color="auto" w:sz="4" w:space="0"/>
              <w:bottom w:val="single" w:color="auto" w:sz="2" w:space="0"/>
              <w:right w:val="single" w:color="auto" w:sz="2" w:space="0"/>
            </w:tcBorders>
            <w:shd w:val="clear" w:color="auto" w:fill="FFFFFF"/>
            <w:vAlign w:val="center"/>
          </w:tcPr>
          <w:p w14:paraId="5AA2FC5B">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财务状况</w:t>
            </w:r>
          </w:p>
        </w:tc>
        <w:tc>
          <w:tcPr>
            <w:tcW w:w="3588" w:type="pct"/>
            <w:tcBorders>
              <w:top w:val="single" w:color="auto" w:sz="4" w:space="0"/>
              <w:left w:val="single" w:color="auto" w:sz="4" w:space="0"/>
              <w:bottom w:val="single" w:color="auto" w:sz="2" w:space="0"/>
              <w:right w:val="single" w:color="auto" w:sz="2" w:space="0"/>
            </w:tcBorders>
            <w:shd w:val="clear" w:color="auto" w:fill="FFFFFF"/>
            <w:vAlign w:val="center"/>
          </w:tcPr>
          <w:p w14:paraId="7E921EC0">
            <w:pPr>
              <w:pStyle w:val="19"/>
              <w:keepNext w:val="0"/>
              <w:keepLines w:val="0"/>
              <w:suppressLineNumbers w:val="0"/>
              <w:adjustRightInd/>
              <w:spacing w:before="0" w:beforeAutospacing="0" w:after="0" w:afterAutospacing="0" w:line="400" w:lineRule="exact"/>
              <w:ind w:left="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投标人202</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年-202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年三个年度，每具有1个年度盈利的得1分，满分3分。</w:t>
            </w:r>
          </w:p>
          <w:p w14:paraId="1A4239DC">
            <w:pPr>
              <w:pStyle w:val="19"/>
              <w:keepNext w:val="0"/>
              <w:keepLines w:val="0"/>
              <w:suppressLineNumbers w:val="0"/>
              <w:adjustRightInd/>
              <w:spacing w:before="0" w:beforeAutospacing="0" w:after="0" w:afterAutospacing="0" w:line="400" w:lineRule="exact"/>
              <w:ind w:lef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备注：投标人应提供202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年三个年度的财务报告，净利润以经审计的财务报表为准，应提供经独立会计师事务所审计过的有效的财务报告（含审计报告和财务报表）复印件；</w:t>
            </w:r>
            <w:r>
              <w:rPr>
                <w:rFonts w:hint="eastAsia" w:ascii="宋体" w:hAnsi="宋体" w:eastAsia="宋体" w:cs="宋体"/>
                <w:sz w:val="21"/>
                <w:szCs w:val="21"/>
                <w:highlight w:val="none"/>
                <w:lang w:val="en-US"/>
              </w:rPr>
              <w:t>三年</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en-US"/>
              </w:rPr>
              <w:t>盈利</w:t>
            </w:r>
            <w:r>
              <w:rPr>
                <w:rFonts w:hint="eastAsia" w:ascii="宋体" w:hAnsi="宋体" w:eastAsia="宋体" w:cs="宋体"/>
                <w:sz w:val="21"/>
                <w:szCs w:val="21"/>
                <w:highlight w:val="none"/>
              </w:rPr>
              <w:t>或未提供前述财务报告或财务报告未能反映净利润的，不得分。</w:t>
            </w:r>
          </w:p>
        </w:tc>
        <w:tc>
          <w:tcPr>
            <w:tcW w:w="468" w:type="pct"/>
            <w:tcBorders>
              <w:top w:val="single" w:color="auto" w:sz="4" w:space="0"/>
              <w:left w:val="single" w:color="auto" w:sz="4" w:space="0"/>
              <w:bottom w:val="single" w:color="auto" w:sz="2" w:space="0"/>
              <w:right w:val="single" w:color="auto" w:sz="2" w:space="0"/>
            </w:tcBorders>
            <w:shd w:val="clear" w:color="auto" w:fill="FFFFFF"/>
            <w:vAlign w:val="center"/>
          </w:tcPr>
          <w:p w14:paraId="71D3DE16">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r>
      <w:tr w14:paraId="3891C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309" w:type="pct"/>
            <w:tcBorders>
              <w:top w:val="single" w:color="auto" w:sz="2" w:space="0"/>
              <w:left w:val="single" w:color="auto" w:sz="2" w:space="0"/>
              <w:bottom w:val="single" w:color="auto" w:sz="2" w:space="0"/>
              <w:right w:val="single" w:color="auto" w:sz="4" w:space="0"/>
            </w:tcBorders>
            <w:vAlign w:val="center"/>
          </w:tcPr>
          <w:p w14:paraId="6FA303E1">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34" w:type="pct"/>
            <w:tcBorders>
              <w:top w:val="single" w:color="auto" w:sz="2" w:space="0"/>
              <w:left w:val="single" w:color="auto" w:sz="4" w:space="0"/>
              <w:bottom w:val="single" w:color="auto" w:sz="2" w:space="0"/>
              <w:right w:val="single" w:color="auto" w:sz="2" w:space="0"/>
            </w:tcBorders>
            <w:vAlign w:val="center"/>
          </w:tcPr>
          <w:p w14:paraId="49B3E1E5">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投标人</w:t>
            </w:r>
          </w:p>
          <w:p w14:paraId="677144D2">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实力</w:t>
            </w:r>
          </w:p>
        </w:tc>
        <w:tc>
          <w:tcPr>
            <w:tcW w:w="3588" w:type="pct"/>
            <w:tcBorders>
              <w:top w:val="single" w:color="auto" w:sz="4" w:space="0"/>
              <w:left w:val="single" w:color="auto" w:sz="4" w:space="0"/>
              <w:bottom w:val="single" w:color="auto" w:sz="2" w:space="0"/>
              <w:right w:val="single" w:color="auto" w:sz="2" w:space="0"/>
            </w:tcBorders>
            <w:vAlign w:val="center"/>
          </w:tcPr>
          <w:p w14:paraId="52498A21">
            <w:pPr>
              <w:pStyle w:val="19"/>
              <w:keepNext w:val="0"/>
              <w:keepLines w:val="0"/>
              <w:suppressLineNumbers w:val="0"/>
              <w:spacing w:before="0" w:beforeAutospacing="0" w:after="0" w:afterAutospacing="0" w:line="400" w:lineRule="exact"/>
              <w:ind w:lef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（1）投标人具有有效期内的ISO9001质量管理体系认证证书得</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分，本子项满分</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w:t>
            </w:r>
          </w:p>
          <w:p w14:paraId="26A58E4F">
            <w:pPr>
              <w:pStyle w:val="19"/>
              <w:keepNext w:val="0"/>
              <w:keepLines w:val="0"/>
              <w:suppressLineNumbers w:val="0"/>
              <w:spacing w:before="0" w:beforeAutospacing="0" w:after="0" w:afterAutospacing="0" w:line="400" w:lineRule="exact"/>
              <w:ind w:lef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（2）投标人具有有效期内的OHSAS18001（或GB/T45001-2020，或ISO45001）职业健康安全管理体系认证证书得</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分，本子项满分</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w:t>
            </w:r>
          </w:p>
          <w:p w14:paraId="2ACB0679">
            <w:pPr>
              <w:pStyle w:val="19"/>
              <w:keepNext w:val="0"/>
              <w:keepLines w:val="0"/>
              <w:suppressLineNumbers w:val="0"/>
              <w:spacing w:before="0" w:beforeAutospacing="0" w:after="0" w:afterAutospacing="0" w:line="400" w:lineRule="exact"/>
              <w:ind w:lef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（3）投标人具有有效期内的ISO14001环境管理体系认证证书的，得</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分，本子项满分</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w:t>
            </w:r>
          </w:p>
          <w:p w14:paraId="0E0F4A95">
            <w:pPr>
              <w:pStyle w:val="19"/>
              <w:keepNext w:val="0"/>
              <w:keepLines w:val="0"/>
              <w:suppressLineNumbers w:val="0"/>
              <w:spacing w:before="0" w:beforeAutospacing="0" w:after="0" w:afterAutospacing="0" w:line="400" w:lineRule="exact"/>
              <w:ind w:left="0"/>
              <w:jc w:val="left"/>
              <w:rPr>
                <w:rFonts w:hint="eastAsia" w:ascii="宋体" w:hAnsi="宋体" w:eastAsia="宋体" w:cs="宋体"/>
                <w:szCs w:val="21"/>
                <w:highlight w:val="none"/>
              </w:rPr>
            </w:pPr>
            <w:r>
              <w:rPr>
                <w:rFonts w:hint="eastAsia" w:ascii="宋体" w:hAnsi="宋体" w:eastAsia="宋体" w:cs="宋体"/>
                <w:b w:val="0"/>
                <w:sz w:val="21"/>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68" w:type="pct"/>
            <w:tcBorders>
              <w:top w:val="single" w:color="auto" w:sz="4" w:space="0"/>
              <w:left w:val="single" w:color="auto" w:sz="4" w:space="0"/>
              <w:bottom w:val="single" w:color="auto" w:sz="2" w:space="0"/>
              <w:right w:val="single" w:color="auto" w:sz="2" w:space="0"/>
            </w:tcBorders>
            <w:vAlign w:val="center"/>
          </w:tcPr>
          <w:p w14:paraId="17766770">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bCs/>
                <w:szCs w:val="21"/>
                <w:highlight w:val="none"/>
              </w:rPr>
              <w:t>9</w:t>
            </w:r>
          </w:p>
        </w:tc>
      </w:tr>
      <w:tr w14:paraId="296B5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67" w:hRule="atLeast"/>
          <w:jc w:val="center"/>
        </w:trPr>
        <w:tc>
          <w:tcPr>
            <w:tcW w:w="309" w:type="pct"/>
            <w:tcBorders>
              <w:top w:val="single" w:color="auto" w:sz="2" w:space="0"/>
              <w:left w:val="single" w:color="auto" w:sz="2" w:space="0"/>
              <w:bottom w:val="single" w:color="auto" w:sz="2" w:space="0"/>
              <w:right w:val="single" w:color="auto" w:sz="4" w:space="0"/>
            </w:tcBorders>
            <w:vAlign w:val="center"/>
          </w:tcPr>
          <w:p w14:paraId="3B599737">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34" w:type="pct"/>
            <w:tcBorders>
              <w:top w:val="single" w:color="auto" w:sz="2" w:space="0"/>
              <w:left w:val="single" w:color="auto" w:sz="4" w:space="0"/>
              <w:bottom w:val="single" w:color="auto" w:sz="2" w:space="0"/>
              <w:right w:val="single" w:color="auto" w:sz="2" w:space="0"/>
            </w:tcBorders>
            <w:vAlign w:val="center"/>
          </w:tcPr>
          <w:p w14:paraId="6D0D235E">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执业纪律</w:t>
            </w:r>
          </w:p>
        </w:tc>
        <w:tc>
          <w:tcPr>
            <w:tcW w:w="3588" w:type="pct"/>
            <w:tcBorders>
              <w:top w:val="single" w:color="auto" w:sz="4" w:space="0"/>
              <w:left w:val="single" w:color="auto" w:sz="4" w:space="0"/>
              <w:bottom w:val="single" w:color="auto" w:sz="2" w:space="0"/>
              <w:right w:val="single" w:color="auto" w:sz="2" w:space="0"/>
            </w:tcBorders>
          </w:tcPr>
          <w:p w14:paraId="206CF3A9">
            <w:pPr>
              <w:keepNext w:val="0"/>
              <w:keepLines w:val="0"/>
              <w:suppressLineNumbers w:val="0"/>
              <w:spacing w:before="0" w:beforeAutospacing="0" w:after="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投标人（含投标人依法设立的分公司）在投标前3年内（202</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年）未受到招标投标活动实施监督的行政机关给予行政处罚的得3分，否则不得分。</w:t>
            </w:r>
          </w:p>
          <w:p w14:paraId="285E0E9C">
            <w:pPr>
              <w:keepNext w:val="0"/>
              <w:keepLines w:val="0"/>
              <w:suppressLineNumbers w:val="0"/>
              <w:spacing w:before="0" w:beforeAutospacing="0" w:after="0" w:afterAutospacing="0" w:line="400" w:lineRule="exact"/>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备注：</w:t>
            </w:r>
          </w:p>
          <w:p w14:paraId="0A841E04">
            <w:pPr>
              <w:pStyle w:val="138"/>
              <w:keepNext w:val="0"/>
              <w:keepLines w:val="0"/>
              <w:numPr>
                <w:ilvl w:val="0"/>
                <w:numId w:val="0"/>
              </w:numPr>
              <w:suppressLineNumbers w:val="0"/>
              <w:spacing w:before="0" w:beforeAutospacing="0" w:after="0" w:afterAutospacing="0" w:line="400" w:lineRule="exact"/>
              <w:ind w:left="360" w:leftChars="0" w:right="0" w:rightChars="0" w:hanging="360" w:firstLineChars="0"/>
              <w:rPr>
                <w:rFonts w:hint="eastAsia" w:ascii="宋体" w:hAnsi="宋体" w:eastAsia="宋体" w:cs="宋体"/>
                <w:b/>
                <w:bCs/>
                <w:szCs w:val="21"/>
                <w:highlight w:val="none"/>
                <w:lang w:val="zh-CN"/>
              </w:rPr>
            </w:pPr>
            <w:r>
              <w:rPr>
                <w:rFonts w:hint="default" w:ascii="宋体" w:hAnsi="宋体" w:eastAsia="宋体" w:cs="宋体"/>
                <w:b/>
                <w:bCs/>
                <w:kern w:val="2"/>
                <w:sz w:val="21"/>
                <w:szCs w:val="21"/>
                <w:highlight w:val="none"/>
                <w:lang w:val="zh-CN" w:eastAsia="zh-CN" w:bidi="ar-SA"/>
              </w:rPr>
              <w:t>①</w:t>
            </w:r>
            <w:r>
              <w:rPr>
                <w:rFonts w:hint="eastAsia" w:ascii="宋体" w:hAnsi="宋体" w:eastAsia="宋体" w:cs="宋体"/>
                <w:b/>
                <w:bCs/>
                <w:szCs w:val="21"/>
                <w:highlight w:val="none"/>
              </w:rPr>
              <w:t>投标人提供书面声明函加盖</w:t>
            </w:r>
            <w:r>
              <w:rPr>
                <w:rFonts w:hint="eastAsia" w:ascii="宋体" w:hAnsi="宋体" w:eastAsia="宋体" w:cs="宋体"/>
                <w:b/>
                <w:bCs/>
                <w:szCs w:val="21"/>
                <w:highlight w:val="none"/>
                <w:lang w:eastAsia="zh-CN"/>
              </w:rPr>
              <w:t>投标人公章</w:t>
            </w:r>
            <w:r>
              <w:rPr>
                <w:rFonts w:hint="eastAsia" w:ascii="宋体" w:hAnsi="宋体" w:eastAsia="宋体" w:cs="宋体"/>
                <w:b/>
                <w:bCs/>
                <w:szCs w:val="21"/>
                <w:highlight w:val="none"/>
              </w:rPr>
              <w:t>（格式自拟）。</w:t>
            </w:r>
            <w:r>
              <w:rPr>
                <w:rFonts w:hint="eastAsia" w:ascii="宋体" w:hAnsi="宋体" w:eastAsia="宋体" w:cs="宋体"/>
                <w:b/>
                <w:bCs/>
                <w:szCs w:val="21"/>
                <w:highlight w:val="none"/>
                <w:lang w:val="zh-CN"/>
              </w:rPr>
              <w:t>如投标人在此项评审内容中作出虚假</w:t>
            </w:r>
            <w:r>
              <w:rPr>
                <w:rFonts w:hint="eastAsia" w:ascii="宋体" w:hAnsi="宋体" w:eastAsia="宋体" w:cs="宋体"/>
                <w:b/>
                <w:bCs/>
                <w:szCs w:val="21"/>
                <w:highlight w:val="none"/>
              </w:rPr>
              <w:t>声明</w:t>
            </w:r>
            <w:r>
              <w:rPr>
                <w:rFonts w:hint="eastAsia" w:ascii="宋体" w:hAnsi="宋体" w:eastAsia="宋体" w:cs="宋体"/>
                <w:b/>
                <w:bCs/>
                <w:szCs w:val="21"/>
                <w:highlight w:val="none"/>
                <w:lang w:val="zh-CN"/>
              </w:rPr>
              <w:t>（</w:t>
            </w:r>
            <w:r>
              <w:rPr>
                <w:rFonts w:hint="eastAsia" w:ascii="宋体" w:hAnsi="宋体" w:eastAsia="宋体" w:cs="宋体"/>
                <w:b/>
                <w:bCs/>
                <w:szCs w:val="21"/>
                <w:highlight w:val="none"/>
              </w:rPr>
              <w:t>或未能如实声明</w:t>
            </w:r>
            <w:r>
              <w:rPr>
                <w:rFonts w:hint="eastAsia" w:ascii="宋体" w:hAnsi="宋体" w:eastAsia="宋体" w:cs="宋体"/>
                <w:b/>
                <w:bCs/>
                <w:szCs w:val="21"/>
                <w:highlight w:val="none"/>
                <w:lang w:val="zh-CN"/>
              </w:rPr>
              <w:t>）的，</w:t>
            </w:r>
            <w:r>
              <w:rPr>
                <w:rFonts w:hint="eastAsia" w:ascii="宋体" w:hAnsi="宋体" w:eastAsia="宋体" w:cs="宋体"/>
                <w:b/>
                <w:bCs/>
                <w:szCs w:val="21"/>
                <w:highlight w:val="none"/>
              </w:rPr>
              <w:t>一经发现</w:t>
            </w:r>
            <w:r>
              <w:rPr>
                <w:rFonts w:hint="eastAsia" w:ascii="宋体" w:hAnsi="宋体" w:eastAsia="宋体" w:cs="宋体"/>
                <w:b/>
                <w:bCs/>
                <w:szCs w:val="21"/>
                <w:highlight w:val="none"/>
                <w:lang w:val="zh-CN"/>
              </w:rPr>
              <w:t>视为虚假应标，</w:t>
            </w:r>
            <w:r>
              <w:rPr>
                <w:rFonts w:hint="eastAsia" w:ascii="宋体" w:hAnsi="宋体" w:eastAsia="宋体" w:cs="宋体"/>
                <w:b/>
                <w:bCs/>
                <w:szCs w:val="21"/>
                <w:highlight w:val="none"/>
              </w:rPr>
              <w:t>取消其投标（中标）资格，</w:t>
            </w:r>
            <w:r>
              <w:rPr>
                <w:rFonts w:hint="eastAsia" w:ascii="宋体" w:hAnsi="宋体" w:eastAsia="宋体" w:cs="宋体"/>
                <w:b/>
                <w:bCs/>
                <w:szCs w:val="21"/>
                <w:highlight w:val="none"/>
                <w:lang w:eastAsia="zh-CN"/>
              </w:rPr>
              <w:t>招标（采购）人</w:t>
            </w:r>
            <w:r>
              <w:rPr>
                <w:rFonts w:hint="eastAsia" w:ascii="宋体" w:hAnsi="宋体" w:eastAsia="宋体" w:cs="宋体"/>
                <w:b/>
                <w:bCs/>
                <w:szCs w:val="21"/>
                <w:highlight w:val="none"/>
              </w:rPr>
              <w:t>将没收其投标保证金</w:t>
            </w:r>
            <w:r>
              <w:rPr>
                <w:rFonts w:hint="eastAsia" w:ascii="宋体" w:hAnsi="宋体" w:eastAsia="宋体" w:cs="宋体"/>
                <w:b/>
                <w:bCs/>
                <w:szCs w:val="21"/>
                <w:highlight w:val="none"/>
                <w:lang w:val="zh-CN"/>
              </w:rPr>
              <w:t>。</w:t>
            </w:r>
          </w:p>
          <w:p w14:paraId="48C40D07">
            <w:pPr>
              <w:pStyle w:val="138"/>
              <w:keepNext w:val="0"/>
              <w:keepLines w:val="0"/>
              <w:numPr>
                <w:ilvl w:val="0"/>
                <w:numId w:val="0"/>
              </w:numPr>
              <w:suppressLineNumbers w:val="0"/>
              <w:spacing w:before="0" w:beforeAutospacing="0" w:after="0" w:afterAutospacing="0" w:line="400" w:lineRule="exact"/>
              <w:ind w:left="360" w:leftChars="0" w:right="0" w:rightChars="0" w:hanging="360" w:firstLineChars="0"/>
              <w:rPr>
                <w:rFonts w:hint="eastAsia" w:ascii="宋体" w:hAnsi="宋体" w:eastAsia="宋体" w:cs="宋体"/>
                <w:szCs w:val="21"/>
                <w:highlight w:val="none"/>
              </w:rPr>
            </w:pPr>
            <w:r>
              <w:rPr>
                <w:rFonts w:hint="default" w:ascii="宋体" w:hAnsi="宋体" w:eastAsia="宋体" w:cs="宋体"/>
                <w:b/>
                <w:bCs/>
                <w:kern w:val="2"/>
                <w:sz w:val="21"/>
                <w:szCs w:val="21"/>
                <w:highlight w:val="none"/>
                <w:lang w:val="en-US" w:eastAsia="zh-CN" w:bidi="ar-SA"/>
              </w:rPr>
              <w:t>②</w:t>
            </w:r>
            <w:r>
              <w:rPr>
                <w:rFonts w:hint="eastAsia" w:ascii="宋体" w:hAnsi="宋体" w:eastAsia="宋体" w:cs="宋体"/>
                <w:b/>
                <w:bCs/>
                <w:szCs w:val="21"/>
                <w:highlight w:val="none"/>
                <w:lang w:val="zh-CN"/>
              </w:rPr>
              <w:t>行政处罚的认定，执行《中华人民共和国行政处罚法》。</w:t>
            </w:r>
          </w:p>
        </w:tc>
        <w:tc>
          <w:tcPr>
            <w:tcW w:w="468" w:type="pct"/>
            <w:tcBorders>
              <w:top w:val="single" w:color="auto" w:sz="4" w:space="0"/>
              <w:left w:val="single" w:color="auto" w:sz="4" w:space="0"/>
              <w:bottom w:val="single" w:color="auto" w:sz="2" w:space="0"/>
              <w:right w:val="single" w:color="auto" w:sz="2" w:space="0"/>
            </w:tcBorders>
            <w:vAlign w:val="center"/>
          </w:tcPr>
          <w:p w14:paraId="3E0836F6">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szCs w:val="21"/>
                <w:highlight w:val="none"/>
              </w:rPr>
              <w:t>3</w:t>
            </w:r>
          </w:p>
        </w:tc>
      </w:tr>
      <w:tr w14:paraId="51D3D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7" w:hRule="atLeast"/>
          <w:jc w:val="center"/>
        </w:trPr>
        <w:tc>
          <w:tcPr>
            <w:tcW w:w="309" w:type="pct"/>
            <w:tcBorders>
              <w:left w:val="single" w:color="auto" w:sz="2" w:space="0"/>
              <w:bottom w:val="single" w:color="auto" w:sz="4" w:space="0"/>
              <w:right w:val="single" w:color="auto" w:sz="4" w:space="0"/>
            </w:tcBorders>
            <w:vAlign w:val="center"/>
          </w:tcPr>
          <w:p w14:paraId="20256EBB">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34" w:type="pct"/>
            <w:tcBorders>
              <w:left w:val="single" w:color="auto" w:sz="4" w:space="0"/>
              <w:bottom w:val="single" w:color="auto" w:sz="4" w:space="0"/>
              <w:right w:val="single" w:color="auto" w:sz="2" w:space="0"/>
            </w:tcBorders>
            <w:vAlign w:val="center"/>
          </w:tcPr>
          <w:p w14:paraId="60C7DCA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bCs/>
                <w:szCs w:val="21"/>
                <w:highlight w:val="none"/>
              </w:rPr>
              <w:t>业绩</w:t>
            </w:r>
          </w:p>
        </w:tc>
        <w:tc>
          <w:tcPr>
            <w:tcW w:w="3588" w:type="pct"/>
            <w:tcBorders>
              <w:top w:val="single" w:color="auto" w:sz="4" w:space="0"/>
              <w:left w:val="single" w:color="auto" w:sz="4" w:space="0"/>
              <w:bottom w:val="single" w:color="auto" w:sz="4" w:space="0"/>
              <w:right w:val="single" w:color="auto" w:sz="2" w:space="0"/>
            </w:tcBorders>
          </w:tcPr>
          <w:p w14:paraId="6EBFEF6E">
            <w:pPr>
              <w:keepNext w:val="0"/>
              <w:keepLines w:val="0"/>
              <w:suppressLineNumbers w:val="0"/>
              <w:spacing w:before="0" w:beforeLines="10" w:beforeAutospacing="0" w:after="30" w:afterAutospacing="0" w:line="400" w:lineRule="exact"/>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1.投标人在2021年1月1日至今累计完成的企业采购</w:t>
            </w:r>
            <w:r>
              <w:rPr>
                <w:rFonts w:hint="eastAsia" w:ascii="宋体" w:hAnsi="宋体" w:eastAsia="宋体" w:cs="宋体"/>
                <w:b/>
                <w:bCs/>
                <w:szCs w:val="21"/>
                <w:highlight w:val="none"/>
                <w:lang w:val="en-US" w:eastAsia="zh-CN"/>
              </w:rPr>
              <w:t>或政府采购</w:t>
            </w:r>
            <w:r>
              <w:rPr>
                <w:rFonts w:hint="eastAsia" w:ascii="宋体" w:hAnsi="宋体" w:eastAsia="宋体" w:cs="宋体"/>
                <w:b/>
                <w:bCs/>
                <w:szCs w:val="21"/>
                <w:highlight w:val="none"/>
              </w:rPr>
              <w:t>代理业绩情况进行评审（满分</w:t>
            </w:r>
            <w:r>
              <w:rPr>
                <w:rFonts w:hint="eastAsia" w:ascii="宋体" w:hAnsi="宋体" w:eastAsia="宋体" w:cs="宋体"/>
                <w:b/>
                <w:bCs/>
                <w:szCs w:val="21"/>
                <w:highlight w:val="none"/>
                <w:lang w:val="en-US" w:eastAsia="zh-CN"/>
              </w:rPr>
              <w:t>32</w:t>
            </w:r>
            <w:r>
              <w:rPr>
                <w:rFonts w:hint="eastAsia" w:ascii="宋体" w:hAnsi="宋体" w:eastAsia="宋体" w:cs="宋体"/>
                <w:b/>
                <w:bCs/>
                <w:szCs w:val="21"/>
                <w:highlight w:val="none"/>
              </w:rPr>
              <w:t>分）：</w:t>
            </w:r>
          </w:p>
          <w:p w14:paraId="21E875B3">
            <w:pPr>
              <w:keepNext w:val="0"/>
              <w:keepLines w:val="0"/>
              <w:suppressLineNumbers w:val="0"/>
              <w:spacing w:before="0" w:beforeAutospacing="0" w:after="0" w:afterAutospacing="0" w:line="400" w:lineRule="exact"/>
              <w:ind w:left="0" w:right="0"/>
              <w:rPr>
                <w:rFonts w:hint="eastAsia" w:ascii="宋体" w:hAnsi="宋体" w:eastAsia="宋体" w:cs="宋体"/>
                <w:szCs w:val="21"/>
                <w:highlight w:val="none"/>
                <w:lang w:val="zh-CN"/>
              </w:rPr>
            </w:pPr>
            <w:r>
              <w:rPr>
                <w:rFonts w:hint="eastAsia" w:ascii="宋体" w:hAnsi="宋体" w:eastAsia="宋体" w:cs="宋体"/>
                <w:b/>
                <w:szCs w:val="21"/>
                <w:highlight w:val="none"/>
                <w:lang w:val="zh-CN"/>
              </w:rPr>
              <w:t>（1）业务类型为货物类（满分</w:t>
            </w:r>
            <w:r>
              <w:rPr>
                <w:rFonts w:hint="eastAsia" w:ascii="宋体" w:hAnsi="宋体" w:eastAsia="宋体" w:cs="宋体"/>
                <w:b/>
                <w:szCs w:val="21"/>
                <w:highlight w:val="none"/>
                <w:lang w:val="en-US" w:eastAsia="zh-CN"/>
              </w:rPr>
              <w:t>16</w:t>
            </w:r>
            <w:r>
              <w:rPr>
                <w:rFonts w:hint="eastAsia" w:ascii="宋体" w:hAnsi="宋体" w:eastAsia="宋体" w:cs="宋体"/>
                <w:b/>
                <w:szCs w:val="21"/>
                <w:highlight w:val="none"/>
                <w:lang w:val="zh-CN"/>
              </w:rPr>
              <w:t>分）</w:t>
            </w:r>
            <w:r>
              <w:rPr>
                <w:rFonts w:hint="eastAsia" w:ascii="宋体" w:hAnsi="宋体" w:eastAsia="宋体" w:cs="宋体"/>
                <w:szCs w:val="21"/>
                <w:highlight w:val="none"/>
                <w:lang w:val="zh-CN"/>
              </w:rPr>
              <w:t>：</w:t>
            </w:r>
          </w:p>
          <w:p w14:paraId="48CD8272">
            <w:pPr>
              <w:keepNext w:val="0"/>
              <w:keepLines w:val="0"/>
              <w:suppressLineNumbers w:val="0"/>
              <w:spacing w:before="0" w:beforeLines="10" w:beforeAutospacing="0" w:after="3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①单项成交合同金额≥1000万元的前述业绩，每项得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7CFE22FE">
            <w:pPr>
              <w:keepNext w:val="0"/>
              <w:keepLines w:val="0"/>
              <w:suppressLineNumbers w:val="0"/>
              <w:spacing w:before="24" w:beforeAutospacing="0" w:after="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②500万元≤单项成交合同金额＜1000万元的前述业绩，每项得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分，本子项满分</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6F64CC08">
            <w:pPr>
              <w:keepNext w:val="0"/>
              <w:keepLines w:val="0"/>
              <w:suppressLineNumbers w:val="0"/>
              <w:spacing w:before="24" w:beforeAutospacing="0" w:after="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③100万元≤单项成交合同金额＜500万元的前述业绩，每项得</w:t>
            </w:r>
            <w:r>
              <w:rPr>
                <w:rFonts w:hint="eastAsia" w:ascii="宋体" w:hAnsi="宋体" w:eastAsia="宋体" w:cs="宋体"/>
                <w:szCs w:val="21"/>
                <w:highlight w:val="none"/>
                <w:lang w:val="en-US" w:eastAsia="zh-CN"/>
              </w:rPr>
              <w:t>0.5</w:t>
            </w:r>
            <w:r>
              <w:rPr>
                <w:rFonts w:hint="eastAsia" w:ascii="宋体" w:hAnsi="宋体" w:eastAsia="宋体" w:cs="宋体"/>
                <w:szCs w:val="21"/>
                <w:highlight w:val="none"/>
              </w:rPr>
              <w:t>分，本子项满分</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p w14:paraId="20116AB1">
            <w:pPr>
              <w:keepNext w:val="0"/>
              <w:keepLines w:val="0"/>
              <w:suppressLineNumbers w:val="0"/>
              <w:spacing w:before="0" w:beforeAutospacing="0" w:after="0" w:afterAutospacing="0" w:line="400" w:lineRule="exact"/>
              <w:ind w:left="0" w:right="0"/>
              <w:rPr>
                <w:rFonts w:hint="eastAsia" w:ascii="宋体" w:hAnsi="宋体" w:eastAsia="宋体" w:cs="宋体"/>
                <w:szCs w:val="21"/>
                <w:highlight w:val="none"/>
                <w:lang w:val="zh-CN"/>
              </w:rPr>
            </w:pPr>
            <w:r>
              <w:rPr>
                <w:rFonts w:hint="eastAsia" w:ascii="宋体" w:hAnsi="宋体" w:eastAsia="宋体" w:cs="宋体"/>
                <w:b/>
                <w:szCs w:val="21"/>
                <w:highlight w:val="none"/>
                <w:lang w:val="zh-CN"/>
              </w:rPr>
              <w:t>（2）业务类型为服务类（满分</w:t>
            </w:r>
            <w:r>
              <w:rPr>
                <w:rFonts w:hint="eastAsia" w:ascii="宋体" w:hAnsi="宋体" w:eastAsia="宋体" w:cs="宋体"/>
                <w:b/>
                <w:szCs w:val="21"/>
                <w:highlight w:val="none"/>
                <w:lang w:val="en-US" w:eastAsia="zh-CN"/>
              </w:rPr>
              <w:t>16</w:t>
            </w:r>
            <w:r>
              <w:rPr>
                <w:rFonts w:hint="eastAsia" w:ascii="宋体" w:hAnsi="宋体" w:eastAsia="宋体" w:cs="宋体"/>
                <w:b/>
                <w:szCs w:val="21"/>
                <w:highlight w:val="none"/>
                <w:lang w:val="zh-CN"/>
              </w:rPr>
              <w:t>分）</w:t>
            </w:r>
            <w:r>
              <w:rPr>
                <w:rFonts w:hint="eastAsia" w:ascii="宋体" w:hAnsi="宋体" w:eastAsia="宋体" w:cs="宋体"/>
                <w:szCs w:val="21"/>
                <w:highlight w:val="none"/>
                <w:lang w:val="zh-CN"/>
              </w:rPr>
              <w:t>：</w:t>
            </w:r>
          </w:p>
          <w:p w14:paraId="49787239">
            <w:pPr>
              <w:keepNext w:val="0"/>
              <w:keepLines w:val="0"/>
              <w:suppressLineNumbers w:val="0"/>
              <w:spacing w:before="0" w:beforeLines="10" w:beforeAutospacing="0" w:after="3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①单项成交合同金额≥1000万元的前述业绩，每项得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66295BB3">
            <w:pPr>
              <w:keepNext w:val="0"/>
              <w:keepLines w:val="0"/>
              <w:suppressLineNumbers w:val="0"/>
              <w:spacing w:before="0" w:beforeLines="10" w:beforeAutospacing="0" w:after="3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②500万元≤单项成交合同金额＜1000万元的前述业绩，每项得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分，本子项满分</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147B9037">
            <w:pPr>
              <w:keepNext w:val="0"/>
              <w:keepLines w:val="0"/>
              <w:suppressLineNumbers w:val="0"/>
              <w:spacing w:before="24" w:beforeAutospacing="0" w:after="0" w:afterAutospacing="0" w:line="400" w:lineRule="exact"/>
              <w:ind w:left="0" w:right="0"/>
              <w:rPr>
                <w:rFonts w:hint="eastAsia" w:ascii="宋体" w:hAnsi="宋体" w:eastAsia="宋体" w:cs="宋体"/>
                <w:highlight w:val="none"/>
              </w:rPr>
            </w:pPr>
            <w:r>
              <w:rPr>
                <w:rFonts w:hint="eastAsia" w:ascii="宋体" w:hAnsi="宋体" w:eastAsia="宋体" w:cs="宋体"/>
                <w:szCs w:val="21"/>
                <w:highlight w:val="none"/>
              </w:rPr>
              <w:t>③100万元≤单项成交合同金额＜500万元的前述业绩，每项得</w:t>
            </w:r>
            <w:r>
              <w:rPr>
                <w:rFonts w:hint="eastAsia" w:ascii="宋体" w:hAnsi="宋体" w:eastAsia="宋体" w:cs="宋体"/>
                <w:szCs w:val="21"/>
                <w:highlight w:val="none"/>
                <w:lang w:val="en-US" w:eastAsia="zh-CN"/>
              </w:rPr>
              <w:t>0.5</w:t>
            </w:r>
            <w:r>
              <w:rPr>
                <w:rFonts w:hint="eastAsia" w:ascii="宋体" w:hAnsi="宋体" w:eastAsia="宋体" w:cs="宋体"/>
                <w:szCs w:val="21"/>
                <w:highlight w:val="none"/>
              </w:rPr>
              <w:t>分，本子项满分</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p w14:paraId="701A0A3A">
            <w:pPr>
              <w:keepNext w:val="0"/>
              <w:keepLines w:val="0"/>
              <w:suppressLineNumbers w:val="0"/>
              <w:spacing w:before="0" w:beforeLines="10" w:beforeAutospacing="0" w:after="30" w:afterAutospacing="0" w:line="400" w:lineRule="exact"/>
              <w:ind w:left="0" w:right="0"/>
              <w:rPr>
                <w:rFonts w:hint="eastAsia" w:ascii="宋体" w:hAnsi="宋体" w:eastAsia="宋体" w:cs="宋体"/>
                <w:b/>
                <w:bCs/>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.投标人在2021年1月1日至今累计完成的，采用非招标方式（如竞争性磋商、竞争性谈判、询价、单一来源）采购代理业绩情况进行评审，每提供1个得1分，满分5分。</w:t>
            </w:r>
          </w:p>
          <w:p w14:paraId="74DD4292">
            <w:pPr>
              <w:keepNext w:val="0"/>
              <w:keepLines w:val="0"/>
              <w:suppressLineNumbers w:val="0"/>
              <w:spacing w:before="0" w:beforeLines="10" w:beforeAutospacing="0" w:after="30" w:afterAutospacing="0" w:line="400" w:lineRule="exact"/>
              <w:ind w:left="0" w:right="0"/>
              <w:rPr>
                <w:rFonts w:hint="eastAsia" w:ascii="宋体" w:hAnsi="宋体" w:eastAsia="宋体" w:cs="宋体"/>
                <w:b/>
                <w:szCs w:val="21"/>
                <w:highlight w:val="none"/>
              </w:rPr>
            </w:pPr>
            <w:r>
              <w:rPr>
                <w:rFonts w:hint="eastAsia" w:ascii="宋体" w:hAnsi="宋体" w:eastAsia="宋体" w:cs="宋体"/>
                <w:b/>
                <w:szCs w:val="21"/>
                <w:highlight w:val="none"/>
              </w:rPr>
              <w:t>备注：</w:t>
            </w:r>
          </w:p>
          <w:p w14:paraId="61AD89CD">
            <w:pPr>
              <w:pStyle w:val="1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b/>
                <w:szCs w:val="21"/>
                <w:highlight w:val="none"/>
              </w:rPr>
            </w:pPr>
            <w:r>
              <w:rPr>
                <w:rFonts w:hint="default" w:ascii="宋体" w:hAnsi="宋体" w:eastAsia="宋体" w:cs="宋体"/>
                <w:b/>
                <w:kern w:val="2"/>
                <w:sz w:val="21"/>
                <w:szCs w:val="21"/>
                <w:highlight w:val="none"/>
                <w:lang w:val="en-US" w:eastAsia="zh-CN" w:bidi="ar-SA"/>
              </w:rPr>
              <w:t>①</w:t>
            </w:r>
            <w:r>
              <w:rPr>
                <w:rFonts w:hint="eastAsia" w:ascii="宋体" w:hAnsi="宋体" w:eastAsia="宋体" w:cs="宋体"/>
                <w:b/>
                <w:szCs w:val="21"/>
                <w:highlight w:val="none"/>
              </w:rPr>
              <w:t>企业采购代理业绩中，</w:t>
            </w:r>
            <w:r>
              <w:rPr>
                <w:rFonts w:hint="eastAsia" w:ascii="宋体" w:hAnsi="宋体" w:eastAsia="宋体" w:cs="宋体"/>
                <w:b/>
                <w:szCs w:val="21"/>
                <w:highlight w:val="none"/>
                <w:lang w:val="zh-CN"/>
              </w:rPr>
              <w:t>与工程建设有关的设备、材料等货物采购不予得分；与工程建设有关的勘察、设计、监理等服务采购不予得分；</w:t>
            </w:r>
          </w:p>
          <w:p w14:paraId="3CDA66FB">
            <w:pPr>
              <w:pStyle w:val="1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b/>
                <w:szCs w:val="21"/>
                <w:highlight w:val="none"/>
              </w:rPr>
            </w:pPr>
            <w:r>
              <w:rPr>
                <w:rFonts w:hint="default" w:ascii="宋体" w:hAnsi="宋体" w:eastAsia="宋体" w:cs="宋体"/>
                <w:b/>
                <w:kern w:val="2"/>
                <w:sz w:val="21"/>
                <w:szCs w:val="21"/>
                <w:highlight w:val="none"/>
                <w:lang w:val="en-US" w:eastAsia="zh-CN" w:bidi="ar-SA"/>
              </w:rPr>
              <w:t>②</w:t>
            </w:r>
            <w:r>
              <w:rPr>
                <w:rFonts w:hint="eastAsia" w:ascii="宋体" w:hAnsi="宋体" w:eastAsia="宋体" w:cs="宋体"/>
                <w:b/>
                <w:szCs w:val="21"/>
                <w:highlight w:val="none"/>
              </w:rPr>
              <w:t>采购代理业绩的时间及金额以中标（成交）通知书为准【如单个代理业绩含多个包组，金额则按所有包组中标（成交）通知书总和计算】，</w:t>
            </w:r>
            <w:r>
              <w:rPr>
                <w:rFonts w:hint="eastAsia" w:ascii="宋体" w:hAnsi="宋体" w:eastAsia="宋体" w:cs="宋体"/>
                <w:b/>
                <w:bCs/>
                <w:szCs w:val="21"/>
                <w:highlight w:val="none"/>
                <w:lang w:val="en-US" w:eastAsia="zh-CN"/>
              </w:rPr>
              <w:t>如上述资料未能显示有关评分要求内容，还须同时提供中标（成交）采购合同关键页等其他证明资料，</w:t>
            </w:r>
            <w:r>
              <w:rPr>
                <w:rFonts w:hint="eastAsia" w:ascii="宋体" w:hAnsi="宋体" w:eastAsia="宋体" w:cs="宋体"/>
                <w:b/>
                <w:szCs w:val="21"/>
                <w:highlight w:val="none"/>
              </w:rPr>
              <w:t>须同时提供采购代理协议（代理合同）、采购公告、采购结果公告及中标（成交）通知书复印件；</w:t>
            </w:r>
          </w:p>
          <w:p w14:paraId="445F9E75">
            <w:pPr>
              <w:pStyle w:val="1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szCs w:val="21"/>
                <w:highlight w:val="none"/>
              </w:rPr>
            </w:pPr>
            <w:r>
              <w:rPr>
                <w:rFonts w:hint="default" w:ascii="宋体" w:hAnsi="宋体" w:eastAsia="宋体" w:cs="宋体"/>
                <w:b/>
                <w:bCs/>
                <w:kern w:val="2"/>
                <w:sz w:val="21"/>
                <w:szCs w:val="21"/>
                <w:highlight w:val="none"/>
                <w:lang w:val="en-US" w:eastAsia="zh-CN" w:bidi="ar-SA"/>
              </w:rPr>
              <w:t>③</w:t>
            </w:r>
            <w:r>
              <w:rPr>
                <w:rFonts w:hint="eastAsia" w:ascii="宋体" w:hAnsi="宋体" w:eastAsia="宋体" w:cs="宋体"/>
                <w:b/>
                <w:szCs w:val="21"/>
                <w:highlight w:val="none"/>
              </w:rPr>
              <w:t>业绩不重复计算，由投标人自行放入对应的评分子项。</w:t>
            </w:r>
          </w:p>
        </w:tc>
        <w:tc>
          <w:tcPr>
            <w:tcW w:w="468" w:type="pct"/>
            <w:tcBorders>
              <w:top w:val="single" w:color="auto" w:sz="4" w:space="0"/>
              <w:left w:val="single" w:color="auto" w:sz="4" w:space="0"/>
              <w:bottom w:val="single" w:color="auto" w:sz="4" w:space="0"/>
              <w:right w:val="single" w:color="auto" w:sz="2" w:space="0"/>
            </w:tcBorders>
            <w:vAlign w:val="center"/>
          </w:tcPr>
          <w:p w14:paraId="27A9FE56">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37</w:t>
            </w:r>
          </w:p>
        </w:tc>
      </w:tr>
      <w:tr w14:paraId="2A26A1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09" w:type="pct"/>
            <w:tcBorders>
              <w:top w:val="single" w:color="auto" w:sz="4" w:space="0"/>
              <w:left w:val="single" w:color="auto" w:sz="4" w:space="0"/>
              <w:bottom w:val="single" w:color="auto" w:sz="4" w:space="0"/>
              <w:right w:val="single" w:color="auto" w:sz="4" w:space="0"/>
            </w:tcBorders>
            <w:vAlign w:val="center"/>
          </w:tcPr>
          <w:p w14:paraId="418620BB">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34" w:type="pct"/>
            <w:tcBorders>
              <w:top w:val="single" w:color="auto" w:sz="4" w:space="0"/>
              <w:left w:val="single" w:color="auto" w:sz="4" w:space="0"/>
              <w:bottom w:val="single" w:color="auto" w:sz="4" w:space="0"/>
              <w:right w:val="single" w:color="auto" w:sz="2" w:space="0"/>
            </w:tcBorders>
            <w:vAlign w:val="center"/>
          </w:tcPr>
          <w:p w14:paraId="40BA986C">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bCs/>
                <w:szCs w:val="21"/>
                <w:highlight w:val="none"/>
              </w:rPr>
              <w:t>服务</w:t>
            </w:r>
          </w:p>
          <w:p w14:paraId="2C83A7F3">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bCs/>
                <w:szCs w:val="21"/>
                <w:highlight w:val="none"/>
              </w:rPr>
              <w:t>便利性</w:t>
            </w:r>
          </w:p>
        </w:tc>
        <w:tc>
          <w:tcPr>
            <w:tcW w:w="3588" w:type="pct"/>
            <w:tcBorders>
              <w:top w:val="single" w:color="auto" w:sz="4" w:space="0"/>
              <w:left w:val="single" w:color="auto" w:sz="4" w:space="0"/>
              <w:bottom w:val="single" w:color="auto" w:sz="4" w:space="0"/>
              <w:right w:val="single" w:color="auto" w:sz="2" w:space="0"/>
            </w:tcBorders>
          </w:tcPr>
          <w:p w14:paraId="3D9954F7">
            <w:pPr>
              <w:pStyle w:val="138"/>
              <w:keepNext w:val="0"/>
              <w:keepLines w:val="0"/>
              <w:numPr>
                <w:ilvl w:val="255"/>
                <w:numId w:val="0"/>
              </w:numPr>
              <w:suppressLineNumbers w:val="0"/>
              <w:spacing w:before="0" w:beforeAutospacing="0" w:after="0" w:afterAutospacing="0" w:line="400" w:lineRule="exact"/>
              <w:ind w:left="0" w:right="0" w:firstLine="0" w:firstLineChars="0"/>
              <w:rPr>
                <w:rFonts w:hint="eastAsia" w:ascii="宋体" w:hAnsi="宋体" w:eastAsia="宋体" w:cs="宋体"/>
                <w:b w:val="0"/>
                <w:szCs w:val="21"/>
                <w:highlight w:val="none"/>
              </w:rPr>
            </w:pPr>
            <w:r>
              <w:rPr>
                <w:rFonts w:hint="eastAsia" w:ascii="宋体" w:hAnsi="宋体" w:eastAsia="宋体" w:cs="宋体"/>
                <w:b w:val="0"/>
                <w:szCs w:val="21"/>
                <w:highlight w:val="none"/>
              </w:rPr>
              <w:t>根据投标人提供的服务便利性时间资料进行评审：</w:t>
            </w:r>
          </w:p>
          <w:p w14:paraId="28891E5B">
            <w:pPr>
              <w:pStyle w:val="138"/>
              <w:keepNext w:val="0"/>
              <w:keepLines w:val="0"/>
              <w:numPr>
                <w:ilvl w:val="255"/>
                <w:numId w:val="0"/>
              </w:numPr>
              <w:suppressLineNumbers w:val="0"/>
              <w:spacing w:before="0" w:beforeAutospacing="0" w:after="0" w:afterAutospacing="0" w:line="400" w:lineRule="exact"/>
              <w:ind w:left="0" w:right="0" w:firstLine="210" w:firstLineChars="100"/>
              <w:rPr>
                <w:rFonts w:hint="eastAsia" w:ascii="宋体" w:hAnsi="宋体" w:eastAsia="宋体" w:cs="宋体"/>
                <w:b w:val="0"/>
                <w:szCs w:val="21"/>
                <w:highlight w:val="none"/>
              </w:rPr>
            </w:pPr>
            <w:r>
              <w:rPr>
                <w:rFonts w:hint="eastAsia" w:ascii="宋体" w:hAnsi="宋体" w:eastAsia="宋体" w:cs="宋体"/>
                <w:b w:val="0"/>
                <w:szCs w:val="21"/>
                <w:highlight w:val="none"/>
              </w:rPr>
              <w:t>（1）投标人提供从投标人注册地或其分支机构到达水业大厦（地址：广东省东莞市南城街道宏北路水业大厦）的时间资料，到达时间≤60分钟的，得</w:t>
            </w:r>
            <w:r>
              <w:rPr>
                <w:rFonts w:hint="eastAsia" w:ascii="宋体" w:hAnsi="宋体" w:eastAsia="宋体" w:cs="宋体"/>
                <w:b w:val="0"/>
                <w:szCs w:val="21"/>
                <w:highlight w:val="none"/>
                <w:lang w:val="en-US" w:eastAsia="zh-CN"/>
              </w:rPr>
              <w:t>3</w:t>
            </w:r>
            <w:r>
              <w:rPr>
                <w:rFonts w:hint="eastAsia" w:ascii="宋体" w:hAnsi="宋体" w:eastAsia="宋体" w:cs="宋体"/>
                <w:b w:val="0"/>
                <w:szCs w:val="21"/>
                <w:highlight w:val="none"/>
              </w:rPr>
              <w:t>分；</w:t>
            </w:r>
          </w:p>
          <w:p w14:paraId="189ECCAF">
            <w:pPr>
              <w:pStyle w:val="138"/>
              <w:keepNext w:val="0"/>
              <w:keepLines w:val="0"/>
              <w:numPr>
                <w:ilvl w:val="255"/>
                <w:numId w:val="0"/>
              </w:numPr>
              <w:suppressLineNumbers w:val="0"/>
              <w:spacing w:before="0" w:beforeAutospacing="0" w:after="0" w:afterAutospacing="0" w:line="400" w:lineRule="exact"/>
              <w:ind w:left="0" w:right="0" w:firstLine="210" w:firstLineChars="100"/>
              <w:rPr>
                <w:rFonts w:hint="eastAsia" w:ascii="宋体" w:hAnsi="宋体" w:eastAsia="宋体" w:cs="宋体"/>
                <w:b w:val="0"/>
                <w:szCs w:val="21"/>
                <w:highlight w:val="none"/>
              </w:rPr>
            </w:pPr>
            <w:r>
              <w:rPr>
                <w:rFonts w:hint="eastAsia" w:ascii="宋体" w:hAnsi="宋体" w:eastAsia="宋体" w:cs="宋体"/>
                <w:b w:val="0"/>
                <w:szCs w:val="21"/>
                <w:highlight w:val="none"/>
              </w:rPr>
              <w:t>（2）投标人提供从投标人注册地或其分支机构到达水业大厦（地址：广东省东莞市南城街道宏北路水业大厦）的时间资料，60分钟＜到达时间≤120分钟的，得2分；</w:t>
            </w:r>
          </w:p>
          <w:p w14:paraId="4C2B9FF1">
            <w:pPr>
              <w:pStyle w:val="138"/>
              <w:keepNext w:val="0"/>
              <w:keepLines w:val="0"/>
              <w:numPr>
                <w:ilvl w:val="255"/>
                <w:numId w:val="0"/>
              </w:numPr>
              <w:suppressLineNumbers w:val="0"/>
              <w:spacing w:before="0" w:beforeAutospacing="0" w:after="0" w:afterAutospacing="0" w:line="400" w:lineRule="exact"/>
              <w:ind w:left="0" w:right="0" w:firstLine="210" w:firstLineChars="100"/>
              <w:rPr>
                <w:rFonts w:hint="eastAsia" w:ascii="宋体" w:hAnsi="宋体" w:eastAsia="宋体" w:cs="宋体"/>
                <w:b w:val="0"/>
                <w:szCs w:val="21"/>
                <w:highlight w:val="none"/>
              </w:rPr>
            </w:pPr>
            <w:r>
              <w:rPr>
                <w:rFonts w:hint="eastAsia" w:ascii="宋体" w:hAnsi="宋体" w:eastAsia="宋体" w:cs="宋体"/>
                <w:b w:val="0"/>
                <w:szCs w:val="21"/>
                <w:highlight w:val="none"/>
              </w:rPr>
              <w:t>（3）投标人提供从投标人注册地或其分支机构到达水业大厦（地址：广东省东莞市南城街道宏北路水业大厦）的时间资料，120分钟＜到达时间≤240分钟的，得1分；</w:t>
            </w:r>
          </w:p>
          <w:p w14:paraId="43B18F80">
            <w:pPr>
              <w:pStyle w:val="138"/>
              <w:keepNext w:val="0"/>
              <w:keepLines w:val="0"/>
              <w:numPr>
                <w:ilvl w:val="255"/>
                <w:numId w:val="0"/>
              </w:numPr>
              <w:suppressLineNumbers w:val="0"/>
              <w:spacing w:before="0" w:beforeAutospacing="0" w:after="0" w:afterAutospacing="0" w:line="400" w:lineRule="exact"/>
              <w:ind w:left="0" w:right="0" w:firstLine="210" w:firstLineChars="100"/>
              <w:rPr>
                <w:rFonts w:hint="eastAsia" w:ascii="宋体" w:hAnsi="宋体" w:eastAsia="宋体" w:cs="宋体"/>
                <w:b w:val="0"/>
                <w:szCs w:val="21"/>
                <w:highlight w:val="none"/>
              </w:rPr>
            </w:pPr>
            <w:r>
              <w:rPr>
                <w:rFonts w:hint="eastAsia" w:ascii="宋体" w:hAnsi="宋体" w:eastAsia="宋体" w:cs="宋体"/>
                <w:b w:val="0"/>
                <w:szCs w:val="21"/>
                <w:highlight w:val="none"/>
              </w:rPr>
              <w:t>（4）其他情况不得分。</w:t>
            </w:r>
          </w:p>
          <w:p w14:paraId="3BD2896F">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szCs w:val="21"/>
                <w:highlight w:val="none"/>
              </w:rPr>
            </w:pPr>
            <w:r>
              <w:rPr>
                <w:rFonts w:hint="eastAsia" w:ascii="宋体" w:hAnsi="宋体" w:eastAsia="宋体" w:cs="宋体"/>
                <w:b/>
                <w:szCs w:val="21"/>
                <w:highlight w:val="none"/>
              </w:rPr>
              <w:t>备注：</w:t>
            </w:r>
          </w:p>
          <w:p w14:paraId="50D20590">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szCs w:val="21"/>
                <w:highlight w:val="none"/>
              </w:rPr>
            </w:pPr>
            <w:r>
              <w:rPr>
                <w:rFonts w:hint="eastAsia" w:ascii="宋体" w:hAnsi="宋体" w:eastAsia="宋体" w:cs="宋体"/>
                <w:b/>
                <w:szCs w:val="21"/>
                <w:highlight w:val="none"/>
              </w:rPr>
              <w:t>（1）投标人注册地或其分支机构地址以提供的营业执照或办公场所租赁合同或产权证明的地址为准，需提供前述证明扫描件，否则评审时将不予考虑。</w:t>
            </w:r>
          </w:p>
          <w:p w14:paraId="094CCD6B">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szCs w:val="21"/>
                <w:highlight w:val="none"/>
              </w:rPr>
            </w:pPr>
            <w:r>
              <w:rPr>
                <w:rFonts w:hint="eastAsia" w:ascii="宋体" w:hAnsi="宋体" w:eastAsia="宋体" w:cs="宋体"/>
                <w:b/>
                <w:szCs w:val="21"/>
                <w:highlight w:val="none"/>
              </w:rPr>
              <w:t>（2）本项评审，投标人需提供从投标人注册地或其分支机构地址</w:t>
            </w:r>
            <w:r>
              <w:rPr>
                <w:rFonts w:hint="eastAsia" w:ascii="宋体" w:hAnsi="宋体" w:eastAsia="宋体" w:cs="宋体"/>
                <w:b/>
                <w:szCs w:val="21"/>
                <w:highlight w:val="none"/>
                <w:lang w:val="en-US" w:eastAsia="zh-CN"/>
              </w:rPr>
              <w:t>在工作时间内（8:30-12:00,14:00-17:30）</w:t>
            </w:r>
            <w:r>
              <w:rPr>
                <w:rFonts w:hint="eastAsia" w:ascii="宋体" w:hAnsi="宋体" w:eastAsia="宋体" w:cs="宋体"/>
                <w:b/>
                <w:szCs w:val="21"/>
                <w:highlight w:val="none"/>
              </w:rPr>
              <w:t>到达指定地点的路线图导航截屏（需体现投标人注册地或其分支机构地址</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即导航起点</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水业大厦</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即导航终点</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、距离</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导航时间</w:t>
            </w:r>
            <w:r>
              <w:rPr>
                <w:rFonts w:hint="eastAsia" w:ascii="宋体" w:hAnsi="宋体" w:eastAsia="宋体" w:cs="宋体"/>
                <w:b/>
                <w:szCs w:val="21"/>
                <w:highlight w:val="none"/>
              </w:rPr>
              <w:t>等关系因素），未提供相关证明资料或不符合本项评分要求的，在评审时将不予考虑。</w:t>
            </w:r>
          </w:p>
          <w:p w14:paraId="3224CB1D">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Cs/>
                <w:szCs w:val="21"/>
                <w:highlight w:val="none"/>
              </w:rPr>
            </w:pPr>
            <w:r>
              <w:rPr>
                <w:rFonts w:hint="eastAsia" w:ascii="宋体" w:hAnsi="宋体" w:eastAsia="宋体" w:cs="宋体"/>
                <w:b/>
                <w:szCs w:val="21"/>
                <w:highlight w:val="none"/>
              </w:rPr>
              <w:t>（3）投标人如提供多个路线图时间资料，不重复或叠加得分，按该投标人符合本评审项目的较高标准项计分。</w:t>
            </w:r>
          </w:p>
        </w:tc>
        <w:tc>
          <w:tcPr>
            <w:tcW w:w="468" w:type="pct"/>
            <w:tcBorders>
              <w:top w:val="single" w:color="auto" w:sz="4" w:space="0"/>
              <w:left w:val="single" w:color="auto" w:sz="4" w:space="0"/>
              <w:bottom w:val="single" w:color="auto" w:sz="4" w:space="0"/>
              <w:right w:val="single" w:color="auto" w:sz="4" w:space="0"/>
            </w:tcBorders>
            <w:vAlign w:val="center"/>
          </w:tcPr>
          <w:p w14:paraId="687076B1">
            <w:pPr>
              <w:pStyle w:val="138"/>
              <w:keepNext w:val="0"/>
              <w:keepLines w:val="0"/>
              <w:numPr>
                <w:ilvl w:val="255"/>
                <w:numId w:val="0"/>
              </w:numPr>
              <w:suppressLineNumbers w:val="0"/>
              <w:spacing w:before="0" w:beforeAutospacing="0" w:after="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bCs/>
                <w:szCs w:val="21"/>
                <w:highlight w:val="none"/>
              </w:rPr>
              <w:t>3</w:t>
            </w:r>
          </w:p>
        </w:tc>
      </w:tr>
      <w:tr w14:paraId="76EB5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jc w:val="center"/>
        </w:trPr>
        <w:tc>
          <w:tcPr>
            <w:tcW w:w="4531" w:type="pct"/>
            <w:gridSpan w:val="3"/>
            <w:tcBorders>
              <w:top w:val="single" w:color="auto" w:sz="4" w:space="0"/>
              <w:left w:val="single" w:color="auto" w:sz="2" w:space="0"/>
              <w:right w:val="single" w:color="auto" w:sz="2" w:space="0"/>
            </w:tcBorders>
            <w:vAlign w:val="center"/>
          </w:tcPr>
          <w:p w14:paraId="012C61FC">
            <w:pPr>
              <w:keepNext w:val="0"/>
              <w:keepLines w:val="0"/>
              <w:suppressLineNumbers w:val="0"/>
              <w:spacing w:before="0" w:beforeAutospacing="0" w:after="160" w:afterAutospacing="0" w:line="400" w:lineRule="exact"/>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商务总分</w:t>
            </w:r>
          </w:p>
        </w:tc>
        <w:tc>
          <w:tcPr>
            <w:tcW w:w="468" w:type="pct"/>
            <w:tcBorders>
              <w:top w:val="single" w:color="auto" w:sz="4" w:space="0"/>
              <w:left w:val="single" w:color="auto" w:sz="4" w:space="0"/>
              <w:bottom w:val="single" w:color="auto" w:sz="4" w:space="0"/>
              <w:right w:val="single" w:color="auto" w:sz="2" w:space="0"/>
            </w:tcBorders>
            <w:vAlign w:val="center"/>
          </w:tcPr>
          <w:p w14:paraId="41AB1325">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b/>
                <w:bCs/>
                <w:szCs w:val="21"/>
                <w:highlight w:val="none"/>
              </w:rPr>
              <w:t>55</w:t>
            </w:r>
          </w:p>
        </w:tc>
      </w:tr>
    </w:tbl>
    <w:p w14:paraId="249D05FA">
      <w:pPr>
        <w:autoSpaceDE w:val="0"/>
        <w:autoSpaceDN w:val="0"/>
        <w:adjustRightInd w:val="0"/>
        <w:spacing w:line="400" w:lineRule="exact"/>
        <w:ind w:right="-26" w:firstLine="480"/>
        <w:jc w:val="center"/>
        <w:rPr>
          <w:rFonts w:hint="eastAsia" w:ascii="宋体" w:hAnsi="宋体" w:eastAsia="宋体" w:cs="宋体"/>
          <w:b/>
          <w:bCs/>
          <w:kern w:val="0"/>
          <w:sz w:val="24"/>
          <w:szCs w:val="24"/>
          <w:highlight w:val="none"/>
        </w:rPr>
      </w:pPr>
    </w:p>
    <w:p w14:paraId="424142A5">
      <w:pPr>
        <w:numPr>
          <w:ilvl w:val="0"/>
          <w:numId w:val="5"/>
        </w:numPr>
        <w:tabs>
          <w:tab w:val="left" w:pos="585"/>
        </w:tabs>
        <w:autoSpaceDE w:val="0"/>
        <w:autoSpaceDN w:val="0"/>
        <w:adjustRightInd w:val="0"/>
        <w:spacing w:line="400" w:lineRule="exact"/>
        <w:rPr>
          <w:rFonts w:hint="eastAsia" w:ascii="宋体" w:hAnsi="宋体" w:eastAsia="宋体" w:cs="宋体"/>
          <w:b/>
          <w:szCs w:val="21"/>
          <w:highlight w:val="none"/>
          <w:lang w:val="zh-CN"/>
        </w:rPr>
      </w:pPr>
      <w:r>
        <w:rPr>
          <w:rFonts w:hint="eastAsia" w:ascii="宋体" w:hAnsi="宋体" w:eastAsia="宋体" w:cs="宋体"/>
          <w:b/>
          <w:szCs w:val="24"/>
          <w:highlight w:val="none"/>
          <w:lang w:val="zh-CN"/>
        </w:rPr>
        <w:t>技术：</w:t>
      </w:r>
      <w:r>
        <w:rPr>
          <w:rFonts w:hint="eastAsia" w:ascii="宋体" w:hAnsi="宋体" w:eastAsia="宋体" w:cs="宋体"/>
          <w:b/>
          <w:szCs w:val="21"/>
          <w:highlight w:val="none"/>
          <w:lang w:val="zh-CN"/>
        </w:rPr>
        <w:t>总分</w:t>
      </w:r>
      <w:r>
        <w:rPr>
          <w:rFonts w:hint="eastAsia" w:ascii="宋体" w:hAnsi="宋体" w:eastAsia="宋体" w:cs="宋体"/>
          <w:b/>
          <w:szCs w:val="21"/>
          <w:highlight w:val="none"/>
        </w:rPr>
        <w:t>45</w:t>
      </w:r>
      <w:r>
        <w:rPr>
          <w:rFonts w:hint="eastAsia" w:ascii="宋体" w:hAnsi="宋体" w:eastAsia="宋体" w:cs="宋体"/>
          <w:b/>
          <w:szCs w:val="21"/>
          <w:highlight w:val="none"/>
          <w:lang w:val="zh-CN"/>
        </w:rPr>
        <w:t>分</w:t>
      </w:r>
      <w:bookmarkEnd w:id="815"/>
    </w:p>
    <w:p w14:paraId="125C951F">
      <w:pPr>
        <w:numPr>
          <w:ilvl w:val="255"/>
          <w:numId w:val="0"/>
        </w:numPr>
        <w:tabs>
          <w:tab w:val="left" w:pos="585"/>
        </w:tabs>
        <w:autoSpaceDE w:val="0"/>
        <w:autoSpaceDN w:val="0"/>
        <w:adjustRightInd w:val="0"/>
        <w:spacing w:line="400" w:lineRule="exact"/>
        <w:rPr>
          <w:rFonts w:hint="eastAsia" w:ascii="宋体" w:hAnsi="宋体" w:eastAsia="宋体" w:cs="宋体"/>
          <w:b/>
          <w:szCs w:val="21"/>
          <w:highlight w:val="none"/>
          <w:lang w:val="zh-CN"/>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33"/>
        <w:gridCol w:w="7661"/>
        <w:gridCol w:w="911"/>
      </w:tblGrid>
      <w:tr w14:paraId="58BD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1" w:type="pct"/>
            <w:vAlign w:val="center"/>
          </w:tcPr>
          <w:p w14:paraId="6D5D56EF">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546" w:type="pct"/>
            <w:tcBorders>
              <w:bottom w:val="single" w:color="auto" w:sz="4" w:space="0"/>
            </w:tcBorders>
            <w:vAlign w:val="center"/>
          </w:tcPr>
          <w:p w14:paraId="6222B889">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评审内容</w:t>
            </w:r>
          </w:p>
        </w:tc>
        <w:tc>
          <w:tcPr>
            <w:tcW w:w="3692" w:type="pct"/>
            <w:tcBorders>
              <w:bottom w:val="single" w:color="auto" w:sz="4" w:space="0"/>
            </w:tcBorders>
            <w:vAlign w:val="center"/>
          </w:tcPr>
          <w:p w14:paraId="05FEAB08">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评审细则</w:t>
            </w:r>
          </w:p>
        </w:tc>
        <w:tc>
          <w:tcPr>
            <w:tcW w:w="439" w:type="pct"/>
            <w:vAlign w:val="center"/>
          </w:tcPr>
          <w:p w14:paraId="411D8679">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满分值（分）</w:t>
            </w:r>
          </w:p>
        </w:tc>
      </w:tr>
      <w:tr w14:paraId="59BE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21" w:type="pct"/>
            <w:vAlign w:val="center"/>
          </w:tcPr>
          <w:p w14:paraId="168010F0">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546" w:type="pct"/>
            <w:vAlign w:val="center"/>
          </w:tcPr>
          <w:p w14:paraId="21CA0769">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bCs/>
                <w:szCs w:val="21"/>
                <w:highlight w:val="none"/>
              </w:rPr>
              <w:t>对用户需求的理解、重难点及应对措施</w:t>
            </w:r>
          </w:p>
        </w:tc>
        <w:tc>
          <w:tcPr>
            <w:tcW w:w="3692" w:type="pct"/>
            <w:vAlign w:val="center"/>
          </w:tcPr>
          <w:p w14:paraId="793E4DE4">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b w:val="0"/>
                <w:bCs w:val="0"/>
                <w:i w:val="0"/>
                <w:iCs w:val="0"/>
                <w:caps w:val="0"/>
                <w:color w:val="333333"/>
                <w:spacing w:val="0"/>
                <w:sz w:val="21"/>
                <w:szCs w:val="21"/>
                <w:highlight w:val="none"/>
                <w:shd w:val="clear" w:fill="FFFFFF"/>
                <w:lang w:val="en-US" w:eastAsia="zh-CN"/>
              </w:rPr>
              <w:t>根据投标人提供的</w:t>
            </w:r>
            <w:r>
              <w:rPr>
                <w:rFonts w:hint="eastAsia" w:ascii="宋体" w:hAnsi="宋体" w:eastAsia="宋体" w:cs="宋体"/>
                <w:highlight w:val="none"/>
              </w:rPr>
              <w:t>对本项目用户需求的理解程度，重难点分析及应对措施等进行评审：</w:t>
            </w:r>
          </w:p>
          <w:p w14:paraId="390D8E93">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优：投标人对本项目用户需求的采购内容、服务内容了解透彻，熟悉掌握采购代理服务规范要求并提供科学详细的响应方案，了解本项目的投标报价及代理服务费支付方式，清晰理解项目的服务管理要求、采购项目分配方式、考核方式，优于响应服务要求，能对项目实施及用户需求提出针对性的重点难点分析及应对措施的，得[10-6]分；</w:t>
            </w:r>
          </w:p>
          <w:p w14:paraId="1233CD4C">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良：投标人对本项目用户需求的采购内容、服务内容熟悉了解，清楚采购代理服务规范要求并提供完成的响应方案，了解本项目的投标报价及代理服务费支付方式，理解项目的服务管理要求、采购项目分配方式、考核方式，完全响应服务要求，能对项目实施及用户需求提出可行的重点难点分析及应对措施的，得（6-4]分；</w:t>
            </w:r>
          </w:p>
          <w:p w14:paraId="1E634816">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中：投标人对本项目用户需求的采购内容、服务内容基本了解，了解采购代理服务规范要求并提供响应方案，了解本项目的投标报价及代理服务费支付方式，理解项目的服务管理要求、采购项目分配方式、考核方式，基本响应服务要求，能对项目实施及用户需求提出重点难点分析及应对措施但无针对性的，得（4-2]分；</w:t>
            </w:r>
          </w:p>
          <w:p w14:paraId="47A134FB">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差：投标人对本项目用户需求的采购内容、服务内容理解有偏差，不熟悉采购代理服务规范要求，了解本项目的投标报价及代理服务费支付方式，对项目的服务管理要求、采购项目分配方式、考核方式响应有偏离，未完全响应服务要求，能对项目实施及用户需求提出重点难点分析及应对措施但不可行的，得（2-0] 分；</w:t>
            </w:r>
          </w:p>
        </w:tc>
        <w:tc>
          <w:tcPr>
            <w:tcW w:w="439" w:type="pct"/>
            <w:vAlign w:val="center"/>
          </w:tcPr>
          <w:p w14:paraId="27A7C9E7">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bCs/>
                <w:szCs w:val="21"/>
                <w:highlight w:val="none"/>
              </w:rPr>
              <w:t>10</w:t>
            </w:r>
          </w:p>
        </w:tc>
      </w:tr>
      <w:tr w14:paraId="2649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1" w:type="pct"/>
            <w:vAlign w:val="center"/>
          </w:tcPr>
          <w:p w14:paraId="77858450">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546" w:type="pct"/>
            <w:vAlign w:val="center"/>
          </w:tcPr>
          <w:p w14:paraId="2F2DE116">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投入本项目服务人员情况</w:t>
            </w:r>
          </w:p>
        </w:tc>
        <w:tc>
          <w:tcPr>
            <w:tcW w:w="3692" w:type="pct"/>
            <w:vAlign w:val="center"/>
          </w:tcPr>
          <w:p w14:paraId="100468DA">
            <w:pPr>
              <w:keepNext w:val="0"/>
              <w:keepLines w:val="0"/>
              <w:suppressLineNumbers w:val="0"/>
              <w:spacing w:before="0" w:beforeAutospacing="0" w:after="0" w:afterAutospacing="0" w:line="400" w:lineRule="exact"/>
              <w:ind w:left="0" w:right="0"/>
              <w:rPr>
                <w:rFonts w:hint="eastAsia" w:ascii="宋体" w:hAnsi="宋体" w:eastAsia="宋体" w:cs="宋体"/>
                <w:bCs/>
                <w:szCs w:val="21"/>
                <w:highlight w:val="none"/>
              </w:rPr>
            </w:pPr>
            <w:r>
              <w:rPr>
                <w:rFonts w:hint="eastAsia" w:ascii="宋体" w:hAnsi="宋体" w:eastAsia="宋体" w:cs="宋体"/>
                <w:bCs/>
                <w:szCs w:val="21"/>
                <w:highlight w:val="none"/>
              </w:rPr>
              <w:t>根据投标人投入</w:t>
            </w:r>
            <w:r>
              <w:rPr>
                <w:rFonts w:hint="eastAsia" w:ascii="宋体" w:hAnsi="宋体" w:eastAsia="宋体" w:cs="宋体"/>
                <w:szCs w:val="21"/>
                <w:highlight w:val="none"/>
              </w:rPr>
              <w:t>本项目服务</w:t>
            </w:r>
            <w:r>
              <w:rPr>
                <w:rFonts w:hint="eastAsia" w:ascii="宋体" w:hAnsi="宋体" w:eastAsia="宋体" w:cs="宋体"/>
                <w:bCs/>
                <w:szCs w:val="21"/>
                <w:highlight w:val="none"/>
              </w:rPr>
              <w:t>的人员方案进行评分：</w:t>
            </w:r>
          </w:p>
          <w:p w14:paraId="3D2C7348">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1.投入的项目负责人（满分</w:t>
            </w:r>
            <w:r>
              <w:rPr>
                <w:rFonts w:hint="eastAsia" w:ascii="宋体" w:hAnsi="宋体" w:eastAsia="宋体" w:cs="宋体"/>
                <w:b/>
                <w:bCs/>
                <w:kern w:val="0"/>
                <w:szCs w:val="21"/>
                <w:highlight w:val="none"/>
                <w:lang w:val="en-US" w:eastAsia="zh-CN"/>
              </w:rPr>
              <w:t>5</w:t>
            </w:r>
            <w:r>
              <w:rPr>
                <w:rFonts w:hint="eastAsia" w:ascii="宋体" w:hAnsi="宋体" w:eastAsia="宋体" w:cs="宋体"/>
                <w:b/>
                <w:bCs/>
                <w:kern w:val="0"/>
                <w:szCs w:val="21"/>
                <w:highlight w:val="none"/>
              </w:rPr>
              <w:t>分）：</w:t>
            </w:r>
          </w:p>
          <w:p w14:paraId="0C47EA48">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（1）具有</w:t>
            </w:r>
            <w:r>
              <w:rPr>
                <w:rFonts w:hint="eastAsia" w:ascii="宋体" w:hAnsi="宋体" w:eastAsia="宋体" w:cs="宋体"/>
                <w:bCs/>
                <w:kern w:val="0"/>
                <w:szCs w:val="21"/>
                <w:highlight w:val="none"/>
                <w:lang w:val="en-US" w:eastAsia="zh-CN"/>
              </w:rPr>
              <w:t>行政部门颁发的职称证</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高级（或以上）</w:t>
            </w:r>
            <w:r>
              <w:rPr>
                <w:rFonts w:hint="eastAsia" w:ascii="宋体" w:hAnsi="宋体" w:eastAsia="宋体" w:cs="宋体"/>
                <w:bCs/>
                <w:kern w:val="0"/>
                <w:szCs w:val="21"/>
                <w:highlight w:val="none"/>
                <w:lang w:val="en-US" w:eastAsia="zh-CN"/>
              </w:rPr>
              <w:t>职称</w:t>
            </w:r>
            <w:r>
              <w:rPr>
                <w:rFonts w:hint="eastAsia" w:ascii="宋体" w:hAnsi="宋体" w:eastAsia="宋体" w:cs="宋体"/>
                <w:bCs/>
                <w:kern w:val="0"/>
                <w:szCs w:val="21"/>
                <w:highlight w:val="none"/>
              </w:rPr>
              <w:t>的得</w:t>
            </w:r>
            <w:r>
              <w:rPr>
                <w:rFonts w:hint="eastAsia" w:ascii="宋体" w:hAnsi="宋体" w:eastAsia="宋体" w:cs="宋体"/>
                <w:bCs/>
                <w:kern w:val="0"/>
                <w:szCs w:val="21"/>
                <w:highlight w:val="none"/>
                <w:lang w:val="en-US" w:eastAsia="zh-CN"/>
              </w:rPr>
              <w:t>5</w:t>
            </w:r>
            <w:r>
              <w:rPr>
                <w:rFonts w:hint="eastAsia" w:ascii="宋体" w:hAnsi="宋体" w:eastAsia="宋体" w:cs="宋体"/>
                <w:bCs/>
                <w:kern w:val="0"/>
                <w:szCs w:val="21"/>
                <w:highlight w:val="none"/>
              </w:rPr>
              <w:t>分，中级职称的得</w:t>
            </w:r>
            <w:r>
              <w:rPr>
                <w:rFonts w:hint="eastAsia" w:ascii="宋体" w:hAnsi="宋体" w:eastAsia="宋体" w:cs="宋体"/>
                <w:bCs/>
                <w:kern w:val="0"/>
                <w:szCs w:val="21"/>
                <w:highlight w:val="none"/>
                <w:lang w:val="en-US" w:eastAsia="zh-CN"/>
              </w:rPr>
              <w:t>3</w:t>
            </w:r>
            <w:r>
              <w:rPr>
                <w:rFonts w:hint="eastAsia" w:ascii="宋体" w:hAnsi="宋体" w:eastAsia="宋体" w:cs="宋体"/>
                <w:bCs/>
                <w:kern w:val="0"/>
                <w:szCs w:val="21"/>
                <w:highlight w:val="none"/>
              </w:rPr>
              <w:t>分，本子项满分</w:t>
            </w:r>
            <w:r>
              <w:rPr>
                <w:rFonts w:hint="eastAsia" w:ascii="宋体" w:hAnsi="宋体" w:eastAsia="宋体" w:cs="宋体"/>
                <w:bCs/>
                <w:kern w:val="0"/>
                <w:szCs w:val="21"/>
                <w:highlight w:val="none"/>
                <w:lang w:val="en-US" w:eastAsia="zh-CN"/>
              </w:rPr>
              <w:t>5</w:t>
            </w:r>
            <w:r>
              <w:rPr>
                <w:rFonts w:hint="eastAsia" w:ascii="宋体" w:hAnsi="宋体" w:eastAsia="宋体" w:cs="宋体"/>
                <w:bCs/>
                <w:kern w:val="0"/>
                <w:szCs w:val="21"/>
                <w:highlight w:val="none"/>
              </w:rPr>
              <w:t>分；</w:t>
            </w:r>
          </w:p>
          <w:p w14:paraId="171C7B19">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2.投入本项目的代理服务人员（除项目负责人以外，满分</w:t>
            </w:r>
            <w:r>
              <w:rPr>
                <w:rFonts w:hint="eastAsia" w:ascii="宋体" w:hAnsi="宋体" w:eastAsia="宋体" w:cs="宋体"/>
                <w:b/>
                <w:bCs/>
                <w:kern w:val="0"/>
                <w:szCs w:val="21"/>
                <w:highlight w:val="none"/>
                <w:lang w:val="en-US" w:eastAsia="zh-CN"/>
              </w:rPr>
              <w:t>10</w:t>
            </w:r>
            <w:r>
              <w:rPr>
                <w:rFonts w:hint="eastAsia" w:ascii="宋体" w:hAnsi="宋体" w:eastAsia="宋体" w:cs="宋体"/>
                <w:b/>
                <w:bCs/>
                <w:kern w:val="0"/>
                <w:szCs w:val="21"/>
                <w:highlight w:val="none"/>
              </w:rPr>
              <w:t>分）：</w:t>
            </w:r>
          </w:p>
          <w:p w14:paraId="0A0A0ACD">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（1）具有行政部门颁发的职称证，高级（或以上）</w:t>
            </w:r>
            <w:r>
              <w:rPr>
                <w:rFonts w:hint="eastAsia" w:ascii="宋体" w:hAnsi="宋体" w:eastAsia="宋体" w:cs="宋体"/>
                <w:bCs/>
                <w:kern w:val="0"/>
                <w:szCs w:val="21"/>
                <w:highlight w:val="none"/>
                <w:lang w:val="en-US" w:eastAsia="zh-CN"/>
              </w:rPr>
              <w:t>职称</w:t>
            </w:r>
            <w:r>
              <w:rPr>
                <w:rFonts w:hint="eastAsia" w:ascii="宋体" w:hAnsi="宋体" w:eastAsia="宋体" w:cs="宋体"/>
                <w:bCs/>
                <w:kern w:val="0"/>
                <w:szCs w:val="21"/>
                <w:highlight w:val="none"/>
              </w:rPr>
              <w:t>得3分，中级</w:t>
            </w:r>
            <w:r>
              <w:rPr>
                <w:rFonts w:hint="eastAsia" w:ascii="宋体" w:hAnsi="宋体" w:eastAsia="宋体" w:cs="宋体"/>
                <w:bCs/>
                <w:kern w:val="0"/>
                <w:szCs w:val="21"/>
                <w:highlight w:val="none"/>
                <w:lang w:val="en-US" w:eastAsia="zh-CN"/>
              </w:rPr>
              <w:t>职称</w:t>
            </w:r>
            <w:r>
              <w:rPr>
                <w:rFonts w:hint="eastAsia" w:ascii="宋体" w:hAnsi="宋体" w:eastAsia="宋体" w:cs="宋体"/>
                <w:bCs/>
                <w:kern w:val="0"/>
                <w:szCs w:val="21"/>
                <w:highlight w:val="none"/>
              </w:rPr>
              <w:t>得2分，初级</w:t>
            </w:r>
            <w:r>
              <w:rPr>
                <w:rFonts w:hint="eastAsia" w:ascii="宋体" w:hAnsi="宋体" w:eastAsia="宋体" w:cs="宋体"/>
                <w:bCs/>
                <w:kern w:val="0"/>
                <w:szCs w:val="21"/>
                <w:highlight w:val="none"/>
                <w:lang w:val="en-US" w:eastAsia="zh-CN"/>
              </w:rPr>
              <w:t>职称</w:t>
            </w:r>
            <w:r>
              <w:rPr>
                <w:rFonts w:hint="eastAsia" w:ascii="宋体" w:hAnsi="宋体" w:eastAsia="宋体" w:cs="宋体"/>
                <w:bCs/>
                <w:kern w:val="0"/>
                <w:szCs w:val="21"/>
                <w:highlight w:val="none"/>
              </w:rPr>
              <w:t>得1分（初级最高得3分），本子项满分6分；</w:t>
            </w:r>
          </w:p>
          <w:p w14:paraId="4E5AC775">
            <w:pPr>
              <w:keepNext w:val="0"/>
              <w:keepLines w:val="0"/>
              <w:suppressLineNumbers w:val="0"/>
              <w:spacing w:before="0" w:beforeAutospacing="0" w:after="0" w:afterAutospacing="0" w:line="400" w:lineRule="exact"/>
              <w:ind w:left="0" w:right="0"/>
              <w:rPr>
                <w:rFonts w:hint="eastAsia" w:ascii="宋体" w:hAnsi="宋体" w:eastAsia="宋体" w:cs="宋体"/>
                <w:b/>
                <w:szCs w:val="21"/>
                <w:highlight w:val="none"/>
              </w:rPr>
            </w:pPr>
            <w:r>
              <w:rPr>
                <w:rFonts w:hint="eastAsia" w:ascii="宋体" w:hAnsi="宋体" w:eastAsia="宋体" w:cs="宋体"/>
                <w:bCs/>
                <w:kern w:val="0"/>
                <w:szCs w:val="21"/>
                <w:highlight w:val="none"/>
              </w:rPr>
              <w:t>（2）</w:t>
            </w:r>
            <w:r>
              <w:rPr>
                <w:rFonts w:hint="eastAsia" w:ascii="宋体" w:hAnsi="宋体" w:eastAsia="宋体" w:cs="宋体"/>
                <w:kern w:val="0"/>
                <w:szCs w:val="21"/>
                <w:highlight w:val="none"/>
              </w:rPr>
              <w:t>获得中国招标投标协会招标采购从业人员专业技术能力初级</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或以上</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评价或省级（或以上）政府采购协会颁发采购代理机构从业人员中级（或以上）专业能力评价的得</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分，</w:t>
            </w:r>
            <w:r>
              <w:rPr>
                <w:rFonts w:hint="eastAsia" w:ascii="宋体" w:hAnsi="宋体" w:eastAsia="宋体" w:cs="宋体"/>
                <w:bCs/>
                <w:kern w:val="0"/>
                <w:szCs w:val="21"/>
                <w:highlight w:val="none"/>
              </w:rPr>
              <w:t>本子项满分</w:t>
            </w:r>
            <w:r>
              <w:rPr>
                <w:rFonts w:hint="eastAsia" w:ascii="宋体" w:hAnsi="宋体" w:eastAsia="宋体" w:cs="宋体"/>
                <w:bCs/>
                <w:kern w:val="0"/>
                <w:szCs w:val="21"/>
                <w:highlight w:val="none"/>
                <w:lang w:val="en-US" w:eastAsia="zh-CN"/>
              </w:rPr>
              <w:t>4</w:t>
            </w:r>
            <w:r>
              <w:rPr>
                <w:rFonts w:hint="eastAsia" w:ascii="宋体" w:hAnsi="宋体" w:eastAsia="宋体" w:cs="宋体"/>
                <w:bCs/>
                <w:kern w:val="0"/>
                <w:szCs w:val="21"/>
                <w:highlight w:val="none"/>
              </w:rPr>
              <w:t>分。</w:t>
            </w:r>
          </w:p>
          <w:p w14:paraId="1AACCA45">
            <w:pPr>
              <w:keepNext w:val="0"/>
              <w:keepLines w:val="0"/>
              <w:suppressLineNumbers w:val="0"/>
              <w:spacing w:before="0" w:beforeAutospacing="0" w:after="0" w:afterAutospacing="0" w:line="400" w:lineRule="exact"/>
              <w:ind w:left="0" w:right="0"/>
              <w:rPr>
                <w:rFonts w:hint="eastAsia" w:ascii="宋体" w:hAnsi="宋体" w:eastAsia="宋体" w:cs="宋体"/>
                <w:b/>
                <w:szCs w:val="21"/>
                <w:highlight w:val="none"/>
              </w:rPr>
            </w:pPr>
            <w:r>
              <w:rPr>
                <w:rFonts w:hint="eastAsia" w:ascii="宋体" w:hAnsi="宋体" w:eastAsia="宋体" w:cs="宋体"/>
                <w:b/>
                <w:szCs w:val="21"/>
                <w:highlight w:val="none"/>
              </w:rPr>
              <w:t>备注：</w:t>
            </w:r>
          </w:p>
          <w:p w14:paraId="40500674">
            <w:pPr>
              <w:pStyle w:val="138"/>
              <w:keepNext w:val="0"/>
              <w:keepLines w:val="0"/>
              <w:numPr>
                <w:ilvl w:val="0"/>
                <w:numId w:val="0"/>
              </w:numPr>
              <w:suppressLineNumbers w:val="0"/>
              <w:spacing w:before="0" w:beforeAutospacing="0" w:after="0" w:afterAutospacing="0" w:line="400" w:lineRule="exact"/>
              <w:ind w:left="0" w:right="0" w:firstLine="0" w:firstLineChars="0"/>
              <w:rPr>
                <w:rFonts w:hint="eastAsia" w:ascii="宋体" w:hAnsi="宋体" w:eastAsia="宋体" w:cs="宋体"/>
                <w:b/>
                <w:bCs/>
                <w:szCs w:val="21"/>
                <w:highlight w:val="none"/>
              </w:rPr>
            </w:pPr>
            <w:r>
              <w:rPr>
                <w:rFonts w:hint="default" w:ascii="宋体" w:hAnsi="宋体" w:eastAsia="宋体" w:cs="宋体"/>
                <w:b/>
                <w:bCs/>
                <w:kern w:val="2"/>
                <w:sz w:val="21"/>
                <w:szCs w:val="21"/>
                <w:highlight w:val="none"/>
                <w:lang w:val="en-US" w:eastAsia="zh-CN" w:bidi="ar-SA"/>
              </w:rPr>
              <w:t>①</w:t>
            </w:r>
            <w:r>
              <w:rPr>
                <w:rFonts w:hint="eastAsia" w:ascii="宋体" w:hAnsi="宋体" w:eastAsia="宋体" w:cs="宋体"/>
                <w:b/>
                <w:bCs/>
                <w:szCs w:val="21"/>
                <w:highlight w:val="none"/>
              </w:rPr>
              <w:t>须附以上人员的身份证、职称证</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或</w:t>
            </w:r>
            <w:r>
              <w:rPr>
                <w:rFonts w:hint="eastAsia" w:ascii="宋体" w:hAnsi="宋体" w:eastAsia="宋体" w:cs="宋体"/>
                <w:b/>
                <w:bCs/>
                <w:szCs w:val="21"/>
                <w:highlight w:val="none"/>
              </w:rPr>
              <w:t>评价证书</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、社会保障部门出具的最近1年（即202</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年</w:t>
            </w:r>
            <w:r>
              <w:rPr>
                <w:rFonts w:hint="eastAsia" w:ascii="宋体" w:hAnsi="宋体" w:eastAsia="宋体" w:cs="宋体"/>
                <w:b/>
                <w:bCs/>
                <w:szCs w:val="21"/>
                <w:highlight w:val="none"/>
                <w:lang w:val="en-US" w:eastAsia="zh-CN"/>
              </w:rPr>
              <w:t>11</w:t>
            </w:r>
            <w:r>
              <w:rPr>
                <w:rFonts w:hint="eastAsia" w:ascii="宋体" w:hAnsi="宋体" w:eastAsia="宋体" w:cs="宋体"/>
                <w:b/>
                <w:bCs/>
                <w:szCs w:val="21"/>
                <w:highlight w:val="none"/>
              </w:rPr>
              <w:t>月至202</w:t>
            </w: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年</w:t>
            </w:r>
            <w:r>
              <w:rPr>
                <w:rFonts w:hint="eastAsia" w:ascii="宋体" w:hAnsi="宋体" w:eastAsia="宋体" w:cs="宋体"/>
                <w:b/>
                <w:bCs/>
                <w:szCs w:val="21"/>
                <w:highlight w:val="none"/>
                <w:lang w:val="en-US" w:eastAsia="zh-CN"/>
              </w:rPr>
              <w:t>10</w:t>
            </w:r>
            <w:r>
              <w:rPr>
                <w:rFonts w:hint="eastAsia" w:ascii="宋体" w:hAnsi="宋体" w:eastAsia="宋体" w:cs="宋体"/>
                <w:b/>
                <w:bCs/>
                <w:szCs w:val="21"/>
                <w:highlight w:val="none"/>
              </w:rPr>
              <w:t>月）在投标人单位缴纳社会养老保险有效凭证等证明材料复印件并加盖</w:t>
            </w:r>
            <w:r>
              <w:rPr>
                <w:rFonts w:hint="eastAsia" w:ascii="宋体" w:hAnsi="宋体" w:eastAsia="宋体" w:cs="宋体"/>
                <w:b/>
                <w:bCs/>
                <w:szCs w:val="21"/>
                <w:highlight w:val="none"/>
                <w:lang w:eastAsia="zh-CN"/>
              </w:rPr>
              <w:t>投标人公章</w:t>
            </w:r>
            <w:r>
              <w:rPr>
                <w:rFonts w:hint="eastAsia" w:ascii="宋体" w:hAnsi="宋体" w:eastAsia="宋体" w:cs="宋体"/>
                <w:b/>
                <w:bCs/>
                <w:szCs w:val="21"/>
                <w:highlight w:val="none"/>
              </w:rPr>
              <w:t>。</w:t>
            </w:r>
          </w:p>
          <w:p w14:paraId="1CC30E3C">
            <w:pPr>
              <w:pStyle w:val="138"/>
              <w:keepNext w:val="0"/>
              <w:keepLines w:val="0"/>
              <w:numPr>
                <w:ilvl w:val="0"/>
                <w:numId w:val="0"/>
              </w:numPr>
              <w:suppressLineNumbers w:val="0"/>
              <w:spacing w:before="0" w:beforeAutospacing="0" w:after="0" w:afterAutospacing="0" w:line="400" w:lineRule="exact"/>
              <w:ind w:left="0" w:right="0" w:firstLine="0" w:firstLineChars="0"/>
              <w:rPr>
                <w:rFonts w:hint="eastAsia" w:ascii="宋体" w:hAnsi="宋体" w:eastAsia="宋体" w:cs="宋体"/>
                <w:b/>
                <w:bCs/>
                <w:szCs w:val="21"/>
                <w:highlight w:val="none"/>
              </w:rPr>
            </w:pPr>
            <w:r>
              <w:rPr>
                <w:rFonts w:hint="default" w:ascii="宋体" w:hAnsi="宋体" w:eastAsia="宋体" w:cs="宋体"/>
                <w:b/>
                <w:bCs/>
                <w:kern w:val="2"/>
                <w:sz w:val="21"/>
                <w:szCs w:val="21"/>
                <w:highlight w:val="none"/>
                <w:lang w:val="en-US" w:eastAsia="zh-CN" w:bidi="ar-SA"/>
              </w:rPr>
              <w:t>②</w:t>
            </w:r>
            <w:r>
              <w:rPr>
                <w:rFonts w:hint="eastAsia" w:ascii="宋体" w:hAnsi="宋体" w:eastAsia="宋体" w:cs="宋体"/>
                <w:b/>
                <w:bCs/>
                <w:szCs w:val="21"/>
                <w:highlight w:val="none"/>
              </w:rPr>
              <w:t>同一人员具备多个种类证书可对应上述评分标准不重复得分。</w:t>
            </w:r>
          </w:p>
          <w:p w14:paraId="147EE077">
            <w:pPr>
              <w:pStyle w:val="138"/>
              <w:keepNext w:val="0"/>
              <w:keepLines w:val="0"/>
              <w:numPr>
                <w:ilvl w:val="0"/>
                <w:numId w:val="0"/>
              </w:numPr>
              <w:suppressLineNumbers w:val="0"/>
              <w:spacing w:before="0" w:beforeAutospacing="0" w:after="0" w:afterAutospacing="0" w:line="400" w:lineRule="exact"/>
              <w:ind w:left="0" w:right="0" w:firstLine="0" w:firstLineChars="0"/>
              <w:rPr>
                <w:rFonts w:hint="eastAsia" w:ascii="宋体" w:hAnsi="宋体" w:eastAsia="宋体" w:cs="宋体"/>
                <w:b/>
                <w:bCs/>
                <w:szCs w:val="21"/>
                <w:highlight w:val="none"/>
              </w:rPr>
            </w:pPr>
            <w:r>
              <w:rPr>
                <w:rFonts w:hint="eastAsia" w:ascii="宋体" w:hAnsi="宋体" w:eastAsia="宋体" w:cs="宋体"/>
                <w:b/>
                <w:bCs/>
                <w:kern w:val="2"/>
                <w:sz w:val="21"/>
                <w:szCs w:val="21"/>
                <w:highlight w:val="none"/>
                <w:lang w:val="en-US" w:eastAsia="zh-CN" w:bidi="ar-SA"/>
              </w:rPr>
              <w:t>③</w:t>
            </w:r>
            <w:r>
              <w:rPr>
                <w:rFonts w:hint="eastAsia" w:ascii="宋体" w:hAnsi="宋体" w:eastAsia="宋体" w:cs="宋体"/>
                <w:b/>
                <w:bCs/>
                <w:szCs w:val="21"/>
                <w:highlight w:val="none"/>
              </w:rPr>
              <w:t>同一人员具备同一种类证书含有多个专业的仅按一个专业计算一次得分。</w:t>
            </w:r>
          </w:p>
          <w:p w14:paraId="198F7F6C">
            <w:pPr>
              <w:pStyle w:val="138"/>
              <w:keepNext w:val="0"/>
              <w:keepLines w:val="0"/>
              <w:numPr>
                <w:ilvl w:val="0"/>
                <w:numId w:val="0"/>
              </w:numPr>
              <w:suppressLineNumbers w:val="0"/>
              <w:spacing w:before="0" w:beforeAutospacing="0" w:after="0" w:afterAutospacing="0" w:line="400" w:lineRule="exact"/>
              <w:ind w:left="0" w:right="0" w:firstLine="0" w:firstLineChars="0"/>
              <w:rPr>
                <w:rFonts w:hint="eastAsia" w:ascii="宋体" w:hAnsi="宋体" w:eastAsia="宋体" w:cs="宋体"/>
                <w:bCs/>
                <w:szCs w:val="21"/>
                <w:highlight w:val="none"/>
              </w:rPr>
            </w:pPr>
            <w:r>
              <w:rPr>
                <w:rFonts w:hint="eastAsia" w:ascii="宋体" w:hAnsi="宋体" w:eastAsia="宋体" w:cs="宋体"/>
                <w:b/>
                <w:bCs w:val="0"/>
                <w:kern w:val="2"/>
                <w:sz w:val="21"/>
                <w:szCs w:val="21"/>
                <w:highlight w:val="none"/>
                <w:lang w:val="en-US" w:eastAsia="zh-CN" w:bidi="ar-SA"/>
              </w:rPr>
              <w:t>④</w:t>
            </w:r>
            <w:r>
              <w:rPr>
                <w:rFonts w:hint="eastAsia" w:ascii="宋体" w:hAnsi="宋体" w:eastAsia="宋体" w:cs="宋体"/>
                <w:b/>
                <w:bCs/>
                <w:szCs w:val="21"/>
                <w:highlight w:val="none"/>
              </w:rPr>
              <w:t>同一人员具备同一种类证书或同一个专业含有多个等级的仅按最高等级证书计算一次得分。</w:t>
            </w:r>
          </w:p>
        </w:tc>
        <w:tc>
          <w:tcPr>
            <w:tcW w:w="439" w:type="pct"/>
            <w:vAlign w:val="center"/>
          </w:tcPr>
          <w:p w14:paraId="4C8C53E0">
            <w:pPr>
              <w:pStyle w:val="72"/>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14:paraId="1AF4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21" w:type="pct"/>
            <w:vAlign w:val="center"/>
          </w:tcPr>
          <w:p w14:paraId="54612613">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546" w:type="pct"/>
            <w:vAlign w:val="center"/>
          </w:tcPr>
          <w:p w14:paraId="73438E9C">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bCs/>
                <w:szCs w:val="21"/>
                <w:highlight w:val="none"/>
              </w:rPr>
              <w:t>服务方案</w:t>
            </w:r>
          </w:p>
        </w:tc>
        <w:tc>
          <w:tcPr>
            <w:tcW w:w="3692" w:type="pct"/>
            <w:vAlign w:val="center"/>
          </w:tcPr>
          <w:p w14:paraId="435C98CD">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b w:val="0"/>
                <w:bCs w:val="0"/>
                <w:i w:val="0"/>
                <w:iCs w:val="0"/>
                <w:caps w:val="0"/>
                <w:color w:val="333333"/>
                <w:spacing w:val="0"/>
                <w:sz w:val="21"/>
                <w:szCs w:val="21"/>
                <w:highlight w:val="none"/>
                <w:shd w:val="clear" w:fill="FFFFFF"/>
                <w:lang w:val="en-US" w:eastAsia="zh-CN"/>
              </w:rPr>
              <w:t>根据投标人提供的</w:t>
            </w:r>
            <w:r>
              <w:rPr>
                <w:rFonts w:hint="eastAsia" w:ascii="宋体" w:hAnsi="宋体" w:eastAsia="宋体" w:cs="宋体"/>
                <w:highlight w:val="none"/>
              </w:rPr>
              <w:t>服务方案，包括但不限于工作流程、进度时间、文件编制质量、开评标过程的保障及措施等进行评审：</w:t>
            </w:r>
          </w:p>
          <w:p w14:paraId="1063DDB4">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优：工作流程周密合理可行，项目进度时间安排科学合理，文件编制质量高，开评标过程的保障及措施针对性，可操作性强，有详细完整的服务方案满足相关工作的运作，并能突出工作的重点和难点，得[15-9] 分；</w:t>
            </w:r>
          </w:p>
          <w:p w14:paraId="0AAB800B">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良：工作流程较合理可行，项目进度时间安排较合理，文件编制质量较高，开评标过程的保障及措施针对性，可操作性较强，有较完整的服务方案满足相关工作的运作，得（9-6] 分；</w:t>
            </w:r>
          </w:p>
          <w:p w14:paraId="35C62E9B">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中：工作流程基本合理可行，项目进度时间安排基本合理，文件编制质量一般，开评标过程的保障及措施针对性，可操作性一般，整体服务方案基本满足相关工作的运作，得（6-3] 分；</w:t>
            </w:r>
          </w:p>
          <w:p w14:paraId="45F7A1DC">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差：工作流程及项目进度时间安排不明晰，文件编制质量差，开评标过程的保障及措施针对性，可操作性差，整体服务方案不能满足相关工作的运作，得（3-0]分。</w:t>
            </w:r>
          </w:p>
        </w:tc>
        <w:tc>
          <w:tcPr>
            <w:tcW w:w="439" w:type="pct"/>
            <w:vAlign w:val="center"/>
          </w:tcPr>
          <w:p w14:paraId="0A993557">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bCs/>
                <w:szCs w:val="21"/>
                <w:highlight w:val="none"/>
              </w:rPr>
              <w:t>15</w:t>
            </w:r>
          </w:p>
        </w:tc>
      </w:tr>
      <w:tr w14:paraId="69CE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21" w:type="pct"/>
            <w:vAlign w:val="center"/>
          </w:tcPr>
          <w:p w14:paraId="772DDC04">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546" w:type="pct"/>
            <w:vAlign w:val="center"/>
          </w:tcPr>
          <w:p w14:paraId="32C514D2">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bCs/>
                <w:szCs w:val="21"/>
                <w:highlight w:val="none"/>
              </w:rPr>
              <w:t>应急预案及处理能力</w:t>
            </w:r>
          </w:p>
        </w:tc>
        <w:tc>
          <w:tcPr>
            <w:tcW w:w="3692" w:type="pct"/>
            <w:vAlign w:val="center"/>
          </w:tcPr>
          <w:p w14:paraId="1BF00F8A">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b w:val="0"/>
                <w:bCs w:val="0"/>
                <w:i w:val="0"/>
                <w:iCs w:val="0"/>
                <w:caps w:val="0"/>
                <w:color w:val="333333"/>
                <w:spacing w:val="0"/>
                <w:sz w:val="21"/>
                <w:szCs w:val="21"/>
                <w:highlight w:val="none"/>
                <w:shd w:val="clear" w:fill="FFFFFF"/>
                <w:lang w:val="en-US" w:eastAsia="zh-CN"/>
              </w:rPr>
              <w:t>根据投标人提供的</w:t>
            </w:r>
            <w:r>
              <w:rPr>
                <w:rFonts w:hint="eastAsia" w:ascii="宋体" w:hAnsi="宋体" w:eastAsia="宋体" w:cs="宋体"/>
                <w:highlight w:val="none"/>
              </w:rPr>
              <w:t>应急预案，包括但不限于异议、投诉等情况制定的处理方案及措施等进行评审：</w:t>
            </w:r>
          </w:p>
          <w:p w14:paraId="4EC65216">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优：针对异议、投诉等情况制定的应对服务方案和处理措施具有针对性，可操作性强，并能快速合理解决出现异议、投诉等情况，得[5-4] 分；</w:t>
            </w:r>
          </w:p>
          <w:p w14:paraId="5A4DBC31">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良：针对异议、投诉等情况制定的应对服务方案和处理措施较合理，处理措施一般，可操作性较强，得（4-3] 分；</w:t>
            </w:r>
          </w:p>
          <w:p w14:paraId="591B81F3">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中：针对异议、投诉等情况制定的应对服务方案和处理措施不完整，处理措施及步骤未完全符合要求，可操作性较差，得（3-2] 分；</w:t>
            </w:r>
          </w:p>
          <w:p w14:paraId="42E332BC">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差：针对异议、投诉等情况制定的应对服务方案和处理措施不可靠，处理措施不妥当，无可操作性，得（2-0]分。</w:t>
            </w:r>
          </w:p>
        </w:tc>
        <w:tc>
          <w:tcPr>
            <w:tcW w:w="439" w:type="pct"/>
            <w:vAlign w:val="center"/>
          </w:tcPr>
          <w:p w14:paraId="26C6601E">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bCs/>
                <w:szCs w:val="21"/>
                <w:highlight w:val="none"/>
              </w:rPr>
              <w:t>5</w:t>
            </w:r>
          </w:p>
        </w:tc>
      </w:tr>
      <w:tr w14:paraId="7F18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60" w:type="pct"/>
            <w:gridSpan w:val="3"/>
            <w:vAlign w:val="center"/>
          </w:tcPr>
          <w:p w14:paraId="2824AFC6">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b/>
                <w:bCs/>
                <w:szCs w:val="21"/>
                <w:highlight w:val="none"/>
              </w:rPr>
              <w:t>技术总分</w:t>
            </w:r>
          </w:p>
        </w:tc>
        <w:tc>
          <w:tcPr>
            <w:tcW w:w="439" w:type="pct"/>
            <w:vAlign w:val="center"/>
          </w:tcPr>
          <w:p w14:paraId="40A18C7C">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bCs/>
                <w:szCs w:val="21"/>
                <w:highlight w:val="none"/>
              </w:rPr>
            </w:pPr>
            <w:r>
              <w:rPr>
                <w:rFonts w:hint="eastAsia" w:ascii="宋体" w:hAnsi="宋体" w:eastAsia="宋体" w:cs="宋体"/>
                <w:b/>
                <w:bCs/>
                <w:szCs w:val="21"/>
                <w:highlight w:val="none"/>
              </w:rPr>
              <w:t>45</w:t>
            </w:r>
          </w:p>
        </w:tc>
      </w:tr>
    </w:tbl>
    <w:p w14:paraId="3AB56592">
      <w:pPr>
        <w:autoSpaceDE w:val="0"/>
        <w:autoSpaceDN w:val="0"/>
        <w:adjustRightInd w:val="0"/>
        <w:spacing w:line="400" w:lineRule="exact"/>
        <w:ind w:left="420" w:leftChars="200" w:firstLine="42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备注：</w:t>
      </w:r>
    </w:p>
    <w:p w14:paraId="56B92013">
      <w:pPr>
        <w:autoSpaceDE w:val="0"/>
        <w:autoSpaceDN w:val="0"/>
        <w:adjustRightInd w:val="0"/>
        <w:spacing w:line="400" w:lineRule="exact"/>
        <w:ind w:left="420" w:leftChars="200" w:firstLine="42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①表中“[”代表闭区间，“]”代表闭区间，如[0，1]代表该分数段范围为大于等于0且小于等于1。表中“（”代表开区间，“]”代表闭区间，如（1，2]代表该分数段范围为大于1且小于等于2。</w:t>
      </w:r>
    </w:p>
    <w:p w14:paraId="6007E77E">
      <w:pPr>
        <w:autoSpaceDE w:val="0"/>
        <w:autoSpaceDN w:val="0"/>
        <w:adjustRightInd w:val="0"/>
        <w:spacing w:line="400" w:lineRule="exact"/>
        <w:ind w:left="420" w:leftChars="200" w:firstLine="42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②分数出现小数点，保留小数点后2位，从小数点后第3位四舍五入。</w:t>
      </w:r>
    </w:p>
    <w:p w14:paraId="50842990">
      <w:pPr>
        <w:autoSpaceDE w:val="0"/>
        <w:autoSpaceDN w:val="0"/>
        <w:adjustRightInd w:val="0"/>
        <w:spacing w:line="400" w:lineRule="exact"/>
        <w:ind w:left="420" w:leftChars="200" w:firstLine="422" w:firstLineChars="200"/>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431284EE">
      <w:pPr>
        <w:autoSpaceDE w:val="0"/>
        <w:autoSpaceDN w:val="0"/>
        <w:adjustRightInd w:val="0"/>
        <w:spacing w:line="400" w:lineRule="exact"/>
        <w:ind w:left="420" w:leftChars="200" w:firstLine="422" w:firstLineChars="200"/>
        <w:rPr>
          <w:rFonts w:hint="eastAsia" w:ascii="宋体" w:hAnsi="宋体" w:eastAsia="宋体" w:cs="宋体"/>
          <w:kern w:val="0"/>
          <w:szCs w:val="21"/>
          <w:highlight w:val="none"/>
        </w:rPr>
      </w:pPr>
      <w:r>
        <w:rPr>
          <w:rFonts w:hint="eastAsia" w:ascii="宋体" w:hAnsi="宋体" w:eastAsia="宋体" w:cs="宋体"/>
          <w:b/>
          <w:szCs w:val="24"/>
          <w:highlight w:val="none"/>
        </w:rPr>
        <w:t>④</w:t>
      </w:r>
      <w:r>
        <w:rPr>
          <w:rFonts w:hint="eastAsia" w:ascii="宋体" w:hAnsi="宋体" w:eastAsia="宋体" w:cs="宋体"/>
          <w:b/>
          <w:kern w:val="0"/>
          <w:szCs w:val="21"/>
          <w:highlight w:val="none"/>
          <w:lang w:val="zh-CN"/>
        </w:rPr>
        <w:t>对</w:t>
      </w:r>
      <w:r>
        <w:rPr>
          <w:rFonts w:hint="eastAsia" w:ascii="宋体" w:hAnsi="宋体" w:eastAsia="宋体" w:cs="宋体"/>
          <w:b/>
          <w:kern w:val="0"/>
          <w:szCs w:val="21"/>
          <w:highlight w:val="none"/>
        </w:rPr>
        <w:t>于各</w:t>
      </w:r>
      <w:r>
        <w:rPr>
          <w:rFonts w:hint="eastAsia" w:ascii="宋体" w:hAnsi="宋体" w:eastAsia="宋体" w:cs="宋体"/>
          <w:b/>
          <w:kern w:val="0"/>
          <w:szCs w:val="21"/>
          <w:highlight w:val="none"/>
          <w:lang w:val="zh-CN"/>
        </w:rPr>
        <w:t>评标委员会成员</w:t>
      </w:r>
      <w:r>
        <w:rPr>
          <w:rFonts w:hint="eastAsia" w:ascii="宋体" w:hAnsi="宋体" w:eastAsia="宋体" w:cs="宋体"/>
          <w:b/>
          <w:kern w:val="0"/>
          <w:szCs w:val="21"/>
          <w:highlight w:val="none"/>
        </w:rPr>
        <w:t>存在客观分打分不一致时</w:t>
      </w:r>
      <w:r>
        <w:rPr>
          <w:rFonts w:hint="eastAsia" w:ascii="宋体" w:hAnsi="宋体" w:eastAsia="宋体" w:cs="宋体"/>
          <w:b/>
          <w:kern w:val="0"/>
          <w:szCs w:val="21"/>
          <w:highlight w:val="none"/>
          <w:lang w:val="zh-CN"/>
        </w:rPr>
        <w:t>,根据少数服</w:t>
      </w:r>
      <w:r>
        <w:rPr>
          <w:rFonts w:hint="eastAsia" w:ascii="宋体" w:hAnsi="宋体" w:eastAsia="宋体" w:cs="宋体"/>
          <w:b/>
          <w:kern w:val="0"/>
          <w:szCs w:val="21"/>
          <w:highlight w:val="none"/>
        </w:rPr>
        <w:t>从</w:t>
      </w:r>
      <w:r>
        <w:rPr>
          <w:rFonts w:hint="eastAsia" w:ascii="宋体" w:hAnsi="宋体" w:eastAsia="宋体" w:cs="宋体"/>
          <w:b/>
          <w:kern w:val="0"/>
          <w:szCs w:val="21"/>
          <w:highlight w:val="none"/>
          <w:lang w:val="zh-CN"/>
        </w:rPr>
        <w:t>多数的原则，以记名方式表决</w:t>
      </w:r>
      <w:r>
        <w:rPr>
          <w:rFonts w:hint="eastAsia" w:ascii="宋体" w:hAnsi="宋体" w:eastAsia="宋体" w:cs="宋体"/>
          <w:b/>
          <w:kern w:val="0"/>
          <w:szCs w:val="21"/>
          <w:highlight w:val="none"/>
        </w:rPr>
        <w:t>确定该项的评分。</w:t>
      </w:r>
    </w:p>
    <w:p w14:paraId="5F2F0BF4">
      <w:pPr>
        <w:tabs>
          <w:tab w:val="left" w:pos="585"/>
        </w:tabs>
        <w:autoSpaceDE w:val="0"/>
        <w:autoSpaceDN w:val="0"/>
        <w:adjustRightInd w:val="0"/>
        <w:spacing w:line="400" w:lineRule="exact"/>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w:t>
      </w:r>
      <w:r>
        <w:rPr>
          <w:rFonts w:hint="eastAsia" w:ascii="宋体" w:hAnsi="宋体" w:eastAsia="宋体" w:cs="宋体"/>
          <w:b/>
          <w:szCs w:val="21"/>
          <w:highlight w:val="none"/>
        </w:rPr>
        <w:t>3</w:t>
      </w:r>
      <w:r>
        <w:rPr>
          <w:rFonts w:hint="eastAsia" w:ascii="宋体" w:hAnsi="宋体" w:eastAsia="宋体" w:cs="宋体"/>
          <w:b/>
          <w:szCs w:val="21"/>
          <w:highlight w:val="none"/>
          <w:lang w:val="zh-CN"/>
        </w:rPr>
        <w:t>）综合得分</w:t>
      </w:r>
    </w:p>
    <w:p w14:paraId="31618941">
      <w:pPr>
        <w:spacing w:line="400" w:lineRule="exact"/>
        <w:ind w:firstLine="848" w:firstLineChars="404"/>
        <w:rPr>
          <w:rFonts w:hint="eastAsia" w:ascii="宋体" w:hAnsi="宋体" w:eastAsia="宋体" w:cs="宋体"/>
          <w:kern w:val="0"/>
          <w:szCs w:val="28"/>
          <w:highlight w:val="none"/>
          <w:lang w:val="zh-CN"/>
        </w:rPr>
      </w:pPr>
      <w:bookmarkStart w:id="816" w:name="_Toc31624_WPSOffice_Level2"/>
      <w:r>
        <w:rPr>
          <w:rFonts w:hint="eastAsia" w:ascii="宋体" w:hAnsi="宋体" w:eastAsia="宋体" w:cs="宋体"/>
          <w:kern w:val="0"/>
          <w:szCs w:val="28"/>
          <w:highlight w:val="none"/>
          <w:lang w:val="zh-CN"/>
        </w:rPr>
        <w:t>评标总得分=F1＋F2＋……+Fn</w:t>
      </w:r>
      <w:bookmarkEnd w:id="816"/>
    </w:p>
    <w:p w14:paraId="7506F4D9">
      <w:pPr>
        <w:widowControl/>
        <w:autoSpaceDE w:val="0"/>
        <w:autoSpaceDN w:val="0"/>
        <w:adjustRightInd w:val="0"/>
        <w:spacing w:line="400" w:lineRule="exact"/>
        <w:ind w:firstLine="840" w:firstLineChars="400"/>
        <w:jc w:val="left"/>
        <w:rPr>
          <w:rFonts w:hint="eastAsia" w:ascii="宋体" w:hAnsi="宋体" w:eastAsia="宋体" w:cs="宋体"/>
          <w:kern w:val="0"/>
          <w:szCs w:val="21"/>
          <w:highlight w:val="none"/>
        </w:rPr>
      </w:pPr>
      <w:bookmarkStart w:id="817" w:name="_Toc13236_WPSOffice_Level2"/>
      <w:r>
        <w:rPr>
          <w:rFonts w:hint="eastAsia" w:ascii="宋体" w:hAnsi="宋体" w:eastAsia="宋体" w:cs="宋体"/>
          <w:kern w:val="0"/>
          <w:szCs w:val="21"/>
          <w:highlight w:val="none"/>
        </w:rPr>
        <w:t>F1、F2、……Fn分别为各项评分因素的得分</w:t>
      </w:r>
      <w:bookmarkEnd w:id="817"/>
      <w:r>
        <w:rPr>
          <w:rFonts w:hint="eastAsia" w:ascii="宋体" w:hAnsi="宋体" w:eastAsia="宋体" w:cs="宋体"/>
          <w:kern w:val="0"/>
          <w:szCs w:val="21"/>
          <w:highlight w:val="none"/>
        </w:rPr>
        <w:t>。</w:t>
      </w:r>
    </w:p>
    <w:p w14:paraId="6949B434">
      <w:pPr>
        <w:autoSpaceDE w:val="0"/>
        <w:autoSpaceDN w:val="0"/>
        <w:adjustRightInd w:val="0"/>
        <w:spacing w:line="400" w:lineRule="exact"/>
        <w:ind w:left="564" w:leftChars="1" w:hanging="562" w:hangingChars="200"/>
        <w:rPr>
          <w:rFonts w:hint="eastAsia" w:ascii="宋体" w:hAnsi="宋体" w:eastAsia="宋体" w:cs="宋体"/>
          <w:b/>
          <w:bCs/>
          <w:sz w:val="28"/>
          <w:szCs w:val="28"/>
          <w:highlight w:val="none"/>
        </w:rPr>
      </w:pPr>
    </w:p>
    <w:p w14:paraId="1F8A0D56">
      <w:pPr>
        <w:autoSpaceDE w:val="0"/>
        <w:autoSpaceDN w:val="0"/>
        <w:adjustRightInd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zh-CN"/>
        </w:rPr>
        <w:t>五、推荐中标人</w:t>
      </w:r>
    </w:p>
    <w:p w14:paraId="1D4DEAF3">
      <w:pPr>
        <w:spacing w:line="400" w:lineRule="exact"/>
        <w:ind w:left="420" w:leftChars="200" w:firstLine="0" w:firstLineChars="0"/>
        <w:rPr>
          <w:rFonts w:hint="eastAsia" w:ascii="宋体" w:hAnsi="宋体" w:eastAsia="宋体" w:cs="宋体"/>
          <w:b/>
          <w:bCs/>
          <w:szCs w:val="21"/>
          <w:highlight w:val="none"/>
          <w:lang w:val="zh-CN"/>
        </w:rPr>
      </w:pPr>
      <w:r>
        <w:rPr>
          <w:rFonts w:hint="eastAsia" w:ascii="宋体" w:hAnsi="宋体" w:eastAsia="宋体" w:cs="宋体"/>
          <w:szCs w:val="21"/>
          <w:highlight w:val="none"/>
        </w:rPr>
        <w:t>13、</w:t>
      </w:r>
      <w:r>
        <w:rPr>
          <w:rFonts w:hint="eastAsia" w:ascii="宋体" w:hAnsi="宋体" w:eastAsia="宋体" w:cs="宋体"/>
          <w:b/>
          <w:szCs w:val="21"/>
          <w:highlight w:val="none"/>
          <w:lang w:val="zh-CN"/>
        </w:rPr>
        <w:t>符合条件的合格投标人均可参加东莞市水务环境投资控股集团有限公司招标采购代理协议服务项目</w:t>
      </w:r>
      <w:r>
        <w:rPr>
          <w:rFonts w:hint="eastAsia" w:ascii="宋体" w:hAnsi="宋体" w:eastAsia="宋体" w:cs="宋体"/>
          <w:b/>
          <w:szCs w:val="21"/>
          <w:highlight w:val="none"/>
          <w:lang w:val="en-US" w:eastAsia="zh-CN"/>
        </w:rPr>
        <w:t>标段一和标段二</w:t>
      </w:r>
      <w:r>
        <w:rPr>
          <w:rFonts w:hint="eastAsia" w:ascii="宋体" w:hAnsi="宋体" w:eastAsia="宋体" w:cs="宋体"/>
          <w:b/>
          <w:szCs w:val="21"/>
          <w:highlight w:val="none"/>
          <w:lang w:val="zh-CN"/>
        </w:rPr>
        <w:t>的投标，但同一投标人仅可中标上述其中一个</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lang w:val="zh-CN"/>
        </w:rPr>
        <w:t>，即一旦获得上述其中一个</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lang w:val="zh-CN"/>
        </w:rPr>
        <w:t>第一中标候选人资格的投标人，不能再被推荐为另外一个</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lang w:val="zh-CN"/>
        </w:rPr>
        <w:t>的中标候选人</w:t>
      </w:r>
      <w:r>
        <w:rPr>
          <w:rFonts w:hint="eastAsia" w:ascii="宋体" w:hAnsi="宋体" w:eastAsia="宋体" w:cs="宋体"/>
          <w:b/>
          <w:bCs/>
          <w:szCs w:val="21"/>
          <w:highlight w:val="none"/>
          <w:lang w:val="zh-CN"/>
        </w:rPr>
        <w:t>。</w:t>
      </w:r>
    </w:p>
    <w:p w14:paraId="5AB21CED">
      <w:pPr>
        <w:spacing w:line="400" w:lineRule="exact"/>
        <w:ind w:left="420" w:leftChars="200" w:firstLine="420" w:firstLineChars="200"/>
        <w:rPr>
          <w:rFonts w:hint="eastAsia" w:ascii="宋体" w:hAnsi="宋体" w:eastAsia="宋体" w:cs="宋体"/>
          <w:szCs w:val="21"/>
          <w:highlight w:val="none"/>
          <w:lang w:val="en-US" w:eastAsia="zh-CN"/>
        </w:rPr>
      </w:pPr>
      <w:r>
        <w:rPr>
          <w:rFonts w:hint="eastAsia" w:ascii="宋体" w:hAnsi="宋体" w:eastAsia="宋体" w:cs="宋体"/>
          <w:kern w:val="0"/>
          <w:szCs w:val="21"/>
          <w:highlight w:val="none"/>
          <w:lang w:val="zh-CN"/>
        </w:rPr>
        <w:t>评标委员会按评审后得分由高到低顺序排列</w:t>
      </w:r>
      <w:r>
        <w:rPr>
          <w:rFonts w:hint="eastAsia" w:ascii="宋体" w:hAnsi="宋体" w:eastAsia="宋体" w:cs="宋体"/>
          <w:szCs w:val="21"/>
          <w:highlight w:val="none"/>
        </w:rPr>
        <w:t>，并向</w:t>
      </w:r>
      <w:r>
        <w:rPr>
          <w:rFonts w:hint="eastAsia" w:ascii="宋体" w:hAnsi="宋体" w:eastAsia="宋体" w:cs="宋体"/>
          <w:szCs w:val="21"/>
          <w:highlight w:val="none"/>
          <w:lang w:eastAsia="zh-CN"/>
        </w:rPr>
        <w:t>招标（采购）人</w:t>
      </w:r>
      <w:r>
        <w:rPr>
          <w:rFonts w:hint="eastAsia" w:ascii="宋体" w:hAnsi="宋体" w:eastAsia="宋体" w:cs="宋体"/>
          <w:szCs w:val="21"/>
          <w:highlight w:val="none"/>
        </w:rPr>
        <w:t>推荐综合得分前</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名的投标人为第一中标候选人，综合得分排名第</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rPr>
        <w:t>名的为第二中标候选人，综合得分排名第</w:t>
      </w:r>
      <w:r>
        <w:rPr>
          <w:rFonts w:hint="eastAsia" w:ascii="宋体" w:hAnsi="宋体" w:eastAsia="宋体" w:cs="宋体"/>
          <w:szCs w:val="21"/>
          <w:highlight w:val="none"/>
          <w:lang w:val="en-US" w:eastAsia="zh-CN"/>
        </w:rPr>
        <w:t>六</w:t>
      </w:r>
      <w:r>
        <w:rPr>
          <w:rFonts w:hint="eastAsia" w:ascii="宋体" w:hAnsi="宋体" w:eastAsia="宋体" w:cs="宋体"/>
          <w:szCs w:val="21"/>
          <w:highlight w:val="none"/>
        </w:rPr>
        <w:t>名的为第三中标候选人，以此类推（若有效投标人不足</w:t>
      </w:r>
      <w:r>
        <w:rPr>
          <w:rFonts w:hint="eastAsia" w:ascii="宋体" w:hAnsi="宋体" w:eastAsia="宋体" w:cs="宋体"/>
          <w:szCs w:val="21"/>
          <w:highlight w:val="none"/>
          <w:lang w:val="en-US" w:eastAsia="zh-CN"/>
        </w:rPr>
        <w:t>六</w:t>
      </w:r>
      <w:r>
        <w:rPr>
          <w:rFonts w:hint="eastAsia" w:ascii="宋体" w:hAnsi="宋体" w:eastAsia="宋体" w:cs="宋体"/>
          <w:szCs w:val="21"/>
          <w:highlight w:val="none"/>
        </w:rPr>
        <w:t>家的则根据实际情况推荐），</w:t>
      </w:r>
      <w:r>
        <w:rPr>
          <w:rFonts w:hint="eastAsia" w:ascii="宋体" w:hAnsi="宋体" w:eastAsia="宋体" w:cs="宋体"/>
          <w:szCs w:val="21"/>
          <w:highlight w:val="none"/>
          <w:lang w:eastAsia="zh-CN"/>
        </w:rPr>
        <w:t>招标（采购）人</w:t>
      </w:r>
      <w:r>
        <w:rPr>
          <w:rFonts w:hint="eastAsia" w:ascii="宋体" w:hAnsi="宋体" w:eastAsia="宋体" w:cs="宋体"/>
          <w:szCs w:val="21"/>
          <w:highlight w:val="none"/>
        </w:rPr>
        <w:t>将确定第一中标候选人为中标人</w:t>
      </w:r>
      <w:r>
        <w:rPr>
          <w:rFonts w:hint="eastAsia" w:ascii="宋体" w:hAnsi="宋体" w:eastAsia="宋体" w:cs="宋体"/>
          <w:szCs w:val="21"/>
          <w:highlight w:val="none"/>
          <w:lang w:eastAsia="zh-CN"/>
        </w:rPr>
        <w:t>。</w:t>
      </w:r>
    </w:p>
    <w:p w14:paraId="70F3FDE8">
      <w:pPr>
        <w:spacing w:line="400" w:lineRule="exact"/>
        <w:ind w:left="420" w:leftChars="200" w:firstLine="420" w:firstLineChars="20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如果有两个或以上的投标人的综合得分相同，则按以下方式确定得分相同的投标人的排名次序：在综合得分相同的投标人中按</w:t>
      </w:r>
      <w:r>
        <w:rPr>
          <w:rFonts w:hint="eastAsia" w:ascii="宋体" w:hAnsi="宋体" w:eastAsia="宋体" w:cs="宋体"/>
          <w:kern w:val="0"/>
          <w:szCs w:val="21"/>
          <w:highlight w:val="none"/>
          <w:lang w:val="en-US" w:eastAsia="zh-CN"/>
        </w:rPr>
        <w:t>商务</w:t>
      </w:r>
      <w:r>
        <w:rPr>
          <w:rFonts w:hint="eastAsia" w:ascii="宋体" w:hAnsi="宋体" w:eastAsia="宋体" w:cs="宋体"/>
          <w:kern w:val="0"/>
          <w:szCs w:val="21"/>
          <w:highlight w:val="none"/>
          <w:lang w:val="zh-CN"/>
        </w:rPr>
        <w:t>得分由高至低排出次序，得分高的排前，得分低的排后；</w:t>
      </w:r>
      <w:r>
        <w:rPr>
          <w:rFonts w:hint="eastAsia" w:ascii="宋体" w:hAnsi="宋体" w:eastAsia="宋体" w:cs="宋体"/>
          <w:highlight w:val="none"/>
          <w:lang w:val="en-US" w:eastAsia="zh-CN"/>
        </w:rPr>
        <w:t>综合得分和商务得分均相同的，按投标人提供符合评审标准（中级职称或以上）的人员数量排序，人员数量多的排前，数量少的排后；</w:t>
      </w:r>
      <w:r>
        <w:rPr>
          <w:rFonts w:hint="eastAsia" w:ascii="宋体" w:hAnsi="宋体" w:eastAsia="宋体" w:cs="宋体"/>
          <w:kern w:val="0"/>
          <w:szCs w:val="21"/>
          <w:highlight w:val="none"/>
          <w:lang w:val="zh-CN"/>
        </w:rPr>
        <w:t>按上述环节依然存在同分情形而不能确认排名顺序时，由评标委员会进行投票，得票多的排名在先。当第一轮投票结果为投标人得票数相同时，再次进行投票，如此类推，直到能确定排序次序为止。</w:t>
      </w:r>
    </w:p>
    <w:p w14:paraId="5908D855">
      <w:pPr>
        <w:widowControl/>
        <w:spacing w:line="400" w:lineRule="exact"/>
        <w:jc w:val="left"/>
        <w:rPr>
          <w:rFonts w:hint="eastAsia" w:ascii="宋体" w:hAnsi="宋体" w:eastAsia="宋体" w:cs="宋体"/>
          <w:kern w:val="0"/>
          <w:szCs w:val="21"/>
          <w:highlight w:val="none"/>
        </w:rPr>
      </w:pPr>
    </w:p>
    <w:p w14:paraId="76D5D4C0">
      <w:pPr>
        <w:autoSpaceDE w:val="0"/>
        <w:autoSpaceDN w:val="0"/>
        <w:adjustRightInd w:val="0"/>
        <w:spacing w:line="400" w:lineRule="exact"/>
        <w:ind w:left="185" w:leftChars="88" w:firstLine="3443" w:firstLineChars="1225"/>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六、编写评标报告</w:t>
      </w:r>
    </w:p>
    <w:p w14:paraId="09F8F584">
      <w:pPr>
        <w:autoSpaceDE w:val="0"/>
        <w:autoSpaceDN w:val="0"/>
        <w:adjustRightInd w:val="0"/>
        <w:spacing w:line="400" w:lineRule="exact"/>
        <w:ind w:left="420" w:hanging="420" w:hangingChars="200"/>
        <w:jc w:val="left"/>
        <w:rPr>
          <w:rFonts w:ascii="宋体" w:hAnsi="宋体" w:eastAsia="宋体" w:cs="宋体"/>
          <w:b/>
          <w:bCs/>
          <w:szCs w:val="32"/>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4</w:t>
      </w:r>
      <w:r>
        <w:rPr>
          <w:rFonts w:hint="eastAsia" w:ascii="宋体" w:hAnsi="宋体" w:eastAsia="宋体" w:cs="宋体"/>
          <w:szCs w:val="24"/>
          <w:highlight w:val="none"/>
          <w:lang w:val="zh-CN"/>
        </w:rPr>
        <w:t>、评标委员会根据评审结果撰写评标报告。评标报告是评标委员会根据全体评标委员会成员签字的原始评审记录和评审结果编写的报告，其主要内容包括：</w:t>
      </w:r>
    </w:p>
    <w:p w14:paraId="169EE1AA">
      <w:pPr>
        <w:autoSpaceDE w:val="0"/>
        <w:autoSpaceDN w:val="0"/>
        <w:adjustRightInd w:val="0"/>
        <w:spacing w:line="400" w:lineRule="exact"/>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（1）开标邀请时间、开标日期和地点；</w:t>
      </w:r>
    </w:p>
    <w:p w14:paraId="530664E7">
      <w:pPr>
        <w:autoSpaceDE w:val="0"/>
        <w:autoSpaceDN w:val="0"/>
        <w:adjustRightInd w:val="0"/>
        <w:spacing w:line="400" w:lineRule="exact"/>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（2）</w:t>
      </w:r>
      <w:r>
        <w:rPr>
          <w:rFonts w:hint="eastAsia" w:ascii="宋体" w:hAnsi="宋体" w:eastAsia="宋体" w:cs="宋体"/>
          <w:kern w:val="0"/>
          <w:szCs w:val="24"/>
          <w:highlight w:val="none"/>
        </w:rPr>
        <w:t>获取</w:t>
      </w:r>
      <w:r>
        <w:rPr>
          <w:rFonts w:hint="eastAsia" w:ascii="宋体" w:hAnsi="宋体" w:eastAsia="宋体" w:cs="宋体"/>
          <w:kern w:val="0"/>
          <w:szCs w:val="24"/>
          <w:highlight w:val="none"/>
          <w:lang w:val="zh-CN"/>
        </w:rPr>
        <w:t>招标（采购）文件的投标人名单和评标委员会成员名单；</w:t>
      </w:r>
    </w:p>
    <w:p w14:paraId="5BDB67CE">
      <w:pPr>
        <w:autoSpaceDE w:val="0"/>
        <w:autoSpaceDN w:val="0"/>
        <w:adjustRightInd w:val="0"/>
        <w:spacing w:line="400" w:lineRule="exact"/>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（3）开标评审方法和标准；</w:t>
      </w:r>
    </w:p>
    <w:p w14:paraId="3F647F39">
      <w:pPr>
        <w:autoSpaceDE w:val="0"/>
        <w:autoSpaceDN w:val="0"/>
        <w:adjustRightInd w:val="0"/>
        <w:spacing w:line="400" w:lineRule="exact"/>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（4）开标评审记录和评审情况及说明，包括投标无效投标人名单及原因；</w:t>
      </w:r>
    </w:p>
    <w:p w14:paraId="01F4C394">
      <w:pPr>
        <w:autoSpaceDE w:val="0"/>
        <w:autoSpaceDN w:val="0"/>
        <w:adjustRightInd w:val="0"/>
        <w:spacing w:line="400" w:lineRule="exact"/>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（5）评审结果和中标候选投标人排序表；</w:t>
      </w:r>
    </w:p>
    <w:p w14:paraId="5383D861">
      <w:pPr>
        <w:autoSpaceDE w:val="0"/>
        <w:autoSpaceDN w:val="0"/>
        <w:adjustRightInd w:val="0"/>
        <w:spacing w:line="400" w:lineRule="exact"/>
        <w:jc w:val="left"/>
        <w:rPr>
          <w:rFonts w:hint="eastAsia" w:ascii="宋体" w:hAnsi="宋体" w:eastAsia="宋体" w:cs="宋体"/>
          <w:szCs w:val="24"/>
          <w:highlight w:val="none"/>
          <w:lang w:val="zh-CN"/>
        </w:rPr>
      </w:pPr>
      <w:r>
        <w:rPr>
          <w:rFonts w:hint="eastAsia" w:ascii="宋体" w:hAnsi="宋体" w:eastAsia="宋体" w:cs="宋体"/>
          <w:kern w:val="0"/>
          <w:szCs w:val="24"/>
          <w:highlight w:val="none"/>
          <w:lang w:val="zh-CN"/>
        </w:rPr>
        <w:t>（6）评标委员会的推荐</w:t>
      </w:r>
      <w:r>
        <w:rPr>
          <w:rFonts w:hint="eastAsia" w:ascii="宋体" w:hAnsi="宋体" w:eastAsia="宋体" w:cs="宋体"/>
          <w:szCs w:val="24"/>
          <w:highlight w:val="none"/>
          <w:lang w:val="zh-CN"/>
        </w:rPr>
        <w:t>建议。</w:t>
      </w:r>
    </w:p>
    <w:p w14:paraId="6FC25F69">
      <w:pPr>
        <w:autoSpaceDE w:val="0"/>
        <w:autoSpaceDN w:val="0"/>
        <w:adjustRightInd w:val="0"/>
        <w:spacing w:line="400" w:lineRule="exact"/>
        <w:jc w:val="center"/>
        <w:rPr>
          <w:rFonts w:hint="eastAsia" w:ascii="宋体" w:hAnsi="宋体" w:eastAsia="宋体" w:cs="宋体"/>
          <w:b/>
          <w:bCs/>
          <w:sz w:val="28"/>
          <w:szCs w:val="28"/>
          <w:highlight w:val="none"/>
          <w:lang w:val="zh-CN"/>
        </w:rPr>
      </w:pPr>
    </w:p>
    <w:p w14:paraId="7C912029">
      <w:pPr>
        <w:autoSpaceDE w:val="0"/>
        <w:autoSpaceDN w:val="0"/>
        <w:adjustRightInd w:val="0"/>
        <w:spacing w:line="400" w:lineRule="exact"/>
        <w:jc w:val="center"/>
        <w:rPr>
          <w:rFonts w:hint="eastAsia" w:ascii="宋体" w:hAnsi="宋体" w:eastAsia="宋体" w:cs="宋体"/>
          <w:b/>
          <w:bCs/>
          <w:sz w:val="30"/>
          <w:szCs w:val="30"/>
          <w:highlight w:val="none"/>
          <w:lang w:val="zh-CN"/>
        </w:rPr>
      </w:pPr>
      <w:r>
        <w:rPr>
          <w:rFonts w:hint="eastAsia" w:ascii="宋体" w:hAnsi="宋体" w:eastAsia="宋体" w:cs="宋体"/>
          <w:b/>
          <w:bCs/>
          <w:sz w:val="28"/>
          <w:szCs w:val="28"/>
          <w:highlight w:val="none"/>
          <w:lang w:val="zh-CN"/>
        </w:rPr>
        <w:t>七、注意事项</w:t>
      </w:r>
    </w:p>
    <w:p w14:paraId="5FCBAF81">
      <w:pPr>
        <w:autoSpaceDE w:val="0"/>
        <w:autoSpaceDN w:val="0"/>
        <w:adjustRightInd w:val="0"/>
        <w:spacing w:line="400" w:lineRule="exact"/>
        <w:ind w:left="420" w:hanging="420" w:hangingChars="200"/>
        <w:rPr>
          <w:rFonts w:ascii="宋体" w:hAnsi="宋体" w:eastAsia="宋体" w:cs="宋体"/>
          <w:szCs w:val="24"/>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5</w:t>
      </w:r>
      <w:r>
        <w:rPr>
          <w:rFonts w:hint="eastAsia" w:ascii="宋体" w:hAnsi="宋体" w:eastAsia="宋体" w:cs="宋体"/>
          <w:szCs w:val="24"/>
          <w:highlight w:val="none"/>
          <w:lang w:val="zh-CN"/>
        </w:rPr>
        <w:t>、为确保评审工作的顺利进行，防止因泄密或其它意外而造成的不良后果及影响，凡参加评审工作的人员都必须认真执行本规定：</w:t>
      </w:r>
    </w:p>
    <w:p w14:paraId="5AB0825E">
      <w:pPr>
        <w:autoSpaceDE w:val="0"/>
        <w:autoSpaceDN w:val="0"/>
        <w:adjustRightInd w:val="0"/>
        <w:spacing w:line="400" w:lineRule="exact"/>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（1）在评审工作期间，所有分发的投标文件、资料等仅限于在评审场所中使用，不得带往其它地方，所有的招标（采购）文件、投标文件、资料等一律编号登记；</w:t>
      </w:r>
    </w:p>
    <w:p w14:paraId="447B6284">
      <w:pPr>
        <w:autoSpaceDE w:val="0"/>
        <w:autoSpaceDN w:val="0"/>
        <w:adjustRightInd w:val="0"/>
        <w:spacing w:line="400" w:lineRule="exact"/>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（2）评审人员及工作人员不得在公共场合谈论有关评审内容；</w:t>
      </w:r>
    </w:p>
    <w:p w14:paraId="6394F3E2">
      <w:pPr>
        <w:autoSpaceDE w:val="0"/>
        <w:autoSpaceDN w:val="0"/>
        <w:adjustRightInd w:val="0"/>
        <w:spacing w:line="400" w:lineRule="exact"/>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A6629C0">
      <w:pPr>
        <w:autoSpaceDE w:val="0"/>
        <w:autoSpaceDN w:val="0"/>
        <w:adjustRightInd w:val="0"/>
        <w:spacing w:line="400" w:lineRule="exact"/>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（4）</w:t>
      </w:r>
      <w:r>
        <w:rPr>
          <w:rFonts w:hint="eastAsia" w:ascii="宋体" w:hAnsi="宋体" w:eastAsia="宋体" w:cs="宋体"/>
          <w:szCs w:val="24"/>
          <w:highlight w:val="none"/>
        </w:rPr>
        <w:t>如有需要举行</w:t>
      </w:r>
      <w:r>
        <w:rPr>
          <w:rFonts w:hint="eastAsia" w:ascii="宋体" w:hAnsi="宋体" w:eastAsia="宋体" w:cs="宋体"/>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BC10026">
      <w:pPr>
        <w:autoSpaceDE w:val="0"/>
        <w:autoSpaceDN w:val="0"/>
        <w:adjustRightInd w:val="0"/>
        <w:spacing w:line="400" w:lineRule="exact"/>
        <w:ind w:left="436" w:leftChars="-59" w:hanging="560" w:hangingChars="267"/>
        <w:rPr>
          <w:rFonts w:hint="eastAsia" w:ascii="宋体" w:hAnsi="宋体" w:eastAsia="宋体" w:cs="宋体"/>
          <w:b/>
          <w:bCs/>
          <w:kern w:val="0"/>
          <w:szCs w:val="21"/>
          <w:highlight w:val="none"/>
        </w:rPr>
      </w:pPr>
      <w:r>
        <w:rPr>
          <w:rFonts w:hint="eastAsia" w:ascii="宋体" w:hAnsi="宋体" w:eastAsia="宋体" w:cs="宋体"/>
          <w:szCs w:val="24"/>
          <w:highlight w:val="none"/>
          <w:lang w:val="zh-CN"/>
        </w:rPr>
        <w:t>（5）任何评审人员和工作人员不得对外公布评审的一切内容。</w:t>
      </w:r>
    </w:p>
    <w:p w14:paraId="7C39B9E5">
      <w:pPr>
        <w:pStyle w:val="19"/>
        <w:widowControl/>
        <w:adjustRightInd w:val="0"/>
        <w:ind w:right="840" w:rightChars="400" w:firstLine="0" w:firstLineChars="0"/>
        <w:jc w:val="both"/>
        <w:rPr>
          <w:rFonts w:hint="default" w:ascii="Times New Roman" w:hAnsi="Times New Roman" w:cs="Times New Roman"/>
          <w:sz w:val="32"/>
          <w:szCs w:val="32"/>
          <w:highlight w:val="none"/>
          <w:lang w:val="en-US" w:eastAsia="zh-CN"/>
        </w:rPr>
      </w:pPr>
    </w:p>
    <w:p w14:paraId="2DAC8CAD">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594A9DA8">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47BE3771">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23FFC51A">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20D9458C">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7B323543">
      <w:pPr>
        <w:kinsoku/>
        <w:overflowPunct/>
        <w:autoSpaceDE w:val="0"/>
        <w:autoSpaceDN w:val="0"/>
        <w:bidi w:val="0"/>
        <w:adjustRightInd w:val="0"/>
        <w:spacing w:line="360" w:lineRule="auto"/>
        <w:jc w:val="center"/>
        <w:outlineLvl w:val="9"/>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东莞市水务环境投资控股集团有限公司招标采购代理协议服务项目</w:t>
      </w:r>
    </w:p>
    <w:p w14:paraId="233A81E4">
      <w:pPr>
        <w:kinsoku/>
        <w:overflowPunct/>
        <w:autoSpaceDE w:val="0"/>
        <w:autoSpaceDN w:val="0"/>
        <w:bidi w:val="0"/>
        <w:adjustRightInd w:val="0"/>
        <w:spacing w:line="360" w:lineRule="auto"/>
        <w:jc w:val="center"/>
        <w:outlineLvl w:val="9"/>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lang w:val="en-US" w:eastAsia="zh-CN"/>
        </w:rPr>
        <w:t xml:space="preserve">       （标段二）</w:t>
      </w:r>
      <w:r>
        <w:rPr>
          <w:rFonts w:hint="eastAsia" w:ascii="宋体" w:hAnsi="宋体" w:eastAsia="宋体" w:cs="宋体"/>
          <w:b/>
          <w:bCs/>
          <w:color w:val="auto"/>
          <w:sz w:val="36"/>
          <w:szCs w:val="36"/>
          <w:highlight w:val="none"/>
          <w:lang w:val="zh-CN"/>
        </w:rPr>
        <w:t>）</w:t>
      </w:r>
    </w:p>
    <w:p w14:paraId="28733F93">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3B2763E2">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779695BB">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39E0D90B">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72669241">
      <w:pPr>
        <w:kinsoku/>
        <w:overflowPunct/>
        <w:autoSpaceDE w:val="0"/>
        <w:autoSpaceDN w:val="0"/>
        <w:bidi w:val="0"/>
        <w:adjustRightInd w:val="0"/>
        <w:spacing w:line="400" w:lineRule="atLeast"/>
        <w:jc w:val="center"/>
        <w:outlineLvl w:val="9"/>
        <w:rPr>
          <w:rFonts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评标工作大纲</w:t>
      </w:r>
    </w:p>
    <w:p w14:paraId="012B4965">
      <w:pPr>
        <w:kinsoku/>
        <w:overflowPunct/>
        <w:autoSpaceDE w:val="0"/>
        <w:autoSpaceDN w:val="0"/>
        <w:bidi w:val="0"/>
        <w:adjustRightInd w:val="0"/>
        <w:spacing w:line="400" w:lineRule="atLeast"/>
        <w:jc w:val="center"/>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适用于标段二</w:t>
      </w:r>
      <w:r>
        <w:rPr>
          <w:rFonts w:hint="eastAsia" w:ascii="宋体" w:hAnsi="宋体" w:eastAsia="宋体" w:cs="宋体"/>
          <w:b/>
          <w:bCs/>
          <w:color w:val="auto"/>
          <w:sz w:val="36"/>
          <w:szCs w:val="36"/>
          <w:highlight w:val="none"/>
          <w:lang w:eastAsia="zh-CN"/>
        </w:rPr>
        <w:t>）</w:t>
      </w:r>
    </w:p>
    <w:p w14:paraId="7B491F1F">
      <w:pPr>
        <w:kinsoku/>
        <w:overflowPunct/>
        <w:autoSpaceDE w:val="0"/>
        <w:autoSpaceDN w:val="0"/>
        <w:bidi w:val="0"/>
        <w:adjustRightInd w:val="0"/>
        <w:spacing w:line="400" w:lineRule="atLeast"/>
        <w:outlineLvl w:val="9"/>
        <w:rPr>
          <w:rFonts w:ascii="宋体" w:hAnsi="宋体" w:eastAsia="宋体" w:cs="宋体"/>
          <w:b/>
          <w:bCs/>
          <w:color w:val="auto"/>
          <w:sz w:val="36"/>
          <w:szCs w:val="36"/>
          <w:highlight w:val="none"/>
        </w:rPr>
      </w:pPr>
    </w:p>
    <w:p w14:paraId="10B27E45">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22DF9833">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2FAD1410">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1EC68F68">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广东晟拓工程咨询有限公司</w:t>
      </w:r>
    </w:p>
    <w:p w14:paraId="03AF2678">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47B28243">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18" w:name="_Toc32395_WPSOffice_Level1"/>
      <w:r>
        <w:rPr>
          <w:rFonts w:hint="eastAsia" w:ascii="宋体" w:hAnsi="宋体" w:eastAsia="宋体" w:cs="宋体"/>
          <w:b/>
          <w:bCs/>
          <w:color w:val="auto"/>
          <w:sz w:val="36"/>
          <w:szCs w:val="36"/>
          <w:highlight w:val="none"/>
          <w:lang w:val="zh-CN"/>
        </w:rPr>
        <w:t>目录</w:t>
      </w:r>
      <w:bookmarkEnd w:id="818"/>
    </w:p>
    <w:p w14:paraId="3F7E001F">
      <w:pPr>
        <w:kinsoku/>
        <w:overflowPunct/>
        <w:autoSpaceDE w:val="0"/>
        <w:autoSpaceDN w:val="0"/>
        <w:bidi w:val="0"/>
        <w:adjustRightInd w:val="0"/>
        <w:spacing w:line="400" w:lineRule="atLeast"/>
        <w:jc w:val="center"/>
        <w:outlineLvl w:val="9"/>
        <w:rPr>
          <w:rFonts w:ascii="宋体" w:hAnsi="宋体" w:eastAsia="宋体" w:cs="宋体"/>
          <w:color w:val="auto"/>
          <w:sz w:val="44"/>
          <w:szCs w:val="44"/>
          <w:highlight w:val="none"/>
        </w:rPr>
      </w:pPr>
    </w:p>
    <w:p w14:paraId="0F3A8DBF">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19"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19"/>
    </w:p>
    <w:p w14:paraId="0825074C">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20"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20"/>
    </w:p>
    <w:p w14:paraId="2F2FCD96">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21"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21"/>
    </w:p>
    <w:p w14:paraId="0DBCF1AE">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22" w:name="_Toc1206_WPSOffice_Level1"/>
      <w:r>
        <w:rPr>
          <w:rFonts w:hint="eastAsia" w:ascii="宋体" w:hAnsi="宋体" w:eastAsia="宋体" w:cs="宋体"/>
          <w:color w:val="auto"/>
          <w:szCs w:val="30"/>
          <w:highlight w:val="none"/>
        </w:rPr>
        <w:t>四、 比较和评价</w:t>
      </w:r>
      <w:bookmarkEnd w:id="822"/>
    </w:p>
    <w:p w14:paraId="16F55005">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23"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23"/>
    </w:p>
    <w:p w14:paraId="3F95C32C">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24"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24"/>
    </w:p>
    <w:p w14:paraId="21276060">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25"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25"/>
    </w:p>
    <w:p w14:paraId="69FCF7A2">
      <w:pPr>
        <w:tabs>
          <w:tab w:val="right" w:pos="7320"/>
        </w:tabs>
        <w:kinsoku/>
        <w:overflowPunct/>
        <w:autoSpaceDE w:val="0"/>
        <w:autoSpaceDN w:val="0"/>
        <w:bidi w:val="0"/>
        <w:adjustRightInd w:val="0"/>
        <w:spacing w:line="360" w:lineRule="auto"/>
        <w:ind w:left="720" w:hanging="720"/>
        <w:outlineLvl w:val="9"/>
        <w:rPr>
          <w:rFonts w:ascii="宋体" w:hAnsi="宋体" w:eastAsia="宋体" w:cs="宋体"/>
          <w:color w:val="auto"/>
          <w:szCs w:val="30"/>
          <w:highlight w:val="none"/>
        </w:rPr>
      </w:pPr>
    </w:p>
    <w:p w14:paraId="494A8093">
      <w:pPr>
        <w:tabs>
          <w:tab w:val="right" w:pos="7320"/>
        </w:tabs>
        <w:kinsoku/>
        <w:overflowPunct/>
        <w:autoSpaceDE w:val="0"/>
        <w:autoSpaceDN w:val="0"/>
        <w:bidi w:val="0"/>
        <w:adjustRightInd w:val="0"/>
        <w:spacing w:line="360" w:lineRule="auto"/>
        <w:ind w:left="720" w:hanging="720"/>
        <w:outlineLvl w:val="9"/>
        <w:rPr>
          <w:rFonts w:ascii="宋体" w:hAnsi="宋体" w:eastAsia="宋体" w:cs="宋体"/>
          <w:color w:val="auto"/>
          <w:szCs w:val="30"/>
          <w:highlight w:val="none"/>
        </w:rPr>
      </w:pPr>
    </w:p>
    <w:p w14:paraId="54399C5E">
      <w:pPr>
        <w:tabs>
          <w:tab w:val="left" w:pos="1080"/>
          <w:tab w:val="right" w:pos="7320"/>
        </w:tabs>
        <w:kinsoku/>
        <w:overflowPunct/>
        <w:autoSpaceDE w:val="0"/>
        <w:autoSpaceDN w:val="0"/>
        <w:bidi w:val="0"/>
        <w:adjustRightInd w:val="0"/>
        <w:spacing w:line="400" w:lineRule="atLeast"/>
        <w:ind w:left="720" w:hanging="720"/>
        <w:outlineLvl w:val="9"/>
        <w:rPr>
          <w:rFonts w:ascii="宋体" w:hAnsi="宋体" w:eastAsia="宋体" w:cs="宋体"/>
          <w:color w:val="auto"/>
          <w:szCs w:val="30"/>
          <w:highlight w:val="none"/>
        </w:rPr>
      </w:pPr>
    </w:p>
    <w:p w14:paraId="04359CA6">
      <w:pPr>
        <w:tabs>
          <w:tab w:val="left" w:pos="1140"/>
        </w:tabs>
        <w:kinsoku/>
        <w:overflowPunct/>
        <w:autoSpaceDE w:val="0"/>
        <w:autoSpaceDN w:val="0"/>
        <w:bidi w:val="0"/>
        <w:adjustRightInd w:val="0"/>
        <w:spacing w:line="360" w:lineRule="auto"/>
        <w:jc w:val="center"/>
        <w:outlineLvl w:val="9"/>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26"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26"/>
    </w:p>
    <w:p w14:paraId="23E52940">
      <w:pPr>
        <w:tabs>
          <w:tab w:val="left" w:pos="567"/>
          <w:tab w:val="left" w:pos="600"/>
        </w:tabs>
        <w:autoSpaceDE w:val="0"/>
        <w:autoSpaceDN w:val="0"/>
        <w:adjustRightInd w:val="0"/>
        <w:spacing w:line="360" w:lineRule="auto"/>
        <w:ind w:left="600" w:hanging="600"/>
        <w:rPr>
          <w:rFonts w:hint="eastAsia" w:ascii="宋体" w:hAnsi="宋体" w:eastAsia="宋体" w:cs="宋体"/>
          <w:b/>
          <w:bCs/>
          <w:color w:val="000000"/>
          <w:szCs w:val="24"/>
          <w:highlight w:val="none"/>
          <w:lang w:val="zh-CN"/>
        </w:rPr>
      </w:pPr>
      <w:r>
        <w:rPr>
          <w:rFonts w:hint="eastAsia" w:ascii="宋体" w:hAnsi="宋体" w:eastAsia="宋体" w:cs="宋体"/>
          <w:b/>
          <w:bCs/>
          <w:color w:val="000000"/>
          <w:szCs w:val="24"/>
          <w:highlight w:val="none"/>
          <w:lang w:val="zh-CN"/>
        </w:rPr>
        <w:t>1、一般规定</w:t>
      </w:r>
    </w:p>
    <w:p w14:paraId="0DE04EDB">
      <w:pPr>
        <w:autoSpaceDE w:val="0"/>
        <w:autoSpaceDN w:val="0"/>
        <w:adjustRightInd w:val="0"/>
        <w:spacing w:line="360" w:lineRule="auto"/>
        <w:ind w:left="567" w:hanging="567"/>
        <w:rPr>
          <w:rFonts w:hint="eastAsia" w:ascii="宋体" w:hAnsi="宋体" w:eastAsia="宋体" w:cs="宋体"/>
          <w:color w:val="000000"/>
          <w:kern w:val="0"/>
          <w:szCs w:val="32"/>
          <w:highlight w:val="none"/>
        </w:rPr>
      </w:pPr>
      <w:r>
        <w:rPr>
          <w:rFonts w:hint="eastAsia" w:ascii="宋体" w:hAnsi="宋体" w:eastAsia="宋体" w:cs="宋体"/>
          <w:color w:val="000000"/>
          <w:szCs w:val="21"/>
          <w:highlight w:val="none"/>
          <w:lang w:val="zh-CN"/>
        </w:rPr>
        <w:t>1.1</w:t>
      </w:r>
      <w:r>
        <w:rPr>
          <w:rFonts w:hint="eastAsia" w:ascii="宋体" w:hAnsi="宋体" w:eastAsia="宋体" w:cs="宋体"/>
          <w:color w:val="000000"/>
          <w:szCs w:val="21"/>
          <w:highlight w:val="none"/>
          <w:lang w:val="zh-CN"/>
        </w:rPr>
        <w:tab/>
      </w:r>
      <w:r>
        <w:rPr>
          <w:rFonts w:hint="eastAsia" w:ascii="宋体" w:hAnsi="宋体" w:eastAsia="宋体" w:cs="宋体"/>
          <w:color w:val="000000"/>
          <w:kern w:val="0"/>
          <w:szCs w:val="21"/>
          <w:highlight w:val="none"/>
          <w:lang w:eastAsia="zh-CN"/>
        </w:rPr>
        <w:t>东莞市水务环境投资控股集团有限公司招标采购代理协议服务项目</w:t>
      </w:r>
      <w:r>
        <w:rPr>
          <w:rFonts w:hint="eastAsia" w:ascii="宋体" w:hAnsi="宋体" w:eastAsia="宋体" w:cs="宋体"/>
          <w:color w:val="000000"/>
          <w:kern w:val="0"/>
          <w:szCs w:val="32"/>
          <w:highlight w:val="none"/>
        </w:rPr>
        <w:t>的</w:t>
      </w:r>
      <w:r>
        <w:rPr>
          <w:rFonts w:hint="eastAsia" w:ascii="宋体" w:hAnsi="宋体" w:eastAsia="宋体" w:cs="宋体"/>
          <w:color w:val="000000"/>
          <w:szCs w:val="21"/>
          <w:highlight w:val="none"/>
          <w:lang w:val="zh-CN"/>
        </w:rPr>
        <w:t>招标</w:t>
      </w:r>
      <w:r>
        <w:rPr>
          <w:rFonts w:hint="eastAsia" w:ascii="宋体" w:hAnsi="宋体" w:eastAsia="宋体" w:cs="宋体"/>
          <w:color w:val="000000"/>
          <w:kern w:val="0"/>
          <w:szCs w:val="32"/>
          <w:highlight w:val="none"/>
        </w:rPr>
        <w:t>按照《中华人民共和国招标投标法》等有关规定进行。</w:t>
      </w:r>
    </w:p>
    <w:p w14:paraId="18538C84">
      <w:pPr>
        <w:autoSpaceDE w:val="0"/>
        <w:autoSpaceDN w:val="0"/>
        <w:adjustRightInd w:val="0"/>
        <w:spacing w:line="360" w:lineRule="auto"/>
        <w:ind w:left="567" w:hanging="567"/>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1.2</w:t>
      </w:r>
      <w:r>
        <w:rPr>
          <w:rFonts w:hint="eastAsia" w:ascii="宋体" w:hAnsi="宋体" w:eastAsia="宋体" w:cs="宋体"/>
          <w:color w:val="000000"/>
          <w:szCs w:val="24"/>
          <w:highlight w:val="none"/>
          <w:lang w:val="zh-CN"/>
        </w:rPr>
        <w:tab/>
      </w:r>
      <w:r>
        <w:rPr>
          <w:rFonts w:hint="eastAsia" w:ascii="宋体" w:hAnsi="宋体" w:eastAsia="宋体" w:cs="宋体"/>
          <w:color w:val="000000"/>
          <w:szCs w:val="24"/>
          <w:highlight w:val="none"/>
          <w:lang w:val="zh-CN"/>
        </w:rPr>
        <w:t>评标必须遵循公平、公正、诚实信用的原则。</w:t>
      </w:r>
    </w:p>
    <w:p w14:paraId="0C672614">
      <w:pPr>
        <w:autoSpaceDE w:val="0"/>
        <w:autoSpaceDN w:val="0"/>
        <w:adjustRightInd w:val="0"/>
        <w:spacing w:line="360" w:lineRule="auto"/>
        <w:ind w:left="567" w:hanging="567"/>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1.3</w:t>
      </w:r>
      <w:r>
        <w:rPr>
          <w:rFonts w:hint="eastAsia" w:ascii="宋体" w:hAnsi="宋体" w:eastAsia="宋体" w:cs="宋体"/>
          <w:color w:val="000000"/>
          <w:szCs w:val="24"/>
          <w:highlight w:val="none"/>
          <w:lang w:val="zh-CN"/>
        </w:rPr>
        <w:tab/>
      </w:r>
      <w:r>
        <w:rPr>
          <w:rFonts w:hint="eastAsia" w:ascii="宋体" w:hAnsi="宋体" w:eastAsia="宋体" w:cs="宋体"/>
          <w:szCs w:val="24"/>
          <w:highlight w:val="none"/>
          <w:lang w:val="zh-CN"/>
        </w:rPr>
        <w:t>招标代理机构</w:t>
      </w:r>
      <w:r>
        <w:rPr>
          <w:rFonts w:hint="eastAsia" w:ascii="宋体" w:hAnsi="宋体" w:eastAsia="宋体" w:cs="宋体"/>
          <w:kern w:val="0"/>
          <w:szCs w:val="32"/>
          <w:highlight w:val="none"/>
        </w:rPr>
        <w:t>组</w:t>
      </w:r>
      <w:r>
        <w:rPr>
          <w:rFonts w:hint="eastAsia" w:ascii="宋体" w:hAnsi="宋体" w:eastAsia="宋体" w:cs="宋体"/>
          <w:szCs w:val="24"/>
          <w:highlight w:val="none"/>
          <w:lang w:val="zh-CN"/>
        </w:rPr>
        <w:t>织评标工作，全过程接受招标（采购）人及相关部门的监督、管理和指</w:t>
      </w:r>
      <w:r>
        <w:rPr>
          <w:rFonts w:hint="eastAsia" w:ascii="宋体" w:hAnsi="宋体" w:eastAsia="宋体" w:cs="宋体"/>
          <w:color w:val="000000"/>
          <w:szCs w:val="24"/>
          <w:highlight w:val="none"/>
          <w:lang w:val="zh-CN"/>
        </w:rPr>
        <w:t>导。</w:t>
      </w:r>
    </w:p>
    <w:p w14:paraId="22E28C93">
      <w:pPr>
        <w:autoSpaceDE w:val="0"/>
        <w:autoSpaceDN w:val="0"/>
        <w:adjustRightInd w:val="0"/>
        <w:spacing w:line="360" w:lineRule="auto"/>
        <w:ind w:left="567" w:hanging="567"/>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1.4</w:t>
      </w:r>
      <w:r>
        <w:rPr>
          <w:rFonts w:hint="eastAsia" w:ascii="宋体" w:hAnsi="宋体" w:eastAsia="宋体" w:cs="宋体"/>
          <w:color w:val="000000"/>
          <w:szCs w:val="24"/>
          <w:highlight w:val="none"/>
          <w:lang w:val="zh-CN"/>
        </w:rPr>
        <w:tab/>
      </w:r>
      <w:r>
        <w:rPr>
          <w:rFonts w:hint="eastAsia" w:ascii="宋体" w:hAnsi="宋体" w:eastAsia="宋体" w:cs="宋体"/>
          <w:szCs w:val="24"/>
          <w:highlight w:val="none"/>
          <w:lang w:val="zh-CN"/>
        </w:rPr>
        <w:t>评标按照招标（采购）文件规定的内容进行，采取综合评分</w:t>
      </w:r>
      <w:r>
        <w:rPr>
          <w:rFonts w:hint="eastAsia" w:ascii="宋体" w:hAnsi="宋体" w:eastAsia="宋体" w:cs="宋体"/>
          <w:szCs w:val="21"/>
          <w:highlight w:val="none"/>
        </w:rPr>
        <w:t>法进行评审</w:t>
      </w:r>
      <w:r>
        <w:rPr>
          <w:rFonts w:hint="eastAsia" w:ascii="宋体" w:hAnsi="宋体" w:eastAsia="宋体" w:cs="宋体"/>
          <w:color w:val="000000"/>
          <w:szCs w:val="24"/>
          <w:highlight w:val="none"/>
          <w:lang w:val="zh-CN"/>
        </w:rPr>
        <w:t>。</w:t>
      </w:r>
    </w:p>
    <w:p w14:paraId="621C704A">
      <w:pPr>
        <w:numPr>
          <w:ilvl w:val="1"/>
          <w:numId w:val="0"/>
        </w:numPr>
        <w:autoSpaceDE w:val="0"/>
        <w:autoSpaceDN w:val="0"/>
        <w:adjustRightInd w:val="0"/>
        <w:spacing w:line="360" w:lineRule="auto"/>
        <w:ind w:left="564" w:leftChars="0" w:hanging="564" w:hangingChars="269"/>
        <w:jc w:val="left"/>
        <w:rPr>
          <w:rFonts w:hint="eastAsia" w:ascii="宋体" w:hAnsi="宋体" w:eastAsia="宋体" w:cs="宋体"/>
          <w:color w:val="000000"/>
          <w:szCs w:val="24"/>
          <w:highlight w:val="none"/>
          <w:lang w:val="zh-CN"/>
        </w:rPr>
      </w:pPr>
      <w:r>
        <w:rPr>
          <w:rFonts w:hint="default" w:ascii="宋体" w:hAnsi="宋体" w:eastAsia="宋体" w:cs="宋体"/>
          <w:color w:val="000000"/>
          <w:kern w:val="2"/>
          <w:sz w:val="21"/>
          <w:szCs w:val="24"/>
          <w:highlight w:val="none"/>
          <w:lang w:val="zh-CN" w:eastAsia="zh-CN" w:bidi="ar-SA"/>
        </w:rPr>
        <w:t>1.5</w:t>
      </w:r>
      <w:r>
        <w:rPr>
          <w:rFonts w:hint="eastAsia" w:ascii="宋体" w:hAnsi="宋体" w:eastAsia="宋体" w:cs="宋体"/>
          <w:color w:val="000000"/>
          <w:szCs w:val="24"/>
          <w:highlight w:val="none"/>
        </w:rPr>
        <w:t xml:space="preserve"> </w:t>
      </w:r>
      <w:r>
        <w:rPr>
          <w:rFonts w:hint="eastAsia" w:ascii="宋体" w:hAnsi="宋体" w:eastAsia="宋体" w:cs="宋体"/>
          <w:color w:val="000000"/>
          <w:szCs w:val="24"/>
          <w:highlight w:val="none"/>
          <w:lang w:val="en-US" w:eastAsia="zh-CN"/>
        </w:rPr>
        <w:t xml:space="preserve">  </w:t>
      </w:r>
      <w:r>
        <w:rPr>
          <w:rFonts w:hint="eastAsia" w:ascii="宋体" w:hAnsi="宋体" w:eastAsia="宋体" w:cs="宋体"/>
          <w:szCs w:val="24"/>
          <w:highlight w:val="none"/>
          <w:lang w:val="zh-CN"/>
        </w:rPr>
        <w:t>本办法的评审对象是指投标人按照招标（采购）文件要求提供的有效投标文件，包括投标人应评标委员会要求对原投标文件作出的正式书面澄清文件</w:t>
      </w:r>
      <w:r>
        <w:rPr>
          <w:rFonts w:hint="eastAsia" w:ascii="宋体" w:hAnsi="宋体" w:eastAsia="宋体" w:cs="宋体"/>
          <w:color w:val="000000"/>
          <w:szCs w:val="24"/>
          <w:highlight w:val="none"/>
          <w:lang w:val="zh-CN"/>
        </w:rPr>
        <w:t>。</w:t>
      </w:r>
    </w:p>
    <w:p w14:paraId="49740ED6">
      <w:pPr>
        <w:autoSpaceDE w:val="0"/>
        <w:autoSpaceDN w:val="0"/>
        <w:adjustRightInd w:val="0"/>
        <w:spacing w:line="360" w:lineRule="auto"/>
        <w:rPr>
          <w:rFonts w:hint="eastAsia" w:ascii="宋体" w:hAnsi="宋体" w:eastAsia="宋体" w:cs="宋体"/>
          <w:color w:val="000000"/>
          <w:sz w:val="24"/>
          <w:szCs w:val="24"/>
          <w:highlight w:val="none"/>
          <w:lang w:val="zh-CN"/>
        </w:rPr>
      </w:pPr>
    </w:p>
    <w:p w14:paraId="058AB4BE">
      <w:pPr>
        <w:tabs>
          <w:tab w:val="left" w:pos="360"/>
          <w:tab w:val="left" w:pos="600"/>
        </w:tabs>
        <w:autoSpaceDE w:val="0"/>
        <w:autoSpaceDN w:val="0"/>
        <w:adjustRightInd w:val="0"/>
        <w:spacing w:line="360" w:lineRule="auto"/>
        <w:ind w:left="600" w:hanging="600"/>
        <w:rPr>
          <w:rFonts w:hint="eastAsia" w:ascii="宋体" w:hAnsi="宋体" w:eastAsia="宋体" w:cs="宋体"/>
          <w:b/>
          <w:bCs/>
          <w:color w:val="000000"/>
          <w:szCs w:val="24"/>
          <w:highlight w:val="none"/>
          <w:lang w:val="zh-CN"/>
        </w:rPr>
      </w:pPr>
      <w:r>
        <w:rPr>
          <w:rFonts w:hint="eastAsia" w:ascii="宋体" w:hAnsi="宋体" w:eastAsia="宋体" w:cs="宋体"/>
          <w:b/>
          <w:bCs/>
          <w:color w:val="000000"/>
          <w:szCs w:val="24"/>
          <w:highlight w:val="none"/>
          <w:lang w:val="zh-CN"/>
        </w:rPr>
        <w:t>2、</w:t>
      </w:r>
      <w:r>
        <w:rPr>
          <w:rFonts w:hint="eastAsia" w:ascii="宋体" w:hAnsi="宋体" w:eastAsia="宋体" w:cs="宋体"/>
          <w:b/>
          <w:bCs/>
          <w:color w:val="000000"/>
          <w:szCs w:val="24"/>
          <w:highlight w:val="none"/>
          <w:lang w:val="zh-CN"/>
        </w:rPr>
        <w:tab/>
      </w:r>
      <w:r>
        <w:rPr>
          <w:rFonts w:hint="eastAsia" w:ascii="宋体" w:hAnsi="宋体" w:eastAsia="宋体" w:cs="宋体"/>
          <w:b/>
          <w:bCs/>
          <w:color w:val="000000"/>
          <w:szCs w:val="24"/>
          <w:highlight w:val="none"/>
          <w:lang w:val="zh-CN"/>
        </w:rPr>
        <w:t>评标组织机构的组成</w:t>
      </w:r>
    </w:p>
    <w:p w14:paraId="3CD11B39">
      <w:pPr>
        <w:tabs>
          <w:tab w:val="left" w:pos="567"/>
          <w:tab w:val="left" w:pos="1145"/>
        </w:tabs>
        <w:autoSpaceDE w:val="0"/>
        <w:autoSpaceDN w:val="0"/>
        <w:adjustRightInd w:val="0"/>
        <w:spacing w:line="360" w:lineRule="auto"/>
        <w:ind w:left="600" w:hanging="600"/>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2.1</w:t>
      </w:r>
      <w:r>
        <w:rPr>
          <w:rFonts w:hint="eastAsia" w:ascii="宋体" w:hAnsi="宋体" w:eastAsia="宋体" w:cs="宋体"/>
          <w:color w:val="000000"/>
          <w:szCs w:val="24"/>
          <w:highlight w:val="none"/>
          <w:lang w:val="zh-CN"/>
        </w:rPr>
        <w:tab/>
      </w:r>
      <w:r>
        <w:rPr>
          <w:rFonts w:hint="eastAsia" w:ascii="宋体" w:hAnsi="宋体" w:eastAsia="宋体" w:cs="宋体"/>
          <w:szCs w:val="24"/>
          <w:highlight w:val="none"/>
          <w:lang w:val="zh-CN"/>
        </w:rPr>
        <w:t>评标委员会</w:t>
      </w:r>
      <w:r>
        <w:rPr>
          <w:rFonts w:hint="eastAsia" w:ascii="宋体" w:hAnsi="宋体" w:eastAsia="宋体" w:cs="宋体"/>
          <w:kern w:val="0"/>
          <w:szCs w:val="24"/>
          <w:highlight w:val="none"/>
        </w:rPr>
        <w:t>由</w:t>
      </w:r>
      <w:r>
        <w:rPr>
          <w:rFonts w:hint="eastAsia" w:ascii="宋体" w:hAnsi="宋体" w:eastAsia="宋体" w:cs="宋体"/>
          <w:kern w:val="0"/>
          <w:szCs w:val="24"/>
          <w:highlight w:val="none"/>
          <w:lang w:eastAsia="zh-CN"/>
        </w:rPr>
        <w:t>招标（采购）人</w:t>
      </w:r>
      <w:r>
        <w:rPr>
          <w:rFonts w:hint="eastAsia" w:ascii="宋体" w:hAnsi="宋体" w:eastAsia="宋体" w:cs="宋体"/>
          <w:kern w:val="0"/>
          <w:szCs w:val="24"/>
          <w:highlight w:val="none"/>
        </w:rPr>
        <w:t>和技术、经济等方面的专家组成，成员为</w:t>
      </w:r>
      <w:r>
        <w:rPr>
          <w:rFonts w:hint="eastAsia" w:ascii="宋体" w:hAnsi="宋体" w:eastAsia="宋体" w:cs="宋体"/>
          <w:b/>
          <w:bCs/>
          <w:kern w:val="0"/>
          <w:szCs w:val="24"/>
          <w:highlight w:val="none"/>
        </w:rPr>
        <w:t>7</w:t>
      </w:r>
      <w:r>
        <w:rPr>
          <w:rFonts w:ascii="宋体" w:hAnsi="宋体" w:eastAsia="宋体" w:cs="宋体"/>
          <w:b/>
          <w:bCs/>
          <w:kern w:val="0"/>
          <w:szCs w:val="24"/>
          <w:highlight w:val="none"/>
        </w:rPr>
        <w:t>人以上（含</w:t>
      </w:r>
      <w:r>
        <w:rPr>
          <w:rFonts w:hint="eastAsia" w:ascii="宋体" w:hAnsi="宋体" w:eastAsia="宋体" w:cs="宋体"/>
          <w:b/>
          <w:bCs/>
          <w:kern w:val="0"/>
          <w:szCs w:val="24"/>
          <w:highlight w:val="none"/>
        </w:rPr>
        <w:t>7</w:t>
      </w:r>
      <w:r>
        <w:rPr>
          <w:rFonts w:ascii="宋体" w:hAnsi="宋体" w:eastAsia="宋体" w:cs="宋体"/>
          <w:b/>
          <w:bCs/>
          <w:kern w:val="0"/>
          <w:szCs w:val="24"/>
          <w:highlight w:val="none"/>
        </w:rPr>
        <w:t>人）单数</w:t>
      </w:r>
      <w:r>
        <w:rPr>
          <w:rFonts w:hint="eastAsia" w:ascii="宋体" w:hAnsi="宋体" w:eastAsia="宋体" w:cs="宋体"/>
          <w:kern w:val="0"/>
          <w:szCs w:val="24"/>
          <w:highlight w:val="none"/>
        </w:rPr>
        <w:t>，其中技术、经济等方面的专家不少于成员总数的三分之二。</w:t>
      </w:r>
      <w:r>
        <w:rPr>
          <w:rFonts w:hint="eastAsia" w:ascii="宋体" w:hAnsi="宋体" w:eastAsia="宋体" w:cs="宋体"/>
          <w:szCs w:val="24"/>
          <w:highlight w:val="none"/>
          <w:lang w:val="zh-CN"/>
        </w:rPr>
        <w:t>专家依法从</w:t>
      </w:r>
      <w:r>
        <w:rPr>
          <w:rFonts w:hint="eastAsia" w:ascii="宋体" w:hAnsi="宋体" w:eastAsia="宋体" w:cs="宋体"/>
          <w:kern w:val="0"/>
          <w:szCs w:val="24"/>
          <w:highlight w:val="none"/>
        </w:rPr>
        <w:t>专家库中随机抽取产生</w:t>
      </w:r>
      <w:r>
        <w:rPr>
          <w:rFonts w:hint="eastAsia" w:ascii="宋体" w:hAnsi="宋体" w:eastAsia="宋体" w:cs="宋体"/>
          <w:color w:val="000000"/>
          <w:kern w:val="0"/>
          <w:szCs w:val="24"/>
          <w:highlight w:val="none"/>
        </w:rPr>
        <w:t>。</w:t>
      </w:r>
    </w:p>
    <w:p w14:paraId="71B87A7F">
      <w:pPr>
        <w:tabs>
          <w:tab w:val="left" w:pos="567"/>
          <w:tab w:val="left" w:pos="1145"/>
        </w:tabs>
        <w:autoSpaceDE w:val="0"/>
        <w:autoSpaceDN w:val="0"/>
        <w:adjustRightInd w:val="0"/>
        <w:spacing w:line="360" w:lineRule="auto"/>
        <w:ind w:left="600" w:hanging="600"/>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2.2</w:t>
      </w:r>
      <w:r>
        <w:rPr>
          <w:rFonts w:hint="eastAsia" w:ascii="宋体" w:hAnsi="宋体" w:eastAsia="宋体" w:cs="宋体"/>
          <w:color w:val="000000"/>
          <w:szCs w:val="24"/>
          <w:highlight w:val="none"/>
          <w:lang w:val="zh-CN"/>
        </w:rPr>
        <w:tab/>
      </w:r>
      <w:r>
        <w:rPr>
          <w:rFonts w:hint="eastAsia" w:ascii="宋体" w:hAnsi="宋体" w:eastAsia="宋体" w:cs="宋体"/>
          <w:szCs w:val="24"/>
          <w:highlight w:val="none"/>
          <w:lang w:val="zh-CN"/>
        </w:rPr>
        <w:t>评标工作组由招标（采购）人、招标代理机构及有关专家组成，由评标委员会确认，并接受其领导</w:t>
      </w:r>
      <w:r>
        <w:rPr>
          <w:rFonts w:hint="eastAsia" w:ascii="宋体" w:hAnsi="宋体" w:eastAsia="宋体" w:cs="宋体"/>
          <w:color w:val="000000"/>
          <w:szCs w:val="24"/>
          <w:highlight w:val="none"/>
          <w:lang w:val="zh-CN"/>
        </w:rPr>
        <w:t>。</w:t>
      </w:r>
    </w:p>
    <w:p w14:paraId="390EC0EC">
      <w:pPr>
        <w:autoSpaceDE w:val="0"/>
        <w:autoSpaceDN w:val="0"/>
        <w:adjustRightInd w:val="0"/>
        <w:spacing w:line="360" w:lineRule="auto"/>
        <w:ind w:left="600" w:hanging="600"/>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2.3</w:t>
      </w:r>
      <w:r>
        <w:rPr>
          <w:rFonts w:hint="eastAsia" w:ascii="宋体" w:hAnsi="宋体" w:eastAsia="宋体" w:cs="宋体"/>
          <w:color w:val="000000"/>
          <w:szCs w:val="24"/>
          <w:highlight w:val="none"/>
          <w:lang w:val="zh-CN"/>
        </w:rPr>
        <w:tab/>
      </w:r>
      <w:r>
        <w:rPr>
          <w:rFonts w:hint="eastAsia" w:ascii="宋体" w:hAnsi="宋体" w:eastAsia="宋体" w:cs="宋体"/>
          <w:color w:val="000000"/>
          <w:szCs w:val="24"/>
          <w:highlight w:val="none"/>
          <w:lang w:val="zh-CN"/>
        </w:rPr>
        <w:t>评标工作组分成评标委员会、秘书组。</w:t>
      </w:r>
    </w:p>
    <w:p w14:paraId="71185032">
      <w:pPr>
        <w:autoSpaceDE w:val="0"/>
        <w:autoSpaceDN w:val="0"/>
        <w:adjustRightInd w:val="0"/>
        <w:spacing w:line="360" w:lineRule="auto"/>
        <w:ind w:left="600" w:hanging="600"/>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2.4</w:t>
      </w:r>
      <w:r>
        <w:rPr>
          <w:rFonts w:hint="eastAsia" w:ascii="宋体" w:hAnsi="宋体" w:eastAsia="宋体" w:cs="宋体"/>
          <w:color w:val="000000"/>
          <w:szCs w:val="24"/>
          <w:highlight w:val="none"/>
          <w:lang w:val="zh-CN"/>
        </w:rPr>
        <w:tab/>
      </w:r>
      <w:r>
        <w:rPr>
          <w:rFonts w:hint="eastAsia" w:ascii="宋体" w:hAnsi="宋体" w:eastAsia="宋体" w:cs="宋体"/>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r>
        <w:rPr>
          <w:rFonts w:hint="eastAsia" w:ascii="宋体" w:hAnsi="宋体" w:eastAsia="宋体" w:cs="宋体"/>
          <w:color w:val="000000"/>
          <w:szCs w:val="24"/>
          <w:highlight w:val="none"/>
          <w:lang w:val="zh-CN"/>
        </w:rPr>
        <w:t>。</w:t>
      </w:r>
    </w:p>
    <w:p w14:paraId="0A075A24">
      <w:pPr>
        <w:autoSpaceDE w:val="0"/>
        <w:autoSpaceDN w:val="0"/>
        <w:adjustRightInd w:val="0"/>
        <w:spacing w:line="360" w:lineRule="auto"/>
        <w:rPr>
          <w:rFonts w:hint="eastAsia" w:ascii="宋体" w:hAnsi="宋体" w:eastAsia="宋体" w:cs="宋体"/>
          <w:color w:val="000000"/>
          <w:sz w:val="24"/>
          <w:szCs w:val="24"/>
          <w:highlight w:val="none"/>
          <w:lang w:val="zh-CN"/>
        </w:rPr>
      </w:pPr>
    </w:p>
    <w:p w14:paraId="0C41D83A">
      <w:pPr>
        <w:autoSpaceDE w:val="0"/>
        <w:autoSpaceDN w:val="0"/>
        <w:adjustRightInd w:val="0"/>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b/>
          <w:color w:val="000000"/>
          <w:szCs w:val="21"/>
          <w:highlight w:val="none"/>
          <w:lang w:val="zh-CN"/>
        </w:rPr>
        <w:t>3、</w:t>
      </w:r>
      <w:r>
        <w:rPr>
          <w:rFonts w:hint="eastAsia" w:ascii="宋体" w:hAnsi="宋体" w:eastAsia="宋体" w:cs="宋体"/>
          <w:b/>
          <w:bCs/>
          <w:color w:val="000000"/>
          <w:szCs w:val="21"/>
          <w:highlight w:val="none"/>
          <w:lang w:val="zh-CN"/>
        </w:rPr>
        <w:t>评标</w:t>
      </w:r>
      <w:r>
        <w:rPr>
          <w:rFonts w:hint="eastAsia" w:ascii="宋体" w:hAnsi="宋体" w:eastAsia="宋体" w:cs="宋体"/>
          <w:b/>
          <w:bCs/>
          <w:color w:val="000000"/>
          <w:szCs w:val="24"/>
          <w:highlight w:val="none"/>
          <w:lang w:val="zh-CN"/>
        </w:rPr>
        <w:t>委员会职责</w:t>
      </w:r>
    </w:p>
    <w:p w14:paraId="2325C05B">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3.1  审</w:t>
      </w:r>
      <w:r>
        <w:rPr>
          <w:rFonts w:hint="eastAsia" w:ascii="宋体" w:hAnsi="宋体" w:eastAsia="宋体" w:cs="宋体"/>
          <w:kern w:val="0"/>
          <w:szCs w:val="24"/>
          <w:highlight w:val="none"/>
          <w:lang w:val="zh-CN"/>
        </w:rPr>
        <w:t>查投标文件是否符合招标（采购）文件要求，并作出评价</w:t>
      </w:r>
      <w:r>
        <w:rPr>
          <w:rFonts w:hint="eastAsia" w:ascii="宋体" w:hAnsi="宋体" w:eastAsia="宋体" w:cs="宋体"/>
          <w:color w:val="000000"/>
          <w:kern w:val="0"/>
          <w:szCs w:val="24"/>
          <w:highlight w:val="none"/>
          <w:lang w:val="zh-CN"/>
        </w:rPr>
        <w:t>；</w:t>
      </w:r>
    </w:p>
    <w:p w14:paraId="53CDEE58">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3.2  要</w:t>
      </w:r>
      <w:r>
        <w:rPr>
          <w:rFonts w:hint="eastAsia" w:ascii="宋体" w:hAnsi="宋体" w:eastAsia="宋体" w:cs="宋体"/>
          <w:kern w:val="0"/>
          <w:szCs w:val="24"/>
          <w:highlight w:val="none"/>
          <w:lang w:val="zh-CN"/>
        </w:rPr>
        <w:t>求投标人对投标文件有关事项作出解释或者澄清</w:t>
      </w:r>
      <w:r>
        <w:rPr>
          <w:rFonts w:hint="eastAsia" w:ascii="宋体" w:hAnsi="宋体" w:eastAsia="宋体" w:cs="宋体"/>
          <w:color w:val="000000"/>
          <w:kern w:val="0"/>
          <w:szCs w:val="24"/>
          <w:highlight w:val="none"/>
          <w:lang w:val="zh-CN"/>
        </w:rPr>
        <w:t>；</w:t>
      </w:r>
    </w:p>
    <w:p w14:paraId="2021378F">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3.3</w:t>
      </w:r>
      <w:r>
        <w:rPr>
          <w:rFonts w:hint="eastAsia" w:ascii="宋体" w:hAnsi="宋体" w:eastAsia="宋体" w:cs="宋体"/>
          <w:color w:val="000000"/>
          <w:kern w:val="0"/>
          <w:szCs w:val="24"/>
          <w:highlight w:val="none"/>
          <w:lang w:val="zh-CN"/>
        </w:rPr>
        <w:tab/>
      </w:r>
      <w:r>
        <w:rPr>
          <w:rFonts w:hint="eastAsia" w:ascii="宋体" w:hAnsi="宋体" w:eastAsia="宋体" w:cs="宋体"/>
          <w:color w:val="000000"/>
          <w:kern w:val="0"/>
          <w:szCs w:val="24"/>
          <w:highlight w:val="none"/>
          <w:lang w:val="zh-CN"/>
        </w:rPr>
        <w:t xml:space="preserve"> 推荐中标候选人名单及排序；</w:t>
      </w:r>
    </w:p>
    <w:p w14:paraId="260B284F">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3.4</w:t>
      </w:r>
      <w:r>
        <w:rPr>
          <w:rFonts w:hint="eastAsia" w:ascii="宋体" w:hAnsi="宋体" w:eastAsia="宋体" w:cs="宋体"/>
          <w:color w:val="000000"/>
          <w:kern w:val="0"/>
          <w:szCs w:val="24"/>
          <w:highlight w:val="none"/>
          <w:lang w:val="zh-CN"/>
        </w:rPr>
        <w:tab/>
      </w:r>
      <w:r>
        <w:rPr>
          <w:rFonts w:hint="eastAsia" w:ascii="宋体" w:hAnsi="宋体" w:eastAsia="宋体" w:cs="宋体"/>
          <w:color w:val="000000"/>
          <w:kern w:val="0"/>
          <w:szCs w:val="24"/>
          <w:highlight w:val="none"/>
          <w:lang w:val="zh-CN"/>
        </w:rPr>
        <w:t xml:space="preserve"> </w:t>
      </w:r>
      <w:r>
        <w:rPr>
          <w:rFonts w:hint="eastAsia" w:ascii="宋体" w:hAnsi="宋体" w:eastAsia="宋体" w:cs="宋体"/>
          <w:kern w:val="0"/>
          <w:szCs w:val="24"/>
          <w:highlight w:val="none"/>
          <w:lang w:val="zh-CN"/>
        </w:rPr>
        <w:t>向招标（采购）人、招标代理机构或者有关部门报告非法干预评标工作的行为</w:t>
      </w:r>
      <w:r>
        <w:rPr>
          <w:rFonts w:hint="eastAsia" w:ascii="宋体" w:hAnsi="宋体" w:eastAsia="宋体" w:cs="宋体"/>
          <w:color w:val="000000"/>
          <w:kern w:val="0"/>
          <w:szCs w:val="24"/>
          <w:highlight w:val="none"/>
          <w:lang w:val="zh-CN"/>
        </w:rPr>
        <w:t>。</w:t>
      </w:r>
    </w:p>
    <w:p w14:paraId="1F9E953E">
      <w:pPr>
        <w:autoSpaceDE w:val="0"/>
        <w:autoSpaceDN w:val="0"/>
        <w:adjustRightInd w:val="0"/>
        <w:spacing w:line="360" w:lineRule="auto"/>
        <w:jc w:val="left"/>
        <w:rPr>
          <w:rFonts w:hint="eastAsia" w:ascii="宋体" w:hAnsi="宋体" w:eastAsia="宋体" w:cs="宋体"/>
          <w:color w:val="000000"/>
          <w:kern w:val="0"/>
          <w:sz w:val="24"/>
          <w:szCs w:val="24"/>
          <w:highlight w:val="none"/>
          <w:lang w:val="zh-CN"/>
        </w:rPr>
      </w:pPr>
    </w:p>
    <w:p w14:paraId="431BD9FF">
      <w:pPr>
        <w:tabs>
          <w:tab w:val="left" w:pos="720"/>
        </w:tabs>
        <w:autoSpaceDE w:val="0"/>
        <w:autoSpaceDN w:val="0"/>
        <w:adjustRightInd w:val="0"/>
        <w:spacing w:line="360" w:lineRule="auto"/>
        <w:rPr>
          <w:rFonts w:hint="eastAsia" w:ascii="宋体" w:hAnsi="宋体" w:eastAsia="宋体" w:cs="宋体"/>
          <w:b/>
          <w:bCs/>
          <w:color w:val="000000"/>
          <w:szCs w:val="21"/>
          <w:highlight w:val="none"/>
          <w:lang w:val="zh-CN"/>
        </w:rPr>
      </w:pPr>
      <w:r>
        <w:rPr>
          <w:rFonts w:hint="eastAsia" w:ascii="宋体" w:hAnsi="宋体" w:eastAsia="宋体" w:cs="宋体"/>
          <w:b/>
          <w:bCs/>
          <w:color w:val="000000"/>
          <w:szCs w:val="21"/>
          <w:highlight w:val="none"/>
          <w:lang w:val="zh-CN"/>
        </w:rPr>
        <w:t>4、评标委员会义务</w:t>
      </w:r>
    </w:p>
    <w:p w14:paraId="3BE317D4">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4.1  遵纪守法，客观、公正、廉洁地履行职责；</w:t>
      </w:r>
    </w:p>
    <w:p w14:paraId="377E0B7A">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 xml:space="preserve">4.2  </w:t>
      </w:r>
      <w:r>
        <w:rPr>
          <w:rFonts w:hint="eastAsia" w:ascii="宋体" w:hAnsi="宋体" w:eastAsia="宋体" w:cs="宋体"/>
          <w:kern w:val="0"/>
          <w:szCs w:val="24"/>
          <w:highlight w:val="none"/>
          <w:lang w:val="zh-CN"/>
        </w:rPr>
        <w:t>按照招标（采购）文件规定的评标方法和评标标准进行评审，对评审意见承担个人责任</w:t>
      </w:r>
      <w:r>
        <w:rPr>
          <w:rFonts w:hint="eastAsia" w:ascii="宋体" w:hAnsi="宋体" w:eastAsia="宋体" w:cs="宋体"/>
          <w:color w:val="000000"/>
          <w:kern w:val="0"/>
          <w:szCs w:val="24"/>
          <w:highlight w:val="none"/>
          <w:lang w:val="zh-CN"/>
        </w:rPr>
        <w:t>；</w:t>
      </w:r>
    </w:p>
    <w:p w14:paraId="2DF78858">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4.3  对评标过程和结果，以及投标人的商业秘密保密；</w:t>
      </w:r>
    </w:p>
    <w:p w14:paraId="32935832">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4.4  参与评标报告的起草；</w:t>
      </w:r>
    </w:p>
    <w:p w14:paraId="36881346">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4.5  配合有关部门的投诉处理工作；</w:t>
      </w:r>
    </w:p>
    <w:p w14:paraId="3B089D1E">
      <w:pPr>
        <w:autoSpaceDE w:val="0"/>
        <w:autoSpaceDN w:val="0"/>
        <w:adjustRightInd w:val="0"/>
        <w:spacing w:line="360" w:lineRule="auto"/>
        <w:jc w:val="left"/>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lang w:val="zh-CN"/>
        </w:rPr>
        <w:t xml:space="preserve">4.6  </w:t>
      </w:r>
      <w:r>
        <w:rPr>
          <w:rFonts w:hint="eastAsia" w:ascii="宋体" w:hAnsi="宋体" w:eastAsia="宋体" w:cs="宋体"/>
          <w:kern w:val="0"/>
          <w:szCs w:val="24"/>
          <w:highlight w:val="none"/>
          <w:lang w:val="zh-CN"/>
        </w:rPr>
        <w:t>配合招标（采购）人、招标代理机构答复投标人提出的质疑、异议</w:t>
      </w:r>
      <w:r>
        <w:rPr>
          <w:rFonts w:hint="eastAsia" w:ascii="宋体" w:hAnsi="宋体" w:eastAsia="宋体" w:cs="宋体"/>
          <w:color w:val="000000"/>
          <w:kern w:val="0"/>
          <w:szCs w:val="24"/>
          <w:highlight w:val="none"/>
          <w:lang w:val="zh-CN"/>
        </w:rPr>
        <w:t>。</w:t>
      </w:r>
    </w:p>
    <w:p w14:paraId="03D40668">
      <w:pPr>
        <w:tabs>
          <w:tab w:val="left" w:pos="720"/>
        </w:tabs>
        <w:autoSpaceDE w:val="0"/>
        <w:autoSpaceDN w:val="0"/>
        <w:adjustRightInd w:val="0"/>
        <w:spacing w:line="360" w:lineRule="auto"/>
        <w:rPr>
          <w:rFonts w:hint="eastAsia" w:ascii="宋体" w:hAnsi="宋体" w:eastAsia="宋体" w:cs="宋体"/>
          <w:color w:val="000000"/>
          <w:sz w:val="24"/>
          <w:szCs w:val="24"/>
          <w:highlight w:val="none"/>
          <w:lang w:val="zh-CN"/>
        </w:rPr>
      </w:pPr>
    </w:p>
    <w:p w14:paraId="07C64757">
      <w:pPr>
        <w:tabs>
          <w:tab w:val="left" w:pos="1547"/>
        </w:tabs>
        <w:autoSpaceDE w:val="0"/>
        <w:autoSpaceDN w:val="0"/>
        <w:adjustRightInd w:val="0"/>
        <w:spacing w:line="360" w:lineRule="auto"/>
        <w:rPr>
          <w:rFonts w:hint="eastAsia" w:ascii="宋体" w:hAnsi="宋体" w:eastAsia="宋体" w:cs="宋体"/>
          <w:b/>
          <w:color w:val="000000"/>
          <w:szCs w:val="24"/>
          <w:highlight w:val="none"/>
          <w:lang w:val="zh-CN"/>
        </w:rPr>
      </w:pPr>
      <w:r>
        <w:rPr>
          <w:rFonts w:hint="eastAsia" w:ascii="宋体" w:hAnsi="宋体" w:eastAsia="宋体" w:cs="宋体"/>
          <w:b/>
          <w:bCs/>
          <w:color w:val="000000"/>
          <w:szCs w:val="21"/>
          <w:highlight w:val="none"/>
          <w:lang w:val="zh-CN"/>
        </w:rPr>
        <w:t>5、评审程序</w:t>
      </w:r>
    </w:p>
    <w:p w14:paraId="182470F2">
      <w:pPr>
        <w:autoSpaceDE w:val="0"/>
        <w:autoSpaceDN w:val="0"/>
        <w:adjustRightInd w:val="0"/>
        <w:spacing w:line="360" w:lineRule="auto"/>
        <w:ind w:left="567" w:hanging="567"/>
        <w:rPr>
          <w:rFonts w:hint="eastAsia" w:ascii="宋体" w:hAnsi="宋体" w:eastAsia="宋体" w:cs="宋体"/>
          <w:b/>
          <w:color w:val="000000"/>
          <w:szCs w:val="24"/>
          <w:highlight w:val="none"/>
          <w:lang w:val="zh-CN"/>
        </w:rPr>
      </w:pPr>
      <w:r>
        <w:rPr>
          <w:rFonts w:hint="eastAsia" w:ascii="宋体" w:hAnsi="宋体" w:eastAsia="宋体" w:cs="宋体"/>
          <w:b/>
          <w:color w:val="000000"/>
          <w:szCs w:val="24"/>
          <w:highlight w:val="none"/>
          <w:lang w:val="zh-CN"/>
        </w:rPr>
        <w:t>公开招标：</w:t>
      </w:r>
    </w:p>
    <w:p w14:paraId="7DBB4FDA">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Times New Roman"/>
          <w:bCs/>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1</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评审首先由评标委员会对投标人的</w:t>
      </w:r>
      <w:r>
        <w:rPr>
          <w:rFonts w:hint="eastAsia" w:ascii="宋体" w:hAnsi="宋体" w:eastAsia="宋体" w:cs="Times New Roman"/>
          <w:szCs w:val="24"/>
          <w:highlight w:val="none"/>
          <w:lang w:val="zh-CN"/>
        </w:rPr>
        <w:t>投标</w:t>
      </w:r>
      <w:r>
        <w:rPr>
          <w:rFonts w:hint="eastAsia" w:ascii="宋体" w:hAnsi="宋体" w:eastAsia="宋体" w:cs="Times New Roman"/>
          <w:bCs/>
          <w:szCs w:val="24"/>
          <w:highlight w:val="none"/>
          <w:lang w:val="zh-CN"/>
        </w:rPr>
        <w:t>文件做初审，对未能通过初审的投标文件不再进入下一阶段评审。</w:t>
      </w:r>
    </w:p>
    <w:p w14:paraId="6F0460B2">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2</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评标</w:t>
      </w:r>
      <w:r>
        <w:rPr>
          <w:rFonts w:hint="eastAsia" w:ascii="宋体" w:hAnsi="宋体" w:eastAsia="宋体" w:cs="Arial"/>
          <w:szCs w:val="24"/>
          <w:highlight w:val="none"/>
          <w:lang w:val="zh-CN"/>
        </w:rPr>
        <w:t>委员会</w:t>
      </w:r>
      <w:r>
        <w:rPr>
          <w:rFonts w:hint="eastAsia" w:ascii="宋体" w:hAnsi="宋体" w:eastAsia="宋体" w:cs="Times New Roman"/>
          <w:szCs w:val="24"/>
          <w:highlight w:val="none"/>
          <w:lang w:val="zh-CN"/>
        </w:rPr>
        <w:t>对</w:t>
      </w:r>
      <w:r>
        <w:rPr>
          <w:rFonts w:hint="eastAsia" w:ascii="宋体" w:hAnsi="宋体" w:eastAsia="宋体" w:cs="Arial"/>
          <w:szCs w:val="24"/>
          <w:highlight w:val="none"/>
          <w:lang w:val="zh-CN"/>
        </w:rPr>
        <w:t>通过初审的</w:t>
      </w:r>
      <w:r>
        <w:rPr>
          <w:rFonts w:hint="eastAsia" w:ascii="宋体" w:hAnsi="宋体" w:eastAsia="宋体" w:cs="Times New Roman"/>
          <w:szCs w:val="24"/>
          <w:highlight w:val="none"/>
          <w:lang w:val="zh-CN"/>
        </w:rPr>
        <w:t>投标人的投标文件进行详细的比较和评价。如需要，进行必要的澄清工作。</w:t>
      </w:r>
    </w:p>
    <w:p w14:paraId="1E8321D6">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3  依据评分标准以及各项权重，各位评标委员会成员单独就每个投标人的商务状况、技术状况进行比较和评价，分别评出其商务得分和技术得分。</w:t>
      </w:r>
    </w:p>
    <w:p w14:paraId="01AF6584">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Times New Roman"/>
          <w:kern w:val="0"/>
          <w:szCs w:val="24"/>
          <w:highlight w:val="none"/>
          <w:lang w:val="zh-CN"/>
        </w:rPr>
      </w:pPr>
      <w:r>
        <w:rPr>
          <w:rFonts w:hint="eastAsia" w:ascii="宋体" w:hAnsi="宋体" w:eastAsia="宋体" w:cs="Times New Roman"/>
          <w:kern w:val="0"/>
          <w:szCs w:val="24"/>
          <w:highlight w:val="none"/>
          <w:lang w:val="zh-CN"/>
        </w:rPr>
        <w:t>5.</w:t>
      </w:r>
      <w:r>
        <w:rPr>
          <w:rFonts w:hint="eastAsia" w:ascii="宋体" w:hAnsi="宋体" w:eastAsia="宋体" w:cs="Times New Roman"/>
          <w:kern w:val="0"/>
          <w:szCs w:val="24"/>
          <w:highlight w:val="none"/>
        </w:rPr>
        <w:t>4</w:t>
      </w:r>
      <w:r>
        <w:rPr>
          <w:rFonts w:hint="eastAsia" w:ascii="宋体" w:hAnsi="宋体" w:eastAsia="宋体" w:cs="Times New Roman"/>
          <w:kern w:val="0"/>
          <w:szCs w:val="24"/>
          <w:highlight w:val="none"/>
          <w:lang w:val="zh-CN"/>
        </w:rPr>
        <w:t xml:space="preserve">  将各</w:t>
      </w:r>
      <w:r>
        <w:rPr>
          <w:rFonts w:hint="eastAsia" w:ascii="宋体" w:hAnsi="宋体" w:eastAsia="宋体" w:cs="Times New Roman"/>
          <w:szCs w:val="24"/>
          <w:highlight w:val="none"/>
          <w:lang w:val="zh-CN"/>
        </w:rPr>
        <w:t>评委对</w:t>
      </w:r>
      <w:r>
        <w:rPr>
          <w:rFonts w:hint="eastAsia" w:ascii="宋体" w:hAnsi="宋体" w:eastAsia="宋体" w:cs="Times New Roman"/>
          <w:kern w:val="0"/>
          <w:szCs w:val="24"/>
          <w:highlight w:val="none"/>
          <w:lang w:val="zh-CN"/>
        </w:rPr>
        <w:t>投标人的技术打分的最终综合得分、商务打分的算术平均值得分相加得出投标人的总分。</w:t>
      </w:r>
    </w:p>
    <w:p w14:paraId="14A35E41">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rPr>
          <w:rFonts w:ascii="宋体" w:hAnsi="宋体" w:eastAsia="宋体" w:cs="Times New Roman"/>
          <w:kern w:val="0"/>
          <w:szCs w:val="21"/>
          <w:highlight w:val="none"/>
        </w:rPr>
      </w:pPr>
      <w:r>
        <w:rPr>
          <w:rFonts w:hint="eastAsia" w:ascii="宋体" w:hAnsi="宋体" w:eastAsia="宋体" w:cs="Times New Roman"/>
          <w:bCs/>
          <w:kern w:val="0"/>
          <w:szCs w:val="24"/>
          <w:highlight w:val="none"/>
        </w:rPr>
        <w:t xml:space="preserve">5.5  </w:t>
      </w:r>
      <w:r>
        <w:rPr>
          <w:rFonts w:hint="eastAsia" w:ascii="宋体" w:hAnsi="宋体" w:eastAsia="宋体" w:cs="Times New Roman"/>
          <w:kern w:val="0"/>
          <w:szCs w:val="21"/>
          <w:highlight w:val="none"/>
        </w:rPr>
        <w:t>评标委员会将向</w:t>
      </w:r>
      <w:r>
        <w:rPr>
          <w:rFonts w:hint="eastAsia" w:ascii="宋体" w:hAnsi="宋体" w:eastAsia="宋体" w:cs="Times New Roman"/>
          <w:kern w:val="0"/>
          <w:szCs w:val="21"/>
          <w:highlight w:val="none"/>
          <w:lang w:eastAsia="zh-CN"/>
        </w:rPr>
        <w:t>招标（采购）人</w:t>
      </w:r>
      <w:r>
        <w:rPr>
          <w:rFonts w:hint="eastAsia" w:ascii="宋体" w:hAnsi="宋体" w:eastAsia="宋体" w:cs="Times New Roman"/>
          <w:kern w:val="0"/>
          <w:szCs w:val="21"/>
          <w:highlight w:val="none"/>
        </w:rPr>
        <w:t>推荐评标最后综合得分最高的前</w:t>
      </w:r>
      <w:r>
        <w:rPr>
          <w:rFonts w:hint="eastAsia" w:ascii="宋体" w:hAnsi="宋体" w:eastAsia="宋体" w:cs="Times New Roman"/>
          <w:kern w:val="0"/>
          <w:szCs w:val="21"/>
          <w:highlight w:val="none"/>
          <w:lang w:val="en-US" w:eastAsia="zh-CN"/>
        </w:rPr>
        <w:t>二</w:t>
      </w:r>
      <w:r>
        <w:rPr>
          <w:rFonts w:hint="eastAsia" w:ascii="宋体" w:hAnsi="宋体" w:eastAsia="宋体" w:cs="Times New Roman"/>
          <w:kern w:val="0"/>
          <w:szCs w:val="21"/>
          <w:highlight w:val="none"/>
        </w:rPr>
        <w:t>名的投标人为第一中标候选人，综合得分排名第</w:t>
      </w:r>
      <w:r>
        <w:rPr>
          <w:rFonts w:hint="eastAsia" w:ascii="宋体" w:hAnsi="宋体" w:eastAsia="宋体" w:cs="Times New Roman"/>
          <w:kern w:val="0"/>
          <w:szCs w:val="21"/>
          <w:highlight w:val="none"/>
          <w:lang w:val="en-US" w:eastAsia="zh-CN"/>
        </w:rPr>
        <w:t>三</w:t>
      </w:r>
      <w:r>
        <w:rPr>
          <w:rFonts w:hint="eastAsia" w:ascii="宋体" w:hAnsi="宋体" w:eastAsia="宋体" w:cs="Times New Roman"/>
          <w:kern w:val="0"/>
          <w:szCs w:val="21"/>
          <w:highlight w:val="none"/>
        </w:rPr>
        <w:t>名的为第二中标候选人，综合得分排名第</w:t>
      </w:r>
      <w:r>
        <w:rPr>
          <w:rFonts w:hint="eastAsia" w:ascii="宋体" w:hAnsi="宋体" w:eastAsia="宋体" w:cs="Times New Roman"/>
          <w:kern w:val="0"/>
          <w:szCs w:val="21"/>
          <w:highlight w:val="none"/>
          <w:lang w:val="en-US" w:eastAsia="zh-CN"/>
        </w:rPr>
        <w:t>四</w:t>
      </w:r>
      <w:r>
        <w:rPr>
          <w:rFonts w:hint="eastAsia" w:ascii="宋体" w:hAnsi="宋体" w:eastAsia="宋体" w:cs="Times New Roman"/>
          <w:kern w:val="0"/>
          <w:szCs w:val="21"/>
          <w:highlight w:val="none"/>
        </w:rPr>
        <w:t>名的为第三中标候选人，以此类推（若有效投标人不足</w:t>
      </w:r>
      <w:r>
        <w:rPr>
          <w:rFonts w:hint="eastAsia" w:ascii="宋体" w:hAnsi="宋体" w:eastAsia="宋体" w:cs="Times New Roman"/>
          <w:kern w:val="0"/>
          <w:szCs w:val="21"/>
          <w:highlight w:val="none"/>
          <w:lang w:val="en-US" w:eastAsia="zh-CN"/>
        </w:rPr>
        <w:t>四</w:t>
      </w:r>
      <w:r>
        <w:rPr>
          <w:rFonts w:hint="eastAsia" w:ascii="宋体" w:hAnsi="宋体" w:eastAsia="宋体" w:cs="Times New Roman"/>
          <w:kern w:val="0"/>
          <w:szCs w:val="21"/>
          <w:highlight w:val="none"/>
        </w:rPr>
        <w:t>家的则根据实际情况推荐）。</w:t>
      </w:r>
    </w:p>
    <w:p w14:paraId="640E562F">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left"/>
        <w:textAlignment w:val="auto"/>
        <w:rPr>
          <w:rFonts w:ascii="宋体" w:hAnsi="宋体" w:eastAsia="宋体" w:cs="Times New Roman"/>
          <w:color w:val="000000"/>
          <w:szCs w:val="24"/>
          <w:highlight w:val="none"/>
          <w:lang w:val="zh-CN"/>
        </w:rPr>
      </w:pPr>
      <w:r>
        <w:rPr>
          <w:rFonts w:hint="eastAsia" w:ascii="宋体" w:hAnsi="宋体" w:eastAsia="宋体" w:cs="Times New Roman"/>
          <w:kern w:val="0"/>
          <w:szCs w:val="24"/>
          <w:highlight w:val="none"/>
          <w:lang w:val="zh-CN"/>
        </w:rPr>
        <w:t>5.</w:t>
      </w:r>
      <w:r>
        <w:rPr>
          <w:rFonts w:hint="eastAsia" w:ascii="宋体" w:hAnsi="宋体" w:eastAsia="宋体" w:cs="Times New Roman"/>
          <w:szCs w:val="24"/>
          <w:highlight w:val="none"/>
        </w:rPr>
        <w:t>6</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评标委员会</w:t>
      </w:r>
      <w:r>
        <w:rPr>
          <w:rFonts w:hint="eastAsia" w:ascii="宋体" w:hAnsi="宋体" w:eastAsia="宋体" w:cs="Times New Roman"/>
          <w:szCs w:val="24"/>
          <w:highlight w:val="none"/>
          <w:lang w:val="zh-CN"/>
        </w:rPr>
        <w:t>根据评审结果编写评标报告</w:t>
      </w:r>
      <w:r>
        <w:rPr>
          <w:rFonts w:hint="eastAsia" w:ascii="宋体" w:hAnsi="宋体" w:eastAsia="宋体" w:cs="Times New Roman"/>
          <w:color w:val="000000"/>
          <w:szCs w:val="24"/>
          <w:highlight w:val="none"/>
          <w:lang w:val="zh-CN"/>
        </w:rPr>
        <w:t>。</w:t>
      </w:r>
    </w:p>
    <w:p w14:paraId="462A81C1">
      <w:pPr>
        <w:autoSpaceDE w:val="0"/>
        <w:autoSpaceDN w:val="0"/>
        <w:adjustRightInd w:val="0"/>
        <w:spacing w:line="360" w:lineRule="auto"/>
        <w:ind w:left="525" w:hanging="525" w:hangingChars="250"/>
        <w:jc w:val="left"/>
        <w:rPr>
          <w:rFonts w:hint="eastAsia" w:ascii="宋体" w:hAnsi="宋体" w:eastAsia="宋体" w:cs="宋体"/>
          <w:color w:val="000000"/>
          <w:szCs w:val="24"/>
          <w:highlight w:val="none"/>
          <w:lang w:val="zh-CN"/>
        </w:rPr>
      </w:pPr>
    </w:p>
    <w:p w14:paraId="17D0EC75">
      <w:pPr>
        <w:tabs>
          <w:tab w:val="left" w:pos="1701"/>
        </w:tabs>
        <w:autoSpaceDE w:val="0"/>
        <w:autoSpaceDN w:val="0"/>
        <w:adjustRightInd w:val="0"/>
        <w:spacing w:line="360" w:lineRule="auto"/>
        <w:jc w:val="center"/>
        <w:outlineLvl w:val="2"/>
        <w:rPr>
          <w:rFonts w:hint="eastAsia" w:ascii="宋体" w:hAnsi="宋体" w:eastAsia="宋体" w:cs="宋体"/>
          <w:b/>
          <w:bCs/>
          <w:color w:val="000000"/>
          <w:sz w:val="28"/>
          <w:szCs w:val="28"/>
          <w:highlight w:val="none"/>
          <w:lang w:val="zh-CN"/>
        </w:rPr>
      </w:pPr>
      <w:bookmarkStart w:id="827" w:name="_Toc31785"/>
      <w:bookmarkStart w:id="828" w:name="_Toc2570"/>
      <w:bookmarkStart w:id="829" w:name="_Toc5061"/>
      <w:bookmarkStart w:id="830" w:name="_Toc19266"/>
      <w:bookmarkStart w:id="831" w:name="_Toc2107"/>
      <w:bookmarkStart w:id="832" w:name="_Toc15112"/>
      <w:bookmarkStart w:id="833" w:name="_Toc19435_WPSOffice_Level1"/>
      <w:bookmarkStart w:id="834" w:name="_Toc16199"/>
      <w:r>
        <w:rPr>
          <w:rFonts w:hint="eastAsia" w:ascii="宋体" w:hAnsi="宋体" w:eastAsia="宋体" w:cs="宋体"/>
          <w:b/>
          <w:bCs/>
          <w:color w:val="000000"/>
          <w:sz w:val="28"/>
          <w:szCs w:val="28"/>
          <w:highlight w:val="none"/>
          <w:lang w:val="zh-CN"/>
        </w:rPr>
        <w:t>二、投标文件的初审</w:t>
      </w:r>
      <w:bookmarkEnd w:id="827"/>
      <w:bookmarkEnd w:id="828"/>
      <w:bookmarkEnd w:id="829"/>
      <w:bookmarkEnd w:id="830"/>
      <w:bookmarkEnd w:id="831"/>
      <w:bookmarkEnd w:id="832"/>
      <w:bookmarkEnd w:id="833"/>
      <w:bookmarkEnd w:id="834"/>
    </w:p>
    <w:p w14:paraId="791D97B3">
      <w:pPr>
        <w:autoSpaceDE w:val="0"/>
        <w:autoSpaceDN w:val="0"/>
        <w:adjustRightInd w:val="0"/>
        <w:spacing w:line="360" w:lineRule="auto"/>
        <w:rPr>
          <w:rFonts w:hint="eastAsia" w:ascii="宋体" w:hAnsi="宋体" w:eastAsia="宋体" w:cs="宋体"/>
          <w:b/>
          <w:color w:val="000000"/>
          <w:szCs w:val="24"/>
          <w:highlight w:val="none"/>
          <w:lang w:val="zh-CN"/>
        </w:rPr>
      </w:pPr>
      <w:r>
        <w:rPr>
          <w:rFonts w:hint="eastAsia" w:ascii="宋体" w:hAnsi="宋体" w:eastAsia="宋体" w:cs="宋体"/>
          <w:b/>
          <w:color w:val="000000"/>
          <w:szCs w:val="24"/>
          <w:highlight w:val="none"/>
          <w:lang w:val="zh-CN"/>
        </w:rPr>
        <w:t>6、投标文件的初审分为资格性检查和符合性检查。</w:t>
      </w:r>
    </w:p>
    <w:p w14:paraId="03E44183">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6.1  资格性检查是指评标委员会依据法律法规和招标（采购）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BA51B34">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6.2  符合性检查是指评标委员会依据招标（采购）文件规定，从投标文件的有效性、完整性和对招标（采购）文件的响应程度进行审查，以确定是否对招标（采购）文件的实质性要求作出响应。</w:t>
      </w:r>
    </w:p>
    <w:p w14:paraId="31BF6082">
      <w:pPr>
        <w:autoSpaceDE w:val="0"/>
        <w:autoSpaceDN w:val="0"/>
        <w:adjustRightInd w:val="0"/>
        <w:spacing w:line="360" w:lineRule="auto"/>
        <w:ind w:left="420" w:leftChars="200"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实质性响应的投标指的是符合招标（采购）文件要求的全部“★”条款和验收标准而无任何重大偏离或保留。重大偏离或保留系指实质上影响到合同项下的服务范围、质量，或指与招标（采购）文件有实质不一致，限制了合同项下委托人的权利和承包人的义务, 或对该重大偏离的修改对提交实质性响应投标的其他投标人将不公平。</w:t>
      </w:r>
    </w:p>
    <w:p w14:paraId="79331951">
      <w:pPr>
        <w:autoSpaceDE w:val="0"/>
        <w:autoSpaceDN w:val="0"/>
        <w:adjustRightInd w:val="0"/>
        <w:spacing w:line="360" w:lineRule="auto"/>
        <w:ind w:firstLine="840" w:firstLineChars="400"/>
        <w:rPr>
          <w:rFonts w:ascii="宋体" w:hAnsi="宋体" w:eastAsia="宋体" w:cs="宋体"/>
          <w:szCs w:val="24"/>
          <w:highlight w:val="none"/>
          <w:lang w:val="zh-CN"/>
        </w:rPr>
      </w:pPr>
      <w:r>
        <w:rPr>
          <w:rFonts w:hint="eastAsia" w:ascii="宋体" w:hAnsi="宋体" w:eastAsia="宋体" w:cs="宋体"/>
          <w:szCs w:val="24"/>
          <w:highlight w:val="none"/>
          <w:lang w:val="zh-CN"/>
        </w:rPr>
        <w:t>评标委员会决定投标文件的响应性是基于投标文件的内容本身而不靠外部的证据。</w:t>
      </w:r>
    </w:p>
    <w:p w14:paraId="23CC023C">
      <w:pPr>
        <w:autoSpaceDE w:val="0"/>
        <w:autoSpaceDN w:val="0"/>
        <w:adjustRightInd w:val="0"/>
        <w:spacing w:line="360" w:lineRule="auto"/>
        <w:ind w:left="420" w:leftChars="200" w:firstLine="422" w:firstLineChars="200"/>
        <w:rPr>
          <w:rFonts w:ascii="宋体" w:hAnsi="宋体" w:eastAsia="宋体" w:cs="宋体"/>
          <w:b/>
          <w:szCs w:val="24"/>
          <w:highlight w:val="none"/>
          <w:lang w:val="zh-CN"/>
        </w:rPr>
      </w:pPr>
      <w:r>
        <w:rPr>
          <w:rFonts w:hint="eastAsia" w:ascii="宋体" w:hAnsi="宋体" w:eastAsia="宋体" w:cs="宋体"/>
          <w:b/>
          <w:szCs w:val="24"/>
          <w:highlight w:val="none"/>
          <w:lang w:val="zh-CN"/>
        </w:rPr>
        <w:t>对是否符合实质性响应招标（采购）文件有争议的投标文件,评标委员会成员将以记名方式表决,根据少数服</w:t>
      </w:r>
      <w:r>
        <w:rPr>
          <w:rFonts w:hint="eastAsia" w:ascii="宋体" w:hAnsi="宋体" w:eastAsia="宋体" w:cs="宋体"/>
          <w:b/>
          <w:szCs w:val="24"/>
          <w:highlight w:val="none"/>
        </w:rPr>
        <w:t>从</w:t>
      </w:r>
      <w:r>
        <w:rPr>
          <w:rFonts w:hint="eastAsia" w:ascii="宋体" w:hAnsi="宋体" w:eastAsia="宋体" w:cs="宋体"/>
          <w:b/>
          <w:szCs w:val="24"/>
          <w:highlight w:val="none"/>
          <w:lang w:val="zh-CN"/>
        </w:rPr>
        <w:t>多数的原则，获多数表决通过的投标人才有资格进入下一阶段的评审,否则将被认定为无效投标文件。</w:t>
      </w:r>
    </w:p>
    <w:p w14:paraId="7D167130">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7、投标文件出现下列情况之一的，被认定为无效投标：</w:t>
      </w:r>
    </w:p>
    <w:p w14:paraId="1D055C45">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7.1  投标人未按招标（采购）文件要求交纳投标保证金的；</w:t>
      </w:r>
    </w:p>
    <w:p w14:paraId="16EFE880">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7.2  投标文件中的投标报价未按招标（采购）文件要求进行报价的；</w:t>
      </w:r>
    </w:p>
    <w:p w14:paraId="4AD2F385">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7.3  协议服务期未满足招标（采购）文件要求的；</w:t>
      </w:r>
    </w:p>
    <w:p w14:paraId="01DF1D97">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7.4  投标人递交两份或多份内容不同的投标文件，或在一份投标文件中报有两个或多个报价，且未书面声明哪一个有效；</w:t>
      </w:r>
    </w:p>
    <w:p w14:paraId="0FD07F50">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542D1CA7">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 xml:space="preserve">7.6  投标文件未按照招标（采购）文件规定要求密封；投标文件无法定代表人或其授权代表签字（或盖私章），或签字人无法定代表人有效授权的；签字盖章不符合招标（采购）文件要求的； </w:t>
      </w:r>
    </w:p>
    <w:p w14:paraId="493694EA">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7.7  投标有效期限不符合要求；</w:t>
      </w:r>
    </w:p>
    <w:p w14:paraId="6C1B5EE7">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7.8  投标文件未对招标范围内的全部内容进行投标报价或投标方案不是唯一；</w:t>
      </w:r>
    </w:p>
    <w:p w14:paraId="1608AB69">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7.9  未提供或虚假填写《合同条款偏离表》，或对《合同条款偏离表》有负偏离的；</w:t>
      </w:r>
    </w:p>
    <w:p w14:paraId="279B5530">
      <w:pPr>
        <w:spacing w:line="360" w:lineRule="auto"/>
        <w:ind w:left="413" w:hanging="413" w:hangingChars="196"/>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7.10  未填写或虚假填写《用户需求偏离表》的；</w:t>
      </w:r>
    </w:p>
    <w:p w14:paraId="6D492975">
      <w:pPr>
        <w:spacing w:line="360" w:lineRule="auto"/>
        <w:ind w:left="413" w:hanging="413" w:hangingChars="196"/>
        <w:rPr>
          <w:rFonts w:hint="eastAsia" w:ascii="宋体" w:hAnsi="宋体" w:eastAsia="宋体" w:cs="Times New Roman"/>
          <w:b/>
          <w:kern w:val="0"/>
          <w:szCs w:val="21"/>
          <w:highlight w:val="none"/>
        </w:rPr>
      </w:pPr>
      <w:r>
        <w:rPr>
          <w:rFonts w:hint="eastAsia" w:ascii="宋体" w:hAnsi="宋体" w:eastAsia="宋体" w:cs="宋体"/>
          <w:b/>
          <w:szCs w:val="21"/>
          <w:highlight w:val="none"/>
          <w:lang w:val="zh-CN"/>
        </w:rPr>
        <w:t>7.11  未响应招标（采购）文件提出的实质性要求和条件（标注★的条款）</w:t>
      </w:r>
      <w:r>
        <w:rPr>
          <w:rFonts w:hint="eastAsia" w:ascii="宋体" w:hAnsi="宋体" w:eastAsia="宋体" w:cs="Times New Roman"/>
          <w:b/>
          <w:kern w:val="0"/>
          <w:szCs w:val="21"/>
          <w:highlight w:val="none"/>
        </w:rPr>
        <w:t>。</w:t>
      </w:r>
    </w:p>
    <w:p w14:paraId="487C0DE8">
      <w:pPr>
        <w:spacing w:line="360" w:lineRule="auto"/>
        <w:ind w:left="413" w:hanging="413" w:hangingChars="196"/>
        <w:rPr>
          <w:rFonts w:hint="eastAsia" w:ascii="宋体" w:hAnsi="宋体" w:eastAsia="宋体" w:cs="Times New Roman"/>
          <w:b/>
          <w:kern w:val="0"/>
          <w:szCs w:val="21"/>
          <w:highlight w:val="none"/>
          <w:lang w:eastAsia="zh-CN"/>
        </w:rPr>
      </w:pPr>
      <w:r>
        <w:rPr>
          <w:rFonts w:hint="eastAsia" w:ascii="宋体" w:hAnsi="宋体" w:eastAsia="宋体" w:cs="Times New Roman"/>
          <w:b/>
          <w:kern w:val="0"/>
          <w:szCs w:val="21"/>
          <w:highlight w:val="none"/>
          <w:lang w:val="en-US" w:eastAsia="zh-CN"/>
        </w:rPr>
        <w:t xml:space="preserve">7.12  </w:t>
      </w:r>
      <w:r>
        <w:rPr>
          <w:rFonts w:hint="eastAsia" w:ascii="宋体" w:hAnsi="宋体" w:eastAsia="宋体" w:cs="Times New Roman"/>
          <w:b/>
          <w:kern w:val="0"/>
          <w:szCs w:val="21"/>
          <w:highlight w:val="none"/>
        </w:rPr>
        <w:t>投标人不符合“第二篇 投标人须知”第26款要求的</w:t>
      </w:r>
      <w:r>
        <w:rPr>
          <w:rFonts w:hint="eastAsia" w:ascii="宋体" w:hAnsi="宋体" w:eastAsia="宋体" w:cs="Times New Roman"/>
          <w:b/>
          <w:kern w:val="0"/>
          <w:szCs w:val="21"/>
          <w:highlight w:val="none"/>
          <w:lang w:eastAsia="zh-CN"/>
        </w:rPr>
        <w:t>。</w:t>
      </w:r>
    </w:p>
    <w:p w14:paraId="11EFDE1C">
      <w:pPr>
        <w:spacing w:line="360" w:lineRule="auto"/>
        <w:ind w:left="413" w:hanging="413" w:hangingChars="196"/>
        <w:rPr>
          <w:rFonts w:hint="eastAsia" w:ascii="宋体" w:hAnsi="宋体" w:eastAsia="宋体" w:cs="Times New Roman"/>
          <w:b/>
          <w:kern w:val="0"/>
          <w:szCs w:val="21"/>
          <w:highlight w:val="none"/>
        </w:rPr>
      </w:pPr>
    </w:p>
    <w:p w14:paraId="6D8952BE">
      <w:pPr>
        <w:autoSpaceDE w:val="0"/>
        <w:autoSpaceDN w:val="0"/>
        <w:adjustRightInd w:val="0"/>
        <w:spacing w:line="360" w:lineRule="auto"/>
        <w:ind w:left="315" w:hanging="315" w:hangingChars="150"/>
        <w:rPr>
          <w:rFonts w:hint="eastAsia" w:ascii="宋体" w:hAnsi="宋体" w:eastAsia="宋体" w:cs="宋体"/>
          <w:color w:val="000000"/>
          <w:kern w:val="0"/>
          <w:szCs w:val="24"/>
          <w:highlight w:val="none"/>
          <w:lang w:val="zh-CN"/>
        </w:rPr>
      </w:pPr>
      <w:r>
        <w:rPr>
          <w:rFonts w:hint="eastAsia" w:ascii="宋体" w:hAnsi="宋体" w:eastAsia="宋体" w:cs="宋体"/>
          <w:bCs/>
          <w:kern w:val="0"/>
          <w:szCs w:val="24"/>
          <w:highlight w:val="none"/>
          <w:lang w:val="zh-CN"/>
        </w:rPr>
        <w:t>8、</w:t>
      </w:r>
      <w:r>
        <w:rPr>
          <w:rFonts w:hint="eastAsia" w:ascii="宋体" w:hAnsi="宋体" w:eastAsia="宋体" w:cs="宋体"/>
          <w:kern w:val="0"/>
          <w:szCs w:val="24"/>
          <w:highlight w:val="none"/>
          <w:lang w:val="zh-CN"/>
        </w:rPr>
        <w:t>评标委员会应当书面要求存在细微偏差的投标人在开标评审结束前予以补正。细微偏差是指投标文件在实质上响应招标（采购）文件要求，但在个别地方存在漏项或者提供了不完整的技术方案信息和数据等情况，并且补正这些遗漏或者不完整不会对其他投标人造成不公平的结果。细微偏差不影响投标文件的有效性</w:t>
      </w:r>
      <w:r>
        <w:rPr>
          <w:rFonts w:hint="eastAsia" w:ascii="宋体" w:hAnsi="宋体" w:eastAsia="宋体" w:cs="宋体"/>
          <w:color w:val="000000"/>
          <w:kern w:val="0"/>
          <w:szCs w:val="24"/>
          <w:highlight w:val="none"/>
          <w:lang w:val="zh-CN"/>
        </w:rPr>
        <w:t>。</w:t>
      </w:r>
    </w:p>
    <w:p w14:paraId="169AC70F">
      <w:pPr>
        <w:spacing w:line="360" w:lineRule="auto"/>
        <w:ind w:left="480"/>
        <w:rPr>
          <w:rFonts w:hint="eastAsia" w:ascii="宋体" w:hAnsi="宋体" w:eastAsia="宋体" w:cs="宋体"/>
          <w:b/>
          <w:color w:val="000000"/>
          <w:kern w:val="0"/>
          <w:szCs w:val="21"/>
          <w:highlight w:val="none"/>
        </w:rPr>
      </w:pPr>
    </w:p>
    <w:p w14:paraId="44F69994">
      <w:pPr>
        <w:tabs>
          <w:tab w:val="left" w:pos="1701"/>
        </w:tabs>
        <w:autoSpaceDE w:val="0"/>
        <w:autoSpaceDN w:val="0"/>
        <w:adjustRightInd w:val="0"/>
        <w:spacing w:line="360" w:lineRule="auto"/>
        <w:jc w:val="center"/>
        <w:outlineLvl w:val="2"/>
        <w:rPr>
          <w:rFonts w:hint="eastAsia" w:ascii="宋体" w:hAnsi="宋体" w:eastAsia="宋体" w:cs="宋体"/>
          <w:b/>
          <w:bCs/>
          <w:color w:val="000000"/>
          <w:sz w:val="28"/>
          <w:szCs w:val="28"/>
          <w:highlight w:val="none"/>
          <w:lang w:val="zh-CN"/>
        </w:rPr>
      </w:pPr>
      <w:bookmarkStart w:id="835" w:name="_Toc7877"/>
      <w:bookmarkStart w:id="836" w:name="_Toc3840"/>
      <w:bookmarkStart w:id="837" w:name="_Toc23387"/>
      <w:bookmarkStart w:id="838" w:name="_Toc7862"/>
      <w:bookmarkStart w:id="839" w:name="_Toc10768"/>
      <w:bookmarkStart w:id="840" w:name="_Toc4109_WPSOffice_Level1"/>
      <w:bookmarkStart w:id="841" w:name="_Toc11881"/>
      <w:bookmarkStart w:id="842" w:name="_Toc22706"/>
      <w:r>
        <w:rPr>
          <w:rFonts w:hint="eastAsia" w:ascii="宋体" w:hAnsi="宋体" w:eastAsia="宋体" w:cs="宋体"/>
          <w:b/>
          <w:bCs/>
          <w:color w:val="000000"/>
          <w:sz w:val="28"/>
          <w:szCs w:val="28"/>
          <w:highlight w:val="none"/>
          <w:lang w:val="zh-CN"/>
        </w:rPr>
        <w:t>三、澄清有关问题</w:t>
      </w:r>
      <w:bookmarkEnd w:id="835"/>
      <w:bookmarkEnd w:id="836"/>
      <w:bookmarkEnd w:id="837"/>
      <w:bookmarkEnd w:id="838"/>
      <w:bookmarkEnd w:id="839"/>
      <w:bookmarkEnd w:id="840"/>
      <w:bookmarkEnd w:id="841"/>
      <w:bookmarkEnd w:id="842"/>
    </w:p>
    <w:p w14:paraId="131FD6BF">
      <w:pPr>
        <w:autoSpaceDE w:val="0"/>
        <w:autoSpaceDN w:val="0"/>
        <w:adjustRightInd w:val="0"/>
        <w:spacing w:line="360" w:lineRule="auto"/>
        <w:ind w:left="315" w:hanging="315" w:hangingChars="150"/>
        <w:rPr>
          <w:rFonts w:hint="eastAsia" w:ascii="宋体" w:hAnsi="宋体" w:eastAsia="宋体" w:cs="宋体"/>
          <w:color w:val="000000"/>
          <w:szCs w:val="24"/>
          <w:highlight w:val="none"/>
          <w:lang w:val="zh-CN"/>
        </w:rPr>
      </w:pPr>
      <w:r>
        <w:rPr>
          <w:rFonts w:hint="eastAsia" w:ascii="宋体" w:hAnsi="宋体" w:eastAsia="宋体" w:cs="宋体"/>
          <w:bCs/>
          <w:color w:val="000000"/>
          <w:szCs w:val="24"/>
          <w:highlight w:val="none"/>
          <w:lang w:val="zh-CN"/>
        </w:rPr>
        <w:t>9、</w:t>
      </w:r>
      <w:r>
        <w:rPr>
          <w:rFonts w:hint="eastAsia" w:ascii="宋体" w:hAnsi="宋体" w:eastAsia="宋体" w:cs="宋体"/>
          <w:color w:val="000000"/>
          <w:szCs w:val="24"/>
          <w:highlight w:val="none"/>
          <w:lang w:val="zh-CN"/>
        </w:rPr>
        <w:t>在</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的商务、技术资格性检查及符合性检查过程中，</w:t>
      </w:r>
      <w:r>
        <w:rPr>
          <w:rFonts w:hint="eastAsia" w:ascii="宋体" w:hAnsi="宋体" w:eastAsia="宋体" w:cs="宋体"/>
          <w:kern w:val="0"/>
          <w:szCs w:val="24"/>
          <w:highlight w:val="none"/>
          <w:lang w:val="zh-CN"/>
        </w:rPr>
        <w:t>投标人</w:t>
      </w:r>
      <w:r>
        <w:rPr>
          <w:rFonts w:hint="eastAsia" w:ascii="宋体" w:hAnsi="宋体" w:eastAsia="宋体" w:cs="宋体"/>
          <w:szCs w:val="24"/>
          <w:highlight w:val="none"/>
          <w:lang w:val="zh-CN"/>
        </w:rPr>
        <w:t>可应评标委员会要求对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中有关问题进行书面澄清。该书面澄清作为其</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的一部分</w:t>
      </w:r>
      <w:r>
        <w:rPr>
          <w:rFonts w:hint="eastAsia" w:ascii="宋体" w:hAnsi="宋体" w:eastAsia="宋体" w:cs="宋体"/>
          <w:color w:val="000000"/>
          <w:szCs w:val="24"/>
          <w:highlight w:val="none"/>
          <w:lang w:val="zh-CN"/>
        </w:rPr>
        <w:t>。</w:t>
      </w:r>
    </w:p>
    <w:p w14:paraId="6E17E828">
      <w:pPr>
        <w:autoSpaceDE w:val="0"/>
        <w:autoSpaceDN w:val="0"/>
        <w:adjustRightInd w:val="0"/>
        <w:spacing w:line="360" w:lineRule="auto"/>
        <w:ind w:left="529" w:hanging="529" w:hangingChars="252"/>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 xml:space="preserve">9.1  </w:t>
      </w:r>
      <w:r>
        <w:rPr>
          <w:rFonts w:hint="eastAsia" w:ascii="宋体" w:hAnsi="宋体" w:eastAsia="宋体" w:cs="宋体"/>
          <w:szCs w:val="24"/>
          <w:highlight w:val="none"/>
          <w:lang w:val="zh-CN"/>
        </w:rPr>
        <w:t>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中含义不明确、同类问题表述不一致或者有明显文字和计算错误的内容，评标委员会可以书面形式（由评标委员会专家签字）要求投标人作出必要的澄清、说明或者纠正</w:t>
      </w:r>
      <w:r>
        <w:rPr>
          <w:rFonts w:hint="eastAsia" w:ascii="宋体" w:hAnsi="宋体" w:eastAsia="宋体" w:cs="宋体"/>
          <w:color w:val="000000"/>
          <w:szCs w:val="24"/>
          <w:highlight w:val="none"/>
          <w:lang w:val="zh-CN"/>
        </w:rPr>
        <w:t>。</w:t>
      </w:r>
    </w:p>
    <w:p w14:paraId="3CFA1C87">
      <w:pPr>
        <w:autoSpaceDE w:val="0"/>
        <w:autoSpaceDN w:val="0"/>
        <w:adjustRightInd w:val="0"/>
        <w:spacing w:line="360" w:lineRule="auto"/>
        <w:ind w:left="529" w:hanging="529" w:hangingChars="252"/>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 xml:space="preserve">9.2  </w:t>
      </w:r>
      <w:r>
        <w:rPr>
          <w:rFonts w:hint="eastAsia" w:ascii="宋体" w:hAnsi="宋体" w:eastAsia="宋体" w:cs="宋体"/>
          <w:szCs w:val="24"/>
          <w:highlight w:val="none"/>
          <w:lang w:val="zh-CN"/>
        </w:rPr>
        <w:t>投标人的澄清、说明或者纠正应当采用书面形式，经加盖其公章或其合法代表人（法定代表人或法定代表人授权书列明的被授权人）签署方有效，并不得超出投标文件的范围或者改变投标文件的实质性内容</w:t>
      </w:r>
      <w:r>
        <w:rPr>
          <w:rFonts w:hint="eastAsia" w:ascii="宋体" w:hAnsi="宋体" w:eastAsia="宋体" w:cs="宋体"/>
          <w:color w:val="000000"/>
          <w:szCs w:val="24"/>
          <w:highlight w:val="none"/>
          <w:lang w:val="zh-CN"/>
        </w:rPr>
        <w:t>。</w:t>
      </w:r>
    </w:p>
    <w:p w14:paraId="09765B3B">
      <w:pPr>
        <w:autoSpaceDE w:val="0"/>
        <w:autoSpaceDN w:val="0"/>
        <w:adjustRightInd w:val="0"/>
        <w:spacing w:line="360" w:lineRule="auto"/>
        <w:ind w:left="529" w:right="18" w:hanging="529" w:hangingChars="252"/>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 xml:space="preserve">9.3  </w:t>
      </w:r>
      <w:r>
        <w:rPr>
          <w:rFonts w:hint="eastAsia" w:ascii="宋体" w:hAnsi="宋体" w:eastAsia="宋体" w:cs="宋体"/>
          <w:szCs w:val="24"/>
          <w:highlight w:val="none"/>
          <w:lang w:val="zh-CN"/>
        </w:rPr>
        <w:t>经过澄清后仍不符合要求，则该项目在下一步评审进行评分调整；若重大（实质性）偏差仍存在，且不可接受，投标人则被认为是“不响应招标（采购）文件要求的投标人”，不再进入下一步评审</w:t>
      </w:r>
      <w:r>
        <w:rPr>
          <w:rFonts w:hint="eastAsia" w:ascii="宋体" w:hAnsi="宋体" w:eastAsia="宋体" w:cs="宋体"/>
          <w:color w:val="000000"/>
          <w:szCs w:val="24"/>
          <w:highlight w:val="none"/>
          <w:lang w:val="zh-CN"/>
        </w:rPr>
        <w:t>。</w:t>
      </w:r>
    </w:p>
    <w:p w14:paraId="5BECE766">
      <w:pPr>
        <w:autoSpaceDE w:val="0"/>
        <w:autoSpaceDN w:val="0"/>
        <w:adjustRightInd w:val="0"/>
        <w:spacing w:line="360" w:lineRule="auto"/>
        <w:jc w:val="center"/>
        <w:rPr>
          <w:rFonts w:hint="eastAsia" w:ascii="宋体" w:hAnsi="宋体" w:eastAsia="宋体" w:cs="宋体"/>
          <w:b/>
          <w:bCs/>
          <w:color w:val="000000"/>
          <w:sz w:val="28"/>
          <w:szCs w:val="28"/>
          <w:highlight w:val="none"/>
          <w:lang w:val="zh-CN"/>
        </w:rPr>
      </w:pPr>
      <w:bookmarkStart w:id="843" w:name="_Toc8518_WPSOffice_Level1"/>
    </w:p>
    <w:p w14:paraId="6E6D9BE0">
      <w:pPr>
        <w:tabs>
          <w:tab w:val="left" w:pos="1701"/>
        </w:tabs>
        <w:autoSpaceDE w:val="0"/>
        <w:autoSpaceDN w:val="0"/>
        <w:adjustRightInd w:val="0"/>
        <w:spacing w:line="360" w:lineRule="auto"/>
        <w:jc w:val="center"/>
        <w:outlineLvl w:val="2"/>
        <w:rPr>
          <w:rFonts w:hint="eastAsia" w:ascii="宋体" w:hAnsi="宋体" w:eastAsia="宋体" w:cs="宋体"/>
          <w:b/>
          <w:bCs/>
          <w:color w:val="000000"/>
          <w:sz w:val="28"/>
          <w:szCs w:val="28"/>
          <w:highlight w:val="none"/>
        </w:rPr>
      </w:pPr>
      <w:bookmarkStart w:id="844" w:name="_Toc19563"/>
      <w:bookmarkStart w:id="845" w:name="_Toc17198"/>
      <w:bookmarkStart w:id="846" w:name="_Toc28802"/>
      <w:bookmarkStart w:id="847" w:name="_Toc26982"/>
      <w:bookmarkStart w:id="848" w:name="_Toc23144"/>
      <w:bookmarkStart w:id="849" w:name="_Toc31083"/>
      <w:r>
        <w:rPr>
          <w:rFonts w:hint="eastAsia" w:ascii="宋体" w:hAnsi="宋体" w:eastAsia="宋体" w:cs="宋体"/>
          <w:b/>
          <w:bCs/>
          <w:color w:val="000000"/>
          <w:sz w:val="28"/>
          <w:szCs w:val="28"/>
          <w:highlight w:val="none"/>
          <w:lang w:val="zh-CN"/>
        </w:rPr>
        <w:t>四、比较和评价</w:t>
      </w:r>
      <w:bookmarkEnd w:id="843"/>
      <w:bookmarkEnd w:id="844"/>
      <w:bookmarkEnd w:id="845"/>
      <w:bookmarkEnd w:id="846"/>
      <w:bookmarkEnd w:id="847"/>
      <w:bookmarkEnd w:id="848"/>
      <w:bookmarkEnd w:id="849"/>
    </w:p>
    <w:p w14:paraId="20817C0E">
      <w:pPr>
        <w:autoSpaceDE w:val="0"/>
        <w:autoSpaceDN w:val="0"/>
        <w:adjustRightInd w:val="0"/>
        <w:spacing w:line="360" w:lineRule="auto"/>
        <w:ind w:left="422" w:leftChars="1" w:hanging="420" w:hangingChars="200"/>
        <w:rPr>
          <w:rFonts w:hint="eastAsia" w:ascii="宋体" w:hAnsi="宋体" w:eastAsia="宋体" w:cs="宋体"/>
          <w:color w:val="000000"/>
          <w:szCs w:val="24"/>
          <w:highlight w:val="none"/>
          <w:lang w:val="zh-CN"/>
        </w:rPr>
      </w:pPr>
      <w:r>
        <w:rPr>
          <w:rFonts w:hint="eastAsia" w:ascii="宋体" w:hAnsi="宋体" w:eastAsia="宋体" w:cs="宋体"/>
          <w:bCs/>
          <w:color w:val="000000"/>
          <w:szCs w:val="24"/>
          <w:highlight w:val="none"/>
          <w:lang w:val="zh-CN"/>
        </w:rPr>
        <w:t>10、</w:t>
      </w:r>
      <w:r>
        <w:rPr>
          <w:rFonts w:hint="eastAsia" w:ascii="宋体" w:hAnsi="宋体" w:eastAsia="宋体" w:cs="宋体"/>
          <w:color w:val="000000"/>
          <w:szCs w:val="24"/>
          <w:highlight w:val="none"/>
          <w:lang w:val="zh-CN"/>
        </w:rPr>
        <w:t>评</w:t>
      </w:r>
      <w:r>
        <w:rPr>
          <w:rFonts w:hint="eastAsia" w:ascii="宋体" w:hAnsi="宋体" w:eastAsia="宋体" w:cs="宋体"/>
          <w:szCs w:val="24"/>
          <w:highlight w:val="none"/>
          <w:lang w:val="zh-CN"/>
        </w:rPr>
        <w:t>标委员会按招标（采购）文件中规定的评审方法和标准，对资格性检查和符合性检查合格的投标文件进行商务和技术评审、综合比较与评价；评标委员会根据商务和技术评审的结果，采用综合评分法，分别对投标文件的商务、技术等内容进行打</w:t>
      </w:r>
      <w:r>
        <w:rPr>
          <w:rFonts w:hint="eastAsia" w:ascii="宋体" w:hAnsi="宋体" w:eastAsia="宋体" w:cs="宋体"/>
          <w:color w:val="000000"/>
          <w:szCs w:val="24"/>
          <w:highlight w:val="none"/>
          <w:lang w:val="zh-CN"/>
        </w:rPr>
        <w:t>分。</w:t>
      </w:r>
    </w:p>
    <w:p w14:paraId="42C5E14E">
      <w:pPr>
        <w:autoSpaceDE w:val="0"/>
        <w:autoSpaceDN w:val="0"/>
        <w:adjustRightInd w:val="0"/>
        <w:spacing w:line="360" w:lineRule="auto"/>
        <w:ind w:left="422" w:leftChars="1" w:hanging="420" w:hangingChars="200"/>
        <w:rPr>
          <w:rFonts w:hint="eastAsia" w:ascii="宋体" w:hAnsi="宋体" w:eastAsia="宋体" w:cs="宋体"/>
          <w:color w:val="000000"/>
          <w:szCs w:val="24"/>
          <w:highlight w:val="none"/>
          <w:lang w:val="zh-CN"/>
        </w:rPr>
      </w:pPr>
    </w:p>
    <w:p w14:paraId="1E9B0D8F">
      <w:pPr>
        <w:tabs>
          <w:tab w:val="left" w:pos="1701"/>
        </w:tabs>
        <w:autoSpaceDE w:val="0"/>
        <w:autoSpaceDN w:val="0"/>
        <w:adjustRightInd w:val="0"/>
        <w:spacing w:line="360" w:lineRule="auto"/>
        <w:rPr>
          <w:rFonts w:hint="eastAsia" w:ascii="宋体" w:hAnsi="宋体" w:eastAsia="宋体" w:cs="宋体"/>
          <w:b/>
          <w:color w:val="000000"/>
          <w:szCs w:val="24"/>
          <w:highlight w:val="none"/>
          <w:lang w:val="zh-CN"/>
        </w:rPr>
      </w:pPr>
      <w:r>
        <w:rPr>
          <w:rFonts w:hint="eastAsia" w:ascii="宋体" w:hAnsi="宋体" w:eastAsia="宋体" w:cs="宋体"/>
          <w:b/>
          <w:color w:val="000000"/>
          <w:szCs w:val="24"/>
          <w:highlight w:val="none"/>
          <w:lang w:val="zh-CN"/>
        </w:rPr>
        <w:t>11、评委打分办法</w:t>
      </w:r>
    </w:p>
    <w:p w14:paraId="6C9B2325">
      <w:pPr>
        <w:autoSpaceDE w:val="0"/>
        <w:autoSpaceDN w:val="0"/>
        <w:adjustRightInd w:val="0"/>
        <w:spacing w:line="360" w:lineRule="auto"/>
        <w:ind w:left="565" w:leftChars="-1" w:hanging="567" w:hangingChars="27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11.1 参加评分的评委应尽力体现客观、实事求是，避免学派偏见和个人偏好。</w:t>
      </w:r>
    </w:p>
    <w:p w14:paraId="6E7EDAC6">
      <w:pPr>
        <w:autoSpaceDE w:val="0"/>
        <w:autoSpaceDN w:val="0"/>
        <w:adjustRightInd w:val="0"/>
        <w:spacing w:line="360" w:lineRule="auto"/>
        <w:ind w:left="565" w:leftChars="-1" w:hanging="567" w:hangingChars="27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11.2 衡量、对比的依据，应以招标（采购）文件、投标文件、提供的正式试验数据、开标澄清中的文字为准，口头回答和收集的资料只作为参考。</w:t>
      </w:r>
    </w:p>
    <w:p w14:paraId="2B7B3402">
      <w:pPr>
        <w:autoSpaceDE w:val="0"/>
        <w:autoSpaceDN w:val="0"/>
        <w:adjustRightInd w:val="0"/>
        <w:spacing w:line="360" w:lineRule="auto"/>
        <w:ind w:left="565" w:leftChars="-1" w:hanging="567" w:hangingChars="27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11.3 评分主要是为比较各投标人的商务、技术综合排序。评标委员会专家组的每一位评委根据招标（采购）文件评分标准对投标文件分别评审，对有效投标人投标文件的商务、技术分别评分。</w:t>
      </w:r>
    </w:p>
    <w:p w14:paraId="47D72F64">
      <w:pPr>
        <w:autoSpaceDE w:val="0"/>
        <w:autoSpaceDN w:val="0"/>
        <w:adjustRightInd w:val="0"/>
        <w:spacing w:line="360" w:lineRule="auto"/>
        <w:ind w:left="565" w:leftChars="-1" w:hanging="567" w:hangingChars="27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（1）评标委员会首先对商务标进行评审，按评标标准打分后，取所有评委评分的平均值得出该投标人的商务评分；</w:t>
      </w:r>
    </w:p>
    <w:p w14:paraId="7A688C3A">
      <w:pPr>
        <w:autoSpaceDE w:val="0"/>
        <w:autoSpaceDN w:val="0"/>
        <w:adjustRightInd w:val="0"/>
        <w:spacing w:line="360" w:lineRule="auto"/>
        <w:ind w:left="565" w:leftChars="-1" w:hanging="567" w:hangingChars="270"/>
        <w:rPr>
          <w:rFonts w:hint="eastAsia" w:ascii="宋体" w:hAnsi="宋体" w:eastAsia="宋体" w:cs="宋体"/>
          <w:color w:val="000000"/>
          <w:szCs w:val="24"/>
          <w:highlight w:val="none"/>
          <w:lang w:val="zh-CN"/>
        </w:rPr>
      </w:pPr>
      <w:r>
        <w:rPr>
          <w:rFonts w:hint="eastAsia" w:ascii="宋体" w:hAnsi="宋体" w:eastAsia="宋体" w:cs="宋体"/>
          <w:color w:val="000000"/>
          <w:kern w:val="0"/>
          <w:szCs w:val="21"/>
          <w:highlight w:val="none"/>
        </w:rPr>
        <w:t>（2）然后评标委员会对技术标进行评审，按评标标准打分后，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4E57D35">
      <w:pPr>
        <w:tabs>
          <w:tab w:val="left" w:pos="600"/>
        </w:tabs>
        <w:autoSpaceDE w:val="0"/>
        <w:autoSpaceDN w:val="0"/>
        <w:adjustRightInd w:val="0"/>
        <w:spacing w:line="360" w:lineRule="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11.4 评标委员会打分采取记名形式。</w:t>
      </w:r>
    </w:p>
    <w:p w14:paraId="63ED9211">
      <w:pPr>
        <w:autoSpaceDE w:val="0"/>
        <w:autoSpaceDN w:val="0"/>
        <w:adjustRightInd w:val="0"/>
        <w:spacing w:line="360" w:lineRule="auto"/>
        <w:ind w:left="565" w:leftChars="-1" w:hanging="567" w:hangingChars="270"/>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11.5 各评委根据秘书组提供的打分表严格按照评标大纲内的评分标准独立自主打分，任何人不得要求评委统一打分或统一确定等次顺序。</w:t>
      </w:r>
    </w:p>
    <w:p w14:paraId="662178B4">
      <w:pPr>
        <w:autoSpaceDE w:val="0"/>
        <w:autoSpaceDN w:val="0"/>
        <w:adjustRightInd w:val="0"/>
        <w:spacing w:line="360" w:lineRule="auto"/>
        <w:ind w:left="426" w:hanging="426"/>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11.6 对打分表中的每项条款，各评委应根据投标文件、澄清材料、招标（采购）文件要求，按满足的程度给投标人打分。</w:t>
      </w:r>
    </w:p>
    <w:p w14:paraId="3B731A35">
      <w:pPr>
        <w:tabs>
          <w:tab w:val="left" w:pos="600"/>
        </w:tabs>
        <w:autoSpaceDE w:val="0"/>
        <w:autoSpaceDN w:val="0"/>
        <w:adjustRightInd w:val="0"/>
        <w:spacing w:line="360" w:lineRule="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11.7 评分程序</w:t>
      </w:r>
    </w:p>
    <w:p w14:paraId="5730B192">
      <w:pPr>
        <w:tabs>
          <w:tab w:val="left" w:pos="1134"/>
        </w:tabs>
        <w:autoSpaceDE w:val="0"/>
        <w:autoSpaceDN w:val="0"/>
        <w:adjustRightInd w:val="0"/>
        <w:spacing w:line="360" w:lineRule="auto"/>
        <w:ind w:left="565" w:leftChars="-1" w:hanging="567" w:hangingChars="270"/>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（1）</w:t>
      </w:r>
      <w:r>
        <w:rPr>
          <w:rFonts w:hint="eastAsia" w:ascii="宋体" w:hAnsi="宋体" w:eastAsia="宋体" w:cs="Times New Roman"/>
          <w:szCs w:val="24"/>
          <w:highlight w:val="none"/>
          <w:lang w:val="zh-CN"/>
        </w:rPr>
        <w:t>就投标人的投标文件对照整理出商务、技术评标因素对比表、偏差表，并在经过校核的基础上逐项打分</w:t>
      </w:r>
      <w:r>
        <w:rPr>
          <w:rFonts w:hint="eastAsia" w:ascii="宋体" w:hAnsi="宋体" w:eastAsia="宋体" w:cs="宋体"/>
          <w:color w:val="000000"/>
          <w:szCs w:val="24"/>
          <w:highlight w:val="none"/>
          <w:lang w:val="zh-CN"/>
        </w:rPr>
        <w:t>。</w:t>
      </w:r>
    </w:p>
    <w:p w14:paraId="64D18425">
      <w:pPr>
        <w:tabs>
          <w:tab w:val="left" w:pos="1134"/>
        </w:tabs>
        <w:autoSpaceDE w:val="0"/>
        <w:autoSpaceDN w:val="0"/>
        <w:adjustRightInd w:val="0"/>
        <w:spacing w:line="360" w:lineRule="auto"/>
        <w:ind w:left="565" w:leftChars="-1" w:hanging="567" w:hangingChars="270"/>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（2）各评委独立完成打分后，将统计好的评分表交给招标代理机构秘书组复核。</w:t>
      </w:r>
    </w:p>
    <w:p w14:paraId="2E1372F4">
      <w:pPr>
        <w:tabs>
          <w:tab w:val="left" w:pos="1134"/>
        </w:tabs>
        <w:kinsoku/>
        <w:overflowPunct/>
        <w:autoSpaceDE w:val="0"/>
        <w:autoSpaceDN w:val="0"/>
        <w:bidi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hint="eastAsia" w:ascii="宋体" w:hAnsi="宋体" w:eastAsia="宋体" w:cs="宋体"/>
          <w:color w:val="000000"/>
          <w:szCs w:val="24"/>
          <w:highlight w:val="none"/>
          <w:lang w:val="zh-CN"/>
        </w:rPr>
        <w:t>（3）评分统计表中各投标人技术得分应为最终综合得分，商务得分应为评委打分的算术平均值</w:t>
      </w:r>
      <w:r>
        <w:rPr>
          <w:rFonts w:hint="eastAsia" w:ascii="宋体" w:hAnsi="宋体" w:eastAsia="宋体" w:cs="Times New Roman"/>
          <w:color w:val="auto"/>
          <w:szCs w:val="24"/>
          <w:highlight w:val="none"/>
          <w:lang w:val="zh-CN"/>
        </w:rPr>
        <w:t>。</w:t>
      </w:r>
    </w:p>
    <w:p w14:paraId="52844BE2">
      <w:pPr>
        <w:kinsoku/>
        <w:overflowPunct/>
        <w:autoSpaceDE w:val="0"/>
        <w:autoSpaceDN w:val="0"/>
        <w:bidi w:val="0"/>
        <w:adjustRightInd w:val="0"/>
        <w:spacing w:line="360" w:lineRule="auto"/>
        <w:outlineLvl w:val="9"/>
        <w:rPr>
          <w:rFonts w:ascii="宋体" w:hAnsi="宋体" w:eastAsia="宋体" w:cs="宋体"/>
          <w:color w:val="auto"/>
          <w:szCs w:val="24"/>
          <w:highlight w:val="none"/>
          <w:lang w:val="zh-CN"/>
        </w:rPr>
      </w:pPr>
    </w:p>
    <w:p w14:paraId="6124C561">
      <w:pPr>
        <w:tabs>
          <w:tab w:val="left" w:pos="1701"/>
        </w:tabs>
        <w:kinsoku/>
        <w:overflowPunct/>
        <w:autoSpaceDE w:val="0"/>
        <w:autoSpaceDN w:val="0"/>
        <w:bidi w:val="0"/>
        <w:adjustRightInd w:val="0"/>
        <w:spacing w:line="360" w:lineRule="auto"/>
        <w:outlineLvl w:val="1"/>
        <w:rPr>
          <w:rFonts w:ascii="宋体" w:hAnsi="宋体" w:eastAsia="宋体" w:cs="宋体"/>
          <w:b/>
          <w:color w:val="auto"/>
          <w:szCs w:val="24"/>
          <w:highlight w:val="none"/>
          <w:lang w:val="zh-CN"/>
        </w:rPr>
      </w:pPr>
      <w:bookmarkStart w:id="850" w:name="_Toc24964"/>
      <w:r>
        <w:rPr>
          <w:rFonts w:hint="eastAsia" w:ascii="宋体" w:hAnsi="宋体" w:eastAsia="宋体" w:cs="宋体"/>
          <w:b/>
          <w:color w:val="auto"/>
          <w:szCs w:val="24"/>
          <w:highlight w:val="none"/>
          <w:lang w:val="zh-CN"/>
        </w:rPr>
        <w:t>12、评分因素及分值</w:t>
      </w:r>
      <w:bookmarkEnd w:id="850"/>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5B376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04BDD58A">
            <w:pPr>
              <w:keepNext w:val="0"/>
              <w:keepLines w:val="0"/>
              <w:suppressLineNumbers w:val="0"/>
              <w:kinsoku/>
              <w:overflowPunct/>
              <w:bidi w:val="0"/>
              <w:spacing w:before="0" w:beforeAutospacing="0" w:after="0" w:afterAutospacing="0" w:line="400" w:lineRule="exact"/>
              <w:ind w:left="0" w:right="0"/>
              <w:jc w:val="center"/>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49CA6F6">
            <w:pPr>
              <w:keepNext w:val="0"/>
              <w:keepLines w:val="0"/>
              <w:suppressLineNumbers w:val="0"/>
              <w:kinsoku/>
              <w:overflowPunct/>
              <w:bidi w:val="0"/>
              <w:spacing w:before="0" w:beforeAutospacing="0" w:after="0" w:afterAutospacing="0" w:line="400" w:lineRule="exact"/>
              <w:ind w:left="0" w:right="0"/>
              <w:jc w:val="center"/>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34B59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65844F1">
            <w:pPr>
              <w:keepNext w:val="0"/>
              <w:keepLines w:val="0"/>
              <w:suppressLineNumbers w:val="0"/>
              <w:kinsoku/>
              <w:overflowPunct/>
              <w:bidi w:val="0"/>
              <w:spacing w:before="0" w:beforeAutospacing="0" w:after="0" w:afterAutospacing="0" w:line="400" w:lineRule="exact"/>
              <w:ind w:left="0" w:right="0"/>
              <w:jc w:val="center"/>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2E5FCD6">
            <w:pPr>
              <w:keepNext w:val="0"/>
              <w:keepLines w:val="0"/>
              <w:suppressLineNumbers w:val="0"/>
              <w:kinsoku/>
              <w:overflowPunct/>
              <w:autoSpaceDE w:val="0"/>
              <w:autoSpaceDN w:val="0"/>
              <w:bidi w:val="0"/>
              <w:adjustRightInd w:val="0"/>
              <w:spacing w:before="0" w:beforeAutospacing="0" w:after="0" w:afterAutospacing="0" w:line="400" w:lineRule="exact"/>
              <w:ind w:left="0" w:right="0"/>
              <w:jc w:val="center"/>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55</w:t>
            </w:r>
            <w:r>
              <w:rPr>
                <w:rFonts w:hint="eastAsia" w:ascii="宋体" w:hAnsi="宋体" w:eastAsia="宋体" w:cs="宋体"/>
                <w:b/>
                <w:color w:val="auto"/>
                <w:sz w:val="21"/>
                <w:szCs w:val="21"/>
                <w:highlight w:val="none"/>
                <w:lang w:val="zh-CN"/>
              </w:rPr>
              <w:t>分</w:t>
            </w:r>
          </w:p>
        </w:tc>
      </w:tr>
      <w:tr w14:paraId="24D05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C621A37">
            <w:pPr>
              <w:keepNext w:val="0"/>
              <w:keepLines w:val="0"/>
              <w:suppressLineNumbers w:val="0"/>
              <w:kinsoku/>
              <w:overflowPunct/>
              <w:bidi w:val="0"/>
              <w:spacing w:before="0" w:beforeAutospacing="0" w:after="0" w:afterAutospacing="0" w:line="400" w:lineRule="exact"/>
              <w:ind w:left="0" w:right="0"/>
              <w:jc w:val="center"/>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0A811F1">
            <w:pPr>
              <w:keepNext w:val="0"/>
              <w:keepLines w:val="0"/>
              <w:suppressLineNumbers w:val="0"/>
              <w:kinsoku/>
              <w:overflowPunct/>
              <w:autoSpaceDE w:val="0"/>
              <w:autoSpaceDN w:val="0"/>
              <w:bidi w:val="0"/>
              <w:adjustRightInd w:val="0"/>
              <w:spacing w:before="0" w:beforeAutospacing="0" w:after="0" w:afterAutospacing="0" w:line="400" w:lineRule="exact"/>
              <w:ind w:left="0" w:right="0"/>
              <w:jc w:val="center"/>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lang w:val="zh-CN"/>
              </w:rPr>
              <w:t>分</w:t>
            </w:r>
          </w:p>
        </w:tc>
      </w:tr>
    </w:tbl>
    <w:p w14:paraId="7833BD19">
      <w:pPr>
        <w:keepNext w:val="0"/>
        <w:keepLines w:val="0"/>
        <w:widowControl w:val="0"/>
        <w:suppressLineNumbers w:val="0"/>
        <w:tabs>
          <w:tab w:val="left" w:pos="585"/>
        </w:tabs>
        <w:kinsoku/>
        <w:overflowPunct/>
        <w:autoSpaceDE w:val="0"/>
        <w:autoSpaceDN w:val="0"/>
        <w:bidi w:val="0"/>
        <w:adjustRightInd w:val="0"/>
        <w:spacing w:before="0" w:beforeAutospacing="0" w:after="0" w:afterAutospacing="0" w:line="360" w:lineRule="auto"/>
        <w:ind w:left="0" w:right="0"/>
        <w:jc w:val="both"/>
        <w:outlineLvl w:val="9"/>
        <w:rPr>
          <w:rFonts w:hint="eastAsia" w:ascii="宋体" w:hAnsi="宋体" w:eastAsia="宋体" w:cs="宋体"/>
          <w:b/>
          <w:bCs w:val="0"/>
          <w:color w:val="auto"/>
          <w:kern w:val="2"/>
          <w:sz w:val="21"/>
          <w:szCs w:val="21"/>
          <w:highlight w:val="none"/>
        </w:rPr>
      </w:pPr>
    </w:p>
    <w:p w14:paraId="22520448">
      <w:pPr>
        <w:keepNext w:val="0"/>
        <w:keepLines w:val="0"/>
        <w:widowControl w:val="0"/>
        <w:suppressLineNumbers w:val="0"/>
        <w:tabs>
          <w:tab w:val="left" w:pos="585"/>
        </w:tabs>
        <w:kinsoku/>
        <w:overflowPunct/>
        <w:autoSpaceDE w:val="0"/>
        <w:autoSpaceDN w:val="0"/>
        <w:bidi w:val="0"/>
        <w:adjustRightInd w:val="0"/>
        <w:spacing w:before="0" w:beforeAutospacing="0" w:after="0" w:afterAutospacing="0" w:line="360" w:lineRule="auto"/>
        <w:ind w:left="0" w:right="0"/>
        <w:jc w:val="both"/>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（1）商务：总分55分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73"/>
        <w:gridCol w:w="7443"/>
        <w:gridCol w:w="907"/>
      </w:tblGrid>
      <w:tr w14:paraId="59A9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2" w:type="pct"/>
            <w:tcBorders>
              <w:top w:val="single" w:color="auto" w:sz="4" w:space="0"/>
              <w:left w:val="single" w:color="auto" w:sz="4" w:space="0"/>
              <w:bottom w:val="single" w:color="auto" w:sz="4" w:space="0"/>
              <w:right w:val="single" w:color="auto" w:sz="4" w:space="0"/>
            </w:tcBorders>
            <w:vAlign w:val="bottom"/>
          </w:tcPr>
          <w:p w14:paraId="3D4F8E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662" w:type="pct"/>
            <w:tcBorders>
              <w:top w:val="single" w:color="auto" w:sz="4" w:space="0"/>
              <w:left w:val="single" w:color="auto" w:sz="4" w:space="0"/>
              <w:bottom w:val="single" w:color="auto" w:sz="4" w:space="0"/>
              <w:right w:val="single" w:color="auto" w:sz="4" w:space="0"/>
            </w:tcBorders>
            <w:vAlign w:val="bottom"/>
          </w:tcPr>
          <w:p w14:paraId="509470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587" w:type="pct"/>
            <w:tcBorders>
              <w:top w:val="single" w:color="auto" w:sz="4" w:space="0"/>
              <w:left w:val="single" w:color="auto" w:sz="4" w:space="0"/>
              <w:bottom w:val="single" w:color="auto" w:sz="4" w:space="0"/>
              <w:right w:val="single" w:color="auto" w:sz="4" w:space="0"/>
            </w:tcBorders>
            <w:vAlign w:val="bottom"/>
          </w:tcPr>
          <w:p w14:paraId="398B1E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92E96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8AE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311D16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662" w:type="pct"/>
            <w:tcBorders>
              <w:top w:val="single" w:color="auto" w:sz="4" w:space="0"/>
              <w:left w:val="single" w:color="auto" w:sz="4" w:space="0"/>
              <w:bottom w:val="single" w:color="auto" w:sz="4" w:space="0"/>
              <w:right w:val="single" w:color="auto" w:sz="4" w:space="0"/>
            </w:tcBorders>
            <w:vAlign w:val="center"/>
          </w:tcPr>
          <w:p w14:paraId="11A5E311">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auto"/>
                <w:kern w:val="0"/>
                <w:sz w:val="24"/>
                <w:szCs w:val="21"/>
                <w:highlight w:val="none"/>
              </w:rPr>
            </w:pPr>
            <w:r>
              <w:rPr>
                <w:rFonts w:hint="eastAsia" w:ascii="宋体" w:hAnsi="宋体" w:eastAsia="宋体" w:cs="宋体"/>
                <w:szCs w:val="21"/>
                <w:highlight w:val="none"/>
              </w:rPr>
              <w:t>财务状况</w:t>
            </w:r>
          </w:p>
        </w:tc>
        <w:tc>
          <w:tcPr>
            <w:tcW w:w="3587" w:type="pct"/>
            <w:tcBorders>
              <w:top w:val="single" w:color="auto" w:sz="4" w:space="0"/>
              <w:left w:val="single" w:color="auto" w:sz="4" w:space="0"/>
              <w:bottom w:val="single" w:color="auto" w:sz="4" w:space="0"/>
              <w:right w:val="single" w:color="auto" w:sz="4" w:space="0"/>
            </w:tcBorders>
            <w:vAlign w:val="center"/>
          </w:tcPr>
          <w:p w14:paraId="2B6D584E">
            <w:pPr>
              <w:pStyle w:val="19"/>
              <w:keepNext w:val="0"/>
              <w:keepLines w:val="0"/>
              <w:suppressLineNumbers w:val="0"/>
              <w:adjustRightInd/>
              <w:spacing w:before="0" w:beforeAutospacing="0" w:after="0" w:afterAutospacing="0" w:line="400" w:lineRule="exact"/>
              <w:ind w:left="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投标人202</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年-202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年三个年度，每具有1个年度盈利的得1分，满分3分。</w:t>
            </w:r>
          </w:p>
          <w:p w14:paraId="3564B967">
            <w:pPr>
              <w:pStyle w:val="19"/>
              <w:keepNext w:val="0"/>
              <w:keepLines w:val="0"/>
              <w:suppressLineNumbers w:val="0"/>
              <w:adjustRightInd/>
              <w:spacing w:before="0" w:beforeAutospacing="0" w:after="0" w:afterAutospacing="0" w:line="400" w:lineRule="exact"/>
              <w:ind w:left="0" w:right="-26" w:rightChars="0"/>
              <w:jc w:val="left"/>
              <w:rPr>
                <w:rFonts w:hint="eastAsia" w:ascii="宋体" w:hAnsi="宋体" w:eastAsia="宋体" w:cs="宋体"/>
                <w:b/>
                <w:color w:val="auto"/>
                <w:kern w:val="0"/>
                <w:szCs w:val="21"/>
                <w:highlight w:val="none"/>
                <w:lang w:val="zh-CN"/>
              </w:rPr>
            </w:pPr>
            <w:r>
              <w:rPr>
                <w:rFonts w:hint="eastAsia" w:ascii="宋体" w:hAnsi="宋体" w:eastAsia="宋体" w:cs="宋体"/>
                <w:sz w:val="21"/>
                <w:szCs w:val="21"/>
                <w:highlight w:val="none"/>
              </w:rPr>
              <w:t>备注：投标人应提供202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年三个年度的财务报告，净利润以经审计的财务报表为准，应提供经独立会计师事务所审计过的有效的财务报告（含审计报告和财务报表）复印件；</w:t>
            </w:r>
            <w:r>
              <w:rPr>
                <w:rFonts w:hint="eastAsia" w:ascii="宋体" w:hAnsi="宋体" w:eastAsia="宋体" w:cs="宋体"/>
                <w:sz w:val="21"/>
                <w:szCs w:val="21"/>
                <w:highlight w:val="none"/>
                <w:lang w:val="en-US"/>
              </w:rPr>
              <w:t>三年</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en-US"/>
              </w:rPr>
              <w:t>盈利</w:t>
            </w:r>
            <w:r>
              <w:rPr>
                <w:rFonts w:hint="eastAsia" w:ascii="宋体" w:hAnsi="宋体" w:eastAsia="宋体" w:cs="宋体"/>
                <w:sz w:val="21"/>
                <w:szCs w:val="21"/>
                <w:highlight w:val="none"/>
              </w:rPr>
              <w:t>或未提供前述财务报告或财务报告未能反映净利润的，不得分。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C4DD54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3</w:t>
            </w:r>
          </w:p>
        </w:tc>
      </w:tr>
      <w:tr w14:paraId="283F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FEBAE7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662" w:type="pct"/>
            <w:tcBorders>
              <w:top w:val="single" w:color="auto" w:sz="4" w:space="0"/>
              <w:left w:val="single" w:color="auto" w:sz="4" w:space="0"/>
              <w:bottom w:val="single" w:color="auto" w:sz="4" w:space="0"/>
              <w:right w:val="single" w:color="auto" w:sz="4" w:space="0"/>
            </w:tcBorders>
            <w:vAlign w:val="center"/>
          </w:tcPr>
          <w:p w14:paraId="5216A81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zh-CN"/>
              </w:rPr>
            </w:pPr>
            <w:r>
              <w:rPr>
                <w:rFonts w:hint="eastAsia" w:ascii="宋体" w:hAnsi="宋体" w:eastAsia="宋体" w:cs="宋体"/>
                <w:szCs w:val="21"/>
                <w:highlight w:val="none"/>
              </w:rPr>
              <w:t>投标人实力</w:t>
            </w:r>
          </w:p>
        </w:tc>
        <w:tc>
          <w:tcPr>
            <w:tcW w:w="3587" w:type="pct"/>
            <w:tcBorders>
              <w:top w:val="single" w:color="auto" w:sz="4" w:space="0"/>
              <w:left w:val="single" w:color="auto" w:sz="4" w:space="0"/>
              <w:bottom w:val="single" w:color="auto" w:sz="4" w:space="0"/>
              <w:right w:val="single" w:color="auto" w:sz="4" w:space="0"/>
            </w:tcBorders>
            <w:vAlign w:val="center"/>
          </w:tcPr>
          <w:p w14:paraId="420DAA9E">
            <w:pPr>
              <w:pStyle w:val="19"/>
              <w:keepNext w:val="0"/>
              <w:keepLines w:val="0"/>
              <w:suppressLineNumbers w:val="0"/>
              <w:spacing w:before="0" w:beforeAutospacing="0" w:after="0" w:afterAutospacing="0" w:line="400" w:lineRule="exact"/>
              <w:ind w:lef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（1）投标人具有有效期内的ISO9001质量管理体系认证证书得</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分，本子项满分</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w:t>
            </w:r>
          </w:p>
          <w:p w14:paraId="7B938831">
            <w:pPr>
              <w:pStyle w:val="19"/>
              <w:keepNext w:val="0"/>
              <w:keepLines w:val="0"/>
              <w:suppressLineNumbers w:val="0"/>
              <w:spacing w:before="0" w:beforeAutospacing="0" w:after="0" w:afterAutospacing="0" w:line="400" w:lineRule="exact"/>
              <w:ind w:lef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（2）投标人具有有效期内的OHSAS18001（或GB/T45001-2020，或ISO45001）职业健康安全管理体系认证证书得</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分，本子项满分</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w:t>
            </w:r>
          </w:p>
          <w:p w14:paraId="3676C64F">
            <w:pPr>
              <w:pStyle w:val="19"/>
              <w:keepNext w:val="0"/>
              <w:keepLines w:val="0"/>
              <w:suppressLineNumbers w:val="0"/>
              <w:spacing w:before="0" w:beforeAutospacing="0" w:after="0" w:afterAutospacing="0" w:line="400" w:lineRule="exact"/>
              <w:ind w:lef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（3）投标人具有有效期内的ISO14001环境管理体系认证证书的，得</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分，本子项满分</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分。</w:t>
            </w:r>
          </w:p>
          <w:p w14:paraId="1CA14D18">
            <w:pPr>
              <w:pStyle w:val="19"/>
              <w:keepNext w:val="0"/>
              <w:keepLines w:val="0"/>
              <w:suppressLineNumbers w:val="0"/>
              <w:spacing w:before="0" w:beforeAutospacing="0" w:after="0" w:afterAutospacing="0" w:line="400" w:lineRule="exact"/>
              <w:ind w:left="0" w:right="-26" w:rightChars="0"/>
              <w:jc w:val="left"/>
              <w:rPr>
                <w:rFonts w:hint="eastAsia" w:ascii="宋体" w:hAnsi="宋体" w:eastAsia="宋体" w:cs="宋体"/>
                <w:b/>
                <w:color w:val="auto"/>
                <w:kern w:val="0"/>
                <w:sz w:val="24"/>
                <w:szCs w:val="24"/>
                <w:highlight w:val="none"/>
              </w:rPr>
            </w:pPr>
            <w:r>
              <w:rPr>
                <w:rFonts w:hint="eastAsia" w:ascii="宋体" w:hAnsi="宋体" w:eastAsia="宋体" w:cs="宋体"/>
                <w:b w:val="0"/>
                <w:sz w:val="21"/>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1DD083F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9</w:t>
            </w:r>
          </w:p>
        </w:tc>
      </w:tr>
      <w:tr w14:paraId="6EE5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F3CE24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bookmarkStart w:id="851" w:name="_Hlk104987354"/>
            <w:r>
              <w:rPr>
                <w:rFonts w:hint="eastAsia" w:ascii="宋体" w:hAnsi="宋体" w:eastAsia="宋体" w:cs="宋体"/>
                <w:color w:val="auto"/>
                <w:sz w:val="21"/>
                <w:szCs w:val="21"/>
                <w:highlight w:val="none"/>
              </w:rPr>
              <w:t>3</w:t>
            </w:r>
          </w:p>
        </w:tc>
        <w:tc>
          <w:tcPr>
            <w:tcW w:w="662" w:type="pct"/>
            <w:tcBorders>
              <w:top w:val="single" w:color="auto" w:sz="4" w:space="0"/>
              <w:left w:val="single" w:color="auto" w:sz="4" w:space="0"/>
              <w:bottom w:val="single" w:color="auto" w:sz="4" w:space="0"/>
              <w:right w:val="single" w:color="auto" w:sz="4" w:space="0"/>
            </w:tcBorders>
            <w:vAlign w:val="center"/>
          </w:tcPr>
          <w:p w14:paraId="5493832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szCs w:val="21"/>
                <w:highlight w:val="none"/>
              </w:rPr>
              <w:t>执业纪律</w:t>
            </w:r>
          </w:p>
        </w:tc>
        <w:tc>
          <w:tcPr>
            <w:tcW w:w="3587" w:type="pct"/>
            <w:tcBorders>
              <w:top w:val="single" w:color="auto" w:sz="4" w:space="0"/>
              <w:left w:val="single" w:color="auto" w:sz="4" w:space="0"/>
              <w:bottom w:val="single" w:color="auto" w:sz="4" w:space="0"/>
              <w:right w:val="single" w:color="auto" w:sz="4" w:space="0"/>
            </w:tcBorders>
            <w:vAlign w:val="top"/>
          </w:tcPr>
          <w:p w14:paraId="17C363FD">
            <w:pPr>
              <w:keepNext w:val="0"/>
              <w:keepLines w:val="0"/>
              <w:suppressLineNumbers w:val="0"/>
              <w:spacing w:before="0" w:beforeAutospacing="0" w:after="0" w:afterAutospacing="0" w:line="400" w:lineRule="exact"/>
              <w:ind w:left="0" w:right="0"/>
              <w:rPr>
                <w:rFonts w:hint="eastAsia" w:ascii="宋体" w:hAnsi="宋体" w:eastAsia="宋体" w:cs="宋体"/>
                <w:spacing w:val="-6"/>
                <w:szCs w:val="21"/>
                <w:highlight w:val="none"/>
              </w:rPr>
            </w:pPr>
            <w:r>
              <w:rPr>
                <w:rFonts w:hint="eastAsia" w:ascii="宋体" w:hAnsi="宋体" w:eastAsia="宋体" w:cs="宋体"/>
                <w:spacing w:val="-6"/>
                <w:szCs w:val="21"/>
                <w:highlight w:val="none"/>
              </w:rPr>
              <w:t>投标人（含投标人依法设立的分公司）在投标前3年内（202</w:t>
            </w:r>
            <w:r>
              <w:rPr>
                <w:rFonts w:hint="eastAsia" w:ascii="宋体" w:hAnsi="宋体" w:eastAsia="宋体" w:cs="宋体"/>
                <w:spacing w:val="-6"/>
                <w:szCs w:val="21"/>
                <w:highlight w:val="none"/>
                <w:lang w:val="en-US" w:eastAsia="zh-CN"/>
              </w:rPr>
              <w:t>2</w:t>
            </w:r>
            <w:r>
              <w:rPr>
                <w:rFonts w:hint="eastAsia" w:ascii="宋体" w:hAnsi="宋体" w:eastAsia="宋体" w:cs="宋体"/>
                <w:spacing w:val="-6"/>
                <w:szCs w:val="21"/>
                <w:highlight w:val="none"/>
              </w:rPr>
              <w:t>、202</w:t>
            </w:r>
            <w:r>
              <w:rPr>
                <w:rFonts w:hint="eastAsia" w:ascii="宋体" w:hAnsi="宋体" w:eastAsia="宋体" w:cs="宋体"/>
                <w:spacing w:val="-6"/>
                <w:szCs w:val="21"/>
                <w:highlight w:val="none"/>
                <w:lang w:val="en-US" w:eastAsia="zh-CN"/>
              </w:rPr>
              <w:t>3</w:t>
            </w:r>
            <w:r>
              <w:rPr>
                <w:rFonts w:hint="eastAsia" w:ascii="宋体" w:hAnsi="宋体" w:eastAsia="宋体" w:cs="宋体"/>
                <w:spacing w:val="-6"/>
                <w:szCs w:val="21"/>
                <w:highlight w:val="none"/>
              </w:rPr>
              <w:t>、202</w:t>
            </w:r>
            <w:r>
              <w:rPr>
                <w:rFonts w:hint="eastAsia" w:ascii="宋体" w:hAnsi="宋体" w:eastAsia="宋体" w:cs="宋体"/>
                <w:spacing w:val="-6"/>
                <w:szCs w:val="21"/>
                <w:highlight w:val="none"/>
                <w:lang w:val="en-US" w:eastAsia="zh-CN"/>
              </w:rPr>
              <w:t>4</w:t>
            </w:r>
            <w:r>
              <w:rPr>
                <w:rFonts w:hint="eastAsia" w:ascii="宋体" w:hAnsi="宋体" w:eastAsia="宋体" w:cs="宋体"/>
                <w:spacing w:val="-6"/>
                <w:szCs w:val="21"/>
                <w:highlight w:val="none"/>
              </w:rPr>
              <w:t>年）未受到招标投标活动实施监督的行政机关给予行政处罚的得3分，否则不得分。</w:t>
            </w:r>
          </w:p>
          <w:p w14:paraId="4AAA0064">
            <w:pPr>
              <w:keepNext w:val="0"/>
              <w:keepLines w:val="0"/>
              <w:suppressLineNumbers w:val="0"/>
              <w:spacing w:before="0" w:beforeAutospacing="0" w:after="0" w:afterAutospacing="0" w:line="400" w:lineRule="exact"/>
              <w:ind w:left="0" w:right="0"/>
              <w:rPr>
                <w:rFonts w:hint="eastAsia" w:ascii="宋体" w:hAnsi="宋体" w:eastAsia="宋体" w:cs="宋体"/>
                <w:b w:val="0"/>
                <w:bCs w:val="0"/>
                <w:spacing w:val="-6"/>
                <w:szCs w:val="21"/>
                <w:highlight w:val="none"/>
              </w:rPr>
            </w:pPr>
            <w:r>
              <w:rPr>
                <w:rFonts w:hint="eastAsia" w:ascii="宋体" w:hAnsi="宋体" w:eastAsia="宋体" w:cs="宋体"/>
                <w:b w:val="0"/>
                <w:bCs w:val="0"/>
                <w:spacing w:val="-6"/>
                <w:szCs w:val="21"/>
                <w:highlight w:val="none"/>
              </w:rPr>
              <w:t>备注：</w:t>
            </w:r>
          </w:p>
          <w:p w14:paraId="5D4B4C22">
            <w:pPr>
              <w:pStyle w:val="138"/>
              <w:keepNext w:val="0"/>
              <w:keepLines w:val="0"/>
              <w:numPr>
                <w:ilvl w:val="-1"/>
                <w:numId w:val="0"/>
              </w:numPr>
              <w:suppressLineNumbers w:val="0"/>
              <w:spacing w:before="0" w:beforeAutospacing="0" w:after="0" w:afterAutospacing="0" w:line="400" w:lineRule="exact"/>
              <w:ind w:left="0" w:right="0" w:firstLine="0" w:firstLineChars="0"/>
              <w:rPr>
                <w:rFonts w:hint="eastAsia" w:ascii="宋体" w:hAnsi="宋体" w:eastAsia="宋体" w:cs="宋体"/>
                <w:b w:val="0"/>
                <w:bCs w:val="0"/>
                <w:spacing w:val="-6"/>
                <w:szCs w:val="21"/>
                <w:highlight w:val="none"/>
                <w:lang w:val="en-US"/>
              </w:rPr>
            </w:pPr>
            <w:r>
              <w:rPr>
                <w:rFonts w:hint="eastAsia" w:ascii="宋体" w:hAnsi="宋体" w:eastAsia="宋体" w:cs="宋体"/>
                <w:b w:val="0"/>
                <w:bCs w:val="0"/>
                <w:spacing w:val="-6"/>
                <w:szCs w:val="21"/>
                <w:highlight w:val="none"/>
                <w:lang w:val="en-US" w:eastAsia="zh-CN"/>
              </w:rPr>
              <w:t>①</w:t>
            </w:r>
            <w:r>
              <w:rPr>
                <w:rFonts w:hint="eastAsia" w:ascii="宋体" w:hAnsi="宋体" w:eastAsia="宋体" w:cs="宋体"/>
                <w:b w:val="0"/>
                <w:bCs w:val="0"/>
                <w:spacing w:val="-6"/>
                <w:szCs w:val="21"/>
                <w:highlight w:val="none"/>
              </w:rPr>
              <w:t>投标人提供书面声明函加盖</w:t>
            </w:r>
            <w:r>
              <w:rPr>
                <w:rFonts w:hint="eastAsia" w:ascii="宋体" w:hAnsi="宋体" w:eastAsia="宋体" w:cs="宋体"/>
                <w:b w:val="0"/>
                <w:bCs w:val="0"/>
                <w:spacing w:val="-6"/>
                <w:szCs w:val="21"/>
                <w:highlight w:val="none"/>
                <w:lang w:eastAsia="zh-CN"/>
              </w:rPr>
              <w:t>投标人公章</w:t>
            </w:r>
            <w:r>
              <w:rPr>
                <w:rFonts w:hint="eastAsia" w:ascii="宋体" w:hAnsi="宋体" w:eastAsia="宋体" w:cs="宋体"/>
                <w:b w:val="0"/>
                <w:bCs w:val="0"/>
                <w:spacing w:val="-6"/>
                <w:szCs w:val="21"/>
                <w:highlight w:val="none"/>
              </w:rPr>
              <w:t>（格式自拟）。</w:t>
            </w:r>
            <w:r>
              <w:rPr>
                <w:rFonts w:hint="eastAsia" w:ascii="宋体" w:hAnsi="宋体" w:eastAsia="宋体" w:cs="宋体"/>
                <w:b w:val="0"/>
                <w:bCs w:val="0"/>
                <w:spacing w:val="-6"/>
                <w:szCs w:val="21"/>
                <w:highlight w:val="none"/>
                <w:lang w:val="en-US"/>
              </w:rPr>
              <w:t>如投标人在此项评审内容中作出虚假</w:t>
            </w:r>
            <w:r>
              <w:rPr>
                <w:rFonts w:hint="eastAsia" w:ascii="宋体" w:hAnsi="宋体" w:eastAsia="宋体" w:cs="宋体"/>
                <w:b w:val="0"/>
                <w:bCs w:val="0"/>
                <w:spacing w:val="-6"/>
                <w:szCs w:val="21"/>
                <w:highlight w:val="none"/>
              </w:rPr>
              <w:t>声明</w:t>
            </w:r>
            <w:r>
              <w:rPr>
                <w:rFonts w:hint="eastAsia" w:ascii="宋体" w:hAnsi="宋体" w:eastAsia="宋体" w:cs="宋体"/>
                <w:b w:val="0"/>
                <w:bCs w:val="0"/>
                <w:spacing w:val="-6"/>
                <w:szCs w:val="21"/>
                <w:highlight w:val="none"/>
                <w:lang w:val="en-US"/>
              </w:rPr>
              <w:t>（</w:t>
            </w:r>
            <w:r>
              <w:rPr>
                <w:rFonts w:hint="eastAsia" w:ascii="宋体" w:hAnsi="宋体" w:eastAsia="宋体" w:cs="宋体"/>
                <w:b w:val="0"/>
                <w:bCs w:val="0"/>
                <w:spacing w:val="-6"/>
                <w:szCs w:val="21"/>
                <w:highlight w:val="none"/>
              </w:rPr>
              <w:t>或未能如实声明</w:t>
            </w:r>
            <w:r>
              <w:rPr>
                <w:rFonts w:hint="eastAsia" w:ascii="宋体" w:hAnsi="宋体" w:eastAsia="宋体" w:cs="宋体"/>
                <w:b w:val="0"/>
                <w:bCs w:val="0"/>
                <w:spacing w:val="-6"/>
                <w:szCs w:val="21"/>
                <w:highlight w:val="none"/>
                <w:lang w:val="en-US"/>
              </w:rPr>
              <w:t>）的，</w:t>
            </w:r>
            <w:r>
              <w:rPr>
                <w:rFonts w:hint="eastAsia" w:ascii="宋体" w:hAnsi="宋体" w:eastAsia="宋体" w:cs="宋体"/>
                <w:b w:val="0"/>
                <w:bCs w:val="0"/>
                <w:spacing w:val="-6"/>
                <w:szCs w:val="21"/>
                <w:highlight w:val="none"/>
              </w:rPr>
              <w:t>一经发现</w:t>
            </w:r>
            <w:r>
              <w:rPr>
                <w:rFonts w:hint="eastAsia" w:ascii="宋体" w:hAnsi="宋体" w:eastAsia="宋体" w:cs="宋体"/>
                <w:b w:val="0"/>
                <w:bCs w:val="0"/>
                <w:spacing w:val="-6"/>
                <w:szCs w:val="21"/>
                <w:highlight w:val="none"/>
                <w:lang w:val="en-US"/>
              </w:rPr>
              <w:t>视为虚假应标，</w:t>
            </w:r>
            <w:r>
              <w:rPr>
                <w:rFonts w:hint="eastAsia" w:ascii="宋体" w:hAnsi="宋体" w:eastAsia="宋体" w:cs="宋体"/>
                <w:b w:val="0"/>
                <w:bCs w:val="0"/>
                <w:spacing w:val="-6"/>
                <w:szCs w:val="21"/>
                <w:highlight w:val="none"/>
              </w:rPr>
              <w:t>取消其投标（中标）资格，</w:t>
            </w:r>
            <w:r>
              <w:rPr>
                <w:rFonts w:hint="eastAsia" w:ascii="宋体" w:hAnsi="宋体" w:eastAsia="宋体" w:cs="宋体"/>
                <w:b w:val="0"/>
                <w:bCs w:val="0"/>
                <w:spacing w:val="-6"/>
                <w:szCs w:val="21"/>
                <w:highlight w:val="none"/>
                <w:lang w:eastAsia="zh-CN"/>
              </w:rPr>
              <w:t>招标（采购）人</w:t>
            </w:r>
            <w:r>
              <w:rPr>
                <w:rFonts w:hint="eastAsia" w:ascii="宋体" w:hAnsi="宋体" w:eastAsia="宋体" w:cs="宋体"/>
                <w:b w:val="0"/>
                <w:bCs w:val="0"/>
                <w:spacing w:val="-6"/>
                <w:szCs w:val="21"/>
                <w:highlight w:val="none"/>
              </w:rPr>
              <w:t>将没收其投标保证金</w:t>
            </w:r>
            <w:r>
              <w:rPr>
                <w:rFonts w:hint="eastAsia" w:ascii="宋体" w:hAnsi="宋体" w:eastAsia="宋体" w:cs="宋体"/>
                <w:b w:val="0"/>
                <w:bCs w:val="0"/>
                <w:spacing w:val="-6"/>
                <w:szCs w:val="21"/>
                <w:highlight w:val="none"/>
                <w:lang w:val="en-US"/>
              </w:rPr>
              <w:t>。</w:t>
            </w:r>
          </w:p>
          <w:p w14:paraId="62382057">
            <w:pPr>
              <w:pStyle w:val="138"/>
              <w:keepNext w:val="0"/>
              <w:keepLines w:val="0"/>
              <w:numPr>
                <w:ilvl w:val="-1"/>
                <w:numId w:val="0"/>
              </w:numPr>
              <w:suppressLineNumbers w:val="0"/>
              <w:spacing w:before="0" w:beforeAutospacing="0" w:after="0" w:afterAutospacing="0" w:line="400" w:lineRule="exact"/>
              <w:ind w:left="0" w:leftChars="0" w:right="0" w:firstLine="0" w:firstLineChars="0"/>
              <w:rPr>
                <w:rFonts w:hint="eastAsia" w:ascii="宋体" w:hAnsi="宋体" w:eastAsia="宋体" w:cs="宋体"/>
                <w:b/>
                <w:color w:val="auto"/>
                <w:kern w:val="0"/>
                <w:szCs w:val="21"/>
                <w:highlight w:val="none"/>
              </w:rPr>
            </w:pPr>
            <w:r>
              <w:rPr>
                <w:rFonts w:hint="eastAsia" w:ascii="宋体" w:hAnsi="宋体" w:eastAsia="宋体" w:cs="宋体"/>
                <w:b w:val="0"/>
                <w:bCs w:val="0"/>
                <w:spacing w:val="-6"/>
                <w:szCs w:val="21"/>
                <w:highlight w:val="none"/>
                <w:lang w:val="en-US" w:eastAsia="zh-CN"/>
              </w:rPr>
              <w:t>②</w:t>
            </w:r>
            <w:r>
              <w:rPr>
                <w:rFonts w:hint="eastAsia" w:ascii="宋体" w:hAnsi="宋体" w:eastAsia="宋体" w:cs="宋体"/>
                <w:b w:val="0"/>
                <w:bCs w:val="0"/>
                <w:spacing w:val="-6"/>
                <w:szCs w:val="21"/>
                <w:highlight w:val="none"/>
                <w:lang w:val="en-US"/>
              </w:rPr>
              <w:t>行政处罚的认定，执行《中华人民共和国行政处罚法》。</w:t>
            </w:r>
          </w:p>
        </w:tc>
        <w:tc>
          <w:tcPr>
            <w:tcW w:w="437" w:type="pct"/>
            <w:tcBorders>
              <w:top w:val="single" w:color="auto" w:sz="4" w:space="0"/>
              <w:left w:val="single" w:color="auto" w:sz="4" w:space="0"/>
              <w:bottom w:val="single" w:color="auto" w:sz="4" w:space="0"/>
              <w:right w:val="single" w:color="auto" w:sz="4" w:space="0"/>
            </w:tcBorders>
            <w:vAlign w:val="center"/>
          </w:tcPr>
          <w:p w14:paraId="517BF80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4"/>
                <w:highlight w:val="none"/>
                <w:lang w:eastAsia="zh-CN"/>
              </w:rPr>
            </w:pPr>
            <w:r>
              <w:rPr>
                <w:rFonts w:hint="eastAsia" w:ascii="宋体" w:hAnsi="宋体" w:eastAsia="宋体" w:cs="宋体"/>
                <w:color w:val="auto"/>
                <w:sz w:val="21"/>
                <w:szCs w:val="21"/>
                <w:highlight w:val="none"/>
                <w:lang w:val="en-US" w:eastAsia="zh-CN"/>
              </w:rPr>
              <w:t>3</w:t>
            </w:r>
          </w:p>
        </w:tc>
      </w:tr>
      <w:tr w14:paraId="7E2C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2" w:type="pct"/>
            <w:tcBorders>
              <w:top w:val="single" w:color="auto" w:sz="4" w:space="0"/>
              <w:left w:val="single" w:color="auto" w:sz="4" w:space="0"/>
              <w:right w:val="single" w:color="auto" w:sz="4" w:space="0"/>
            </w:tcBorders>
            <w:vAlign w:val="center"/>
          </w:tcPr>
          <w:p w14:paraId="38771AE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662" w:type="pct"/>
            <w:tcBorders>
              <w:top w:val="single" w:color="auto" w:sz="4" w:space="0"/>
              <w:left w:val="single" w:color="auto" w:sz="4" w:space="0"/>
              <w:right w:val="single" w:color="auto" w:sz="4" w:space="0"/>
            </w:tcBorders>
            <w:vAlign w:val="center"/>
          </w:tcPr>
          <w:p w14:paraId="6103E0F9">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bCs/>
                <w:szCs w:val="21"/>
                <w:highlight w:val="none"/>
              </w:rPr>
              <w:t>业绩</w:t>
            </w:r>
          </w:p>
        </w:tc>
        <w:tc>
          <w:tcPr>
            <w:tcW w:w="3587" w:type="pct"/>
            <w:tcBorders>
              <w:top w:val="single" w:color="auto" w:sz="4" w:space="0"/>
              <w:left w:val="single" w:color="auto" w:sz="4" w:space="0"/>
              <w:bottom w:val="single" w:color="auto" w:sz="4" w:space="0"/>
              <w:right w:val="single" w:color="auto" w:sz="4" w:space="0"/>
            </w:tcBorders>
            <w:vAlign w:val="top"/>
          </w:tcPr>
          <w:p w14:paraId="4B5329F9">
            <w:pPr>
              <w:pStyle w:val="138"/>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b w:val="0"/>
                <w:bCs w:val="0"/>
                <w:color w:val="auto"/>
                <w:szCs w:val="21"/>
                <w:highlight w:val="none"/>
              </w:rPr>
            </w:pPr>
            <w:r>
              <w:rPr>
                <w:rFonts w:hint="eastAsia" w:ascii="宋体" w:hAnsi="宋体" w:eastAsia="宋体" w:cs="宋体"/>
                <w:b w:val="0"/>
                <w:bCs w:val="0"/>
                <w:szCs w:val="21"/>
                <w:highlight w:val="none"/>
                <w:lang w:val="en-US" w:eastAsia="zh-CN"/>
              </w:rPr>
              <w:t>1.</w:t>
            </w:r>
            <w:r>
              <w:rPr>
                <w:rFonts w:hint="eastAsia" w:ascii="宋体" w:hAnsi="宋体" w:eastAsia="宋体" w:cs="宋体"/>
                <w:b w:val="0"/>
                <w:bCs w:val="0"/>
                <w:color w:val="auto"/>
                <w:szCs w:val="21"/>
                <w:highlight w:val="none"/>
              </w:rPr>
              <w:t>投标人在2021年1月1日至今累计完成的建设工程施工类招标代理业绩情况进行评审（满分</w:t>
            </w:r>
            <w:r>
              <w:rPr>
                <w:rFonts w:hint="eastAsia" w:ascii="宋体" w:hAnsi="宋体" w:eastAsia="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p w14:paraId="1E3E319E">
            <w:pPr>
              <w:pStyle w:val="138"/>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 1 \* GB3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①</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rPr>
              <w:t>单项中标合同金额≥1亿元的前述业绩，每项得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6239DF83">
            <w:pPr>
              <w:pStyle w:val="138"/>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②5000万元≤单项中标合同金额＜1亿元的前述业绩，每项得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p>
          <w:p w14:paraId="7DEE9CF1">
            <w:pPr>
              <w:pStyle w:val="138"/>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③100</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万元≤单项成交合同金额＜500</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万元的前述业绩，每项得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rPr>
              <w:t>本子项满分</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73CC2005">
            <w:pPr>
              <w:pStyle w:val="138"/>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2.投标人在2021年1月1日至今累计完成的单项中标合同金额≥200万元的建设工程服务类</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勘察、设计、监理</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招标代理业绩</w:t>
            </w:r>
            <w:r>
              <w:rPr>
                <w:rFonts w:hint="eastAsia" w:ascii="宋体" w:hAnsi="宋体" w:eastAsia="宋体" w:cs="宋体"/>
                <w:b w:val="0"/>
                <w:bCs w:val="0"/>
                <w:color w:val="auto"/>
                <w:szCs w:val="21"/>
                <w:highlight w:val="none"/>
                <w:lang w:val="en-US" w:eastAsia="zh-CN"/>
              </w:rPr>
              <w:t>或单项中标合同金额</w:t>
            </w:r>
            <w:r>
              <w:rPr>
                <w:rFonts w:hint="eastAsia" w:ascii="宋体" w:hAnsi="宋体" w:eastAsia="宋体" w:cs="宋体"/>
                <w:b w:val="0"/>
                <w:bCs w:val="0"/>
                <w:color w:val="auto"/>
                <w:szCs w:val="21"/>
                <w:highlight w:val="none"/>
              </w:rPr>
              <w:t>≥400万元的建设工程货物类（设备、材料）招标代理业绩</w:t>
            </w:r>
            <w:r>
              <w:rPr>
                <w:rFonts w:hint="eastAsia" w:ascii="宋体" w:hAnsi="宋体" w:eastAsia="宋体" w:cs="宋体"/>
                <w:b w:val="0"/>
                <w:bCs w:val="0"/>
                <w:color w:val="auto"/>
                <w:szCs w:val="21"/>
                <w:highlight w:val="none"/>
                <w:lang w:val="en-US" w:eastAsia="zh-CN"/>
              </w:rPr>
              <w:t>情况进行评审，每提供1个得3分，满分得12分。</w:t>
            </w:r>
          </w:p>
          <w:p w14:paraId="534E75D7">
            <w:pPr>
              <w:pStyle w:val="138"/>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b w:val="0"/>
                <w:bCs w:val="0"/>
                <w:color w:val="auto"/>
                <w:szCs w:val="21"/>
                <w:highlight w:val="none"/>
                <w:lang w:val="zh-CN"/>
              </w:rPr>
            </w:pPr>
            <w:r>
              <w:rPr>
                <w:rFonts w:hint="eastAsia" w:ascii="宋体" w:hAnsi="宋体" w:eastAsia="宋体" w:cs="宋体"/>
                <w:szCs w:val="21"/>
                <w:highlight w:val="none"/>
                <w:lang w:val="en-US" w:eastAsia="zh-CN"/>
              </w:rPr>
              <w:t>3.</w:t>
            </w:r>
            <w:r>
              <w:rPr>
                <w:rFonts w:hint="eastAsia" w:ascii="宋体" w:hAnsi="宋体" w:eastAsia="宋体" w:cs="宋体"/>
                <w:b w:val="0"/>
                <w:bCs w:val="0"/>
                <w:color w:val="auto"/>
                <w:szCs w:val="21"/>
                <w:highlight w:val="none"/>
                <w:lang w:val="zh-CN"/>
              </w:rPr>
              <w:t>投标人在2021年1月1日至今</w:t>
            </w:r>
            <w:r>
              <w:rPr>
                <w:rFonts w:hint="eastAsia" w:ascii="宋体" w:hAnsi="宋体" w:eastAsia="宋体" w:cs="宋体"/>
                <w:b w:val="0"/>
                <w:bCs w:val="0"/>
                <w:color w:val="auto"/>
                <w:szCs w:val="21"/>
                <w:highlight w:val="none"/>
              </w:rPr>
              <w:t>累计完成</w:t>
            </w:r>
            <w:r>
              <w:rPr>
                <w:rFonts w:hint="eastAsia" w:ascii="宋体" w:hAnsi="宋体" w:eastAsia="宋体" w:cs="宋体"/>
                <w:b w:val="0"/>
                <w:bCs w:val="0"/>
                <w:color w:val="auto"/>
                <w:szCs w:val="21"/>
                <w:highlight w:val="none"/>
                <w:lang w:val="zh-CN"/>
              </w:rPr>
              <w:t>的建设工程总承包</w:t>
            </w:r>
            <w:r>
              <w:rPr>
                <w:rFonts w:hint="eastAsia" w:ascii="宋体" w:hAnsi="宋体" w:eastAsia="宋体" w:cs="宋体"/>
                <w:b w:val="0"/>
                <w:bCs w:val="0"/>
                <w:color w:val="auto"/>
                <w:szCs w:val="21"/>
                <w:highlight w:val="none"/>
              </w:rPr>
              <w:t>招标代理业绩情况</w:t>
            </w:r>
            <w:r>
              <w:rPr>
                <w:rFonts w:hint="eastAsia" w:ascii="宋体" w:hAnsi="宋体" w:eastAsia="宋体" w:cs="宋体"/>
                <w:b w:val="0"/>
                <w:bCs w:val="0"/>
                <w:color w:val="auto"/>
                <w:szCs w:val="21"/>
                <w:highlight w:val="none"/>
                <w:lang w:val="zh-CN"/>
              </w:rPr>
              <w:t>进行评审，每提供1个得</w:t>
            </w:r>
            <w:r>
              <w:rPr>
                <w:rFonts w:hint="eastAsia" w:ascii="宋体" w:hAnsi="宋体" w:eastAsia="宋体" w:cs="宋体"/>
                <w:b w:val="0"/>
                <w:bCs w:val="0"/>
                <w:szCs w:val="21"/>
                <w:highlight w:val="none"/>
                <w:lang w:val="en-US" w:eastAsia="zh-CN"/>
              </w:rPr>
              <w:t>2</w:t>
            </w:r>
            <w:r>
              <w:rPr>
                <w:rFonts w:hint="eastAsia" w:ascii="宋体" w:hAnsi="宋体" w:eastAsia="宋体" w:cs="宋体"/>
                <w:b w:val="0"/>
                <w:bCs w:val="0"/>
                <w:color w:val="auto"/>
                <w:szCs w:val="21"/>
                <w:highlight w:val="none"/>
                <w:lang w:val="zh-CN"/>
              </w:rPr>
              <w:t>分，</w:t>
            </w:r>
            <w:r>
              <w:rPr>
                <w:rFonts w:hint="eastAsia" w:ascii="宋体" w:hAnsi="宋体" w:eastAsia="宋体" w:cs="宋体"/>
                <w:b w:val="0"/>
                <w:bCs w:val="0"/>
                <w:color w:val="auto"/>
                <w:szCs w:val="21"/>
                <w:highlight w:val="none"/>
              </w:rPr>
              <w:t>满分4</w:t>
            </w:r>
            <w:r>
              <w:rPr>
                <w:rFonts w:hint="eastAsia" w:ascii="宋体" w:hAnsi="宋体" w:eastAsia="宋体" w:cs="宋体"/>
                <w:b w:val="0"/>
                <w:bCs w:val="0"/>
                <w:color w:val="auto"/>
                <w:szCs w:val="21"/>
                <w:highlight w:val="none"/>
                <w:lang w:val="zh-CN"/>
              </w:rPr>
              <w:t>分。</w:t>
            </w:r>
          </w:p>
          <w:p w14:paraId="46E4BB68">
            <w:pPr>
              <w:pStyle w:val="138"/>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b w:val="0"/>
                <w:bCs w:val="0"/>
                <w:color w:val="auto"/>
                <w:szCs w:val="21"/>
                <w:highlight w:val="none"/>
              </w:rPr>
            </w:pPr>
            <w:r>
              <w:rPr>
                <w:rFonts w:hint="eastAsia" w:ascii="宋体" w:hAnsi="宋体" w:eastAsia="宋体" w:cs="宋体"/>
                <w:b w:val="0"/>
                <w:bCs w:val="0"/>
                <w:szCs w:val="21"/>
                <w:highlight w:val="none"/>
                <w:lang w:val="en-US" w:eastAsia="zh-CN"/>
              </w:rPr>
              <w:t>4</w:t>
            </w:r>
            <w:r>
              <w:rPr>
                <w:rFonts w:hint="eastAsia" w:ascii="宋体" w:hAnsi="宋体" w:eastAsia="宋体" w:cs="宋体"/>
                <w:b w:val="0"/>
                <w:bCs w:val="0"/>
                <w:color w:val="auto"/>
                <w:szCs w:val="21"/>
                <w:highlight w:val="none"/>
                <w:lang w:val="zh-CN"/>
              </w:rPr>
              <w:t>.投标人在2021年1月1日至今</w:t>
            </w:r>
            <w:r>
              <w:rPr>
                <w:rFonts w:hint="eastAsia" w:ascii="宋体" w:hAnsi="宋体" w:eastAsia="宋体" w:cs="宋体"/>
                <w:b w:val="0"/>
                <w:bCs w:val="0"/>
                <w:color w:val="auto"/>
                <w:szCs w:val="21"/>
                <w:highlight w:val="none"/>
              </w:rPr>
              <w:t>累计完成</w:t>
            </w:r>
            <w:r>
              <w:rPr>
                <w:rFonts w:hint="eastAsia" w:ascii="宋体" w:hAnsi="宋体" w:eastAsia="宋体" w:cs="宋体"/>
                <w:b w:val="0"/>
                <w:bCs w:val="0"/>
                <w:color w:val="auto"/>
                <w:szCs w:val="21"/>
                <w:highlight w:val="none"/>
                <w:lang w:val="zh-CN"/>
              </w:rPr>
              <w:t>的建设工程总承包、设计、施工，采用评定分离的</w:t>
            </w:r>
            <w:r>
              <w:rPr>
                <w:rFonts w:hint="eastAsia" w:ascii="宋体" w:hAnsi="宋体" w:eastAsia="宋体" w:cs="宋体"/>
                <w:b w:val="0"/>
                <w:bCs w:val="0"/>
                <w:color w:val="auto"/>
                <w:szCs w:val="21"/>
                <w:highlight w:val="none"/>
              </w:rPr>
              <w:t>招标代理业绩情况</w:t>
            </w:r>
            <w:r>
              <w:rPr>
                <w:rFonts w:hint="eastAsia" w:ascii="宋体" w:hAnsi="宋体" w:eastAsia="宋体" w:cs="宋体"/>
                <w:b w:val="0"/>
                <w:bCs w:val="0"/>
                <w:color w:val="auto"/>
                <w:szCs w:val="21"/>
                <w:highlight w:val="none"/>
                <w:lang w:val="zh-CN"/>
              </w:rPr>
              <w:t>进行评审，每提供1个得</w:t>
            </w:r>
            <w:r>
              <w:rPr>
                <w:rFonts w:hint="eastAsia" w:ascii="宋体" w:hAnsi="宋体" w:eastAsia="宋体" w:cs="宋体"/>
                <w:b w:val="0"/>
                <w:bCs w:val="0"/>
                <w:szCs w:val="21"/>
                <w:highlight w:val="none"/>
                <w:lang w:val="en-US" w:eastAsia="zh-CN"/>
              </w:rPr>
              <w:t>2</w:t>
            </w:r>
            <w:r>
              <w:rPr>
                <w:rFonts w:hint="eastAsia" w:ascii="宋体" w:hAnsi="宋体" w:eastAsia="宋体" w:cs="宋体"/>
                <w:b w:val="0"/>
                <w:bCs w:val="0"/>
                <w:color w:val="auto"/>
                <w:szCs w:val="21"/>
                <w:highlight w:val="none"/>
                <w:lang w:val="zh-CN"/>
              </w:rPr>
              <w:t>分，</w:t>
            </w:r>
            <w:r>
              <w:rPr>
                <w:rFonts w:hint="eastAsia" w:ascii="宋体" w:hAnsi="宋体" w:eastAsia="宋体" w:cs="宋体"/>
                <w:b w:val="0"/>
                <w:bCs w:val="0"/>
                <w:color w:val="auto"/>
                <w:szCs w:val="21"/>
                <w:highlight w:val="none"/>
              </w:rPr>
              <w:t>满分</w:t>
            </w:r>
            <w:r>
              <w:rPr>
                <w:rFonts w:hint="eastAsia" w:ascii="宋体" w:hAnsi="宋体" w:eastAsia="宋体" w:cs="宋体"/>
                <w:b w:val="0"/>
                <w:bCs w:val="0"/>
                <w:szCs w:val="21"/>
                <w:highlight w:val="none"/>
                <w:lang w:val="en-US" w:eastAsia="zh-CN"/>
              </w:rPr>
              <w:t>6</w:t>
            </w:r>
            <w:r>
              <w:rPr>
                <w:rFonts w:hint="eastAsia" w:ascii="宋体" w:hAnsi="宋体" w:eastAsia="宋体" w:cs="宋体"/>
                <w:b w:val="0"/>
                <w:bCs w:val="0"/>
                <w:color w:val="auto"/>
                <w:szCs w:val="21"/>
                <w:highlight w:val="none"/>
                <w:lang w:val="zh-CN"/>
              </w:rPr>
              <w:t>分</w:t>
            </w:r>
            <w:r>
              <w:rPr>
                <w:rFonts w:hint="eastAsia" w:ascii="宋体" w:hAnsi="宋体" w:eastAsia="宋体" w:cs="宋体"/>
                <w:b w:val="0"/>
                <w:bCs w:val="0"/>
                <w:color w:val="auto"/>
                <w:szCs w:val="21"/>
                <w:highlight w:val="none"/>
              </w:rPr>
              <w:t>。</w:t>
            </w:r>
          </w:p>
          <w:p w14:paraId="5725A742">
            <w:pPr>
              <w:pStyle w:val="138"/>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rPr>
              <w:t>备</w:t>
            </w:r>
            <w:r>
              <w:rPr>
                <w:rFonts w:hint="eastAsia" w:ascii="宋体" w:hAnsi="宋体" w:eastAsia="宋体" w:cs="宋体"/>
                <w:b w:val="0"/>
                <w:bCs w:val="0"/>
                <w:color w:val="auto"/>
                <w:szCs w:val="21"/>
                <w:highlight w:val="none"/>
                <w:lang w:val="en-US"/>
              </w:rPr>
              <w:t>注：</w:t>
            </w:r>
          </w:p>
          <w:p w14:paraId="2EEC2A3E">
            <w:pPr>
              <w:pStyle w:val="138"/>
              <w:keepNext w:val="0"/>
              <w:keepLines w:val="0"/>
              <w:numPr>
                <w:ilvl w:val="-1"/>
                <w:numId w:val="0"/>
              </w:numPr>
              <w:suppressLineNumbers w:val="0"/>
              <w:spacing w:before="0" w:beforeAutospacing="0" w:after="0" w:afterAutospacing="0" w:line="400" w:lineRule="exact"/>
              <w:ind w:left="0" w:right="0" w:firstLine="0" w:firstLineChars="0"/>
              <w:rPr>
                <w:rFonts w:hint="eastAsia" w:ascii="宋体" w:hAnsi="宋体" w:eastAsia="宋体" w:cs="宋体"/>
                <w:szCs w:val="21"/>
                <w:highlight w:val="none"/>
                <w:lang w:val="en-US" w:eastAsia="zh-CN"/>
              </w:rPr>
            </w:pPr>
            <w:r>
              <w:rPr>
                <w:rFonts w:hint="eastAsia" w:ascii="宋体" w:hAnsi="宋体" w:eastAsia="宋体" w:cs="宋体"/>
                <w:b w:val="0"/>
                <w:bCs w:val="0"/>
                <w:color w:val="auto"/>
                <w:szCs w:val="21"/>
                <w:highlight w:val="none"/>
                <w:lang w:val="en-US"/>
              </w:rPr>
              <w:t>①招标代理业绩的时间及金额以中标通知书为准，须同时提供招标代理协议、招标公告、中标公告及中标通知书复印件；</w:t>
            </w:r>
            <w:r>
              <w:rPr>
                <w:rFonts w:hint="eastAsia" w:ascii="宋体" w:hAnsi="宋体" w:eastAsia="宋体" w:cs="宋体"/>
                <w:szCs w:val="21"/>
                <w:highlight w:val="none"/>
                <w:lang w:val="en-US" w:eastAsia="zh-CN"/>
              </w:rPr>
              <w:t>如上述资料未能显示有关评分要求内容，还须同时提供招标（采购）文件或中标合同关键页等其他证明资料。</w:t>
            </w:r>
          </w:p>
          <w:p w14:paraId="3A3B19C9">
            <w:pPr>
              <w:pStyle w:val="138"/>
              <w:keepNext w:val="0"/>
              <w:keepLines w:val="0"/>
              <w:numPr>
                <w:ilvl w:val="-1"/>
                <w:numId w:val="0"/>
              </w:numPr>
              <w:suppressLineNumbers w:val="0"/>
              <w:spacing w:before="0" w:beforeAutospacing="0" w:after="0" w:afterAutospacing="0" w:line="400" w:lineRule="exact"/>
              <w:ind w:left="0" w:leftChars="0" w:right="0" w:firstLine="0" w:firstLineChars="0"/>
              <w:rPr>
                <w:rFonts w:hint="eastAsia" w:ascii="宋体" w:hAnsi="宋体" w:eastAsia="宋体" w:cs="宋体"/>
                <w:b/>
                <w:color w:val="auto"/>
                <w:kern w:val="0"/>
                <w:szCs w:val="21"/>
                <w:highlight w:val="none"/>
              </w:rPr>
            </w:pPr>
            <w:r>
              <w:rPr>
                <w:rFonts w:hint="eastAsia" w:ascii="宋体" w:hAnsi="宋体" w:eastAsia="宋体" w:cs="宋体"/>
                <w:b w:val="0"/>
                <w:bCs w:val="0"/>
                <w:color w:val="auto"/>
                <w:szCs w:val="21"/>
                <w:highlight w:val="none"/>
                <w:lang w:val="en-US"/>
              </w:rPr>
              <w:t>②同一项目含设计和勘察的按上述要求各计算一次设计业绩和勘察业绩，</w:t>
            </w:r>
            <w:r>
              <w:rPr>
                <w:rFonts w:hint="eastAsia" w:ascii="宋体" w:hAnsi="宋体" w:eastAsia="宋体" w:cs="宋体"/>
                <w:b w:val="0"/>
                <w:bCs w:val="0"/>
                <w:color w:val="auto"/>
                <w:szCs w:val="21"/>
                <w:highlight w:val="none"/>
              </w:rPr>
              <w:t>其他</w:t>
            </w:r>
            <w:r>
              <w:rPr>
                <w:rFonts w:hint="eastAsia" w:ascii="宋体" w:hAnsi="宋体" w:eastAsia="宋体" w:cs="宋体"/>
                <w:b w:val="0"/>
                <w:bCs w:val="0"/>
                <w:color w:val="auto"/>
                <w:szCs w:val="21"/>
                <w:highlight w:val="none"/>
                <w:lang w:val="en-US"/>
              </w:rPr>
              <w:t>业绩不重复计算，由投标人自行放入对应的评分子项。</w:t>
            </w:r>
          </w:p>
        </w:tc>
        <w:tc>
          <w:tcPr>
            <w:tcW w:w="437" w:type="pct"/>
            <w:tcBorders>
              <w:top w:val="single" w:color="auto" w:sz="4" w:space="0"/>
              <w:left w:val="single" w:color="auto" w:sz="4" w:space="0"/>
              <w:bottom w:val="single" w:color="auto" w:sz="4" w:space="0"/>
              <w:right w:val="single" w:color="auto" w:sz="4" w:space="0"/>
            </w:tcBorders>
            <w:vAlign w:val="center"/>
          </w:tcPr>
          <w:p w14:paraId="5625FE7F">
            <w:pPr>
              <w:pStyle w:val="221"/>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cs="宋体"/>
                <w:szCs w:val="21"/>
                <w:highlight w:val="none"/>
              </w:rPr>
              <w:t>37</w:t>
            </w:r>
          </w:p>
        </w:tc>
      </w:tr>
      <w:tr w14:paraId="0D5D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12" w:type="pct"/>
            <w:tcBorders>
              <w:top w:val="single" w:color="auto" w:sz="4" w:space="0"/>
              <w:left w:val="single" w:color="auto" w:sz="4" w:space="0"/>
              <w:right w:val="single" w:color="auto" w:sz="4" w:space="0"/>
            </w:tcBorders>
            <w:vAlign w:val="center"/>
          </w:tcPr>
          <w:p w14:paraId="149597B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1373" w:type="dxa"/>
            <w:tcBorders>
              <w:top w:val="single" w:color="auto" w:sz="4" w:space="0"/>
              <w:left w:val="single" w:color="auto" w:sz="4" w:space="0"/>
              <w:right w:val="single" w:color="auto" w:sz="4" w:space="0"/>
            </w:tcBorders>
            <w:vAlign w:val="center"/>
          </w:tcPr>
          <w:p w14:paraId="7AF7B773">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bCs/>
                <w:szCs w:val="21"/>
                <w:highlight w:val="none"/>
              </w:rPr>
              <w:t>服务便利性</w:t>
            </w:r>
          </w:p>
        </w:tc>
        <w:tc>
          <w:tcPr>
            <w:tcW w:w="7441" w:type="dxa"/>
            <w:tcBorders>
              <w:top w:val="single" w:color="auto" w:sz="4" w:space="0"/>
              <w:left w:val="single" w:color="auto" w:sz="4" w:space="0"/>
              <w:bottom w:val="single" w:color="auto" w:sz="4" w:space="0"/>
              <w:right w:val="single" w:color="auto" w:sz="4" w:space="0"/>
            </w:tcBorders>
            <w:vAlign w:val="top"/>
          </w:tcPr>
          <w:p w14:paraId="54F81E78">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val="0"/>
                <w:szCs w:val="21"/>
                <w:highlight w:val="none"/>
              </w:rPr>
            </w:pPr>
            <w:r>
              <w:rPr>
                <w:rFonts w:hint="eastAsia" w:ascii="宋体" w:hAnsi="宋体" w:eastAsia="宋体" w:cs="宋体"/>
                <w:b w:val="0"/>
                <w:szCs w:val="21"/>
                <w:highlight w:val="none"/>
              </w:rPr>
              <w:t>根据投标人提供的服务便利性时间资料进行评审：</w:t>
            </w:r>
          </w:p>
          <w:p w14:paraId="43368D3E">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val="0"/>
                <w:szCs w:val="21"/>
                <w:highlight w:val="none"/>
              </w:rPr>
            </w:pPr>
            <w:r>
              <w:rPr>
                <w:rFonts w:hint="eastAsia" w:ascii="宋体" w:hAnsi="宋体" w:eastAsia="宋体" w:cs="宋体"/>
                <w:b w:val="0"/>
                <w:szCs w:val="21"/>
                <w:highlight w:val="none"/>
              </w:rPr>
              <w:t>（1）投标人提供从投标人注册地或其分支机构到达水业大厦（地址：广东省东莞市南城街道宏北路</w:t>
            </w:r>
            <w:r>
              <w:rPr>
                <w:rFonts w:hint="eastAsia" w:ascii="宋体" w:hAnsi="宋体" w:eastAsia="宋体" w:cs="宋体"/>
                <w:b w:val="0"/>
                <w:szCs w:val="21"/>
                <w:highlight w:val="none"/>
                <w:lang w:val="en-US" w:eastAsia="zh-CN"/>
              </w:rPr>
              <w:t>水业大厦</w:t>
            </w:r>
            <w:r>
              <w:rPr>
                <w:rFonts w:hint="eastAsia" w:ascii="宋体" w:hAnsi="宋体" w:eastAsia="宋体" w:cs="宋体"/>
                <w:b w:val="0"/>
                <w:szCs w:val="21"/>
                <w:highlight w:val="none"/>
              </w:rPr>
              <w:t>）的时间资料，到达时间≤60分钟的，得</w:t>
            </w:r>
            <w:r>
              <w:rPr>
                <w:rFonts w:hint="eastAsia" w:ascii="宋体" w:hAnsi="宋体" w:eastAsia="宋体" w:cs="宋体"/>
                <w:b w:val="0"/>
                <w:szCs w:val="21"/>
                <w:highlight w:val="none"/>
                <w:lang w:val="en-US" w:eastAsia="zh-CN"/>
              </w:rPr>
              <w:t>3</w:t>
            </w:r>
            <w:r>
              <w:rPr>
                <w:rFonts w:hint="eastAsia" w:ascii="宋体" w:hAnsi="宋体" w:eastAsia="宋体" w:cs="宋体"/>
                <w:b w:val="0"/>
                <w:szCs w:val="21"/>
                <w:highlight w:val="none"/>
              </w:rPr>
              <w:t>分；</w:t>
            </w:r>
          </w:p>
          <w:p w14:paraId="2414AC1F">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val="0"/>
                <w:szCs w:val="21"/>
                <w:highlight w:val="none"/>
              </w:rPr>
            </w:pPr>
            <w:r>
              <w:rPr>
                <w:rFonts w:hint="eastAsia" w:ascii="宋体" w:hAnsi="宋体" w:eastAsia="宋体" w:cs="宋体"/>
                <w:b w:val="0"/>
                <w:szCs w:val="21"/>
                <w:highlight w:val="none"/>
              </w:rPr>
              <w:t>（2）投标人提供从投标人注册地或其分支机构到达水业大厦（地址：广东省东莞市南城街道宏北路</w:t>
            </w:r>
            <w:r>
              <w:rPr>
                <w:rFonts w:hint="eastAsia" w:ascii="宋体" w:hAnsi="宋体" w:eastAsia="宋体" w:cs="宋体"/>
                <w:b w:val="0"/>
                <w:szCs w:val="21"/>
                <w:highlight w:val="none"/>
                <w:lang w:val="en-US" w:eastAsia="zh-CN"/>
              </w:rPr>
              <w:t>水业大厦</w:t>
            </w:r>
            <w:r>
              <w:rPr>
                <w:rFonts w:hint="eastAsia" w:ascii="宋体" w:hAnsi="宋体" w:eastAsia="宋体" w:cs="宋体"/>
                <w:b w:val="0"/>
                <w:szCs w:val="21"/>
                <w:highlight w:val="none"/>
              </w:rPr>
              <w:t>）的时间资料，60分钟＜到达时间≤120分钟的，得2分；</w:t>
            </w:r>
          </w:p>
          <w:p w14:paraId="7008016B">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val="0"/>
                <w:szCs w:val="21"/>
                <w:highlight w:val="none"/>
              </w:rPr>
            </w:pPr>
            <w:r>
              <w:rPr>
                <w:rFonts w:hint="eastAsia" w:ascii="宋体" w:hAnsi="宋体" w:eastAsia="宋体" w:cs="宋体"/>
                <w:b w:val="0"/>
                <w:szCs w:val="21"/>
                <w:highlight w:val="none"/>
              </w:rPr>
              <w:t>（3）投标人提供从投标人注册地或其分支机构到达水业大厦（地址：广东省东莞市南城街道宏北路</w:t>
            </w:r>
            <w:r>
              <w:rPr>
                <w:rFonts w:hint="eastAsia" w:ascii="宋体" w:hAnsi="宋体" w:eastAsia="宋体" w:cs="宋体"/>
                <w:b w:val="0"/>
                <w:szCs w:val="21"/>
                <w:highlight w:val="none"/>
                <w:lang w:val="en-US" w:eastAsia="zh-CN"/>
              </w:rPr>
              <w:t>水业大厦</w:t>
            </w:r>
            <w:r>
              <w:rPr>
                <w:rFonts w:hint="eastAsia" w:ascii="宋体" w:hAnsi="宋体" w:eastAsia="宋体" w:cs="宋体"/>
                <w:b w:val="0"/>
                <w:szCs w:val="21"/>
                <w:highlight w:val="none"/>
              </w:rPr>
              <w:t>）的时间资料，120分钟＜到达时间≤240分钟的，得1分；</w:t>
            </w:r>
          </w:p>
          <w:p w14:paraId="131A5621">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val="0"/>
                <w:szCs w:val="21"/>
                <w:highlight w:val="none"/>
              </w:rPr>
            </w:pPr>
            <w:r>
              <w:rPr>
                <w:rFonts w:hint="eastAsia" w:ascii="宋体" w:hAnsi="宋体" w:eastAsia="宋体" w:cs="宋体"/>
                <w:b w:val="0"/>
                <w:szCs w:val="21"/>
                <w:highlight w:val="none"/>
              </w:rPr>
              <w:t>（4）其他情况不得分。</w:t>
            </w:r>
          </w:p>
          <w:p w14:paraId="3E247513">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szCs w:val="21"/>
                <w:highlight w:val="none"/>
              </w:rPr>
            </w:pPr>
            <w:r>
              <w:rPr>
                <w:rFonts w:hint="eastAsia" w:ascii="宋体" w:hAnsi="宋体" w:eastAsia="宋体" w:cs="宋体"/>
                <w:b/>
                <w:szCs w:val="21"/>
                <w:highlight w:val="none"/>
              </w:rPr>
              <w:t>备注：</w:t>
            </w:r>
          </w:p>
          <w:p w14:paraId="1996F4B0">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szCs w:val="21"/>
                <w:highlight w:val="none"/>
              </w:rPr>
            </w:pPr>
            <w:r>
              <w:rPr>
                <w:rFonts w:hint="eastAsia" w:ascii="宋体" w:hAnsi="宋体" w:eastAsia="宋体" w:cs="宋体"/>
                <w:b/>
                <w:szCs w:val="21"/>
                <w:highlight w:val="none"/>
              </w:rPr>
              <w:t>（1）投标人注册地或其分支机构地址以提供的营业执照或办公场所租赁合同或产权证明的地址为准，需提供前述证明扫描件，否则评审时将不予考虑。</w:t>
            </w:r>
          </w:p>
          <w:p w14:paraId="2C98E128">
            <w:pPr>
              <w:pStyle w:val="138"/>
              <w:keepNext w:val="0"/>
              <w:keepLines w:val="0"/>
              <w:numPr>
                <w:ilvl w:val="255"/>
                <w:numId w:val="0"/>
              </w:numPr>
              <w:suppressLineNumbers w:val="0"/>
              <w:spacing w:before="0" w:beforeAutospacing="0" w:after="0" w:afterAutospacing="0" w:line="400" w:lineRule="exact"/>
              <w:ind w:left="0" w:right="0"/>
              <w:rPr>
                <w:rFonts w:hint="eastAsia" w:ascii="宋体" w:hAnsi="宋体" w:eastAsia="宋体" w:cs="宋体"/>
                <w:b/>
                <w:szCs w:val="21"/>
                <w:highlight w:val="none"/>
              </w:rPr>
            </w:pPr>
            <w:r>
              <w:rPr>
                <w:rFonts w:hint="eastAsia" w:ascii="宋体" w:hAnsi="宋体" w:eastAsia="宋体" w:cs="宋体"/>
                <w:b/>
                <w:szCs w:val="21"/>
                <w:highlight w:val="none"/>
              </w:rPr>
              <w:t>（2）本项评审，投标人需提供从投标人注册地或其分支机构地址在工作时间内（8:30-12:00,14:00-17:30）到达指定地点的路线图导航截屏（需体现投标人注册地或其分支机构地址</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即导航起点）、水业大厦（即导航终点）、</w:t>
            </w:r>
            <w:r>
              <w:rPr>
                <w:rFonts w:hint="eastAsia" w:ascii="宋体" w:hAnsi="宋体" w:eastAsia="宋体" w:cs="宋体"/>
                <w:b/>
                <w:szCs w:val="21"/>
                <w:highlight w:val="none"/>
              </w:rPr>
              <w:t>距离</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导航时间</w:t>
            </w:r>
            <w:r>
              <w:rPr>
                <w:rFonts w:hint="eastAsia" w:ascii="宋体" w:hAnsi="宋体" w:eastAsia="宋体" w:cs="宋体"/>
                <w:b/>
                <w:szCs w:val="21"/>
                <w:highlight w:val="none"/>
              </w:rPr>
              <w:t>等关系因素），未提供相关证明资料或不符合本项评分要求的，在评审时将不予考虑。</w:t>
            </w:r>
          </w:p>
          <w:p w14:paraId="15339AC8">
            <w:pPr>
              <w:pStyle w:val="138"/>
              <w:keepNext w:val="0"/>
              <w:keepLines w:val="0"/>
              <w:numPr>
                <w:ilvl w:val="255"/>
                <w:numId w:val="0"/>
              </w:numPr>
              <w:suppressLineNumbers w:val="0"/>
              <w:spacing w:before="0" w:beforeAutospacing="0" w:after="0" w:afterAutospacing="0" w:line="400" w:lineRule="exact"/>
              <w:ind w:left="0" w:leftChars="0" w:right="0" w:firstLine="0" w:firstLineChars="0"/>
              <w:rPr>
                <w:rFonts w:hint="eastAsia" w:ascii="宋体" w:hAnsi="宋体" w:eastAsia="宋体" w:cs="宋体"/>
                <w:b/>
                <w:color w:val="auto"/>
                <w:kern w:val="0"/>
                <w:szCs w:val="21"/>
                <w:highlight w:val="none"/>
              </w:rPr>
            </w:pPr>
            <w:r>
              <w:rPr>
                <w:rFonts w:hint="eastAsia" w:ascii="宋体" w:hAnsi="宋体" w:eastAsia="宋体" w:cs="宋体"/>
                <w:b/>
                <w:szCs w:val="21"/>
                <w:highlight w:val="none"/>
              </w:rPr>
              <w:t>（3）投标人如提供多个路线图时间资料，不重复或叠加得分，按该投标人符合本评审项目的较高标准项计分。</w:t>
            </w:r>
          </w:p>
        </w:tc>
        <w:tc>
          <w:tcPr>
            <w:tcW w:w="437" w:type="pct"/>
            <w:tcBorders>
              <w:top w:val="single" w:color="auto" w:sz="4" w:space="0"/>
              <w:left w:val="single" w:color="auto" w:sz="4" w:space="0"/>
              <w:bottom w:val="single" w:color="auto" w:sz="4" w:space="0"/>
              <w:right w:val="single" w:color="auto" w:sz="4" w:space="0"/>
            </w:tcBorders>
            <w:vAlign w:val="center"/>
          </w:tcPr>
          <w:p w14:paraId="37F2DA6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r>
      <w:tr w14:paraId="7FFE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14:paraId="3515A7D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14:paraId="3EE537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b/>
                <w:color w:val="auto"/>
                <w:sz w:val="21"/>
                <w:szCs w:val="21"/>
                <w:highlight w:val="none"/>
                <w:lang w:val="en-US" w:eastAsia="zh-CN"/>
              </w:rPr>
              <w:t>55</w:t>
            </w:r>
            <w:r>
              <w:rPr>
                <w:rFonts w:hint="eastAsia" w:ascii="宋体" w:hAnsi="宋体" w:eastAsia="宋体" w:cs="宋体"/>
                <w:b/>
                <w:color w:val="auto"/>
                <w:sz w:val="21"/>
                <w:szCs w:val="21"/>
                <w:highlight w:val="none"/>
              </w:rPr>
              <w:t>分</w:t>
            </w:r>
          </w:p>
        </w:tc>
      </w:tr>
      <w:bookmarkEnd w:id="851"/>
    </w:tbl>
    <w:p w14:paraId="6CE95547">
      <w:pPr>
        <w:keepNext w:val="0"/>
        <w:keepLines w:val="0"/>
        <w:widowControl w:val="0"/>
        <w:suppressLineNumbers w:val="0"/>
        <w:kinsoku/>
        <w:overflowPunct/>
        <w:autoSpaceDE w:val="0"/>
        <w:autoSpaceDN w:val="0"/>
        <w:bidi w:val="0"/>
        <w:adjustRightInd w:val="0"/>
        <w:spacing w:before="0" w:beforeAutospacing="0" w:after="0" w:afterAutospacing="0"/>
        <w:ind w:left="0" w:right="-26" w:firstLine="480"/>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 xml:space="preserve"> </w:t>
      </w:r>
    </w:p>
    <w:p w14:paraId="14C83EA7">
      <w:pPr>
        <w:keepNext w:val="0"/>
        <w:keepLines w:val="0"/>
        <w:widowControl w:val="0"/>
        <w:suppressLineNumbers w:val="0"/>
        <w:tabs>
          <w:tab w:val="left" w:pos="585"/>
        </w:tabs>
        <w:kinsoku/>
        <w:overflowPunct/>
        <w:autoSpaceDE w:val="0"/>
        <w:autoSpaceDN w:val="0"/>
        <w:bidi w:val="0"/>
        <w:adjustRightInd w:val="0"/>
        <w:spacing w:before="0" w:beforeAutospacing="0" w:after="0" w:afterAutospacing="0" w:line="360" w:lineRule="auto"/>
        <w:ind w:left="0" w:right="0"/>
        <w:jc w:val="both"/>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（2）技术：总分45分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133"/>
        <w:gridCol w:w="7663"/>
        <w:gridCol w:w="907"/>
      </w:tblGrid>
      <w:tr w14:paraId="6F39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45503AA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bookmarkStart w:id="852"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8FCA850">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14:paraId="331DEB5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7C6A11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8E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11304DFE">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20D417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bCs/>
                <w:szCs w:val="21"/>
                <w:highlight w:val="none"/>
              </w:rPr>
              <w:t>对用户需求的理解、重难点及应对措施</w:t>
            </w:r>
          </w:p>
        </w:tc>
        <w:tc>
          <w:tcPr>
            <w:tcW w:w="3693" w:type="pct"/>
            <w:tcBorders>
              <w:top w:val="single" w:color="auto" w:sz="4" w:space="0"/>
              <w:left w:val="single" w:color="auto" w:sz="4" w:space="0"/>
              <w:bottom w:val="single" w:color="auto" w:sz="4" w:space="0"/>
              <w:right w:val="single" w:color="auto" w:sz="4" w:space="0"/>
            </w:tcBorders>
            <w:vAlign w:val="center"/>
          </w:tcPr>
          <w:p w14:paraId="108820EC">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b w:val="0"/>
                <w:bCs w:val="0"/>
                <w:highlight w:val="none"/>
              </w:rPr>
              <w:t>根据投标人提供的</w:t>
            </w:r>
            <w:r>
              <w:rPr>
                <w:rFonts w:hint="eastAsia" w:ascii="宋体" w:hAnsi="宋体" w:eastAsia="宋体" w:cs="宋体"/>
                <w:highlight w:val="none"/>
              </w:rPr>
              <w:t>对本项目用户需求的理解程度，重难点分析及应对措施等进行评审：</w:t>
            </w:r>
          </w:p>
          <w:p w14:paraId="680536E4">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优：投标人对本项目用户需求的采购内容、服务内容了解透彻，熟悉掌握采购代理服务规范要求并提供科学详细的响应方案，了解本项目的投标报价及代理服务费支付方式，清晰理解项目的服务管理要求、采购项目分配方式、考核方式，优于响应服务要求，能对项目实施及用户需求提出针对性的重点难点分析及应对措施的，得[10-6]分；</w:t>
            </w:r>
          </w:p>
          <w:p w14:paraId="06C6768E">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良：投标人对本项目用户需求的采购内容、服务内容熟悉了解，清楚采购代理服务规范要求并提供完成的响应方案，了解本项目的投标报价及代理服务费支付方式，理解项目的服务管理要求、采购项目分配方式、考核方式，完全响应服务要求，能对项目实施及用户需求提出可行的重点难点分析及应对措施的，得（6-4]分；</w:t>
            </w:r>
          </w:p>
          <w:p w14:paraId="7C14F75D">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中：投标人对本项目用户需求的采购内容、服务内容基本了解，了解采购代理服务规范要求并提供响应方案，了解本项目的投标报价及代理服务费支付方式，理解项目的服务管理要求、采购项目分配方式、考核方式，基本响应服务要求，能对项目实施及用户需求提出重点难点分析及应对措施但无针对性的，得（4-2]分；</w:t>
            </w:r>
          </w:p>
          <w:p w14:paraId="52D215AC">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highlight w:val="none"/>
              </w:rPr>
              <w:t>差：投标人对本项目用户需求的采购内容、服务内容理解有偏差，不熟悉采购代理服务规范要求，了解本项目的投标报价及代理服务费支付方式，对项目的服务管理要求、采购项目分配方式、考核方式响应有偏离，未完全响应服务要求，能对项目实施及用户需求提出重点难点分析及应对措施但不可行的，得（2-0] 分；</w:t>
            </w:r>
          </w:p>
        </w:tc>
        <w:tc>
          <w:tcPr>
            <w:tcW w:w="437" w:type="pct"/>
            <w:tcBorders>
              <w:top w:val="single" w:color="auto" w:sz="4" w:space="0"/>
              <w:left w:val="single" w:color="auto" w:sz="4" w:space="0"/>
              <w:bottom w:val="single" w:color="auto" w:sz="4" w:space="0"/>
              <w:right w:val="single" w:color="auto" w:sz="4" w:space="0"/>
            </w:tcBorders>
            <w:vAlign w:val="center"/>
          </w:tcPr>
          <w:p w14:paraId="176AAFB5">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10</w:t>
            </w:r>
          </w:p>
        </w:tc>
      </w:tr>
      <w:tr w14:paraId="66A6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28F3CF9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24E2AA4A">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szCs w:val="21"/>
                <w:highlight w:val="none"/>
              </w:rPr>
              <w:t>投入本项目服务人员情况</w:t>
            </w:r>
          </w:p>
        </w:tc>
        <w:tc>
          <w:tcPr>
            <w:tcW w:w="3693" w:type="pct"/>
            <w:tcBorders>
              <w:top w:val="single" w:color="auto" w:sz="4" w:space="0"/>
              <w:left w:val="single" w:color="auto" w:sz="4" w:space="0"/>
              <w:bottom w:val="single" w:color="auto" w:sz="4" w:space="0"/>
              <w:right w:val="single" w:color="auto" w:sz="4" w:space="0"/>
            </w:tcBorders>
            <w:vAlign w:val="center"/>
          </w:tcPr>
          <w:p w14:paraId="1E29A9A3">
            <w:pPr>
              <w:keepNext w:val="0"/>
              <w:keepLines w:val="0"/>
              <w:suppressLineNumbers w:val="0"/>
              <w:spacing w:before="0" w:beforeAutospacing="0" w:after="0" w:afterAutospacing="0" w:line="400" w:lineRule="exact"/>
              <w:ind w:left="0" w:right="0"/>
              <w:rPr>
                <w:rFonts w:hint="default" w:ascii="宋体" w:hAnsi="宋体" w:eastAsia="宋体" w:cs="宋体"/>
                <w:bCs/>
                <w:szCs w:val="21"/>
                <w:highlight w:val="none"/>
              </w:rPr>
            </w:pPr>
            <w:r>
              <w:rPr>
                <w:rFonts w:hint="eastAsia" w:ascii="宋体" w:hAnsi="宋体" w:eastAsia="宋体" w:cs="宋体"/>
                <w:bCs/>
                <w:szCs w:val="21"/>
                <w:highlight w:val="none"/>
              </w:rPr>
              <w:t>根据投标人投入</w:t>
            </w:r>
            <w:r>
              <w:rPr>
                <w:rFonts w:hint="eastAsia" w:ascii="宋体" w:hAnsi="宋体" w:eastAsia="宋体" w:cs="宋体"/>
                <w:szCs w:val="21"/>
                <w:highlight w:val="none"/>
              </w:rPr>
              <w:t>本项目服务</w:t>
            </w:r>
            <w:r>
              <w:rPr>
                <w:rFonts w:hint="eastAsia" w:ascii="宋体" w:hAnsi="宋体" w:eastAsia="宋体" w:cs="宋体"/>
                <w:bCs/>
                <w:szCs w:val="21"/>
                <w:highlight w:val="none"/>
              </w:rPr>
              <w:t>的人员方案进行评分：</w:t>
            </w:r>
          </w:p>
          <w:p w14:paraId="2BA1B8C9">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b/>
                <w:bCs/>
                <w:kern w:val="0"/>
                <w:szCs w:val="21"/>
                <w:highlight w:val="none"/>
              </w:rPr>
            </w:pPr>
            <w:r>
              <w:rPr>
                <w:rFonts w:hint="eastAsia" w:ascii="宋体" w:hAnsi="宋体" w:eastAsia="宋体" w:cs="宋体"/>
                <w:b/>
                <w:bCs/>
                <w:kern w:val="0"/>
                <w:szCs w:val="21"/>
                <w:highlight w:val="none"/>
              </w:rPr>
              <w:t>1</w:t>
            </w:r>
            <w:r>
              <w:rPr>
                <w:rFonts w:hint="default" w:ascii="宋体" w:hAnsi="宋体" w:eastAsia="宋体" w:cs="宋体"/>
                <w:b/>
                <w:bCs/>
                <w:kern w:val="0"/>
                <w:szCs w:val="21"/>
                <w:highlight w:val="none"/>
              </w:rPr>
              <w:t>.</w:t>
            </w:r>
            <w:r>
              <w:rPr>
                <w:rFonts w:hint="eastAsia" w:ascii="宋体" w:hAnsi="宋体" w:eastAsia="宋体" w:cs="宋体"/>
                <w:b/>
                <w:bCs/>
                <w:kern w:val="0"/>
                <w:szCs w:val="21"/>
                <w:highlight w:val="none"/>
              </w:rPr>
              <w:t>投入的项目负责人（满分</w:t>
            </w:r>
            <w:r>
              <w:rPr>
                <w:rFonts w:hint="eastAsia" w:ascii="宋体" w:hAnsi="宋体" w:eastAsia="宋体" w:cs="宋体"/>
                <w:b/>
                <w:bCs/>
                <w:kern w:val="0"/>
                <w:szCs w:val="21"/>
                <w:highlight w:val="none"/>
                <w:lang w:val="en-US" w:eastAsia="zh-CN"/>
              </w:rPr>
              <w:t>5</w:t>
            </w:r>
            <w:r>
              <w:rPr>
                <w:rFonts w:hint="eastAsia" w:ascii="宋体" w:hAnsi="宋体" w:eastAsia="宋体" w:cs="宋体"/>
                <w:b/>
                <w:bCs/>
                <w:kern w:val="0"/>
                <w:szCs w:val="21"/>
                <w:highlight w:val="none"/>
              </w:rPr>
              <w:t>分）：</w:t>
            </w:r>
          </w:p>
          <w:p w14:paraId="55F59D04">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bCs/>
                <w:kern w:val="0"/>
                <w:szCs w:val="21"/>
                <w:highlight w:val="none"/>
              </w:rPr>
            </w:pPr>
            <w:r>
              <w:rPr>
                <w:rFonts w:hint="eastAsia" w:ascii="宋体" w:hAnsi="宋体" w:eastAsia="宋体" w:cs="宋体"/>
                <w:bCs/>
                <w:kern w:val="0"/>
                <w:szCs w:val="21"/>
                <w:highlight w:val="none"/>
              </w:rPr>
              <w:t>（1）具有行政部门颁发的职称证</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高级（或以上）</w:t>
            </w:r>
            <w:r>
              <w:rPr>
                <w:rFonts w:hint="eastAsia" w:ascii="宋体" w:hAnsi="宋体" w:eastAsia="宋体" w:cs="宋体"/>
                <w:bCs/>
                <w:kern w:val="0"/>
                <w:szCs w:val="21"/>
                <w:highlight w:val="none"/>
                <w:lang w:val="en-US" w:eastAsia="zh-CN"/>
              </w:rPr>
              <w:t>职称</w:t>
            </w:r>
            <w:r>
              <w:rPr>
                <w:rFonts w:hint="eastAsia" w:ascii="宋体" w:hAnsi="宋体" w:eastAsia="宋体" w:cs="宋体"/>
                <w:bCs/>
                <w:kern w:val="0"/>
                <w:szCs w:val="21"/>
                <w:highlight w:val="none"/>
              </w:rPr>
              <w:t>的得</w:t>
            </w:r>
            <w:r>
              <w:rPr>
                <w:rFonts w:hint="eastAsia" w:ascii="宋体" w:hAnsi="宋体" w:eastAsia="宋体" w:cs="宋体"/>
                <w:bCs/>
                <w:kern w:val="0"/>
                <w:szCs w:val="21"/>
                <w:highlight w:val="none"/>
                <w:lang w:val="en-US" w:eastAsia="zh-CN"/>
              </w:rPr>
              <w:t>5</w:t>
            </w:r>
            <w:r>
              <w:rPr>
                <w:rFonts w:hint="eastAsia" w:ascii="宋体" w:hAnsi="宋体" w:eastAsia="宋体" w:cs="宋体"/>
                <w:bCs/>
                <w:kern w:val="0"/>
                <w:szCs w:val="21"/>
                <w:highlight w:val="none"/>
              </w:rPr>
              <w:t>分，中级</w:t>
            </w:r>
            <w:r>
              <w:rPr>
                <w:rFonts w:hint="eastAsia" w:ascii="宋体" w:hAnsi="宋体" w:eastAsia="宋体" w:cs="宋体"/>
                <w:bCs/>
                <w:kern w:val="0"/>
                <w:szCs w:val="21"/>
                <w:highlight w:val="none"/>
                <w:lang w:val="en-US" w:eastAsia="zh-CN"/>
              </w:rPr>
              <w:t>职称</w:t>
            </w:r>
            <w:r>
              <w:rPr>
                <w:rFonts w:hint="eastAsia" w:ascii="宋体" w:hAnsi="宋体" w:eastAsia="宋体" w:cs="宋体"/>
                <w:bCs/>
                <w:kern w:val="0"/>
                <w:szCs w:val="21"/>
                <w:highlight w:val="none"/>
              </w:rPr>
              <w:t>的得</w:t>
            </w:r>
            <w:r>
              <w:rPr>
                <w:rFonts w:hint="eastAsia" w:ascii="宋体" w:hAnsi="宋体" w:eastAsia="宋体" w:cs="宋体"/>
                <w:bCs/>
                <w:kern w:val="0"/>
                <w:szCs w:val="21"/>
                <w:highlight w:val="none"/>
                <w:lang w:val="en-US" w:eastAsia="zh-CN"/>
              </w:rPr>
              <w:t>3</w:t>
            </w:r>
            <w:r>
              <w:rPr>
                <w:rFonts w:hint="eastAsia" w:ascii="宋体" w:hAnsi="宋体" w:eastAsia="宋体" w:cs="宋体"/>
                <w:bCs/>
                <w:kern w:val="0"/>
                <w:szCs w:val="21"/>
                <w:highlight w:val="none"/>
              </w:rPr>
              <w:t>分，本子项满分</w:t>
            </w:r>
            <w:r>
              <w:rPr>
                <w:rFonts w:hint="eastAsia" w:ascii="宋体" w:hAnsi="宋体" w:eastAsia="宋体" w:cs="宋体"/>
                <w:bCs/>
                <w:kern w:val="0"/>
                <w:szCs w:val="21"/>
                <w:highlight w:val="none"/>
                <w:lang w:val="en-US" w:eastAsia="zh-CN"/>
              </w:rPr>
              <w:t>5</w:t>
            </w:r>
            <w:r>
              <w:rPr>
                <w:rFonts w:hint="eastAsia" w:ascii="宋体" w:hAnsi="宋体" w:eastAsia="宋体" w:cs="宋体"/>
                <w:bCs/>
                <w:kern w:val="0"/>
                <w:szCs w:val="21"/>
                <w:highlight w:val="none"/>
              </w:rPr>
              <w:t>分；</w:t>
            </w:r>
          </w:p>
          <w:p w14:paraId="122A29C7">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b/>
                <w:bCs/>
                <w:kern w:val="0"/>
                <w:szCs w:val="21"/>
                <w:highlight w:val="none"/>
              </w:rPr>
            </w:pPr>
            <w:r>
              <w:rPr>
                <w:rFonts w:hint="eastAsia" w:ascii="宋体" w:hAnsi="宋体" w:eastAsia="宋体" w:cs="宋体"/>
                <w:b/>
                <w:bCs/>
                <w:kern w:val="0"/>
                <w:szCs w:val="21"/>
                <w:highlight w:val="none"/>
              </w:rPr>
              <w:t>2</w:t>
            </w:r>
            <w:r>
              <w:rPr>
                <w:rFonts w:hint="default" w:ascii="宋体" w:hAnsi="宋体" w:eastAsia="宋体" w:cs="宋体"/>
                <w:b/>
                <w:bCs/>
                <w:kern w:val="0"/>
                <w:szCs w:val="21"/>
                <w:highlight w:val="none"/>
              </w:rPr>
              <w:t>.</w:t>
            </w:r>
            <w:r>
              <w:rPr>
                <w:rFonts w:hint="eastAsia" w:ascii="宋体" w:hAnsi="宋体" w:eastAsia="宋体" w:cs="宋体"/>
                <w:b/>
                <w:bCs/>
                <w:kern w:val="0"/>
                <w:szCs w:val="21"/>
                <w:highlight w:val="none"/>
              </w:rPr>
              <w:t>投入本项目的代理服务人员（除项目负责人以外，满分</w:t>
            </w:r>
            <w:r>
              <w:rPr>
                <w:rFonts w:hint="eastAsia" w:ascii="宋体" w:hAnsi="宋体" w:eastAsia="宋体" w:cs="宋体"/>
                <w:b/>
                <w:bCs/>
                <w:kern w:val="0"/>
                <w:szCs w:val="21"/>
                <w:highlight w:val="none"/>
                <w:lang w:val="en-US" w:eastAsia="zh-CN"/>
              </w:rPr>
              <w:t>10</w:t>
            </w:r>
            <w:r>
              <w:rPr>
                <w:rFonts w:hint="eastAsia" w:ascii="宋体" w:hAnsi="宋体" w:eastAsia="宋体" w:cs="宋体"/>
                <w:b/>
                <w:bCs/>
                <w:kern w:val="0"/>
                <w:szCs w:val="21"/>
                <w:highlight w:val="none"/>
              </w:rPr>
              <w:t>分）：</w:t>
            </w:r>
          </w:p>
          <w:p w14:paraId="03DC4A4D">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bCs/>
                <w:kern w:val="0"/>
                <w:szCs w:val="21"/>
                <w:highlight w:val="none"/>
              </w:rPr>
            </w:pPr>
            <w:r>
              <w:rPr>
                <w:rFonts w:hint="eastAsia" w:ascii="宋体" w:hAnsi="宋体" w:eastAsia="宋体" w:cs="宋体"/>
                <w:bCs/>
                <w:kern w:val="0"/>
                <w:szCs w:val="21"/>
                <w:highlight w:val="none"/>
              </w:rPr>
              <w:t>（1）具有行政部门颁发的职称证，高级（或以上）</w:t>
            </w:r>
            <w:r>
              <w:rPr>
                <w:rFonts w:hint="eastAsia" w:ascii="宋体" w:hAnsi="宋体" w:eastAsia="宋体" w:cs="宋体"/>
                <w:bCs/>
                <w:kern w:val="0"/>
                <w:szCs w:val="21"/>
                <w:highlight w:val="none"/>
                <w:lang w:val="en-US" w:eastAsia="zh-CN"/>
              </w:rPr>
              <w:t>职称</w:t>
            </w:r>
            <w:r>
              <w:rPr>
                <w:rFonts w:hint="eastAsia" w:ascii="宋体" w:hAnsi="宋体" w:eastAsia="宋体" w:cs="宋体"/>
                <w:bCs/>
                <w:kern w:val="0"/>
                <w:szCs w:val="21"/>
                <w:highlight w:val="none"/>
              </w:rPr>
              <w:t>得3分，中级</w:t>
            </w:r>
            <w:r>
              <w:rPr>
                <w:rFonts w:hint="eastAsia" w:ascii="宋体" w:hAnsi="宋体" w:eastAsia="宋体" w:cs="宋体"/>
                <w:bCs/>
                <w:kern w:val="0"/>
                <w:szCs w:val="21"/>
                <w:highlight w:val="none"/>
                <w:lang w:val="en-US" w:eastAsia="zh-CN"/>
              </w:rPr>
              <w:t>职称</w:t>
            </w:r>
            <w:r>
              <w:rPr>
                <w:rFonts w:hint="eastAsia" w:ascii="宋体" w:hAnsi="宋体" w:eastAsia="宋体" w:cs="宋体"/>
                <w:bCs/>
                <w:kern w:val="0"/>
                <w:szCs w:val="21"/>
                <w:highlight w:val="none"/>
              </w:rPr>
              <w:t>得2分，初级</w:t>
            </w:r>
            <w:r>
              <w:rPr>
                <w:rFonts w:hint="eastAsia" w:ascii="宋体" w:hAnsi="宋体" w:eastAsia="宋体" w:cs="宋体"/>
                <w:bCs/>
                <w:kern w:val="0"/>
                <w:szCs w:val="21"/>
                <w:highlight w:val="none"/>
                <w:lang w:val="en-US" w:eastAsia="zh-CN"/>
              </w:rPr>
              <w:t>职称</w:t>
            </w:r>
            <w:r>
              <w:rPr>
                <w:rFonts w:hint="eastAsia" w:ascii="宋体" w:hAnsi="宋体" w:eastAsia="宋体" w:cs="宋体"/>
                <w:bCs/>
                <w:kern w:val="0"/>
                <w:szCs w:val="21"/>
                <w:highlight w:val="none"/>
              </w:rPr>
              <w:t>得1分（初级最高得3分），本子项满分6分；</w:t>
            </w:r>
          </w:p>
          <w:p w14:paraId="71DA8C90">
            <w:pPr>
              <w:keepNext w:val="0"/>
              <w:keepLines w:val="0"/>
              <w:suppressLineNumbers w:val="0"/>
              <w:spacing w:before="0" w:beforeAutospacing="0" w:after="0" w:afterAutospacing="0" w:line="400" w:lineRule="exact"/>
              <w:ind w:left="0" w:right="0"/>
              <w:rPr>
                <w:rFonts w:hint="default" w:ascii="宋体" w:hAnsi="宋体" w:eastAsia="宋体" w:cs="宋体"/>
                <w:b/>
                <w:szCs w:val="21"/>
                <w:highlight w:val="none"/>
              </w:rPr>
            </w:pPr>
            <w:r>
              <w:rPr>
                <w:rFonts w:hint="eastAsia" w:ascii="宋体" w:hAnsi="宋体" w:eastAsia="宋体" w:cs="宋体"/>
                <w:bCs/>
                <w:kern w:val="0"/>
                <w:szCs w:val="21"/>
                <w:highlight w:val="none"/>
              </w:rPr>
              <w:t>（2）</w:t>
            </w:r>
            <w:r>
              <w:rPr>
                <w:rFonts w:hint="eastAsia" w:ascii="宋体" w:hAnsi="宋体" w:eastAsia="宋体" w:cs="宋体"/>
                <w:kern w:val="0"/>
                <w:szCs w:val="21"/>
                <w:highlight w:val="none"/>
              </w:rPr>
              <w:t>获得中国招标投标协会招标采购从业人员专业技术能力初级</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或以上</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评价或省级（或以上）政府采购协会颁发采购代理机构从业人员中级（或以上）专业能力评价的得</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分，</w:t>
            </w:r>
            <w:r>
              <w:rPr>
                <w:rFonts w:hint="eastAsia" w:ascii="宋体" w:hAnsi="宋体" w:eastAsia="宋体" w:cs="宋体"/>
                <w:bCs/>
                <w:kern w:val="0"/>
                <w:szCs w:val="21"/>
                <w:highlight w:val="none"/>
              </w:rPr>
              <w:t>本子项满分</w:t>
            </w:r>
            <w:r>
              <w:rPr>
                <w:rFonts w:hint="eastAsia" w:ascii="宋体" w:hAnsi="宋体" w:eastAsia="宋体" w:cs="宋体"/>
                <w:bCs/>
                <w:kern w:val="0"/>
                <w:szCs w:val="21"/>
                <w:highlight w:val="none"/>
                <w:lang w:val="en-US" w:eastAsia="zh-CN"/>
              </w:rPr>
              <w:t>4</w:t>
            </w:r>
            <w:r>
              <w:rPr>
                <w:rFonts w:hint="eastAsia" w:ascii="宋体" w:hAnsi="宋体" w:eastAsia="宋体" w:cs="宋体"/>
                <w:bCs/>
                <w:kern w:val="0"/>
                <w:szCs w:val="21"/>
                <w:highlight w:val="none"/>
              </w:rPr>
              <w:t>分。</w:t>
            </w:r>
          </w:p>
          <w:p w14:paraId="4BB50E2A">
            <w:pPr>
              <w:keepNext w:val="0"/>
              <w:keepLines w:val="0"/>
              <w:suppressLineNumbers w:val="0"/>
              <w:spacing w:before="0" w:beforeAutospacing="0" w:after="0" w:afterAutospacing="0" w:line="400" w:lineRule="exact"/>
              <w:ind w:left="0" w:right="0"/>
              <w:rPr>
                <w:rFonts w:hint="default" w:ascii="宋体" w:hAnsi="宋体" w:eastAsia="宋体" w:cs="宋体"/>
                <w:b/>
                <w:szCs w:val="21"/>
                <w:highlight w:val="none"/>
              </w:rPr>
            </w:pPr>
            <w:r>
              <w:rPr>
                <w:rFonts w:hint="eastAsia" w:ascii="宋体" w:hAnsi="宋体" w:eastAsia="宋体" w:cs="宋体"/>
                <w:b/>
                <w:szCs w:val="21"/>
                <w:highlight w:val="none"/>
              </w:rPr>
              <w:t>备注：</w:t>
            </w:r>
          </w:p>
          <w:p w14:paraId="2114AE32">
            <w:pPr>
              <w:pStyle w:val="138"/>
              <w:keepNext w:val="0"/>
              <w:keepLines w:val="0"/>
              <w:numPr>
                <w:ilvl w:val="0"/>
                <w:numId w:val="0"/>
              </w:numPr>
              <w:suppressLineNumbers w:val="0"/>
              <w:spacing w:before="0" w:beforeAutospacing="0" w:after="0" w:afterAutospacing="0" w:line="400" w:lineRule="exact"/>
              <w:ind w:left="0" w:right="0" w:firstLine="0" w:firstLineChars="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①</w:t>
            </w:r>
            <w:r>
              <w:rPr>
                <w:rFonts w:hint="eastAsia" w:ascii="宋体" w:hAnsi="宋体" w:eastAsia="宋体" w:cs="宋体"/>
                <w:b/>
                <w:bCs/>
                <w:szCs w:val="21"/>
                <w:highlight w:val="none"/>
              </w:rPr>
              <w:t>须附以上人员的身份证、职称证（或评价证书）、社会保障部门出具的最近1年（即202</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年</w:t>
            </w:r>
            <w:r>
              <w:rPr>
                <w:rFonts w:hint="eastAsia" w:ascii="宋体" w:hAnsi="宋体" w:eastAsia="宋体" w:cs="宋体"/>
                <w:b/>
                <w:bCs/>
                <w:szCs w:val="21"/>
                <w:highlight w:val="none"/>
                <w:lang w:val="en-US" w:eastAsia="zh-CN"/>
              </w:rPr>
              <w:t>11</w:t>
            </w:r>
            <w:r>
              <w:rPr>
                <w:rFonts w:hint="eastAsia" w:ascii="宋体" w:hAnsi="宋体" w:eastAsia="宋体" w:cs="宋体"/>
                <w:b/>
                <w:bCs/>
                <w:szCs w:val="21"/>
                <w:highlight w:val="none"/>
              </w:rPr>
              <w:t>月至202</w:t>
            </w: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年</w:t>
            </w:r>
            <w:r>
              <w:rPr>
                <w:rFonts w:hint="eastAsia" w:ascii="宋体" w:hAnsi="宋体" w:eastAsia="宋体" w:cs="宋体"/>
                <w:b/>
                <w:bCs/>
                <w:szCs w:val="21"/>
                <w:highlight w:val="none"/>
                <w:lang w:val="en-US" w:eastAsia="zh-CN"/>
              </w:rPr>
              <w:t>10</w:t>
            </w:r>
            <w:r>
              <w:rPr>
                <w:rFonts w:hint="eastAsia" w:ascii="宋体" w:hAnsi="宋体" w:eastAsia="宋体" w:cs="宋体"/>
                <w:b/>
                <w:bCs/>
                <w:szCs w:val="21"/>
                <w:highlight w:val="none"/>
              </w:rPr>
              <w:t>月）在投标人单位缴纳社会养老保险有效凭证等证明材料复印件并加盖</w:t>
            </w:r>
            <w:r>
              <w:rPr>
                <w:rFonts w:hint="eastAsia" w:ascii="宋体" w:hAnsi="宋体" w:eastAsia="宋体" w:cs="宋体"/>
                <w:b/>
                <w:bCs/>
                <w:szCs w:val="21"/>
                <w:highlight w:val="none"/>
                <w:lang w:eastAsia="zh-CN"/>
              </w:rPr>
              <w:t>投标人公章</w:t>
            </w:r>
            <w:r>
              <w:rPr>
                <w:rFonts w:hint="eastAsia" w:ascii="宋体" w:hAnsi="宋体" w:eastAsia="宋体" w:cs="宋体"/>
                <w:b/>
                <w:bCs/>
                <w:szCs w:val="21"/>
                <w:highlight w:val="none"/>
              </w:rPr>
              <w:t>。</w:t>
            </w:r>
          </w:p>
          <w:p w14:paraId="4A284D21">
            <w:pPr>
              <w:pStyle w:val="138"/>
              <w:keepNext w:val="0"/>
              <w:keepLines w:val="0"/>
              <w:numPr>
                <w:ilvl w:val="-1"/>
                <w:numId w:val="0"/>
              </w:numPr>
              <w:suppressLineNumbers w:val="0"/>
              <w:spacing w:before="0" w:beforeAutospacing="0" w:after="0" w:afterAutospacing="0" w:line="400" w:lineRule="exact"/>
              <w:ind w:left="0" w:right="0" w:firstLine="0" w:firstLineChars="0"/>
              <w:rPr>
                <w:rFonts w:hint="default" w:ascii="宋体" w:hAnsi="宋体" w:eastAsia="宋体" w:cs="宋体"/>
                <w:b/>
                <w:bCs/>
                <w:szCs w:val="21"/>
                <w:highlight w:val="none"/>
              </w:rPr>
            </w:pPr>
            <w:r>
              <w:rPr>
                <w:rFonts w:hint="default" w:ascii="宋体" w:hAnsi="宋体" w:eastAsia="宋体" w:cs="宋体"/>
                <w:b/>
                <w:bCs/>
                <w:kern w:val="2"/>
                <w:sz w:val="21"/>
                <w:szCs w:val="21"/>
                <w:highlight w:val="none"/>
                <w:lang w:val="en-US" w:eastAsia="zh-CN" w:bidi="ar-SA"/>
              </w:rPr>
              <w:t>②</w:t>
            </w:r>
            <w:r>
              <w:rPr>
                <w:rFonts w:hint="eastAsia" w:ascii="宋体" w:hAnsi="宋体" w:eastAsia="宋体" w:cs="宋体"/>
                <w:b/>
                <w:bCs/>
                <w:szCs w:val="21"/>
                <w:highlight w:val="none"/>
              </w:rPr>
              <w:t>同一人员具备多个种类证书可对应上述评分标准不重复得分。</w:t>
            </w:r>
          </w:p>
          <w:p w14:paraId="581FDB11">
            <w:pPr>
              <w:pStyle w:val="138"/>
              <w:keepNext w:val="0"/>
              <w:keepLines w:val="0"/>
              <w:numPr>
                <w:ilvl w:val="-1"/>
                <w:numId w:val="0"/>
              </w:numPr>
              <w:suppressLineNumbers w:val="0"/>
              <w:spacing w:before="0" w:beforeAutospacing="0" w:after="0" w:afterAutospacing="0" w:line="400" w:lineRule="exact"/>
              <w:ind w:left="0" w:right="0" w:firstLine="0" w:firstLineChars="0"/>
              <w:rPr>
                <w:rFonts w:hint="default" w:ascii="宋体" w:hAnsi="宋体" w:eastAsia="宋体" w:cs="宋体"/>
                <w:b/>
                <w:bCs/>
                <w:szCs w:val="21"/>
                <w:highlight w:val="none"/>
              </w:rPr>
            </w:pPr>
            <w:r>
              <w:rPr>
                <w:rFonts w:hint="eastAsia" w:ascii="宋体" w:hAnsi="宋体" w:eastAsia="宋体" w:cs="宋体"/>
                <w:b/>
                <w:bCs/>
                <w:szCs w:val="21"/>
                <w:highlight w:val="none"/>
                <w:lang w:val="en-US" w:eastAsia="zh-CN"/>
              </w:rPr>
              <w:t>③</w:t>
            </w:r>
            <w:r>
              <w:rPr>
                <w:rFonts w:hint="eastAsia" w:ascii="宋体" w:hAnsi="宋体" w:eastAsia="宋体" w:cs="宋体"/>
                <w:b/>
                <w:bCs/>
                <w:szCs w:val="21"/>
                <w:highlight w:val="none"/>
              </w:rPr>
              <w:t>同一人员具备同一种类证书含有多个专业的仅按一个专业计算一次得分。</w:t>
            </w:r>
          </w:p>
          <w:p w14:paraId="4328F19D">
            <w:pPr>
              <w:pStyle w:val="138"/>
              <w:keepNext w:val="0"/>
              <w:keepLines w:val="0"/>
              <w:numPr>
                <w:ilvl w:val="-1"/>
                <w:numId w:val="0"/>
              </w:numPr>
              <w:suppressLineNumbers w:val="0"/>
              <w:spacing w:before="0" w:beforeAutospacing="0" w:after="0" w:afterAutospacing="0" w:line="400" w:lineRule="exact"/>
              <w:ind w:left="0" w:leftChars="0" w:right="0" w:firstLine="0" w:firstLineChars="0"/>
              <w:rPr>
                <w:rFonts w:hint="eastAsia" w:ascii="宋体" w:hAnsi="宋体" w:eastAsia="宋体" w:cs="宋体"/>
                <w:color w:val="auto"/>
                <w:kern w:val="0"/>
                <w:szCs w:val="21"/>
                <w:highlight w:val="none"/>
              </w:rPr>
            </w:pPr>
            <w:r>
              <w:rPr>
                <w:rFonts w:hint="eastAsia" w:ascii="宋体" w:hAnsi="宋体" w:eastAsia="宋体" w:cs="宋体"/>
                <w:b/>
                <w:bCs/>
                <w:szCs w:val="21"/>
                <w:highlight w:val="none"/>
                <w:lang w:val="en-US" w:eastAsia="zh-CN"/>
              </w:rPr>
              <w:t>④</w:t>
            </w:r>
            <w:r>
              <w:rPr>
                <w:rFonts w:hint="eastAsia" w:ascii="宋体" w:hAnsi="宋体" w:eastAsia="宋体" w:cs="宋体"/>
                <w:b/>
                <w:bCs/>
                <w:szCs w:val="21"/>
                <w:highlight w:val="none"/>
              </w:rPr>
              <w:t>同一人员具备同一种类证书或同一个专业含有多个等级的仅按最高等级证书计算一次得分。</w:t>
            </w:r>
          </w:p>
        </w:tc>
        <w:tc>
          <w:tcPr>
            <w:tcW w:w="437" w:type="pct"/>
            <w:tcBorders>
              <w:top w:val="single" w:color="auto" w:sz="4" w:space="0"/>
              <w:left w:val="single" w:color="auto" w:sz="4" w:space="0"/>
              <w:bottom w:val="single" w:color="auto" w:sz="4" w:space="0"/>
              <w:right w:val="single" w:color="auto" w:sz="4" w:space="0"/>
            </w:tcBorders>
            <w:vAlign w:val="center"/>
          </w:tcPr>
          <w:p w14:paraId="7B35996D">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default" w:ascii="宋体" w:hAnsi="宋体" w:eastAsia="宋体" w:cs="宋体"/>
                <w:color w:val="auto"/>
                <w:kern w:val="0"/>
                <w:szCs w:val="21"/>
                <w:highlight w:val="none"/>
                <w:lang w:val="en-US"/>
              </w:rPr>
            </w:pPr>
            <w:r>
              <w:rPr>
                <w:rFonts w:hint="eastAsia" w:ascii="宋体" w:hAnsi="宋体" w:cs="宋体"/>
                <w:color w:val="auto"/>
                <w:szCs w:val="21"/>
                <w:highlight w:val="none"/>
                <w:lang w:val="en-US" w:eastAsia="zh-CN"/>
              </w:rPr>
              <w:t>15</w:t>
            </w:r>
          </w:p>
        </w:tc>
      </w:tr>
      <w:tr w14:paraId="2ABC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090C6511">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6118BBAF">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bCs/>
                <w:szCs w:val="21"/>
                <w:highlight w:val="none"/>
              </w:rPr>
              <w:t>服务方案</w:t>
            </w:r>
          </w:p>
        </w:tc>
        <w:tc>
          <w:tcPr>
            <w:tcW w:w="3693" w:type="pct"/>
            <w:tcBorders>
              <w:top w:val="single" w:color="auto" w:sz="4" w:space="0"/>
              <w:left w:val="single" w:color="auto" w:sz="4" w:space="0"/>
              <w:bottom w:val="single" w:color="auto" w:sz="4" w:space="0"/>
              <w:right w:val="single" w:color="auto" w:sz="4" w:space="0"/>
            </w:tcBorders>
            <w:vAlign w:val="center"/>
          </w:tcPr>
          <w:p w14:paraId="7AC879C5">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b w:val="0"/>
                <w:bCs w:val="0"/>
                <w:highlight w:val="none"/>
              </w:rPr>
              <w:t>根据投标人提供的</w:t>
            </w:r>
            <w:r>
              <w:rPr>
                <w:rFonts w:hint="eastAsia" w:ascii="宋体" w:hAnsi="宋体" w:eastAsia="宋体" w:cs="宋体"/>
                <w:highlight w:val="none"/>
              </w:rPr>
              <w:t>服务方案，包括但不限于工作流程、进度时间、文件编制质量、开评标过程的保障及措施等进行评审：</w:t>
            </w:r>
          </w:p>
          <w:p w14:paraId="55B570E4">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优：工作流程周密合理可行，项目进度时间安排科学合理，文件编制质量高，开评标过程的保障及措施针对性，可操作性强，有详细完整的服务方案满足相关工作的运作，并能突出工作的重点和难点，得[15-9] 分；</w:t>
            </w:r>
          </w:p>
          <w:p w14:paraId="314F4C44">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良：工作流程较合理可行，项目进度时间安排较合理，文件编制质量较高，开评标过程的保障及措施针对性，可操作性较强，有较完整的服务方案满足相关工作的运作，得（9-6] 分；</w:t>
            </w:r>
          </w:p>
          <w:p w14:paraId="63B57154">
            <w:pPr>
              <w:keepNext w:val="0"/>
              <w:keepLines w:val="0"/>
              <w:suppressLineNumbers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中：工作流程基本合理可行，项目进度时间安排基本合理，文件编制质量一般，开评标过程的保障及措施针对性，可操作性一般，整体服务方案基本满足相关工作的运作，得（6-3] 分；</w:t>
            </w:r>
          </w:p>
          <w:p w14:paraId="22EEE9B9">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highlight w:val="none"/>
              </w:rPr>
              <w:t>差：工作流程及项目进度时间安排不明晰，文件编制质量差，开评标过程的保障及措施针对性，可操作性差，整体服务方案不能满足相关工作的运作，得（3-0]分。</w:t>
            </w:r>
          </w:p>
        </w:tc>
        <w:tc>
          <w:tcPr>
            <w:tcW w:w="437" w:type="pct"/>
            <w:tcBorders>
              <w:top w:val="single" w:color="auto" w:sz="4" w:space="0"/>
              <w:left w:val="single" w:color="auto" w:sz="4" w:space="0"/>
              <w:bottom w:val="single" w:color="auto" w:sz="4" w:space="0"/>
              <w:right w:val="single" w:color="auto" w:sz="4" w:space="0"/>
            </w:tcBorders>
            <w:vAlign w:val="center"/>
          </w:tcPr>
          <w:p w14:paraId="7A861EEA">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default" w:ascii="宋体" w:hAnsi="宋体" w:eastAsia="宋体" w:cs="宋体"/>
                <w:color w:val="auto"/>
                <w:kern w:val="0"/>
                <w:szCs w:val="21"/>
                <w:highlight w:val="none"/>
                <w:lang w:val="en-US"/>
              </w:rPr>
            </w:pPr>
            <w:r>
              <w:rPr>
                <w:rFonts w:hint="eastAsia" w:ascii="宋体" w:hAnsi="宋体" w:cs="宋体"/>
                <w:color w:val="auto"/>
                <w:szCs w:val="21"/>
                <w:highlight w:val="none"/>
                <w:lang w:val="en-US" w:eastAsia="zh-CN"/>
              </w:rPr>
              <w:t>15</w:t>
            </w:r>
          </w:p>
        </w:tc>
      </w:tr>
      <w:tr w14:paraId="78BC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65E4ED3C">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383DABCD">
            <w:pPr>
              <w:keepNext w:val="0"/>
              <w:keepLines w:val="0"/>
              <w:suppressLineNumbers w:val="0"/>
              <w:spacing w:before="0" w:beforeLines="10" w:beforeAutospacing="0" w:after="3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bCs/>
                <w:szCs w:val="21"/>
                <w:highlight w:val="none"/>
              </w:rPr>
              <w:t>应急预案及处理能力</w:t>
            </w:r>
          </w:p>
        </w:tc>
        <w:tc>
          <w:tcPr>
            <w:tcW w:w="3693" w:type="pct"/>
            <w:tcBorders>
              <w:top w:val="single" w:color="auto" w:sz="4" w:space="0"/>
              <w:left w:val="single" w:color="auto" w:sz="4" w:space="0"/>
              <w:bottom w:val="single" w:color="auto" w:sz="4" w:space="0"/>
              <w:right w:val="single" w:color="auto" w:sz="4" w:space="0"/>
            </w:tcBorders>
            <w:vAlign w:val="center"/>
          </w:tcPr>
          <w:p w14:paraId="3AE04F1A">
            <w:pPr>
              <w:keepNext w:val="0"/>
              <w:keepLines w:val="0"/>
              <w:suppressLineNumbers w:val="0"/>
              <w:spacing w:before="0" w:beforeAutospacing="0" w:after="0" w:afterAutospacing="0" w:line="360" w:lineRule="auto"/>
              <w:ind w:left="0" w:right="0"/>
              <w:rPr>
                <w:rFonts w:hint="default" w:ascii="宋体" w:hAnsi="宋体" w:eastAsia="宋体" w:cs="宋体"/>
                <w:szCs w:val="21"/>
                <w:highlight w:val="none"/>
              </w:rPr>
            </w:pPr>
            <w:r>
              <w:rPr>
                <w:rFonts w:hint="eastAsia" w:ascii="宋体" w:hAnsi="宋体" w:eastAsia="宋体" w:cs="宋体"/>
                <w:b w:val="0"/>
                <w:bCs w:val="0"/>
                <w:highlight w:val="none"/>
              </w:rPr>
              <w:t>根据投标人提供的</w:t>
            </w:r>
            <w:r>
              <w:rPr>
                <w:rFonts w:hint="eastAsia" w:ascii="宋体" w:hAnsi="宋体" w:eastAsia="宋体" w:cs="宋体"/>
                <w:szCs w:val="21"/>
                <w:highlight w:val="none"/>
              </w:rPr>
              <w:t>应急预案，包括但不限于异议、投诉等情况制定的处理方案及</w:t>
            </w:r>
            <w:r>
              <w:rPr>
                <w:rFonts w:hint="eastAsia" w:ascii="宋体" w:hAnsi="宋体" w:eastAsia="宋体" w:cs="宋体"/>
                <w:highlight w:val="none"/>
              </w:rPr>
              <w:t>措施</w:t>
            </w:r>
            <w:r>
              <w:rPr>
                <w:rFonts w:hint="eastAsia" w:ascii="宋体" w:hAnsi="宋体" w:eastAsia="宋体" w:cs="宋体"/>
                <w:szCs w:val="21"/>
                <w:highlight w:val="none"/>
              </w:rPr>
              <w:t>等进行评审：</w:t>
            </w:r>
          </w:p>
          <w:p w14:paraId="721AD779">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优：针对异议、投诉等情况制定的应对服务方案和处理措施具有针对性，可操作性强，并能快速合理解决出现异议、投诉等情况，得[5-4] 分；</w:t>
            </w:r>
          </w:p>
          <w:p w14:paraId="3A2DCD7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良：针对异议、投诉等情况制定的应对服务方案和处理措施较合理，处理措施一般，可操作性较强，得（4-3] 分；</w:t>
            </w:r>
          </w:p>
          <w:p w14:paraId="31AF9A55">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中：针对异议、投诉等情况制定的应对服务方案和处理措施不完整，处理措施及</w:t>
            </w:r>
            <w:r>
              <w:rPr>
                <w:rFonts w:hint="eastAsia" w:ascii="宋体" w:hAnsi="宋体" w:eastAsia="宋体" w:cs="宋体"/>
                <w:highlight w:val="none"/>
              </w:rPr>
              <w:t>步骤</w:t>
            </w:r>
            <w:r>
              <w:rPr>
                <w:rFonts w:hint="eastAsia" w:ascii="宋体" w:hAnsi="宋体" w:eastAsia="宋体" w:cs="宋体"/>
                <w:color w:val="auto"/>
                <w:szCs w:val="21"/>
                <w:highlight w:val="none"/>
              </w:rPr>
              <w:t>未完全符合要求，可操作性较差，得（3-2] 分；</w:t>
            </w:r>
          </w:p>
          <w:p w14:paraId="715FE00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highlight w:val="none"/>
                <w:lang w:val="pt-BR"/>
              </w:rPr>
            </w:pPr>
            <w:r>
              <w:rPr>
                <w:rFonts w:hint="eastAsia" w:ascii="宋体" w:hAnsi="宋体" w:eastAsia="宋体" w:cs="宋体"/>
                <w:color w:val="auto"/>
                <w:szCs w:val="21"/>
                <w:highlight w:val="none"/>
              </w:rPr>
              <w:t>差：针对异议、投诉等情况制定的应对服务方案和处理措施不可靠，处理措施不妥当，无可操作性，得（2-0]分。</w:t>
            </w:r>
          </w:p>
        </w:tc>
        <w:tc>
          <w:tcPr>
            <w:tcW w:w="437" w:type="pct"/>
            <w:tcBorders>
              <w:top w:val="single" w:color="auto" w:sz="4" w:space="0"/>
              <w:left w:val="single" w:color="auto" w:sz="4" w:space="0"/>
              <w:bottom w:val="single" w:color="auto" w:sz="4" w:space="0"/>
              <w:right w:val="single" w:color="auto" w:sz="4" w:space="0"/>
            </w:tcBorders>
            <w:vAlign w:val="center"/>
          </w:tcPr>
          <w:p w14:paraId="56DA9D0B">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p>
        </w:tc>
      </w:tr>
      <w:tr w14:paraId="7630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2" w:type="pct"/>
            <w:gridSpan w:val="3"/>
            <w:tcBorders>
              <w:top w:val="single" w:color="auto" w:sz="4" w:space="0"/>
              <w:left w:val="single" w:color="auto" w:sz="4" w:space="0"/>
              <w:right w:val="single" w:color="auto" w:sz="4" w:space="0"/>
            </w:tcBorders>
            <w:vAlign w:val="center"/>
          </w:tcPr>
          <w:p w14:paraId="37164C4E">
            <w:pPr>
              <w:pStyle w:val="203"/>
              <w:keepNext w:val="0"/>
              <w:keepLines w:val="0"/>
              <w:suppressLineNumbers w:val="0"/>
              <w:tabs>
                <w:tab w:val="left" w:pos="585"/>
                <w:tab w:val="left" w:pos="680"/>
              </w:tabs>
              <w:snapToGrid w:val="0"/>
              <w:spacing w:before="0" w:beforeAutospacing="0" w:after="0" w:afterAutospacing="0" w:line="360" w:lineRule="auto"/>
              <w:ind w:left="0" w:right="0" w:rightChars="0"/>
              <w:jc w:val="center"/>
              <w:rPr>
                <w:rFonts w:hint="eastAsia" w:ascii="宋体" w:hAnsi="宋体" w:eastAsia="宋体" w:cs="宋体"/>
                <w:color w:val="auto"/>
                <w:kern w:val="0"/>
                <w:szCs w:val="21"/>
                <w:highlight w:val="none"/>
              </w:rPr>
            </w:pPr>
            <w:r>
              <w:rPr>
                <w:rFonts w:hint="eastAsia" w:ascii="宋体" w:hAnsi="宋体" w:cs="宋体"/>
                <w:b/>
                <w:color w:val="auto"/>
                <w:szCs w:val="21"/>
                <w:highlight w:val="none"/>
                <w:lang w:val="zh-CN"/>
              </w:rPr>
              <w:t>技术总分</w:t>
            </w:r>
          </w:p>
        </w:tc>
        <w:tc>
          <w:tcPr>
            <w:tcW w:w="437" w:type="pct"/>
            <w:tcBorders>
              <w:top w:val="single" w:color="auto" w:sz="4" w:space="0"/>
              <w:left w:val="single" w:color="auto" w:sz="4" w:space="0"/>
              <w:right w:val="single" w:color="auto" w:sz="4" w:space="0"/>
            </w:tcBorders>
            <w:vAlign w:val="center"/>
          </w:tcPr>
          <w:p w14:paraId="02B28C00">
            <w:pPr>
              <w:pStyle w:val="203"/>
              <w:keepNext w:val="0"/>
              <w:keepLines w:val="0"/>
              <w:suppressLineNumbers w:val="0"/>
              <w:tabs>
                <w:tab w:val="left" w:pos="585"/>
                <w:tab w:val="left" w:pos="680"/>
              </w:tabs>
              <w:snapToGrid w:val="0"/>
              <w:spacing w:before="0" w:beforeAutospacing="0" w:after="0" w:afterAutospacing="0" w:line="360" w:lineRule="auto"/>
              <w:ind w:left="0" w:right="0" w:rightChars="0"/>
              <w:jc w:val="center"/>
              <w:rPr>
                <w:rFonts w:hint="eastAsia" w:ascii="宋体" w:hAnsi="宋体" w:eastAsia="宋体" w:cs="宋体"/>
                <w:color w:val="auto"/>
                <w:kern w:val="0"/>
                <w:szCs w:val="21"/>
                <w:highlight w:val="none"/>
                <w:lang w:eastAsia="zh-CN"/>
              </w:rPr>
            </w:pPr>
            <w:r>
              <w:rPr>
                <w:rFonts w:hint="default" w:ascii="宋体" w:hAnsi="宋体" w:cs="宋体"/>
                <w:b/>
                <w:color w:val="auto"/>
                <w:szCs w:val="21"/>
                <w:highlight w:val="none"/>
                <w:lang w:val="en-US"/>
              </w:rPr>
              <w:t>4</w:t>
            </w:r>
            <w:r>
              <w:rPr>
                <w:rFonts w:hint="eastAsia" w:ascii="宋体" w:hAnsi="宋体" w:cs="宋体"/>
                <w:b/>
                <w:color w:val="auto"/>
                <w:szCs w:val="21"/>
                <w:highlight w:val="none"/>
                <w:lang w:val="en-US" w:eastAsia="zh-CN"/>
              </w:rPr>
              <w:t>5</w:t>
            </w:r>
          </w:p>
        </w:tc>
      </w:tr>
      <w:bookmarkEnd w:id="852"/>
    </w:tbl>
    <w:p w14:paraId="03893488">
      <w:pPr>
        <w:keepNext w:val="0"/>
        <w:keepLines w:val="0"/>
        <w:widowControl w:val="0"/>
        <w:suppressLineNumbers w:val="0"/>
        <w:kinsoku/>
        <w:overflowPunct/>
        <w:autoSpaceDE w:val="0"/>
        <w:autoSpaceDN w:val="0"/>
        <w:bidi w:val="0"/>
        <w:adjustRightInd w:val="0"/>
        <w:spacing w:before="0" w:beforeAutospacing="0" w:after="0" w:afterAutospacing="0" w:line="360" w:lineRule="auto"/>
        <w:ind w:left="420" w:leftChars="200" w:righ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p w14:paraId="3EC06BE3">
      <w:pPr>
        <w:autoSpaceDE w:val="0"/>
        <w:autoSpaceDN w:val="0"/>
        <w:adjustRightInd w:val="0"/>
        <w:spacing w:line="360" w:lineRule="auto"/>
        <w:ind w:left="420" w:leftChars="200" w:firstLine="420" w:firstLineChars="200"/>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①表中“[”代表闭区间，“]”代表闭区间，如[0，1]代表该分数段范围为大于等于0且小于等于1。表中“（”代表开区间，“]”代表闭区间，如（1，2]代表该分数段范围为大于1且小于等于2。</w:t>
      </w:r>
    </w:p>
    <w:p w14:paraId="514E3EDA">
      <w:pPr>
        <w:autoSpaceDE w:val="0"/>
        <w:autoSpaceDN w:val="0"/>
        <w:adjustRightInd w:val="0"/>
        <w:spacing w:line="360" w:lineRule="auto"/>
        <w:ind w:left="420" w:leftChars="200" w:firstLine="420" w:firstLineChars="200"/>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②分数出现小数点，保留小数点后2位，从小数点后第3位四舍五入。</w:t>
      </w:r>
    </w:p>
    <w:p w14:paraId="5F4EA345">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③上述“评分项目”中按“优、良、中、差”区间评审的，若低于该项满分分值60%时，评标专家需详细填写该项低分的充分理由，例如：该项目内容存在违反国家有关标准和规范或与项目实际不符等原则性问题。</w:t>
      </w:r>
    </w:p>
    <w:p w14:paraId="7EA2E1C5">
      <w:pPr>
        <w:autoSpaceDE w:val="0"/>
        <w:autoSpaceDN w:val="0"/>
        <w:adjustRightInd w:val="0"/>
        <w:spacing w:line="360" w:lineRule="auto"/>
        <w:ind w:left="420" w:leftChars="200"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Cs w:val="21"/>
          <w:highlight w:val="none"/>
          <w:lang w:val="en-US" w:eastAsia="zh-CN"/>
        </w:rPr>
        <w:t>④对于各评标委员会成员存在客观分打分不一致时,根据少数服从多数的原则，以记名方式表决确定该项的评分。</w:t>
      </w:r>
    </w:p>
    <w:p w14:paraId="4C3B43A5">
      <w:pPr>
        <w:keepNext w:val="0"/>
        <w:keepLines w:val="0"/>
        <w:widowControl w:val="0"/>
        <w:suppressLineNumbers w:val="0"/>
        <w:tabs>
          <w:tab w:val="left" w:pos="585"/>
        </w:tabs>
        <w:kinsoku/>
        <w:overflowPunct/>
        <w:autoSpaceDE w:val="0"/>
        <w:autoSpaceDN w:val="0"/>
        <w:bidi w:val="0"/>
        <w:adjustRightInd w:val="0"/>
        <w:spacing w:before="0" w:beforeAutospacing="0" w:after="0" w:afterAutospacing="0" w:line="400" w:lineRule="exact"/>
        <w:ind w:left="0" w:right="0"/>
        <w:jc w:val="both"/>
        <w:outlineLvl w:val="9"/>
        <w:rPr>
          <w:rFonts w:hint="eastAsia" w:ascii="宋体" w:hAnsi="宋体" w:eastAsia="宋体" w:cs="宋体"/>
          <w:b/>
          <w:bCs w:val="0"/>
          <w:color w:val="auto"/>
          <w:kern w:val="2"/>
          <w:sz w:val="21"/>
          <w:szCs w:val="21"/>
          <w:highlight w:val="none"/>
        </w:rPr>
      </w:pPr>
      <w:bookmarkStart w:id="853" w:name="_Toc19726"/>
      <w:r>
        <w:rPr>
          <w:rFonts w:hint="eastAsia" w:ascii="宋体" w:hAnsi="宋体" w:eastAsia="宋体" w:cs="宋体"/>
          <w:b/>
          <w:bCs w:val="0"/>
          <w:color w:val="auto"/>
          <w:kern w:val="2"/>
          <w:sz w:val="21"/>
          <w:szCs w:val="21"/>
          <w:highlight w:val="none"/>
          <w:lang w:val="en-US" w:eastAsia="zh-CN" w:bidi="ar"/>
        </w:rPr>
        <w:t>（4）综合得分</w:t>
      </w:r>
      <w:bookmarkEnd w:id="853"/>
    </w:p>
    <w:p w14:paraId="0A006076">
      <w:pPr>
        <w:keepNext w:val="0"/>
        <w:keepLines w:val="0"/>
        <w:widowControl w:val="0"/>
        <w:suppressLineNumbers w:val="0"/>
        <w:kinsoku/>
        <w:overflowPunct/>
        <w:bidi w:val="0"/>
        <w:spacing w:before="0" w:beforeAutospacing="0" w:after="0" w:afterAutospacing="0" w:line="400" w:lineRule="exact"/>
        <w:ind w:left="0" w:right="0" w:firstLine="848" w:firstLineChars="404"/>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评标总得分=F1＋F2＋……+Fn</w:t>
      </w:r>
    </w:p>
    <w:p w14:paraId="1736C991">
      <w:pPr>
        <w:keepNext w:val="0"/>
        <w:keepLines w:val="0"/>
        <w:widowControl/>
        <w:suppressLineNumbers w:val="0"/>
        <w:kinsoku/>
        <w:overflowPunct/>
        <w:autoSpaceDE w:val="0"/>
        <w:autoSpaceDN w:val="0"/>
        <w:bidi w:val="0"/>
        <w:adjustRightInd w:val="0"/>
        <w:spacing w:before="0" w:beforeAutospacing="0" w:after="0" w:afterAutospacing="0" w:line="400" w:lineRule="exact"/>
        <w:ind w:left="0" w:right="0" w:firstLine="840" w:firstLineChars="4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F1、F2、……Fn分别为各项评分因素的得分。</w:t>
      </w:r>
    </w:p>
    <w:p w14:paraId="4459F4CD">
      <w:pPr>
        <w:kinsoku/>
        <w:overflowPunct/>
        <w:autoSpaceDE w:val="0"/>
        <w:autoSpaceDN w:val="0"/>
        <w:bidi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lang w:eastAsia="zh-CN"/>
        </w:rPr>
      </w:pPr>
    </w:p>
    <w:p w14:paraId="416FBFBF">
      <w:pPr>
        <w:kinsoku/>
        <w:overflowPunct/>
        <w:autoSpaceDE w:val="0"/>
        <w:autoSpaceDN w:val="0"/>
        <w:bidi w:val="0"/>
        <w:adjustRightInd w:val="0"/>
        <w:spacing w:line="360" w:lineRule="auto"/>
        <w:jc w:val="center"/>
        <w:outlineLvl w:val="9"/>
        <w:rPr>
          <w:rFonts w:ascii="宋体" w:hAnsi="宋体" w:eastAsia="宋体" w:cs="宋体"/>
          <w:b/>
          <w:bCs/>
          <w:color w:val="auto"/>
          <w:sz w:val="28"/>
          <w:szCs w:val="28"/>
          <w:highlight w:val="none"/>
        </w:rPr>
      </w:pPr>
      <w:bookmarkStart w:id="854" w:name="_Toc518_WPSOffice_Level1"/>
      <w:r>
        <w:rPr>
          <w:rFonts w:hint="eastAsia" w:ascii="宋体" w:hAnsi="宋体" w:eastAsia="宋体" w:cs="宋体"/>
          <w:b/>
          <w:bCs/>
          <w:color w:val="auto"/>
          <w:sz w:val="28"/>
          <w:szCs w:val="28"/>
          <w:highlight w:val="none"/>
          <w:lang w:val="zh-CN"/>
        </w:rPr>
        <w:t>五、推荐中标人</w:t>
      </w:r>
      <w:bookmarkEnd w:id="854"/>
    </w:p>
    <w:p w14:paraId="54FE1768">
      <w:pPr>
        <w:spacing w:line="400" w:lineRule="exact"/>
        <w:ind w:left="420" w:leftChars="200" w:firstLine="0" w:firstLineChars="0"/>
        <w:rPr>
          <w:rFonts w:ascii="宋体" w:hAnsi="宋体" w:eastAsia="宋体" w:cs="宋体"/>
          <w:b/>
          <w:bCs/>
          <w:szCs w:val="21"/>
          <w:highlight w:val="none"/>
          <w:lang w:val="zh-CN"/>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宋体"/>
          <w:b/>
          <w:szCs w:val="21"/>
          <w:highlight w:val="none"/>
          <w:lang w:val="zh-CN"/>
        </w:rPr>
        <w:t>符合条件的合格投标人均可参加东莞市水务环境投资控股集团有限公司招标采购代理协议服务项目</w:t>
      </w:r>
      <w:r>
        <w:rPr>
          <w:rFonts w:hint="eastAsia" w:ascii="宋体" w:hAnsi="宋体" w:eastAsia="宋体" w:cs="宋体"/>
          <w:b/>
          <w:szCs w:val="21"/>
          <w:highlight w:val="none"/>
          <w:lang w:val="en-US" w:eastAsia="zh-CN"/>
        </w:rPr>
        <w:t>标段一和标段二</w:t>
      </w:r>
      <w:r>
        <w:rPr>
          <w:rFonts w:hint="eastAsia" w:ascii="宋体" w:hAnsi="宋体" w:eastAsia="宋体" w:cs="宋体"/>
          <w:b/>
          <w:szCs w:val="21"/>
          <w:highlight w:val="none"/>
          <w:lang w:val="zh-CN"/>
        </w:rPr>
        <w:t>的投标，但同一投标人仅可中标上述其中一个</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lang w:val="zh-CN"/>
        </w:rPr>
        <w:t>，即一旦获得上述其中一个</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lang w:val="zh-CN"/>
        </w:rPr>
        <w:t>第一中标候选人资格的投标人，不能再被推荐为另外一个</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lang w:val="zh-CN"/>
        </w:rPr>
        <w:t>的中标候选人</w:t>
      </w:r>
      <w:r>
        <w:rPr>
          <w:rFonts w:hint="eastAsia" w:ascii="宋体" w:hAnsi="宋体" w:eastAsia="宋体" w:cs="宋体"/>
          <w:b/>
          <w:bCs/>
          <w:szCs w:val="21"/>
          <w:highlight w:val="none"/>
          <w:lang w:val="zh-CN"/>
        </w:rPr>
        <w:t>。</w:t>
      </w:r>
    </w:p>
    <w:p w14:paraId="7098A1C6">
      <w:pPr>
        <w:spacing w:line="400" w:lineRule="exact"/>
        <w:ind w:left="420" w:leftChars="200" w:firstLine="420" w:firstLineChars="200"/>
        <w:rPr>
          <w:rFonts w:ascii="宋体" w:hAnsi="宋体" w:eastAsia="宋体" w:cs="宋体"/>
          <w:szCs w:val="21"/>
          <w:highlight w:val="none"/>
        </w:rPr>
      </w:pPr>
      <w:r>
        <w:rPr>
          <w:rFonts w:hint="eastAsia" w:ascii="宋体" w:hAnsi="宋体" w:eastAsia="宋体" w:cs="宋体"/>
          <w:kern w:val="0"/>
          <w:szCs w:val="21"/>
          <w:highlight w:val="none"/>
          <w:lang w:val="zh-CN"/>
        </w:rPr>
        <w:t>评标委员会按评审后得分由高到低顺序排列</w:t>
      </w:r>
      <w:r>
        <w:rPr>
          <w:rFonts w:hint="eastAsia" w:ascii="宋体" w:hAnsi="宋体" w:eastAsia="宋体" w:cs="宋体"/>
          <w:szCs w:val="21"/>
          <w:highlight w:val="none"/>
        </w:rPr>
        <w:t>，并向</w:t>
      </w:r>
      <w:r>
        <w:rPr>
          <w:rFonts w:hint="eastAsia" w:ascii="宋体" w:hAnsi="宋体" w:eastAsia="宋体" w:cs="宋体"/>
          <w:szCs w:val="21"/>
          <w:highlight w:val="none"/>
          <w:lang w:eastAsia="zh-CN"/>
        </w:rPr>
        <w:t>招标（采购）人</w:t>
      </w:r>
      <w:r>
        <w:rPr>
          <w:rFonts w:hint="eastAsia" w:ascii="宋体" w:hAnsi="宋体" w:eastAsia="宋体" w:cs="宋体"/>
          <w:szCs w:val="21"/>
          <w:highlight w:val="none"/>
        </w:rPr>
        <w:t>推荐综合得分前</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名的投标人为第一中标候选人，综合得分排名第</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名的为第二中标候选人，综合得分排名第</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名的为第三中标候选人，以此类推（若有效投标人不足</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家的则根据实际情况推荐），</w:t>
      </w:r>
      <w:r>
        <w:rPr>
          <w:rFonts w:hint="eastAsia" w:ascii="宋体" w:hAnsi="宋体" w:eastAsia="宋体" w:cs="宋体"/>
          <w:szCs w:val="21"/>
          <w:highlight w:val="none"/>
          <w:lang w:eastAsia="zh-CN"/>
        </w:rPr>
        <w:t>招标（采购）人</w:t>
      </w:r>
      <w:r>
        <w:rPr>
          <w:rFonts w:hint="eastAsia" w:ascii="宋体" w:hAnsi="宋体" w:eastAsia="宋体" w:cs="宋体"/>
          <w:szCs w:val="21"/>
          <w:highlight w:val="none"/>
        </w:rPr>
        <w:t>将确定第一中标候选人为中标人。</w:t>
      </w:r>
    </w:p>
    <w:p w14:paraId="23901670">
      <w:pPr>
        <w:kinsoku/>
        <w:overflowPunct/>
        <w:autoSpaceDE w:val="0"/>
        <w:autoSpaceDN w:val="0"/>
        <w:bidi w:val="0"/>
        <w:adjustRightInd w:val="0"/>
        <w:spacing w:line="360" w:lineRule="auto"/>
        <w:ind w:left="420" w:leftChars="200" w:firstLine="420" w:firstLineChars="200"/>
        <w:jc w:val="left"/>
        <w:outlineLvl w:val="9"/>
        <w:rPr>
          <w:rFonts w:ascii="宋体" w:hAnsi="宋体" w:eastAsia="宋体" w:cs="Times New Roman"/>
          <w:color w:val="auto"/>
          <w:kern w:val="0"/>
          <w:szCs w:val="24"/>
          <w:highlight w:val="none"/>
          <w:lang w:val="zh-CN"/>
        </w:rPr>
      </w:pPr>
      <w:r>
        <w:rPr>
          <w:rFonts w:hint="eastAsia" w:ascii="宋体" w:hAnsi="宋体" w:eastAsia="宋体" w:cs="宋体"/>
          <w:kern w:val="0"/>
          <w:szCs w:val="21"/>
          <w:highlight w:val="none"/>
          <w:lang w:val="zh-CN"/>
        </w:rPr>
        <w:t>如果有两个或以上的投标人的综合得分相同，则按以下方式确定得分相同的投标人的排名次序：在综合得分相同的投标人中按</w:t>
      </w:r>
      <w:r>
        <w:rPr>
          <w:rFonts w:hint="eastAsia" w:ascii="宋体" w:hAnsi="宋体" w:eastAsia="宋体" w:cs="宋体"/>
          <w:kern w:val="0"/>
          <w:szCs w:val="21"/>
          <w:highlight w:val="none"/>
          <w:lang w:val="en-US" w:eastAsia="zh-CN"/>
        </w:rPr>
        <w:t>商务</w:t>
      </w:r>
      <w:r>
        <w:rPr>
          <w:rFonts w:hint="eastAsia" w:ascii="宋体" w:hAnsi="宋体" w:eastAsia="宋体" w:cs="宋体"/>
          <w:kern w:val="0"/>
          <w:szCs w:val="21"/>
          <w:highlight w:val="none"/>
          <w:lang w:val="zh-CN"/>
        </w:rPr>
        <w:t>得分由高至低排出次序，得分高的排前，得分低的排后；</w:t>
      </w:r>
      <w:r>
        <w:rPr>
          <w:rFonts w:hint="eastAsia" w:ascii="宋体" w:hAnsi="宋体" w:eastAsia="宋体" w:cs="宋体"/>
          <w:highlight w:val="none"/>
          <w:lang w:val="en-US" w:eastAsia="zh-CN"/>
        </w:rPr>
        <w:t>综合得分和商务得分均相同的，按投标人提供符合评审标准（中级职称或以上）的人员数量排序，人员数量多的排前，数量少的排后；</w:t>
      </w:r>
      <w:r>
        <w:rPr>
          <w:rFonts w:hint="eastAsia" w:ascii="宋体" w:hAnsi="宋体" w:eastAsia="宋体" w:cs="宋体"/>
          <w:kern w:val="0"/>
          <w:szCs w:val="21"/>
          <w:highlight w:val="none"/>
          <w:lang w:val="zh-CN"/>
        </w:rPr>
        <w:t>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eastAsia="宋体" w:cs="Times New Roman"/>
          <w:color w:val="auto"/>
          <w:kern w:val="0"/>
          <w:szCs w:val="21"/>
          <w:highlight w:val="none"/>
        </w:rPr>
        <w:t>。</w:t>
      </w:r>
    </w:p>
    <w:p w14:paraId="59180101">
      <w:pPr>
        <w:widowControl/>
        <w:kinsoku/>
        <w:overflowPunct/>
        <w:bidi w:val="0"/>
        <w:spacing w:line="360" w:lineRule="auto"/>
        <w:jc w:val="left"/>
        <w:outlineLvl w:val="9"/>
        <w:rPr>
          <w:rFonts w:ascii="宋体" w:hAnsi="宋体" w:eastAsia="宋体" w:cs="宋体"/>
          <w:color w:val="auto"/>
          <w:kern w:val="0"/>
          <w:szCs w:val="21"/>
          <w:highlight w:val="none"/>
        </w:rPr>
      </w:pPr>
    </w:p>
    <w:p w14:paraId="754527B4">
      <w:pPr>
        <w:kinsoku/>
        <w:overflowPunct/>
        <w:autoSpaceDE w:val="0"/>
        <w:autoSpaceDN w:val="0"/>
        <w:bidi w:val="0"/>
        <w:adjustRightInd w:val="0"/>
        <w:spacing w:line="360" w:lineRule="auto"/>
        <w:ind w:left="185" w:leftChars="88" w:firstLine="3443" w:firstLineChars="1225"/>
        <w:outlineLvl w:val="9"/>
        <w:rPr>
          <w:rFonts w:ascii="宋体" w:hAnsi="宋体" w:eastAsia="宋体" w:cs="宋体"/>
          <w:b/>
          <w:bCs/>
          <w:color w:val="auto"/>
          <w:sz w:val="28"/>
          <w:szCs w:val="28"/>
          <w:highlight w:val="none"/>
          <w:lang w:val="zh-CN"/>
        </w:rPr>
      </w:pPr>
      <w:bookmarkStart w:id="855" w:name="_Toc22724_WPSOffice_Level1"/>
      <w:r>
        <w:rPr>
          <w:rFonts w:hint="eastAsia" w:ascii="宋体" w:hAnsi="宋体" w:eastAsia="宋体" w:cs="宋体"/>
          <w:b/>
          <w:bCs/>
          <w:color w:val="auto"/>
          <w:sz w:val="28"/>
          <w:szCs w:val="28"/>
          <w:highlight w:val="none"/>
          <w:lang w:val="zh-CN"/>
        </w:rPr>
        <w:t>六、编写评标报告</w:t>
      </w:r>
      <w:bookmarkEnd w:id="855"/>
    </w:p>
    <w:p w14:paraId="72536174">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649552E3">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（1）开标邀请时间、开标日期和地点；</w:t>
      </w:r>
    </w:p>
    <w:p w14:paraId="5B0525B2">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（2）获取招标（采购）文件的投标人名单和评标委员会成员名单；</w:t>
      </w:r>
    </w:p>
    <w:p w14:paraId="299B961D">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（3）开标评审方法和标准；</w:t>
      </w:r>
    </w:p>
    <w:p w14:paraId="49C7F23A">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（4）开标评审记录和评审情况及说明，包括投标无效投标人名单及原因；</w:t>
      </w:r>
    </w:p>
    <w:p w14:paraId="1B9D0FE0">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（5）评审结果和中标候选投标人排序表；</w:t>
      </w:r>
    </w:p>
    <w:p w14:paraId="54577BD5">
      <w:pPr>
        <w:kinsoku/>
        <w:overflowPunct/>
        <w:autoSpaceDE w:val="0"/>
        <w:autoSpaceDN w:val="0"/>
        <w:bidi w:val="0"/>
        <w:adjustRightInd w:val="0"/>
        <w:spacing w:line="360" w:lineRule="auto"/>
        <w:jc w:val="left"/>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（6）评标委员会的推荐建议。</w:t>
      </w:r>
    </w:p>
    <w:p w14:paraId="1AA58FA6">
      <w:pPr>
        <w:kinsoku/>
        <w:overflowPunct/>
        <w:autoSpaceDE w:val="0"/>
        <w:autoSpaceDN w:val="0"/>
        <w:bidi w:val="0"/>
        <w:adjustRightInd w:val="0"/>
        <w:spacing w:line="360" w:lineRule="auto"/>
        <w:jc w:val="center"/>
        <w:outlineLvl w:val="9"/>
        <w:rPr>
          <w:rFonts w:ascii="宋体" w:hAnsi="宋体" w:eastAsia="宋体" w:cs="宋体"/>
          <w:b/>
          <w:bCs/>
          <w:color w:val="auto"/>
          <w:sz w:val="28"/>
          <w:szCs w:val="28"/>
          <w:highlight w:val="none"/>
          <w:lang w:val="zh-CN"/>
        </w:rPr>
      </w:pPr>
    </w:p>
    <w:p w14:paraId="064B2A5E">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lang w:val="zh-CN"/>
        </w:rPr>
      </w:pPr>
      <w:bookmarkStart w:id="856" w:name="_Toc23773_WPSOffice_Level1"/>
      <w:r>
        <w:rPr>
          <w:rFonts w:hint="eastAsia" w:ascii="宋体" w:hAnsi="宋体" w:eastAsia="宋体" w:cs="宋体"/>
          <w:b/>
          <w:bCs/>
          <w:color w:val="auto"/>
          <w:sz w:val="28"/>
          <w:szCs w:val="28"/>
          <w:highlight w:val="none"/>
          <w:lang w:val="zh-CN"/>
        </w:rPr>
        <w:t>七、注意事项</w:t>
      </w:r>
      <w:bookmarkEnd w:id="856"/>
    </w:p>
    <w:p w14:paraId="587B47FC">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66425E4D">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（1）在评审工作期间，所有分发的投标文件、资料等仅限于在评审场所中使用，不得带往其它地方，所有的招标（采购）文件、投标文件、资料等一律编号登记；</w:t>
      </w:r>
    </w:p>
    <w:p w14:paraId="3240460E">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B045A87">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88BC1A7">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如有需要举行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1EBD7A3">
      <w:pPr>
        <w:kinsoku/>
        <w:overflowPunct/>
        <w:autoSpaceDE w:val="0"/>
        <w:autoSpaceDN w:val="0"/>
        <w:bidi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780"/>
      <w:bookmarkEnd w:id="809"/>
      <w:bookmarkEnd w:id="810"/>
      <w:bookmarkEnd w:id="811"/>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4082E">
    <w:pPr>
      <w:pStyle w:val="28"/>
      <w:spacing w:beforeLines="0" w:afterLines="0"/>
      <w:jc w:val="center"/>
      <w:rPr>
        <w:rFonts w:hint="default"/>
        <w:sz w:val="18"/>
        <w:szCs w:val="18"/>
      </w:rPr>
    </w:pPr>
    <w:r>
      <w:rPr>
        <w:rFonts w:hint="default"/>
        <w:sz w:val="18"/>
        <w:szCs w:val="18"/>
      </w:rPr>
      <w:t>第</w:t>
    </w:r>
    <w:r>
      <w:rPr>
        <w:rFonts w:hint="default"/>
        <w:sz w:val="18"/>
        <w:szCs w:val="18"/>
      </w:rPr>
      <w:fldChar w:fldCharType="begin"/>
    </w:r>
    <w:r>
      <w:rPr>
        <w:rFonts w:hint="default"/>
        <w:sz w:val="18"/>
        <w:szCs w:val="18"/>
      </w:rPr>
      <w:instrText xml:space="preserve">PAGE</w:instrText>
    </w:r>
    <w:r>
      <w:rPr>
        <w:rFonts w:hint="default"/>
        <w:sz w:val="18"/>
        <w:szCs w:val="18"/>
      </w:rPr>
      <w:fldChar w:fldCharType="separate"/>
    </w:r>
    <w:r>
      <w:rPr>
        <w:rFonts w:hint="default"/>
        <w:sz w:val="18"/>
        <w:szCs w:val="18"/>
      </w:rPr>
      <w:t>157</w:t>
    </w:r>
    <w:r>
      <w:rPr>
        <w:rFonts w:hint="default"/>
        <w:sz w:val="18"/>
        <w:szCs w:val="18"/>
      </w:rPr>
      <w:fldChar w:fldCharType="end"/>
    </w:r>
    <w:r>
      <w:rPr>
        <w:rFonts w:hint="default"/>
        <w:sz w:val="18"/>
        <w:szCs w:val="18"/>
        <w:lang w:val="zh-CN"/>
      </w:rPr>
      <w:t>页 共</w:t>
    </w:r>
    <w:r>
      <w:rPr>
        <w:rFonts w:hint="default"/>
        <w:sz w:val="18"/>
        <w:szCs w:val="18"/>
      </w:rPr>
      <w:fldChar w:fldCharType="begin"/>
    </w:r>
    <w:r>
      <w:rPr>
        <w:rFonts w:hint="default"/>
        <w:sz w:val="18"/>
        <w:szCs w:val="18"/>
      </w:rPr>
      <w:instrText xml:space="preserve">NUMPAGES</w:instrText>
    </w:r>
    <w:r>
      <w:rPr>
        <w:rFonts w:hint="default"/>
        <w:sz w:val="18"/>
        <w:szCs w:val="18"/>
      </w:rPr>
      <w:fldChar w:fldCharType="separate"/>
    </w:r>
    <w:r>
      <w:rPr>
        <w:rFonts w:hint="default"/>
        <w:sz w:val="18"/>
        <w:szCs w:val="18"/>
      </w:rPr>
      <w:t>199</w:t>
    </w:r>
    <w:r>
      <w:rPr>
        <w:rFonts w:hint="default"/>
        <w:sz w:val="18"/>
        <w:szCs w:val="18"/>
      </w:rPr>
      <w:fldChar w:fldCharType="end"/>
    </w:r>
    <w:r>
      <w:rPr>
        <w:rFonts w:hint="default"/>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0ADC">
    <w:pPr>
      <w:pStyle w:val="28"/>
      <w:spacing w:beforeLines="0" w:afterLines="0"/>
      <w:jc w:val="center"/>
      <w:rPr>
        <w:rFonts w:hint="default"/>
        <w:sz w:val="18"/>
        <w:szCs w:val="18"/>
      </w:rPr>
    </w:pPr>
    <w:r>
      <w:rPr>
        <w:rFonts w:hint="default"/>
        <w:sz w:val="18"/>
        <w:szCs w:val="18"/>
      </w:rPr>
      <w:t>第</w:t>
    </w:r>
    <w:r>
      <w:rPr>
        <w:rFonts w:hint="default"/>
        <w:sz w:val="18"/>
        <w:szCs w:val="18"/>
      </w:rPr>
      <w:fldChar w:fldCharType="begin"/>
    </w:r>
    <w:r>
      <w:rPr>
        <w:rFonts w:hint="default"/>
        <w:sz w:val="18"/>
        <w:szCs w:val="18"/>
      </w:rPr>
      <w:instrText xml:space="preserve">PAGE</w:instrText>
    </w:r>
    <w:r>
      <w:rPr>
        <w:rFonts w:hint="default"/>
        <w:sz w:val="18"/>
        <w:szCs w:val="18"/>
      </w:rPr>
      <w:fldChar w:fldCharType="separate"/>
    </w:r>
    <w:r>
      <w:rPr>
        <w:rFonts w:hint="default"/>
        <w:sz w:val="18"/>
        <w:szCs w:val="18"/>
      </w:rPr>
      <w:t>140</w:t>
    </w:r>
    <w:r>
      <w:rPr>
        <w:rFonts w:hint="default"/>
        <w:sz w:val="18"/>
        <w:szCs w:val="18"/>
      </w:rPr>
      <w:fldChar w:fldCharType="end"/>
    </w:r>
    <w:r>
      <w:rPr>
        <w:rFonts w:hint="default"/>
        <w:sz w:val="18"/>
        <w:szCs w:val="18"/>
        <w:lang w:val="zh-CN"/>
      </w:rPr>
      <w:t>页 共</w:t>
    </w:r>
    <w:r>
      <w:rPr>
        <w:rFonts w:hint="default"/>
        <w:sz w:val="18"/>
        <w:szCs w:val="18"/>
      </w:rPr>
      <w:fldChar w:fldCharType="begin"/>
    </w:r>
    <w:r>
      <w:rPr>
        <w:rFonts w:hint="default"/>
        <w:sz w:val="18"/>
        <w:szCs w:val="18"/>
      </w:rPr>
      <w:instrText xml:space="preserve">NUMPAGES</w:instrText>
    </w:r>
    <w:r>
      <w:rPr>
        <w:rFonts w:hint="default"/>
        <w:sz w:val="18"/>
        <w:szCs w:val="18"/>
      </w:rPr>
      <w:fldChar w:fldCharType="separate"/>
    </w:r>
    <w:r>
      <w:rPr>
        <w:rFonts w:hint="default"/>
        <w:sz w:val="18"/>
        <w:szCs w:val="18"/>
      </w:rPr>
      <w:t>199</w:t>
    </w:r>
    <w:r>
      <w:rPr>
        <w:rFonts w:hint="default"/>
        <w:sz w:val="18"/>
        <w:szCs w:val="18"/>
      </w:rPr>
      <w:fldChar w:fldCharType="end"/>
    </w:r>
    <w:r>
      <w:rPr>
        <w:rFonts w:hint="default"/>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2C5C">
    <w:pPr>
      <w:pStyle w:val="28"/>
      <w:jc w:val="center"/>
    </w:pPr>
    <w:r>
      <w:rPr>
        <w:rFonts w:hint="eastAsia"/>
      </w:rPr>
      <w:t>第</w:t>
    </w:r>
    <w:r>
      <w:rPr>
        <w:bCs/>
      </w:rPr>
      <w:fldChar w:fldCharType="begin"/>
    </w:r>
    <w:r>
      <w:rPr>
        <w:bCs/>
      </w:rPr>
      <w:instrText xml:space="preserve">PAGE</w:instrText>
    </w:r>
    <w:r>
      <w:rPr>
        <w:bCs/>
      </w:rPr>
      <w:fldChar w:fldCharType="separate"/>
    </w:r>
    <w:r>
      <w:rPr>
        <w:bCs/>
      </w:rPr>
      <w:t>161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1263">
    <w:pPr>
      <w:pStyle w:val="28"/>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47F77">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202</w:t>
    </w:r>
    <w:r>
      <w:rPr>
        <w:bCs/>
        <w:sz w:val="24"/>
        <w:szCs w:val="24"/>
      </w:rPr>
      <w:fldChar w:fldCharType="end"/>
    </w:r>
    <w:r>
      <w:rPr>
        <w:b/>
        <w:bCs/>
        <w:sz w:val="24"/>
        <w:szCs w:val="24"/>
      </w:rPr>
      <w:t xml:space="preserve"> </w:t>
    </w:r>
    <w:r>
      <w:rPr>
        <w:rFonts w:hint="eastAsia"/>
      </w:rPr>
      <w:t>页</w:t>
    </w:r>
  </w:p>
  <w:p w14:paraId="6C0B893E">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60807"/>
    <w:multiLevelType w:val="singleLevel"/>
    <w:tmpl w:val="D6860807"/>
    <w:lvl w:ilvl="0" w:tentative="0">
      <w:start w:val="1"/>
      <w:numFmt w:val="chineseCounting"/>
      <w:suff w:val="nothing"/>
      <w:lvlText w:val="%1、"/>
      <w:lvlJc w:val="left"/>
      <w:rPr>
        <w:rFonts w:hint="eastAsia"/>
      </w:rPr>
    </w:lvl>
  </w:abstractNum>
  <w:abstractNum w:abstractNumId="1">
    <w:nsid w:val="F7BE8E2D"/>
    <w:multiLevelType w:val="singleLevel"/>
    <w:tmpl w:val="F7BE8E2D"/>
    <w:lvl w:ilvl="0" w:tentative="0">
      <w:start w:val="2"/>
      <w:numFmt w:val="decimal"/>
      <w:suff w:val="nothing"/>
      <w:lvlText w:val="（%1）"/>
      <w:lvlJc w:val="left"/>
    </w:lvl>
  </w:abstractNum>
  <w:abstractNum w:abstractNumId="2">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YzQxNDVlMWE4YjY2Yjc4MjZlY2NkYjhlZWNlYTE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6B09"/>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17EF4"/>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18FF"/>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2D0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3EAF"/>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E60"/>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D28C9"/>
    <w:rsid w:val="015059EE"/>
    <w:rsid w:val="01710365"/>
    <w:rsid w:val="018B37B3"/>
    <w:rsid w:val="01970CE9"/>
    <w:rsid w:val="01BB5A85"/>
    <w:rsid w:val="01BD616A"/>
    <w:rsid w:val="01D63A04"/>
    <w:rsid w:val="01ED6427"/>
    <w:rsid w:val="027C57B0"/>
    <w:rsid w:val="02975DA2"/>
    <w:rsid w:val="0299334F"/>
    <w:rsid w:val="02BC1AB4"/>
    <w:rsid w:val="02D20623"/>
    <w:rsid w:val="02D34569"/>
    <w:rsid w:val="0302105F"/>
    <w:rsid w:val="03211F11"/>
    <w:rsid w:val="0334789D"/>
    <w:rsid w:val="035622D5"/>
    <w:rsid w:val="03622455"/>
    <w:rsid w:val="03C74BB5"/>
    <w:rsid w:val="03D14AFC"/>
    <w:rsid w:val="03E0798B"/>
    <w:rsid w:val="03EA2651"/>
    <w:rsid w:val="03EC461B"/>
    <w:rsid w:val="03EE5D88"/>
    <w:rsid w:val="041209FC"/>
    <w:rsid w:val="04274CAC"/>
    <w:rsid w:val="0435036D"/>
    <w:rsid w:val="04372FFB"/>
    <w:rsid w:val="04403A48"/>
    <w:rsid w:val="045437FD"/>
    <w:rsid w:val="04554F55"/>
    <w:rsid w:val="0455554A"/>
    <w:rsid w:val="045D72C7"/>
    <w:rsid w:val="04D055E9"/>
    <w:rsid w:val="05225564"/>
    <w:rsid w:val="05282AA4"/>
    <w:rsid w:val="056903FC"/>
    <w:rsid w:val="058F7720"/>
    <w:rsid w:val="0592587A"/>
    <w:rsid w:val="05AF76AE"/>
    <w:rsid w:val="060A1319"/>
    <w:rsid w:val="063C4113"/>
    <w:rsid w:val="065055F6"/>
    <w:rsid w:val="06615B6D"/>
    <w:rsid w:val="0671705A"/>
    <w:rsid w:val="068368A8"/>
    <w:rsid w:val="06A75D00"/>
    <w:rsid w:val="06AE2959"/>
    <w:rsid w:val="06D05CDA"/>
    <w:rsid w:val="06E710CA"/>
    <w:rsid w:val="06EC048E"/>
    <w:rsid w:val="06F224DD"/>
    <w:rsid w:val="070D455F"/>
    <w:rsid w:val="071426B7"/>
    <w:rsid w:val="071C5217"/>
    <w:rsid w:val="07462FD2"/>
    <w:rsid w:val="07862999"/>
    <w:rsid w:val="07E37E3E"/>
    <w:rsid w:val="08607386"/>
    <w:rsid w:val="08797942"/>
    <w:rsid w:val="087D1CE6"/>
    <w:rsid w:val="08AB7738"/>
    <w:rsid w:val="08AF05F8"/>
    <w:rsid w:val="08E00F81"/>
    <w:rsid w:val="08F33D56"/>
    <w:rsid w:val="09403496"/>
    <w:rsid w:val="0946657C"/>
    <w:rsid w:val="09572537"/>
    <w:rsid w:val="09664528"/>
    <w:rsid w:val="09B305E8"/>
    <w:rsid w:val="09D05E45"/>
    <w:rsid w:val="09FB6CC1"/>
    <w:rsid w:val="0A097F22"/>
    <w:rsid w:val="0A0D22B5"/>
    <w:rsid w:val="0A171CC6"/>
    <w:rsid w:val="0A51342A"/>
    <w:rsid w:val="0A8B68D1"/>
    <w:rsid w:val="0A911A78"/>
    <w:rsid w:val="0AF54A38"/>
    <w:rsid w:val="0B0C7351"/>
    <w:rsid w:val="0B3C2236"/>
    <w:rsid w:val="0BCF58D8"/>
    <w:rsid w:val="0C0C40A8"/>
    <w:rsid w:val="0C1F5DD3"/>
    <w:rsid w:val="0C38116A"/>
    <w:rsid w:val="0C3952B8"/>
    <w:rsid w:val="0C3F46FB"/>
    <w:rsid w:val="0C526FE5"/>
    <w:rsid w:val="0C937D2A"/>
    <w:rsid w:val="0CCE0066"/>
    <w:rsid w:val="0CEA0AED"/>
    <w:rsid w:val="0D3861DB"/>
    <w:rsid w:val="0D502515"/>
    <w:rsid w:val="0DCB6F7B"/>
    <w:rsid w:val="0DF748F5"/>
    <w:rsid w:val="0E0D1416"/>
    <w:rsid w:val="0E214CDF"/>
    <w:rsid w:val="0E664D64"/>
    <w:rsid w:val="0E774FF5"/>
    <w:rsid w:val="0EF645A0"/>
    <w:rsid w:val="0F037F40"/>
    <w:rsid w:val="0F241091"/>
    <w:rsid w:val="0F2561EC"/>
    <w:rsid w:val="0F370844"/>
    <w:rsid w:val="0F482829"/>
    <w:rsid w:val="0F697A75"/>
    <w:rsid w:val="0F9230D3"/>
    <w:rsid w:val="0FC14B5C"/>
    <w:rsid w:val="0FE102BB"/>
    <w:rsid w:val="0FFF2ACC"/>
    <w:rsid w:val="10230FB4"/>
    <w:rsid w:val="103D33B1"/>
    <w:rsid w:val="108C58F8"/>
    <w:rsid w:val="109951E3"/>
    <w:rsid w:val="10B72B6A"/>
    <w:rsid w:val="10BC03C7"/>
    <w:rsid w:val="11094EF4"/>
    <w:rsid w:val="113C22F1"/>
    <w:rsid w:val="11851182"/>
    <w:rsid w:val="118D5137"/>
    <w:rsid w:val="11CF7AC1"/>
    <w:rsid w:val="11DA5AB3"/>
    <w:rsid w:val="11EA4A7C"/>
    <w:rsid w:val="1208099D"/>
    <w:rsid w:val="12B46E52"/>
    <w:rsid w:val="12BD3A51"/>
    <w:rsid w:val="12C22B33"/>
    <w:rsid w:val="12D616CB"/>
    <w:rsid w:val="12E32EDE"/>
    <w:rsid w:val="12FE1C75"/>
    <w:rsid w:val="130F4A87"/>
    <w:rsid w:val="1317761C"/>
    <w:rsid w:val="131E6243"/>
    <w:rsid w:val="1356473F"/>
    <w:rsid w:val="135B1B7B"/>
    <w:rsid w:val="139B1B3C"/>
    <w:rsid w:val="13C3373E"/>
    <w:rsid w:val="141C0B09"/>
    <w:rsid w:val="14237C67"/>
    <w:rsid w:val="143C0BC9"/>
    <w:rsid w:val="143F2545"/>
    <w:rsid w:val="145D1B0C"/>
    <w:rsid w:val="146A7358"/>
    <w:rsid w:val="14F96B98"/>
    <w:rsid w:val="150F3DBE"/>
    <w:rsid w:val="152A6D51"/>
    <w:rsid w:val="153732D2"/>
    <w:rsid w:val="15820CF9"/>
    <w:rsid w:val="158A77F0"/>
    <w:rsid w:val="15A13C38"/>
    <w:rsid w:val="15B61848"/>
    <w:rsid w:val="15E909BB"/>
    <w:rsid w:val="16047038"/>
    <w:rsid w:val="161E3E86"/>
    <w:rsid w:val="16225C7A"/>
    <w:rsid w:val="162B0FD3"/>
    <w:rsid w:val="162E65C0"/>
    <w:rsid w:val="163D1C9C"/>
    <w:rsid w:val="16527416"/>
    <w:rsid w:val="16B60189"/>
    <w:rsid w:val="16B8213B"/>
    <w:rsid w:val="16BF171B"/>
    <w:rsid w:val="16C115CB"/>
    <w:rsid w:val="16CF5E02"/>
    <w:rsid w:val="16E6367E"/>
    <w:rsid w:val="1706559C"/>
    <w:rsid w:val="171A2056"/>
    <w:rsid w:val="17321A57"/>
    <w:rsid w:val="174A48BA"/>
    <w:rsid w:val="176C0D57"/>
    <w:rsid w:val="177E4989"/>
    <w:rsid w:val="17B9407C"/>
    <w:rsid w:val="17C05342"/>
    <w:rsid w:val="17E01765"/>
    <w:rsid w:val="182745FA"/>
    <w:rsid w:val="18450EF1"/>
    <w:rsid w:val="191535A0"/>
    <w:rsid w:val="19293D73"/>
    <w:rsid w:val="192F4936"/>
    <w:rsid w:val="19325293"/>
    <w:rsid w:val="19643BF1"/>
    <w:rsid w:val="19862621"/>
    <w:rsid w:val="19A76BC3"/>
    <w:rsid w:val="1A010EDF"/>
    <w:rsid w:val="1A2521DD"/>
    <w:rsid w:val="1A5B175B"/>
    <w:rsid w:val="1A6920CA"/>
    <w:rsid w:val="1A75281D"/>
    <w:rsid w:val="1AD559B1"/>
    <w:rsid w:val="1ADD7A62"/>
    <w:rsid w:val="1AE34571"/>
    <w:rsid w:val="1B0940FF"/>
    <w:rsid w:val="1B667448"/>
    <w:rsid w:val="1B8A22F8"/>
    <w:rsid w:val="1B8D2C3F"/>
    <w:rsid w:val="1BB05D66"/>
    <w:rsid w:val="1BB76E65"/>
    <w:rsid w:val="1BB84D32"/>
    <w:rsid w:val="1BC27D0F"/>
    <w:rsid w:val="1BEE10DD"/>
    <w:rsid w:val="1C2756DA"/>
    <w:rsid w:val="1C3B7A96"/>
    <w:rsid w:val="1C5B197A"/>
    <w:rsid w:val="1C791D59"/>
    <w:rsid w:val="1C7A0F4E"/>
    <w:rsid w:val="1C7C1ACE"/>
    <w:rsid w:val="1CBA2D9A"/>
    <w:rsid w:val="1CE011DA"/>
    <w:rsid w:val="1CED5B5F"/>
    <w:rsid w:val="1CF814E3"/>
    <w:rsid w:val="1D16347D"/>
    <w:rsid w:val="1D4939A9"/>
    <w:rsid w:val="1D4A4B12"/>
    <w:rsid w:val="1D934B76"/>
    <w:rsid w:val="1DB62E2E"/>
    <w:rsid w:val="1DC2065D"/>
    <w:rsid w:val="1E0D0FBE"/>
    <w:rsid w:val="1E197963"/>
    <w:rsid w:val="1E753AFD"/>
    <w:rsid w:val="1E921A58"/>
    <w:rsid w:val="1F1D3483"/>
    <w:rsid w:val="1F5C3FAB"/>
    <w:rsid w:val="1F6F787D"/>
    <w:rsid w:val="1F9E2B85"/>
    <w:rsid w:val="1FA30D6D"/>
    <w:rsid w:val="1FB913FE"/>
    <w:rsid w:val="1FEA5A5B"/>
    <w:rsid w:val="20141E2D"/>
    <w:rsid w:val="2035390D"/>
    <w:rsid w:val="2058361F"/>
    <w:rsid w:val="206D3F96"/>
    <w:rsid w:val="207A1985"/>
    <w:rsid w:val="20A41B57"/>
    <w:rsid w:val="20B75F78"/>
    <w:rsid w:val="20BB11A5"/>
    <w:rsid w:val="20C462AC"/>
    <w:rsid w:val="20DB2206"/>
    <w:rsid w:val="21027150"/>
    <w:rsid w:val="2125070E"/>
    <w:rsid w:val="212D6B7C"/>
    <w:rsid w:val="216E39A4"/>
    <w:rsid w:val="21933ED0"/>
    <w:rsid w:val="22055633"/>
    <w:rsid w:val="222907BE"/>
    <w:rsid w:val="223E0DB0"/>
    <w:rsid w:val="22600DFE"/>
    <w:rsid w:val="22602008"/>
    <w:rsid w:val="22621A13"/>
    <w:rsid w:val="227036B8"/>
    <w:rsid w:val="22AD273C"/>
    <w:rsid w:val="22C62CF4"/>
    <w:rsid w:val="22FA4207"/>
    <w:rsid w:val="23473F10"/>
    <w:rsid w:val="23871813"/>
    <w:rsid w:val="238D5A60"/>
    <w:rsid w:val="23A06120"/>
    <w:rsid w:val="23AC3ABD"/>
    <w:rsid w:val="23D1648D"/>
    <w:rsid w:val="23F82BBB"/>
    <w:rsid w:val="244B3E1F"/>
    <w:rsid w:val="246B437F"/>
    <w:rsid w:val="248D5FC1"/>
    <w:rsid w:val="24A3267C"/>
    <w:rsid w:val="24AA6654"/>
    <w:rsid w:val="24B2466D"/>
    <w:rsid w:val="24E52E58"/>
    <w:rsid w:val="24E86EA1"/>
    <w:rsid w:val="24F37160"/>
    <w:rsid w:val="24F44C86"/>
    <w:rsid w:val="25070D37"/>
    <w:rsid w:val="250A3135"/>
    <w:rsid w:val="25127EC9"/>
    <w:rsid w:val="252524BD"/>
    <w:rsid w:val="257465D5"/>
    <w:rsid w:val="25873916"/>
    <w:rsid w:val="25941224"/>
    <w:rsid w:val="2629594F"/>
    <w:rsid w:val="26501703"/>
    <w:rsid w:val="265577FD"/>
    <w:rsid w:val="26AD27CC"/>
    <w:rsid w:val="26BC7A25"/>
    <w:rsid w:val="26CA2142"/>
    <w:rsid w:val="26EE2193"/>
    <w:rsid w:val="27042C3A"/>
    <w:rsid w:val="27223D2C"/>
    <w:rsid w:val="275B221D"/>
    <w:rsid w:val="27707AEB"/>
    <w:rsid w:val="28093668"/>
    <w:rsid w:val="28210B10"/>
    <w:rsid w:val="284B0D66"/>
    <w:rsid w:val="286D408E"/>
    <w:rsid w:val="286E02B3"/>
    <w:rsid w:val="28814A83"/>
    <w:rsid w:val="288938C1"/>
    <w:rsid w:val="289018A6"/>
    <w:rsid w:val="28AA222B"/>
    <w:rsid w:val="28AC24C6"/>
    <w:rsid w:val="28CD7B64"/>
    <w:rsid w:val="28DA73F5"/>
    <w:rsid w:val="294361DC"/>
    <w:rsid w:val="297B3849"/>
    <w:rsid w:val="298001BF"/>
    <w:rsid w:val="29AE6B2F"/>
    <w:rsid w:val="29BD1AEA"/>
    <w:rsid w:val="2A4276AF"/>
    <w:rsid w:val="2A4C1099"/>
    <w:rsid w:val="2A7B69A9"/>
    <w:rsid w:val="2A947DE8"/>
    <w:rsid w:val="2A9E4307"/>
    <w:rsid w:val="2AB0164F"/>
    <w:rsid w:val="2AEA2DB3"/>
    <w:rsid w:val="2B163BA8"/>
    <w:rsid w:val="2B2160A9"/>
    <w:rsid w:val="2B382728"/>
    <w:rsid w:val="2B4F2D00"/>
    <w:rsid w:val="2B5E4C51"/>
    <w:rsid w:val="2B7129F4"/>
    <w:rsid w:val="2B966A97"/>
    <w:rsid w:val="2BBD2276"/>
    <w:rsid w:val="2BFE33E2"/>
    <w:rsid w:val="2C437642"/>
    <w:rsid w:val="2C4955AF"/>
    <w:rsid w:val="2C892158"/>
    <w:rsid w:val="2CB8084E"/>
    <w:rsid w:val="2CFC2BFE"/>
    <w:rsid w:val="2D423AC8"/>
    <w:rsid w:val="2D4F50B7"/>
    <w:rsid w:val="2D7A5B26"/>
    <w:rsid w:val="2D81695F"/>
    <w:rsid w:val="2D89631C"/>
    <w:rsid w:val="2D960E01"/>
    <w:rsid w:val="2DB149E8"/>
    <w:rsid w:val="2DDB1DA3"/>
    <w:rsid w:val="2DF45CF7"/>
    <w:rsid w:val="2DF46565"/>
    <w:rsid w:val="2E2F6C9B"/>
    <w:rsid w:val="2E67471B"/>
    <w:rsid w:val="2EBD59CF"/>
    <w:rsid w:val="2F071B18"/>
    <w:rsid w:val="2F10535F"/>
    <w:rsid w:val="2F522CD5"/>
    <w:rsid w:val="2F5A49A3"/>
    <w:rsid w:val="2F646705"/>
    <w:rsid w:val="2F77098D"/>
    <w:rsid w:val="2FBB4D1E"/>
    <w:rsid w:val="301164E2"/>
    <w:rsid w:val="309F1F4A"/>
    <w:rsid w:val="30A00A1B"/>
    <w:rsid w:val="30AB47A7"/>
    <w:rsid w:val="30C41C15"/>
    <w:rsid w:val="30FB5744"/>
    <w:rsid w:val="30FC55EE"/>
    <w:rsid w:val="30FD40AA"/>
    <w:rsid w:val="30FD4EC2"/>
    <w:rsid w:val="31126BC0"/>
    <w:rsid w:val="31267AAE"/>
    <w:rsid w:val="313A6F6C"/>
    <w:rsid w:val="31444881"/>
    <w:rsid w:val="314D028A"/>
    <w:rsid w:val="315F1D92"/>
    <w:rsid w:val="31B7224A"/>
    <w:rsid w:val="31CA749A"/>
    <w:rsid w:val="31E676C8"/>
    <w:rsid w:val="31F21E0A"/>
    <w:rsid w:val="3202189B"/>
    <w:rsid w:val="320A66A5"/>
    <w:rsid w:val="32203620"/>
    <w:rsid w:val="322F554F"/>
    <w:rsid w:val="32431152"/>
    <w:rsid w:val="325D3E6B"/>
    <w:rsid w:val="32B0267D"/>
    <w:rsid w:val="32B51EF8"/>
    <w:rsid w:val="32C91500"/>
    <w:rsid w:val="32D27B67"/>
    <w:rsid w:val="32EB1476"/>
    <w:rsid w:val="32F01183"/>
    <w:rsid w:val="330514E4"/>
    <w:rsid w:val="3310486D"/>
    <w:rsid w:val="334C1F0A"/>
    <w:rsid w:val="33527747"/>
    <w:rsid w:val="33AA73E3"/>
    <w:rsid w:val="33B915C6"/>
    <w:rsid w:val="33F26834"/>
    <w:rsid w:val="34237336"/>
    <w:rsid w:val="34266DEB"/>
    <w:rsid w:val="342E3663"/>
    <w:rsid w:val="343018AE"/>
    <w:rsid w:val="34435CB1"/>
    <w:rsid w:val="3491604D"/>
    <w:rsid w:val="34A46A8E"/>
    <w:rsid w:val="34AC627E"/>
    <w:rsid w:val="34DE113B"/>
    <w:rsid w:val="34E95E89"/>
    <w:rsid w:val="352805DA"/>
    <w:rsid w:val="35521BC3"/>
    <w:rsid w:val="355530AA"/>
    <w:rsid w:val="355D42FC"/>
    <w:rsid w:val="355E7835"/>
    <w:rsid w:val="35646712"/>
    <w:rsid w:val="35654D72"/>
    <w:rsid w:val="357727BC"/>
    <w:rsid w:val="35906305"/>
    <w:rsid w:val="35A65B28"/>
    <w:rsid w:val="35D13A3C"/>
    <w:rsid w:val="360016DD"/>
    <w:rsid w:val="361000EE"/>
    <w:rsid w:val="3623361D"/>
    <w:rsid w:val="36341386"/>
    <w:rsid w:val="364631D7"/>
    <w:rsid w:val="36724E7F"/>
    <w:rsid w:val="3688292B"/>
    <w:rsid w:val="36890EF7"/>
    <w:rsid w:val="368928C2"/>
    <w:rsid w:val="36C86BF9"/>
    <w:rsid w:val="36CE5337"/>
    <w:rsid w:val="36DB257F"/>
    <w:rsid w:val="36E0506A"/>
    <w:rsid w:val="36E55870"/>
    <w:rsid w:val="36FA3F13"/>
    <w:rsid w:val="374D1701"/>
    <w:rsid w:val="37623CD1"/>
    <w:rsid w:val="3781684D"/>
    <w:rsid w:val="37850378"/>
    <w:rsid w:val="37D51F88"/>
    <w:rsid w:val="38065969"/>
    <w:rsid w:val="380E11B5"/>
    <w:rsid w:val="38224438"/>
    <w:rsid w:val="385578DD"/>
    <w:rsid w:val="387E6C20"/>
    <w:rsid w:val="389E4A58"/>
    <w:rsid w:val="38C41023"/>
    <w:rsid w:val="38C6579F"/>
    <w:rsid w:val="38CA6DC7"/>
    <w:rsid w:val="38F00B77"/>
    <w:rsid w:val="390B0C5E"/>
    <w:rsid w:val="39684950"/>
    <w:rsid w:val="397C3770"/>
    <w:rsid w:val="397D32F9"/>
    <w:rsid w:val="39A34800"/>
    <w:rsid w:val="39B57C6A"/>
    <w:rsid w:val="39DF350D"/>
    <w:rsid w:val="3A025137"/>
    <w:rsid w:val="3A0D3672"/>
    <w:rsid w:val="3A3A4EF9"/>
    <w:rsid w:val="3A575643"/>
    <w:rsid w:val="3A940645"/>
    <w:rsid w:val="3AA77E3B"/>
    <w:rsid w:val="3AB03A41"/>
    <w:rsid w:val="3AC14A5D"/>
    <w:rsid w:val="3AC86541"/>
    <w:rsid w:val="3B1F29B6"/>
    <w:rsid w:val="3B443718"/>
    <w:rsid w:val="3BA71F2B"/>
    <w:rsid w:val="3C234450"/>
    <w:rsid w:val="3C37397E"/>
    <w:rsid w:val="3C633344"/>
    <w:rsid w:val="3C720E5A"/>
    <w:rsid w:val="3C7544A7"/>
    <w:rsid w:val="3D060D95"/>
    <w:rsid w:val="3D246484"/>
    <w:rsid w:val="3D604F23"/>
    <w:rsid w:val="3D9E13E7"/>
    <w:rsid w:val="3DBA6D6D"/>
    <w:rsid w:val="3E375EB7"/>
    <w:rsid w:val="3E3D4403"/>
    <w:rsid w:val="3E5C64F5"/>
    <w:rsid w:val="3E7C38CA"/>
    <w:rsid w:val="3E9B4320"/>
    <w:rsid w:val="3EBA2645"/>
    <w:rsid w:val="3EE312A2"/>
    <w:rsid w:val="3EF83BC6"/>
    <w:rsid w:val="3F5B255F"/>
    <w:rsid w:val="3F6F1E30"/>
    <w:rsid w:val="3F8213B4"/>
    <w:rsid w:val="3FB72902"/>
    <w:rsid w:val="40464188"/>
    <w:rsid w:val="40550877"/>
    <w:rsid w:val="40DC5A18"/>
    <w:rsid w:val="40DD4039"/>
    <w:rsid w:val="40EB41E2"/>
    <w:rsid w:val="41160006"/>
    <w:rsid w:val="41410D52"/>
    <w:rsid w:val="415305A0"/>
    <w:rsid w:val="417D62D7"/>
    <w:rsid w:val="4183060E"/>
    <w:rsid w:val="41863429"/>
    <w:rsid w:val="41CA0DF1"/>
    <w:rsid w:val="41F4275B"/>
    <w:rsid w:val="42083B1B"/>
    <w:rsid w:val="424F13FD"/>
    <w:rsid w:val="42790128"/>
    <w:rsid w:val="42BC0B52"/>
    <w:rsid w:val="42E6560B"/>
    <w:rsid w:val="43B50E83"/>
    <w:rsid w:val="43D358D5"/>
    <w:rsid w:val="4482063F"/>
    <w:rsid w:val="449851D6"/>
    <w:rsid w:val="44A27BED"/>
    <w:rsid w:val="44B85878"/>
    <w:rsid w:val="44C45FCB"/>
    <w:rsid w:val="44C77AAC"/>
    <w:rsid w:val="456C22D6"/>
    <w:rsid w:val="459D251C"/>
    <w:rsid w:val="45DA7613"/>
    <w:rsid w:val="45EC0586"/>
    <w:rsid w:val="460320FD"/>
    <w:rsid w:val="462670D1"/>
    <w:rsid w:val="4687710A"/>
    <w:rsid w:val="469348C4"/>
    <w:rsid w:val="46D02A05"/>
    <w:rsid w:val="46E22723"/>
    <w:rsid w:val="470A125C"/>
    <w:rsid w:val="472055BF"/>
    <w:rsid w:val="475573AE"/>
    <w:rsid w:val="476F0470"/>
    <w:rsid w:val="478101A3"/>
    <w:rsid w:val="47B656EC"/>
    <w:rsid w:val="47D13163"/>
    <w:rsid w:val="481903DC"/>
    <w:rsid w:val="482A4397"/>
    <w:rsid w:val="48EC035B"/>
    <w:rsid w:val="48EF512A"/>
    <w:rsid w:val="490715C7"/>
    <w:rsid w:val="49172B6D"/>
    <w:rsid w:val="492E0DFE"/>
    <w:rsid w:val="49313AF9"/>
    <w:rsid w:val="4931445C"/>
    <w:rsid w:val="4933371F"/>
    <w:rsid w:val="494D447C"/>
    <w:rsid w:val="49514A8C"/>
    <w:rsid w:val="49900B72"/>
    <w:rsid w:val="49A11F60"/>
    <w:rsid w:val="49FE055D"/>
    <w:rsid w:val="4A010F2E"/>
    <w:rsid w:val="4A1A5044"/>
    <w:rsid w:val="4A224AAB"/>
    <w:rsid w:val="4A3E05CE"/>
    <w:rsid w:val="4A676D06"/>
    <w:rsid w:val="4A881849"/>
    <w:rsid w:val="4A977611"/>
    <w:rsid w:val="4AC578F8"/>
    <w:rsid w:val="4ACF1226"/>
    <w:rsid w:val="4B3E33A3"/>
    <w:rsid w:val="4B4E1A61"/>
    <w:rsid w:val="4B641F01"/>
    <w:rsid w:val="4B8C45AF"/>
    <w:rsid w:val="4BB01057"/>
    <w:rsid w:val="4BBA5D16"/>
    <w:rsid w:val="4BBB3648"/>
    <w:rsid w:val="4BC8467F"/>
    <w:rsid w:val="4BE42812"/>
    <w:rsid w:val="4BF935DC"/>
    <w:rsid w:val="4C0513A3"/>
    <w:rsid w:val="4C0D2006"/>
    <w:rsid w:val="4C3D6D8F"/>
    <w:rsid w:val="4CAD5597"/>
    <w:rsid w:val="4CCE2A6C"/>
    <w:rsid w:val="4CCF375F"/>
    <w:rsid w:val="4CFB049C"/>
    <w:rsid w:val="4CFD3A74"/>
    <w:rsid w:val="4CFE53E3"/>
    <w:rsid w:val="4D06388C"/>
    <w:rsid w:val="4D1203EE"/>
    <w:rsid w:val="4D267823"/>
    <w:rsid w:val="4D9D6E87"/>
    <w:rsid w:val="4DEC54A2"/>
    <w:rsid w:val="4DFD4457"/>
    <w:rsid w:val="4E6B5986"/>
    <w:rsid w:val="4E8924B7"/>
    <w:rsid w:val="4ED82D9F"/>
    <w:rsid w:val="4F0A4599"/>
    <w:rsid w:val="4F177B13"/>
    <w:rsid w:val="4F1B4F8F"/>
    <w:rsid w:val="4F581B68"/>
    <w:rsid w:val="4F5F72FE"/>
    <w:rsid w:val="4F6F4C0D"/>
    <w:rsid w:val="4F9662AF"/>
    <w:rsid w:val="4FE17411"/>
    <w:rsid w:val="4FE63648"/>
    <w:rsid w:val="4FF954B0"/>
    <w:rsid w:val="500878D4"/>
    <w:rsid w:val="501036E9"/>
    <w:rsid w:val="503B1D58"/>
    <w:rsid w:val="50D2615E"/>
    <w:rsid w:val="5105515C"/>
    <w:rsid w:val="51125E93"/>
    <w:rsid w:val="512A47D7"/>
    <w:rsid w:val="514C7451"/>
    <w:rsid w:val="515D7E0E"/>
    <w:rsid w:val="516A5418"/>
    <w:rsid w:val="51964EBE"/>
    <w:rsid w:val="51981887"/>
    <w:rsid w:val="51B82A14"/>
    <w:rsid w:val="51DD7ACF"/>
    <w:rsid w:val="51E33768"/>
    <w:rsid w:val="528B5F99"/>
    <w:rsid w:val="528D44BE"/>
    <w:rsid w:val="52DC7FC8"/>
    <w:rsid w:val="52F368EA"/>
    <w:rsid w:val="5314221C"/>
    <w:rsid w:val="53624CAE"/>
    <w:rsid w:val="536A5F90"/>
    <w:rsid w:val="53CE7CE3"/>
    <w:rsid w:val="53DF5D8C"/>
    <w:rsid w:val="54196C13"/>
    <w:rsid w:val="54615848"/>
    <w:rsid w:val="546926EB"/>
    <w:rsid w:val="54907C78"/>
    <w:rsid w:val="54B72C82"/>
    <w:rsid w:val="54F06565"/>
    <w:rsid w:val="55461CD0"/>
    <w:rsid w:val="55562C6F"/>
    <w:rsid w:val="559A0800"/>
    <w:rsid w:val="55BD2CEE"/>
    <w:rsid w:val="55E464CD"/>
    <w:rsid w:val="55FD0ED7"/>
    <w:rsid w:val="561D0897"/>
    <w:rsid w:val="562C4293"/>
    <w:rsid w:val="567012E7"/>
    <w:rsid w:val="56876E58"/>
    <w:rsid w:val="56B37004"/>
    <w:rsid w:val="56BA0FDC"/>
    <w:rsid w:val="56E6127C"/>
    <w:rsid w:val="571B04AD"/>
    <w:rsid w:val="57392849"/>
    <w:rsid w:val="57684EDC"/>
    <w:rsid w:val="576A47B0"/>
    <w:rsid w:val="5783173F"/>
    <w:rsid w:val="578E3178"/>
    <w:rsid w:val="57C51B0C"/>
    <w:rsid w:val="57C739B1"/>
    <w:rsid w:val="57F75816"/>
    <w:rsid w:val="580659AE"/>
    <w:rsid w:val="584F1CC3"/>
    <w:rsid w:val="589477E8"/>
    <w:rsid w:val="589C308F"/>
    <w:rsid w:val="58AC1A08"/>
    <w:rsid w:val="58D36385"/>
    <w:rsid w:val="592B73FA"/>
    <w:rsid w:val="59367EC7"/>
    <w:rsid w:val="59633BAD"/>
    <w:rsid w:val="597A48FF"/>
    <w:rsid w:val="59A85A64"/>
    <w:rsid w:val="59AA358A"/>
    <w:rsid w:val="59FB128F"/>
    <w:rsid w:val="5A0B7CD0"/>
    <w:rsid w:val="5A297165"/>
    <w:rsid w:val="5A3B4A8E"/>
    <w:rsid w:val="5A455D9B"/>
    <w:rsid w:val="5A8E6A07"/>
    <w:rsid w:val="5AA72721"/>
    <w:rsid w:val="5AE12FDB"/>
    <w:rsid w:val="5AE60011"/>
    <w:rsid w:val="5B37709F"/>
    <w:rsid w:val="5B70610D"/>
    <w:rsid w:val="5BB0235D"/>
    <w:rsid w:val="5BE12FA3"/>
    <w:rsid w:val="5BE37C7D"/>
    <w:rsid w:val="5C1B076F"/>
    <w:rsid w:val="5C4D6613"/>
    <w:rsid w:val="5C917C8F"/>
    <w:rsid w:val="5C936557"/>
    <w:rsid w:val="5C9B575C"/>
    <w:rsid w:val="5CBF10FA"/>
    <w:rsid w:val="5D093B17"/>
    <w:rsid w:val="5D303DA6"/>
    <w:rsid w:val="5D52369F"/>
    <w:rsid w:val="5D7A166C"/>
    <w:rsid w:val="5D7E0FB5"/>
    <w:rsid w:val="5D8866EC"/>
    <w:rsid w:val="5D967CCA"/>
    <w:rsid w:val="5D9B2DBB"/>
    <w:rsid w:val="5DAE1741"/>
    <w:rsid w:val="5DBC388C"/>
    <w:rsid w:val="5DE37979"/>
    <w:rsid w:val="5E3E0B9A"/>
    <w:rsid w:val="5E581806"/>
    <w:rsid w:val="5E62046E"/>
    <w:rsid w:val="5EA32BDF"/>
    <w:rsid w:val="5EBF421E"/>
    <w:rsid w:val="5F566066"/>
    <w:rsid w:val="5FD344B5"/>
    <w:rsid w:val="5FE73417"/>
    <w:rsid w:val="60011A2A"/>
    <w:rsid w:val="600E5712"/>
    <w:rsid w:val="605B6755"/>
    <w:rsid w:val="6071095D"/>
    <w:rsid w:val="608F64D8"/>
    <w:rsid w:val="60974DF7"/>
    <w:rsid w:val="60AE3960"/>
    <w:rsid w:val="60E94998"/>
    <w:rsid w:val="60F8107F"/>
    <w:rsid w:val="60FD55E7"/>
    <w:rsid w:val="61277F2B"/>
    <w:rsid w:val="613320B7"/>
    <w:rsid w:val="621A4CCD"/>
    <w:rsid w:val="621E2D67"/>
    <w:rsid w:val="62297FF7"/>
    <w:rsid w:val="623B2220"/>
    <w:rsid w:val="62716746"/>
    <w:rsid w:val="62990775"/>
    <w:rsid w:val="62A44023"/>
    <w:rsid w:val="62B114E5"/>
    <w:rsid w:val="62B13874"/>
    <w:rsid w:val="62C57A58"/>
    <w:rsid w:val="62D943E0"/>
    <w:rsid w:val="62F647CF"/>
    <w:rsid w:val="631657EC"/>
    <w:rsid w:val="635A1B7D"/>
    <w:rsid w:val="63672753"/>
    <w:rsid w:val="6372336A"/>
    <w:rsid w:val="638E0D2F"/>
    <w:rsid w:val="63AD0583"/>
    <w:rsid w:val="64632CB3"/>
    <w:rsid w:val="64786EB7"/>
    <w:rsid w:val="647B3775"/>
    <w:rsid w:val="64A010A4"/>
    <w:rsid w:val="64D651F4"/>
    <w:rsid w:val="653B5B23"/>
    <w:rsid w:val="657E2BA4"/>
    <w:rsid w:val="65E62E7A"/>
    <w:rsid w:val="6651045E"/>
    <w:rsid w:val="66EC7F6C"/>
    <w:rsid w:val="66F2338B"/>
    <w:rsid w:val="67402739"/>
    <w:rsid w:val="675270F4"/>
    <w:rsid w:val="67BB5990"/>
    <w:rsid w:val="67E93D7C"/>
    <w:rsid w:val="67F105D6"/>
    <w:rsid w:val="681A3036"/>
    <w:rsid w:val="682F1D53"/>
    <w:rsid w:val="683A08C9"/>
    <w:rsid w:val="68DB72BC"/>
    <w:rsid w:val="68F13272"/>
    <w:rsid w:val="690A5DF3"/>
    <w:rsid w:val="691E27F7"/>
    <w:rsid w:val="692A0243"/>
    <w:rsid w:val="6945582E"/>
    <w:rsid w:val="69683870"/>
    <w:rsid w:val="699110D7"/>
    <w:rsid w:val="69D976BF"/>
    <w:rsid w:val="69EC5DE8"/>
    <w:rsid w:val="69F452BC"/>
    <w:rsid w:val="69F85BB3"/>
    <w:rsid w:val="6A0B3BD1"/>
    <w:rsid w:val="6A210462"/>
    <w:rsid w:val="6A22716C"/>
    <w:rsid w:val="6A241D9D"/>
    <w:rsid w:val="6A2829D5"/>
    <w:rsid w:val="6A942593"/>
    <w:rsid w:val="6AAD178D"/>
    <w:rsid w:val="6AAD2EDA"/>
    <w:rsid w:val="6AB73874"/>
    <w:rsid w:val="6B471986"/>
    <w:rsid w:val="6B7439F8"/>
    <w:rsid w:val="6B863082"/>
    <w:rsid w:val="6BA14108"/>
    <w:rsid w:val="6BFF7765"/>
    <w:rsid w:val="6C12075B"/>
    <w:rsid w:val="6C33653A"/>
    <w:rsid w:val="6C4B29AA"/>
    <w:rsid w:val="6C567ACE"/>
    <w:rsid w:val="6C5F620F"/>
    <w:rsid w:val="6C762F3B"/>
    <w:rsid w:val="6C8B3A59"/>
    <w:rsid w:val="6CC649E7"/>
    <w:rsid w:val="6CF22E82"/>
    <w:rsid w:val="6D27431E"/>
    <w:rsid w:val="6D2F079D"/>
    <w:rsid w:val="6D593B65"/>
    <w:rsid w:val="6DC2298A"/>
    <w:rsid w:val="6DDA5CDD"/>
    <w:rsid w:val="6E661C4B"/>
    <w:rsid w:val="6E6B7C2E"/>
    <w:rsid w:val="6E737F96"/>
    <w:rsid w:val="6EB570F1"/>
    <w:rsid w:val="6EB74327"/>
    <w:rsid w:val="6EBF1A5B"/>
    <w:rsid w:val="6EF54E4F"/>
    <w:rsid w:val="6F392F8E"/>
    <w:rsid w:val="6F446001"/>
    <w:rsid w:val="6F564D30"/>
    <w:rsid w:val="6F5F71DE"/>
    <w:rsid w:val="6F77163A"/>
    <w:rsid w:val="6F8853EE"/>
    <w:rsid w:val="6FC4095F"/>
    <w:rsid w:val="6FFD4727"/>
    <w:rsid w:val="7016507D"/>
    <w:rsid w:val="70553DF8"/>
    <w:rsid w:val="707D1C40"/>
    <w:rsid w:val="7086127D"/>
    <w:rsid w:val="708B02CA"/>
    <w:rsid w:val="70B32554"/>
    <w:rsid w:val="70C943AC"/>
    <w:rsid w:val="70CB40BA"/>
    <w:rsid w:val="70DF7B65"/>
    <w:rsid w:val="70F45895"/>
    <w:rsid w:val="710F7675"/>
    <w:rsid w:val="711D41EA"/>
    <w:rsid w:val="713B2DF3"/>
    <w:rsid w:val="717958C4"/>
    <w:rsid w:val="718F4844"/>
    <w:rsid w:val="71EF23D9"/>
    <w:rsid w:val="724A45D8"/>
    <w:rsid w:val="72603664"/>
    <w:rsid w:val="728313C6"/>
    <w:rsid w:val="72AA0928"/>
    <w:rsid w:val="72AC1CC9"/>
    <w:rsid w:val="73597B32"/>
    <w:rsid w:val="735E3103"/>
    <w:rsid w:val="7362231C"/>
    <w:rsid w:val="73714231"/>
    <w:rsid w:val="737722D7"/>
    <w:rsid w:val="73935046"/>
    <w:rsid w:val="73A409FB"/>
    <w:rsid w:val="73A66718"/>
    <w:rsid w:val="74177616"/>
    <w:rsid w:val="742F670E"/>
    <w:rsid w:val="743E5F23"/>
    <w:rsid w:val="7441037B"/>
    <w:rsid w:val="745028BB"/>
    <w:rsid w:val="74825555"/>
    <w:rsid w:val="750648B2"/>
    <w:rsid w:val="750B717B"/>
    <w:rsid w:val="751D3132"/>
    <w:rsid w:val="75406B6A"/>
    <w:rsid w:val="75CF1E94"/>
    <w:rsid w:val="764E578E"/>
    <w:rsid w:val="766975F4"/>
    <w:rsid w:val="76AE7BE8"/>
    <w:rsid w:val="76B146A9"/>
    <w:rsid w:val="76B37127"/>
    <w:rsid w:val="76D14890"/>
    <w:rsid w:val="76E223F4"/>
    <w:rsid w:val="771F0CBB"/>
    <w:rsid w:val="77281627"/>
    <w:rsid w:val="773C1CB6"/>
    <w:rsid w:val="77A2369A"/>
    <w:rsid w:val="781E783D"/>
    <w:rsid w:val="783B7DD5"/>
    <w:rsid w:val="786F493D"/>
    <w:rsid w:val="787B2E31"/>
    <w:rsid w:val="78930E2C"/>
    <w:rsid w:val="7894301C"/>
    <w:rsid w:val="78C22246"/>
    <w:rsid w:val="78E53565"/>
    <w:rsid w:val="78FD1E3E"/>
    <w:rsid w:val="790D22C6"/>
    <w:rsid w:val="792B4A96"/>
    <w:rsid w:val="79627585"/>
    <w:rsid w:val="796C6890"/>
    <w:rsid w:val="798F5CD2"/>
    <w:rsid w:val="79F24465"/>
    <w:rsid w:val="79F44E2E"/>
    <w:rsid w:val="79FE1940"/>
    <w:rsid w:val="7A087E4F"/>
    <w:rsid w:val="7A287E87"/>
    <w:rsid w:val="7A2F68BA"/>
    <w:rsid w:val="7A4831E2"/>
    <w:rsid w:val="7A583B2A"/>
    <w:rsid w:val="7A5E1AFB"/>
    <w:rsid w:val="7A666C01"/>
    <w:rsid w:val="7A6D7F90"/>
    <w:rsid w:val="7ADB70B8"/>
    <w:rsid w:val="7ADD216B"/>
    <w:rsid w:val="7AE40AEA"/>
    <w:rsid w:val="7AEC35AA"/>
    <w:rsid w:val="7B4707E1"/>
    <w:rsid w:val="7B575D69"/>
    <w:rsid w:val="7B705F89"/>
    <w:rsid w:val="7B8F3F36"/>
    <w:rsid w:val="7B96103C"/>
    <w:rsid w:val="7BBA49A3"/>
    <w:rsid w:val="7BD008BB"/>
    <w:rsid w:val="7BDC53CD"/>
    <w:rsid w:val="7C093CE8"/>
    <w:rsid w:val="7C314E4E"/>
    <w:rsid w:val="7C69271F"/>
    <w:rsid w:val="7C7F6AF7"/>
    <w:rsid w:val="7C9931A2"/>
    <w:rsid w:val="7C9A5D73"/>
    <w:rsid w:val="7CB74B7D"/>
    <w:rsid w:val="7CE7709B"/>
    <w:rsid w:val="7D052D9F"/>
    <w:rsid w:val="7D572A32"/>
    <w:rsid w:val="7D630A43"/>
    <w:rsid w:val="7D6457E7"/>
    <w:rsid w:val="7D6F00D9"/>
    <w:rsid w:val="7D8C6BBD"/>
    <w:rsid w:val="7D8D38E4"/>
    <w:rsid w:val="7D990506"/>
    <w:rsid w:val="7DCD7765"/>
    <w:rsid w:val="7DFF35F5"/>
    <w:rsid w:val="7E44676F"/>
    <w:rsid w:val="7E9C1A45"/>
    <w:rsid w:val="7EC1023D"/>
    <w:rsid w:val="7EF36664"/>
    <w:rsid w:val="7EFB200E"/>
    <w:rsid w:val="7F1B5BE6"/>
    <w:rsid w:val="7F370B6C"/>
    <w:rsid w:val="7F5F6799"/>
    <w:rsid w:val="7F6C4CBA"/>
    <w:rsid w:val="7FA00D24"/>
    <w:rsid w:val="7FCA00A4"/>
    <w:rsid w:val="7FCC4A6D"/>
    <w:rsid w:val="7FFE7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3"/>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9"/>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4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51"/>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62"/>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autoRedefine/>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0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autoRedefine/>
    <w:unhideWhenUsed/>
    <w:qFormat/>
    <w:uiPriority w:val="39"/>
    <w:pPr>
      <w:ind w:left="2520" w:leftChars="1200"/>
    </w:p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9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72"/>
    <w:autoRedefine/>
    <w:unhideWhenUsed/>
    <w:qFormat/>
    <w:uiPriority w:val="99"/>
    <w:pPr>
      <w:jc w:val="left"/>
    </w:pPr>
    <w:rPr>
      <w:rFonts w:hint="eastAsia" w:ascii="等线" w:hAnsi="等线" w:eastAsia="等线" w:cs="Times New Roman"/>
    </w:rPr>
  </w:style>
  <w:style w:type="paragraph" w:styleId="18">
    <w:name w:val="Body Text 3"/>
    <w:basedOn w:val="1"/>
    <w:link w:val="16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27"/>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101"/>
    <w:autoRedefine/>
    <w:qFormat/>
    <w:uiPriority w:val="0"/>
    <w:pPr>
      <w:ind w:left="567" w:leftChars="270"/>
    </w:pPr>
    <w:rPr>
      <w:rFonts w:ascii="Times New Roman" w:hAnsi="Times New Roman" w:eastAsia="宋体" w:cs="Times New Roman"/>
      <w:szCs w:val="20"/>
    </w:rPr>
  </w:style>
  <w:style w:type="paragraph" w:styleId="21">
    <w:name w:val="toc 5"/>
    <w:basedOn w:val="1"/>
    <w:next w:val="1"/>
    <w:autoRedefine/>
    <w:unhideWhenUsed/>
    <w:qFormat/>
    <w:uiPriority w:val="39"/>
    <w:pPr>
      <w:ind w:left="1680" w:leftChars="800"/>
    </w:p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9"/>
    <w:autoRedefine/>
    <w:qFormat/>
    <w:uiPriority w:val="0"/>
    <w:rPr>
      <w:rFonts w:ascii="宋体" w:hAnsi="Courier New" w:eastAsia="宋体"/>
    </w:rPr>
  </w:style>
  <w:style w:type="paragraph" w:styleId="24">
    <w:name w:val="toc 8"/>
    <w:basedOn w:val="1"/>
    <w:next w:val="1"/>
    <w:autoRedefine/>
    <w:unhideWhenUsed/>
    <w:qFormat/>
    <w:uiPriority w:val="39"/>
    <w:pPr>
      <w:ind w:left="2940" w:leftChars="1400"/>
    </w:pPr>
  </w:style>
  <w:style w:type="paragraph" w:styleId="25">
    <w:name w:val="Date"/>
    <w:basedOn w:val="1"/>
    <w:next w:val="1"/>
    <w:link w:val="11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10"/>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83"/>
    <w:autoRedefine/>
    <w:qFormat/>
    <w:uiPriority w:val="0"/>
    <w:rPr>
      <w:rFonts w:ascii="Times New Roman" w:hAnsi="Times New Roman" w:eastAsia="宋体" w:cs="Times New Roman"/>
      <w:sz w:val="18"/>
      <w:szCs w:val="18"/>
    </w:rPr>
  </w:style>
  <w:style w:type="paragraph" w:styleId="28">
    <w:name w:val="footer"/>
    <w:basedOn w:val="1"/>
    <w:link w:val="212"/>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style>
  <w:style w:type="paragraph" w:styleId="31">
    <w:name w:val="toc 4"/>
    <w:basedOn w:val="1"/>
    <w:next w:val="1"/>
    <w:unhideWhenUsed/>
    <w:qFormat/>
    <w:uiPriority w:val="39"/>
    <w:pPr>
      <w:ind w:left="1260" w:leftChars="600"/>
    </w:pPr>
  </w:style>
  <w:style w:type="paragraph" w:styleId="32">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autoRedefine/>
    <w:unhideWhenUsed/>
    <w:qFormat/>
    <w:uiPriority w:val="39"/>
    <w:pPr>
      <w:ind w:left="2100" w:leftChars="1000"/>
    </w:pPr>
  </w:style>
  <w:style w:type="paragraph" w:styleId="34">
    <w:name w:val="Body Text Indent 3"/>
    <w:basedOn w:val="1"/>
    <w:link w:val="16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autoRedefine/>
    <w:unhideWhenUsed/>
    <w:qFormat/>
    <w:uiPriority w:val="39"/>
    <w:pPr>
      <w:ind w:left="420" w:leftChars="200"/>
    </w:pPr>
  </w:style>
  <w:style w:type="paragraph" w:styleId="36">
    <w:name w:val="toc 9"/>
    <w:basedOn w:val="1"/>
    <w:next w:val="1"/>
    <w:autoRedefine/>
    <w:unhideWhenUsed/>
    <w:qFormat/>
    <w:uiPriority w:val="39"/>
    <w:pPr>
      <w:ind w:left="3360" w:leftChars="1600"/>
    </w:pPr>
  </w:style>
  <w:style w:type="paragraph" w:styleId="37">
    <w:name w:val="Body Text 2"/>
    <w:basedOn w:val="1"/>
    <w:link w:val="152"/>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102"/>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7"/>
    <w:autoRedefine/>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9"/>
    <w:autoRedefine/>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next w:val="43"/>
    <w:link w:val="21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basedOn w:val="20"/>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autoRedefine/>
    <w:qFormat/>
    <w:uiPriority w:val="99"/>
    <w:rPr>
      <w:rFonts w:hint="default" w:ascii="Arial" w:hAnsi="Arial" w:cs="Arial"/>
      <w:color w:val="000000"/>
      <w:sz w:val="20"/>
      <w:szCs w:val="20"/>
      <w:u w:val="none"/>
    </w:rPr>
  </w:style>
  <w:style w:type="character" w:styleId="52">
    <w:name w:val="HTML Code"/>
    <w:basedOn w:val="46"/>
    <w:autoRedefine/>
    <w:semiHidden/>
    <w:unhideWhenUsed/>
    <w:qFormat/>
    <w:uiPriority w:val="99"/>
    <w:rPr>
      <w:rFonts w:ascii="Courier New" w:hAnsi="Courier New"/>
      <w:sz w:val="20"/>
    </w:rPr>
  </w:style>
  <w:style w:type="character" w:styleId="53">
    <w:name w:val="annotation reference"/>
    <w:basedOn w:val="46"/>
    <w:autoRedefine/>
    <w:qFormat/>
    <w:uiPriority w:val="99"/>
    <w:rPr>
      <w:sz w:val="21"/>
      <w:szCs w:val="21"/>
    </w:rPr>
  </w:style>
  <w:style w:type="paragraph" w:customStyle="1" w:styleId="54">
    <w:name w:val="文档正文"/>
    <w:basedOn w:val="1"/>
    <w:autoRedefine/>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jc w:val="left"/>
    </w:pPr>
    <w:rPr>
      <w:rFonts w:hint="eastAsia" w:ascii="宋体" w:hAnsi="Times New Roman" w:eastAsia="宋体" w:cs="Arial"/>
      <w:bCs/>
      <w:kern w:val="0"/>
      <w:sz w:val="24"/>
      <w:szCs w:val="24"/>
      <w:lang w:val="en-US" w:eastAsia="zh-CN" w:bidi="ar"/>
    </w:rPr>
  </w:style>
  <w:style w:type="paragraph" w:customStyle="1" w:styleId="55">
    <w:name w:val="首行缩进"/>
    <w:basedOn w:val="1"/>
    <w:qFormat/>
    <w:uiPriority w:val="0"/>
    <w:pPr>
      <w:ind w:firstLine="480" w:firstLineChars="200"/>
    </w:pPr>
    <w:rPr>
      <w:lang w:val="zh-CN"/>
    </w:rPr>
  </w:style>
  <w:style w:type="character" w:customStyle="1" w:styleId="56">
    <w:name w:val="标题 1 字符"/>
    <w:basedOn w:val="46"/>
    <w:autoRedefine/>
    <w:qFormat/>
    <w:uiPriority w:val="0"/>
    <w:rPr>
      <w:b/>
      <w:bCs/>
      <w:kern w:val="44"/>
      <w:sz w:val="44"/>
      <w:szCs w:val="44"/>
    </w:rPr>
  </w:style>
  <w:style w:type="character" w:customStyle="1" w:styleId="57">
    <w:name w:val="标题 2 字符"/>
    <w:basedOn w:val="46"/>
    <w:link w:val="3"/>
    <w:autoRedefine/>
    <w:qFormat/>
    <w:uiPriority w:val="0"/>
    <w:rPr>
      <w:rFonts w:ascii="宋体" w:hAnsi="Calibri" w:eastAsia="宋体" w:cs="Times New Roman"/>
      <w:kern w:val="0"/>
      <w:sz w:val="24"/>
      <w:szCs w:val="24"/>
    </w:rPr>
  </w:style>
  <w:style w:type="character" w:customStyle="1" w:styleId="58">
    <w:name w:val="标题 3 字符"/>
    <w:basedOn w:val="46"/>
    <w:autoRedefine/>
    <w:qFormat/>
    <w:uiPriority w:val="0"/>
    <w:rPr>
      <w:b/>
      <w:bCs/>
      <w:sz w:val="32"/>
      <w:szCs w:val="32"/>
    </w:rPr>
  </w:style>
  <w:style w:type="character" w:customStyle="1" w:styleId="59">
    <w:name w:val="标题 4 字符"/>
    <w:basedOn w:val="46"/>
    <w:link w:val="5"/>
    <w:autoRedefine/>
    <w:qFormat/>
    <w:uiPriority w:val="9"/>
    <w:rPr>
      <w:rFonts w:ascii="Arial" w:hAnsi="Arial" w:eastAsia="黑体" w:cs="Times New Roman"/>
      <w:b/>
      <w:bCs/>
      <w:kern w:val="0"/>
      <w:sz w:val="28"/>
      <w:szCs w:val="28"/>
    </w:rPr>
  </w:style>
  <w:style w:type="character" w:customStyle="1" w:styleId="60">
    <w:name w:val="标题 5 字符"/>
    <w:basedOn w:val="46"/>
    <w:autoRedefine/>
    <w:qFormat/>
    <w:uiPriority w:val="9"/>
    <w:rPr>
      <w:b/>
      <w:bCs/>
      <w:sz w:val="28"/>
      <w:szCs w:val="28"/>
    </w:rPr>
  </w:style>
  <w:style w:type="character" w:customStyle="1" w:styleId="61">
    <w:name w:val="标题 6 字符"/>
    <w:basedOn w:val="46"/>
    <w:autoRedefine/>
    <w:qFormat/>
    <w:uiPriority w:val="0"/>
    <w:rPr>
      <w:rFonts w:asciiTheme="majorHAnsi" w:hAnsiTheme="majorHAnsi" w:eastAsiaTheme="majorEastAsia" w:cstheme="majorBidi"/>
      <w:b/>
      <w:bCs/>
      <w:sz w:val="24"/>
      <w:szCs w:val="24"/>
    </w:rPr>
  </w:style>
  <w:style w:type="character" w:customStyle="1" w:styleId="62">
    <w:name w:val="标题 7 字符"/>
    <w:basedOn w:val="46"/>
    <w:link w:val="9"/>
    <w:autoRedefine/>
    <w:qFormat/>
    <w:uiPriority w:val="9"/>
    <w:rPr>
      <w:rFonts w:ascii="Times New Roman" w:hAnsi="Calibri" w:eastAsia="黑体" w:cs="Times New Roman"/>
      <w:b/>
      <w:bCs/>
      <w:kern w:val="0"/>
      <w:sz w:val="28"/>
      <w:szCs w:val="24"/>
    </w:rPr>
  </w:style>
  <w:style w:type="character" w:customStyle="1" w:styleId="63">
    <w:name w:val="标题 8 字符"/>
    <w:basedOn w:val="46"/>
    <w:link w:val="10"/>
    <w:qFormat/>
    <w:uiPriority w:val="9"/>
    <w:rPr>
      <w:rFonts w:ascii="Times New Roman" w:hAnsi="Calibri" w:eastAsia="黑体" w:cs="Times New Roman"/>
      <w:b/>
      <w:kern w:val="0"/>
      <w:sz w:val="28"/>
      <w:szCs w:val="24"/>
    </w:rPr>
  </w:style>
  <w:style w:type="character" w:customStyle="1" w:styleId="64">
    <w:name w:val="标题 9 字符"/>
    <w:basedOn w:val="46"/>
    <w:link w:val="11"/>
    <w:qFormat/>
    <w:uiPriority w:val="9"/>
    <w:rPr>
      <w:rFonts w:ascii="Times New Roman" w:hAnsi="Calibri" w:eastAsia="黑体" w:cs="Times New Roman"/>
      <w:b/>
      <w:kern w:val="0"/>
      <w:sz w:val="28"/>
      <w:szCs w:val="24"/>
    </w:rPr>
  </w:style>
  <w:style w:type="character" w:customStyle="1" w:styleId="65">
    <w:name w:val="正文文本缩进 字符"/>
    <w:autoRedefine/>
    <w:qFormat/>
    <w:uiPriority w:val="0"/>
    <w:rPr>
      <w:rFonts w:ascii="Times New Roman" w:hAnsi="Times New Roman" w:eastAsia="宋体" w:cs="Times New Roman"/>
      <w:szCs w:val="20"/>
    </w:rPr>
  </w:style>
  <w:style w:type="character" w:customStyle="1" w:styleId="66">
    <w:name w:val="普通(网站) Char"/>
    <w:qFormat/>
    <w:locked/>
    <w:uiPriority w:val="0"/>
    <w:rPr>
      <w:rFonts w:ascii="宋体" w:hAnsi="宋体"/>
      <w:sz w:val="15"/>
      <w:szCs w:val="15"/>
    </w:rPr>
  </w:style>
  <w:style w:type="character" w:customStyle="1" w:styleId="67">
    <w:name w:val="标题 字符1"/>
    <w:link w:val="40"/>
    <w:qFormat/>
    <w:uiPriority w:val="10"/>
    <w:rPr>
      <w:rFonts w:ascii="等线 Light" w:hAnsi="等线 Light" w:eastAsia="仿宋"/>
      <w:b/>
      <w:bCs/>
      <w:sz w:val="28"/>
      <w:szCs w:val="32"/>
    </w:rPr>
  </w:style>
  <w:style w:type="character" w:customStyle="1" w:styleId="68">
    <w:name w:val="日期 Char"/>
    <w:semiHidden/>
    <w:qFormat/>
    <w:uiPriority w:val="99"/>
    <w:rPr>
      <w:kern w:val="2"/>
      <w:sz w:val="21"/>
    </w:rPr>
  </w:style>
  <w:style w:type="character" w:customStyle="1" w:styleId="6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70">
    <w:name w:val="批注文字 Char"/>
    <w:semiHidden/>
    <w:qFormat/>
    <w:uiPriority w:val="99"/>
    <w:rPr>
      <w:kern w:val="2"/>
      <w:sz w:val="21"/>
    </w:rPr>
  </w:style>
  <w:style w:type="character" w:customStyle="1" w:styleId="71">
    <w:name w:val="正文缩进2格 Char"/>
    <w:link w:val="72"/>
    <w:autoRedefine/>
    <w:qFormat/>
    <w:uiPriority w:val="0"/>
    <w:rPr>
      <w:rFonts w:ascii="仿宋_GB2312" w:hAnsi="宋体" w:eastAsia="仿宋_GB2312"/>
      <w:sz w:val="31"/>
      <w:szCs w:val="28"/>
    </w:rPr>
  </w:style>
  <w:style w:type="paragraph" w:customStyle="1" w:styleId="72">
    <w:name w:val="正文缩进2格"/>
    <w:basedOn w:val="1"/>
    <w:link w:val="71"/>
    <w:autoRedefine/>
    <w:qFormat/>
    <w:uiPriority w:val="0"/>
    <w:pPr>
      <w:spacing w:line="600" w:lineRule="exact"/>
      <w:ind w:firstLine="639" w:firstLineChars="206"/>
    </w:pPr>
    <w:rPr>
      <w:rFonts w:ascii="仿宋_GB2312" w:hAnsi="宋体" w:eastAsia="仿宋_GB2312"/>
      <w:sz w:val="31"/>
      <w:szCs w:val="28"/>
    </w:rPr>
  </w:style>
  <w:style w:type="character" w:customStyle="1" w:styleId="73">
    <w:name w:val="批注文字 字符"/>
    <w:autoRedefine/>
    <w:semiHidden/>
    <w:qFormat/>
    <w:uiPriority w:val="99"/>
    <w:rPr>
      <w:rFonts w:ascii="Times New Roman" w:hAnsi="Times New Roman"/>
      <w:kern w:val="2"/>
      <w:sz w:val="24"/>
      <w:szCs w:val="24"/>
    </w:rPr>
  </w:style>
  <w:style w:type="character" w:customStyle="1" w:styleId="74">
    <w:name w:val="正文文本缩进 Char"/>
    <w:autoRedefine/>
    <w:qFormat/>
    <w:uiPriority w:val="0"/>
    <w:rPr>
      <w:rFonts w:ascii="Times New Roman" w:hAnsi="Times New Roman" w:eastAsia="宋体" w:cs="Times New Roman"/>
      <w:szCs w:val="20"/>
      <w:lang w:val="en-US" w:eastAsia="zh-CN"/>
    </w:rPr>
  </w:style>
  <w:style w:type="character" w:customStyle="1" w:styleId="75">
    <w:name w:val="批注框文本 字符1"/>
    <w:semiHidden/>
    <w:qFormat/>
    <w:uiPriority w:val="99"/>
    <w:rPr>
      <w:rFonts w:ascii="宋体" w:hAnsi="Calibri" w:eastAsia="宋体" w:cs="Times New Roman"/>
      <w:kern w:val="0"/>
      <w:sz w:val="18"/>
      <w:szCs w:val="18"/>
    </w:rPr>
  </w:style>
  <w:style w:type="character" w:customStyle="1" w:styleId="76">
    <w:name w:val="List Paragraph Char"/>
    <w:link w:val="77"/>
    <w:autoRedefine/>
    <w:qFormat/>
    <w:uiPriority w:val="34"/>
    <w:rPr>
      <w:rFonts w:ascii="Calibri" w:hAnsi="Calibri"/>
    </w:rPr>
  </w:style>
  <w:style w:type="paragraph" w:customStyle="1" w:styleId="77">
    <w:name w:val="列出段落1"/>
    <w:basedOn w:val="1"/>
    <w:link w:val="76"/>
    <w:autoRedefine/>
    <w:qFormat/>
    <w:uiPriority w:val="34"/>
    <w:pPr>
      <w:ind w:firstLine="420" w:firstLineChars="200"/>
    </w:pPr>
    <w:rPr>
      <w:rFonts w:ascii="Calibri" w:hAnsi="Calibri"/>
    </w:rPr>
  </w:style>
  <w:style w:type="character" w:customStyle="1" w:styleId="78">
    <w:name w:val="标书正文 字符"/>
    <w:link w:val="79"/>
    <w:autoRedefine/>
    <w:qFormat/>
    <w:uiPriority w:val="0"/>
    <w:rPr>
      <w:rFonts w:ascii="Calibri" w:hAnsi="Calibri" w:eastAsia="仿宋"/>
      <w:sz w:val="24"/>
      <w:szCs w:val="21"/>
    </w:rPr>
  </w:style>
  <w:style w:type="paragraph" w:customStyle="1" w:styleId="79">
    <w:name w:val="标书正文"/>
    <w:basedOn w:val="1"/>
    <w:link w:val="7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80">
    <w:name w:val="正文文本 字符"/>
    <w:autoRedefine/>
    <w:semiHidden/>
    <w:qFormat/>
    <w:uiPriority w:val="99"/>
    <w:rPr>
      <w:rFonts w:ascii="Times New Roman" w:hAnsi="Times New Roman"/>
      <w:kern w:val="2"/>
      <w:sz w:val="24"/>
      <w:szCs w:val="24"/>
    </w:rPr>
  </w:style>
  <w:style w:type="character" w:customStyle="1" w:styleId="81">
    <w:name w:val="页脚 Char"/>
    <w:qFormat/>
    <w:uiPriority w:val="0"/>
    <w:rPr>
      <w:kern w:val="2"/>
      <w:sz w:val="18"/>
      <w:szCs w:val="18"/>
    </w:rPr>
  </w:style>
  <w:style w:type="character" w:customStyle="1" w:styleId="82">
    <w:name w:val="neir1"/>
    <w:autoRedefine/>
    <w:qFormat/>
    <w:uiPriority w:val="0"/>
    <w:rPr>
      <w:rFonts w:hint="default" w:ascii="ˎ̥" w:hAnsi="ˎ̥"/>
      <w:color w:val="333333"/>
      <w:sz w:val="21"/>
      <w:szCs w:val="21"/>
      <w:u w:val="none"/>
    </w:rPr>
  </w:style>
  <w:style w:type="character" w:customStyle="1" w:styleId="83">
    <w:name w:val="批注框文本 字符"/>
    <w:link w:val="27"/>
    <w:qFormat/>
    <w:uiPriority w:val="0"/>
    <w:rPr>
      <w:rFonts w:ascii="Times New Roman" w:hAnsi="Times New Roman" w:eastAsia="宋体" w:cs="Times New Roman"/>
      <w:sz w:val="18"/>
      <w:szCs w:val="18"/>
    </w:rPr>
  </w:style>
  <w:style w:type="character" w:customStyle="1" w:styleId="84">
    <w:name w:val="正文文本 3 字符1"/>
    <w:autoRedefine/>
    <w:semiHidden/>
    <w:qFormat/>
    <w:uiPriority w:val="99"/>
    <w:rPr>
      <w:rFonts w:ascii="宋体" w:hAnsi="Calibri" w:eastAsia="宋体" w:cs="Times New Roman"/>
      <w:kern w:val="0"/>
      <w:sz w:val="16"/>
      <w:szCs w:val="16"/>
    </w:rPr>
  </w:style>
  <w:style w:type="character" w:customStyle="1" w:styleId="85">
    <w:name w:val="正文文本 字符3"/>
    <w:autoRedefine/>
    <w:semiHidden/>
    <w:qFormat/>
    <w:uiPriority w:val="99"/>
    <w:rPr>
      <w:rFonts w:ascii="宋体" w:hAnsi="Calibri" w:eastAsia="宋体" w:cs="Times New Roman"/>
      <w:kern w:val="0"/>
      <w:sz w:val="24"/>
      <w:szCs w:val="24"/>
    </w:rPr>
  </w:style>
  <w:style w:type="character" w:customStyle="1" w:styleId="86">
    <w:name w:val="日期 字符1"/>
    <w:autoRedefine/>
    <w:semiHidden/>
    <w:qFormat/>
    <w:uiPriority w:val="99"/>
    <w:rPr>
      <w:rFonts w:ascii="宋体" w:hAnsi="Calibri" w:eastAsia="宋体" w:cs="Times New Roman"/>
      <w:kern w:val="0"/>
      <w:sz w:val="24"/>
      <w:szCs w:val="24"/>
    </w:rPr>
  </w:style>
  <w:style w:type="character" w:customStyle="1" w:styleId="87">
    <w:name w:val="页脚 Char2"/>
    <w:autoRedefine/>
    <w:qFormat/>
    <w:uiPriority w:val="99"/>
    <w:rPr>
      <w:rFonts w:ascii="宋体" w:eastAsia="宋体"/>
      <w:sz w:val="18"/>
      <w:szCs w:val="18"/>
    </w:rPr>
  </w:style>
  <w:style w:type="character" w:customStyle="1" w:styleId="88">
    <w:name w:val="吉奥正文 Char"/>
    <w:link w:val="89"/>
    <w:autoRedefine/>
    <w:qFormat/>
    <w:locked/>
    <w:uiPriority w:val="0"/>
    <w:rPr>
      <w:rFonts w:eastAsia="仿宋_GB2312"/>
      <w:sz w:val="28"/>
    </w:rPr>
  </w:style>
  <w:style w:type="paragraph" w:customStyle="1" w:styleId="89">
    <w:name w:val="吉奥正文"/>
    <w:basedOn w:val="1"/>
    <w:link w:val="8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90">
    <w:name w:val="页脚 Char1"/>
    <w:qFormat/>
    <w:uiPriority w:val="99"/>
    <w:rPr>
      <w:rFonts w:ascii="宋体" w:hAnsi="Times New Roman" w:eastAsia="宋体" w:cs="Times New Roman"/>
      <w:kern w:val="0"/>
      <w:sz w:val="18"/>
      <w:szCs w:val="18"/>
    </w:rPr>
  </w:style>
  <w:style w:type="character" w:customStyle="1" w:styleId="91">
    <w:name w:val="标题 字符"/>
    <w:qFormat/>
    <w:uiPriority w:val="10"/>
    <w:rPr>
      <w:rFonts w:ascii="Cambria" w:hAnsi="Cambria" w:eastAsia="宋体" w:cs="Times New Roman"/>
      <w:b/>
      <w:bCs/>
      <w:kern w:val="0"/>
      <w:sz w:val="32"/>
      <w:szCs w:val="32"/>
      <w:lang w:val="en-US" w:eastAsia="zh-CN"/>
    </w:rPr>
  </w:style>
  <w:style w:type="character" w:customStyle="1" w:styleId="92">
    <w:name w:val="题注 字符1"/>
    <w:link w:val="14"/>
    <w:qFormat/>
    <w:uiPriority w:val="0"/>
    <w:rPr>
      <w:rFonts w:ascii="Arial" w:hAnsi="Arial" w:eastAsia="黑体" w:cs="Arial"/>
    </w:rPr>
  </w:style>
  <w:style w:type="character" w:customStyle="1" w:styleId="93">
    <w:name w:val="批注文字 字符2"/>
    <w:qFormat/>
    <w:uiPriority w:val="99"/>
    <w:rPr>
      <w:rFonts w:ascii="宋体" w:hAnsi="Times New Roman" w:eastAsia="宋体" w:cs="Times New Roman"/>
      <w:kern w:val="0"/>
      <w:sz w:val="24"/>
      <w:szCs w:val="24"/>
    </w:rPr>
  </w:style>
  <w:style w:type="character" w:customStyle="1" w:styleId="94">
    <w:name w:val="批注主题 字符1"/>
    <w:autoRedefine/>
    <w:semiHidden/>
    <w:qFormat/>
    <w:uiPriority w:val="99"/>
    <w:rPr>
      <w:rFonts w:ascii="宋体" w:hAnsi="Calibri" w:eastAsia="宋体" w:cs="Times New Roman"/>
      <w:b/>
      <w:bCs/>
      <w:kern w:val="0"/>
      <w:sz w:val="24"/>
      <w:szCs w:val="24"/>
    </w:rPr>
  </w:style>
  <w:style w:type="character" w:customStyle="1" w:styleId="95">
    <w:name w:val="HTML 预设格式 字符"/>
    <w:link w:val="38"/>
    <w:autoRedefine/>
    <w:qFormat/>
    <w:uiPriority w:val="99"/>
    <w:rPr>
      <w:rFonts w:ascii="Arial" w:hAnsi="Arial" w:eastAsia="宋体" w:cs="Arial"/>
      <w:szCs w:val="21"/>
    </w:rPr>
  </w:style>
  <w:style w:type="character" w:customStyle="1" w:styleId="96">
    <w:name w:val="标题 3.1 Char"/>
    <w:link w:val="97"/>
    <w:qFormat/>
    <w:uiPriority w:val="0"/>
    <w:rPr>
      <w:rFonts w:ascii="宋体" w:hAnsi="宋体"/>
      <w:b/>
      <w:bCs/>
      <w:sz w:val="32"/>
      <w:szCs w:val="32"/>
    </w:rPr>
  </w:style>
  <w:style w:type="paragraph" w:customStyle="1" w:styleId="97">
    <w:name w:val="标题 3.1"/>
    <w:basedOn w:val="4"/>
    <w:link w:val="9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8">
    <w:name w:val="HTML 预设格式 Char1"/>
    <w:semiHidden/>
    <w:qFormat/>
    <w:uiPriority w:val="99"/>
    <w:rPr>
      <w:rFonts w:ascii="Courier New" w:hAnsi="Courier New" w:eastAsia="宋体" w:cs="Courier New"/>
      <w:kern w:val="0"/>
      <w:sz w:val="20"/>
      <w:szCs w:val="20"/>
    </w:rPr>
  </w:style>
  <w:style w:type="character" w:customStyle="1" w:styleId="99">
    <w:name w:val="批注文字 字符1"/>
    <w:qFormat/>
    <w:uiPriority w:val="0"/>
    <w:rPr>
      <w:rFonts w:eastAsia="宋体"/>
      <w:kern w:val="2"/>
      <w:sz w:val="24"/>
      <w:szCs w:val="24"/>
      <w:lang w:val="en-US" w:eastAsia="zh-CN" w:bidi="ar-SA"/>
    </w:rPr>
  </w:style>
  <w:style w:type="character" w:customStyle="1" w:styleId="100">
    <w:name w:val="正文文本缩进 字符2"/>
    <w:autoRedefine/>
    <w:semiHidden/>
    <w:qFormat/>
    <w:uiPriority w:val="99"/>
    <w:rPr>
      <w:rFonts w:ascii="宋体" w:hAnsi="Calibri" w:eastAsia="宋体" w:cs="Times New Roman"/>
      <w:kern w:val="0"/>
      <w:sz w:val="24"/>
      <w:szCs w:val="24"/>
    </w:rPr>
  </w:style>
  <w:style w:type="character" w:customStyle="1" w:styleId="101">
    <w:name w:val="正文文本缩进 字符1"/>
    <w:link w:val="20"/>
    <w:autoRedefine/>
    <w:qFormat/>
    <w:uiPriority w:val="0"/>
    <w:rPr>
      <w:rFonts w:ascii="Times New Roman" w:hAnsi="Times New Roman" w:eastAsia="宋体" w:cs="Times New Roman"/>
      <w:szCs w:val="20"/>
    </w:rPr>
  </w:style>
  <w:style w:type="character" w:customStyle="1" w:styleId="102">
    <w:name w:val="普通(网站) 字符2"/>
    <w:link w:val="39"/>
    <w:autoRedefine/>
    <w:qFormat/>
    <w:locked/>
    <w:uiPriority w:val="0"/>
    <w:rPr>
      <w:rFonts w:ascii="宋体" w:hAnsi="宋体"/>
      <w:sz w:val="15"/>
      <w:szCs w:val="15"/>
    </w:rPr>
  </w:style>
  <w:style w:type="character" w:customStyle="1" w:styleId="103">
    <w:name w:val="模板正文 Char"/>
    <w:link w:val="8"/>
    <w:autoRedefine/>
    <w:qFormat/>
    <w:uiPriority w:val="0"/>
    <w:rPr>
      <w:rFonts w:ascii="宋体" w:eastAsia="仿宋"/>
      <w:sz w:val="24"/>
      <w:szCs w:val="21"/>
    </w:rPr>
  </w:style>
  <w:style w:type="character" w:customStyle="1" w:styleId="104">
    <w:name w:val="批注主题 Char"/>
    <w:semiHidden/>
    <w:qFormat/>
    <w:uiPriority w:val="99"/>
    <w:rPr>
      <w:b/>
      <w:bCs/>
      <w:kern w:val="2"/>
      <w:sz w:val="21"/>
    </w:rPr>
  </w:style>
  <w:style w:type="character" w:customStyle="1" w:styleId="105">
    <w:name w:val="正文文本 Char1"/>
    <w:autoRedefine/>
    <w:qFormat/>
    <w:uiPriority w:val="0"/>
    <w:rPr>
      <w:rFonts w:ascii="宋体" w:hAnsi="Times New Roman" w:eastAsia="宋体" w:cs="Times New Roman"/>
      <w:kern w:val="0"/>
      <w:sz w:val="24"/>
      <w:szCs w:val="24"/>
    </w:rPr>
  </w:style>
  <w:style w:type="character" w:customStyle="1" w:styleId="106">
    <w:name w:val="正文文本 字符1"/>
    <w:qFormat/>
    <w:uiPriority w:val="99"/>
    <w:rPr>
      <w:rFonts w:ascii="宋体" w:eastAsia="宋体"/>
      <w:b/>
      <w:bCs/>
      <w:sz w:val="84"/>
      <w:szCs w:val="84"/>
      <w:lang w:val="zh-CN"/>
    </w:rPr>
  </w:style>
  <w:style w:type="character" w:customStyle="1" w:styleId="107">
    <w:name w:val="标题 1 Char"/>
    <w:qFormat/>
    <w:uiPriority w:val="9"/>
    <w:rPr>
      <w:rFonts w:ascii="宋体" w:hAnsi="Times New Roman" w:eastAsia="宋体" w:cs="Times New Roman"/>
      <w:kern w:val="0"/>
      <w:sz w:val="24"/>
      <w:szCs w:val="24"/>
    </w:rPr>
  </w:style>
  <w:style w:type="character" w:customStyle="1" w:styleId="108">
    <w:name w:val="正文文本 Char2"/>
    <w:autoRedefine/>
    <w:qFormat/>
    <w:uiPriority w:val="99"/>
    <w:rPr>
      <w:rFonts w:ascii="宋体" w:eastAsia="宋体"/>
      <w:b/>
      <w:bCs/>
      <w:sz w:val="84"/>
      <w:szCs w:val="84"/>
      <w:lang w:val="zh-CN"/>
    </w:rPr>
  </w:style>
  <w:style w:type="character" w:customStyle="1" w:styleId="109">
    <w:name w:val="纯文本 字符2"/>
    <w:link w:val="23"/>
    <w:qFormat/>
    <w:uiPriority w:val="0"/>
    <w:rPr>
      <w:rFonts w:ascii="宋体" w:hAnsi="Courier New" w:eastAsia="宋体"/>
    </w:rPr>
  </w:style>
  <w:style w:type="character" w:customStyle="1" w:styleId="110">
    <w:name w:val="正文文本缩进 2 字符"/>
    <w:link w:val="26"/>
    <w:autoRedefine/>
    <w:qFormat/>
    <w:uiPriority w:val="0"/>
    <w:rPr>
      <w:rFonts w:ascii="宋体" w:hAnsi="Times New Roman" w:eastAsia="宋体" w:cs="Times New Roman"/>
      <w:szCs w:val="20"/>
    </w:rPr>
  </w:style>
  <w:style w:type="character" w:customStyle="1" w:styleId="111">
    <w:name w:val="HTML Markup"/>
    <w:qFormat/>
    <w:uiPriority w:val="0"/>
    <w:rPr>
      <w:vanish/>
      <w:color w:val="FF0000"/>
    </w:rPr>
  </w:style>
  <w:style w:type="character" w:customStyle="1" w:styleId="112">
    <w:name w:val="页眉 Char1"/>
    <w:autoRedefine/>
    <w:qFormat/>
    <w:uiPriority w:val="0"/>
    <w:rPr>
      <w:rFonts w:ascii="宋体" w:hAnsi="Times New Roman" w:eastAsia="宋体" w:cs="Times New Roman"/>
      <w:kern w:val="0"/>
      <w:sz w:val="18"/>
      <w:szCs w:val="18"/>
    </w:rPr>
  </w:style>
  <w:style w:type="character" w:customStyle="1" w:styleId="113">
    <w:name w:val="font11"/>
    <w:autoRedefine/>
    <w:qFormat/>
    <w:uiPriority w:val="0"/>
    <w:rPr>
      <w:rFonts w:hint="eastAsia" w:ascii="宋体" w:hAnsi="宋体" w:eastAsia="宋体" w:cs="宋体"/>
      <w:color w:val="FF0000"/>
      <w:sz w:val="22"/>
      <w:szCs w:val="22"/>
      <w:u w:val="none"/>
    </w:rPr>
  </w:style>
  <w:style w:type="character" w:customStyle="1" w:styleId="114">
    <w:name w:val="style61"/>
    <w:autoRedefine/>
    <w:qFormat/>
    <w:uiPriority w:val="0"/>
    <w:rPr>
      <w:b/>
      <w:bCs/>
    </w:rPr>
  </w:style>
  <w:style w:type="character" w:customStyle="1" w:styleId="115">
    <w:name w:val="表头文字 Char"/>
    <w:link w:val="116"/>
    <w:autoRedefine/>
    <w:qFormat/>
    <w:uiPriority w:val="0"/>
    <w:rPr>
      <w:rFonts w:eastAsia="仿宋_GB2312"/>
      <w:b/>
      <w:sz w:val="28"/>
      <w:szCs w:val="21"/>
    </w:rPr>
  </w:style>
  <w:style w:type="paragraph" w:customStyle="1" w:styleId="116">
    <w:name w:val="表头文字"/>
    <w:basedOn w:val="1"/>
    <w:link w:val="11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7">
    <w:name w:val="日期 字符"/>
    <w:link w:val="25"/>
    <w:qFormat/>
    <w:uiPriority w:val="99"/>
    <w:rPr>
      <w:rFonts w:ascii="宋体" w:hAnsi="Times New Roman" w:eastAsia="宋体" w:cs="Times New Roman"/>
      <w:b/>
      <w:bCs/>
      <w:szCs w:val="21"/>
      <w:lang w:val="zh-CN"/>
    </w:rPr>
  </w:style>
  <w:style w:type="character" w:customStyle="1" w:styleId="118">
    <w:name w:val="纯文本 Char1"/>
    <w:autoRedefine/>
    <w:qFormat/>
    <w:uiPriority w:val="0"/>
    <w:rPr>
      <w:rFonts w:ascii="宋体" w:hAnsi="Courier New" w:eastAsia="宋体" w:cs="Courier New"/>
      <w:kern w:val="0"/>
      <w:szCs w:val="21"/>
    </w:rPr>
  </w:style>
  <w:style w:type="character" w:customStyle="1" w:styleId="119">
    <w:name w:val="批注主题 字符"/>
    <w:link w:val="41"/>
    <w:autoRedefine/>
    <w:qFormat/>
    <w:uiPriority w:val="99"/>
    <w:rPr>
      <w:rFonts w:ascii="宋体" w:hAnsi="Times New Roman" w:eastAsia="宋体" w:cs="Times New Roman"/>
      <w:b/>
      <w:bCs/>
      <w:kern w:val="0"/>
      <w:sz w:val="24"/>
      <w:szCs w:val="24"/>
    </w:rPr>
  </w:style>
  <w:style w:type="character" w:customStyle="1" w:styleId="120">
    <w:name w:val="纯文本 字符"/>
    <w:qFormat/>
    <w:uiPriority w:val="99"/>
    <w:rPr>
      <w:rFonts w:ascii="宋体" w:hAnsi="Courier New" w:eastAsia="宋体" w:cs="Times New Roman"/>
      <w:szCs w:val="20"/>
      <w:lang w:val="en-US" w:eastAsia="zh-CN"/>
    </w:rPr>
  </w:style>
  <w:style w:type="character" w:customStyle="1" w:styleId="121">
    <w:name w:val="font71"/>
    <w:autoRedefine/>
    <w:qFormat/>
    <w:uiPriority w:val="0"/>
    <w:rPr>
      <w:rFonts w:hint="eastAsia" w:ascii="宋体" w:hAnsi="宋体" w:eastAsia="宋体" w:cs="宋体"/>
      <w:color w:val="FF0000"/>
      <w:sz w:val="18"/>
      <w:szCs w:val="18"/>
      <w:u w:val="none"/>
    </w:rPr>
  </w:style>
  <w:style w:type="character" w:customStyle="1" w:styleId="122">
    <w:name w:val="font21"/>
    <w:autoRedefine/>
    <w:qFormat/>
    <w:uiPriority w:val="0"/>
    <w:rPr>
      <w:rFonts w:hint="eastAsia" w:ascii="宋体" w:hAnsi="宋体" w:eastAsia="宋体" w:cs="宋体"/>
      <w:b/>
      <w:color w:val="000000"/>
      <w:sz w:val="21"/>
      <w:szCs w:val="21"/>
      <w:u w:val="none"/>
    </w:rPr>
  </w:style>
  <w:style w:type="character" w:customStyle="1" w:styleId="123">
    <w:name w:val="纯文本 字符3"/>
    <w:semiHidden/>
    <w:qFormat/>
    <w:uiPriority w:val="99"/>
    <w:rPr>
      <w:rFonts w:ascii="等线" w:hAnsi="Courier New" w:cs="Courier New"/>
      <w:kern w:val="0"/>
      <w:sz w:val="24"/>
      <w:szCs w:val="24"/>
    </w:rPr>
  </w:style>
  <w:style w:type="character" w:customStyle="1" w:styleId="124">
    <w:name w:val="font31"/>
    <w:qFormat/>
    <w:uiPriority w:val="0"/>
    <w:rPr>
      <w:rFonts w:hint="eastAsia" w:ascii="宋体" w:hAnsi="宋体" w:eastAsia="宋体" w:cs="宋体"/>
      <w:color w:val="000000"/>
      <w:sz w:val="18"/>
      <w:szCs w:val="18"/>
      <w:u w:val="none"/>
    </w:rPr>
  </w:style>
  <w:style w:type="character" w:customStyle="1" w:styleId="125">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26">
    <w:name w:val="普通(网站) 字符1"/>
    <w:autoRedefine/>
    <w:qFormat/>
    <w:locked/>
    <w:uiPriority w:val="0"/>
    <w:rPr>
      <w:rFonts w:ascii="宋体" w:hAnsi="宋体"/>
      <w:sz w:val="15"/>
      <w:szCs w:val="15"/>
    </w:rPr>
  </w:style>
  <w:style w:type="character" w:customStyle="1" w:styleId="127">
    <w:name w:val="正文文本 字符2"/>
    <w:link w:val="19"/>
    <w:qFormat/>
    <w:uiPriority w:val="99"/>
    <w:rPr>
      <w:rFonts w:ascii="宋体" w:eastAsia="宋体"/>
      <w:b/>
      <w:bCs/>
      <w:sz w:val="84"/>
      <w:szCs w:val="84"/>
      <w:lang w:val="zh-CN"/>
    </w:rPr>
  </w:style>
  <w:style w:type="character" w:customStyle="1" w:styleId="128">
    <w:name w:val="标题 5 Char"/>
    <w:semiHidden/>
    <w:qFormat/>
    <w:uiPriority w:val="9"/>
    <w:rPr>
      <w:b/>
      <w:bCs/>
      <w:kern w:val="2"/>
      <w:sz w:val="28"/>
      <w:szCs w:val="28"/>
    </w:rPr>
  </w:style>
  <w:style w:type="character" w:customStyle="1" w:styleId="129">
    <w:name w:val="页眉 字符"/>
    <w:link w:val="29"/>
    <w:autoRedefine/>
    <w:qFormat/>
    <w:uiPriority w:val="99"/>
    <w:rPr>
      <w:rFonts w:ascii="宋体" w:eastAsia="宋体"/>
      <w:sz w:val="18"/>
      <w:szCs w:val="18"/>
    </w:rPr>
  </w:style>
  <w:style w:type="character" w:customStyle="1" w:styleId="130">
    <w:name w:val="表格文字 Char"/>
    <w:link w:val="131"/>
    <w:qFormat/>
    <w:uiPriority w:val="0"/>
    <w:rPr>
      <w:rFonts w:eastAsia="仿宋_GB2312"/>
      <w:sz w:val="28"/>
      <w:szCs w:val="24"/>
    </w:rPr>
  </w:style>
  <w:style w:type="paragraph" w:customStyle="1" w:styleId="131">
    <w:name w:val="表格文字"/>
    <w:basedOn w:val="1"/>
    <w:link w:val="130"/>
    <w:qFormat/>
    <w:uiPriority w:val="0"/>
    <w:rPr>
      <w:rFonts w:eastAsia="仿宋_GB2312"/>
      <w:sz w:val="28"/>
      <w:szCs w:val="24"/>
    </w:rPr>
  </w:style>
  <w:style w:type="character" w:customStyle="1" w:styleId="132">
    <w:name w:val="标题 字符2"/>
    <w:autoRedefine/>
    <w:qFormat/>
    <w:uiPriority w:val="10"/>
    <w:rPr>
      <w:rFonts w:ascii="等线 Light" w:hAnsi="等线 Light" w:eastAsia="等线 Light" w:cs="Times New Roman"/>
      <w:b/>
      <w:bCs/>
      <w:kern w:val="0"/>
      <w:sz w:val="32"/>
      <w:szCs w:val="32"/>
    </w:rPr>
  </w:style>
  <w:style w:type="character" w:customStyle="1" w:styleId="133">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4">
    <w:name w:val="小 Char"/>
    <w:qFormat/>
    <w:uiPriority w:val="0"/>
    <w:rPr>
      <w:rFonts w:ascii="宋体" w:hAnsi="Courier New" w:eastAsia="宋体"/>
      <w:kern w:val="2"/>
      <w:sz w:val="21"/>
      <w:lang w:val="en-US" w:eastAsia="zh-CN" w:bidi="ar-SA"/>
    </w:rPr>
  </w:style>
  <w:style w:type="character" w:customStyle="1" w:styleId="135">
    <w:name w:val="themebody1"/>
    <w:qFormat/>
    <w:uiPriority w:val="0"/>
    <w:rPr>
      <w:color w:val="FFFFFF"/>
    </w:rPr>
  </w:style>
  <w:style w:type="character" w:customStyle="1" w:styleId="136">
    <w:name w:val="页脚 字符1"/>
    <w:autoRedefine/>
    <w:semiHidden/>
    <w:qFormat/>
    <w:uiPriority w:val="99"/>
    <w:rPr>
      <w:rFonts w:ascii="宋体" w:hAnsi="Calibri" w:eastAsia="宋体" w:cs="Times New Roman"/>
      <w:kern w:val="0"/>
      <w:sz w:val="18"/>
      <w:szCs w:val="18"/>
    </w:rPr>
  </w:style>
  <w:style w:type="character" w:customStyle="1" w:styleId="137">
    <w:name w:val="列出段落 字符"/>
    <w:link w:val="138"/>
    <w:autoRedefine/>
    <w:qFormat/>
    <w:uiPriority w:val="34"/>
    <w:rPr>
      <w:kern w:val="2"/>
      <w:sz w:val="21"/>
      <w:szCs w:val="22"/>
    </w:rPr>
  </w:style>
  <w:style w:type="paragraph" w:styleId="138">
    <w:name w:val="List Paragraph"/>
    <w:basedOn w:val="1"/>
    <w:link w:val="137"/>
    <w:autoRedefine/>
    <w:qFormat/>
    <w:uiPriority w:val="34"/>
    <w:pPr>
      <w:ind w:firstLine="420" w:firstLineChars="200"/>
    </w:pPr>
  </w:style>
  <w:style w:type="character" w:customStyle="1" w:styleId="139">
    <w:name w:val="正文文本 Char"/>
    <w:autoRedefine/>
    <w:qFormat/>
    <w:uiPriority w:val="99"/>
    <w:rPr>
      <w:rFonts w:ascii="宋体" w:eastAsia="宋体"/>
      <w:b/>
      <w:bCs/>
      <w:sz w:val="84"/>
      <w:szCs w:val="84"/>
      <w:lang w:val="zh-CN"/>
    </w:rPr>
  </w:style>
  <w:style w:type="character" w:customStyle="1" w:styleId="140">
    <w:name w:val="页眉 字符1"/>
    <w:semiHidden/>
    <w:qFormat/>
    <w:uiPriority w:val="99"/>
    <w:rPr>
      <w:rFonts w:ascii="宋体" w:hAnsi="Calibri" w:eastAsia="宋体" w:cs="Times New Roman"/>
      <w:kern w:val="0"/>
      <w:sz w:val="18"/>
      <w:szCs w:val="18"/>
    </w:rPr>
  </w:style>
  <w:style w:type="character" w:customStyle="1" w:styleId="141">
    <w:name w:val="标题 5 字符1"/>
    <w:link w:val="6"/>
    <w:autoRedefine/>
    <w:qFormat/>
    <w:uiPriority w:val="9"/>
    <w:rPr>
      <w:rFonts w:ascii="宋体" w:hAnsi="Calibri" w:eastAsia="宋体" w:cs="Times New Roman"/>
      <w:b/>
      <w:bCs/>
      <w:kern w:val="0"/>
      <w:sz w:val="28"/>
      <w:szCs w:val="28"/>
    </w:rPr>
  </w:style>
  <w:style w:type="character" w:customStyle="1" w:styleId="142">
    <w:name w:val="keyfeatures1"/>
    <w:autoRedefine/>
    <w:qFormat/>
    <w:uiPriority w:val="0"/>
    <w:rPr>
      <w:rFonts w:hint="default" w:ascii="Arial" w:hAnsi="Arial" w:cs="Arial"/>
      <w:color w:val="003366"/>
      <w:sz w:val="17"/>
      <w:szCs w:val="17"/>
      <w:u w:val="none"/>
    </w:rPr>
  </w:style>
  <w:style w:type="character" w:customStyle="1" w:styleId="143">
    <w:name w:val="题注 字符"/>
    <w:autoRedefine/>
    <w:qFormat/>
    <w:uiPriority w:val="0"/>
    <w:rPr>
      <w:rFonts w:ascii="宋体" w:hAnsi="宋体" w:eastAsia="黑体" w:cs="Times New Roman"/>
      <w:b/>
      <w:szCs w:val="21"/>
    </w:rPr>
  </w:style>
  <w:style w:type="character" w:customStyle="1" w:styleId="144">
    <w:name w:val="标题 4 Char"/>
    <w:autoRedefine/>
    <w:qFormat/>
    <w:uiPriority w:val="0"/>
    <w:rPr>
      <w:rFonts w:ascii="宋体" w:hAnsi="宋体" w:eastAsia="宋体"/>
      <w:b/>
      <w:kern w:val="2"/>
      <w:sz w:val="21"/>
      <w:szCs w:val="24"/>
      <w:lang w:val="en-US" w:eastAsia="zh-CN" w:bidi="ar-SA"/>
    </w:rPr>
  </w:style>
  <w:style w:type="character" w:customStyle="1" w:styleId="145">
    <w:name w:val="批注文字 字符3"/>
    <w:autoRedefine/>
    <w:semiHidden/>
    <w:qFormat/>
    <w:uiPriority w:val="99"/>
    <w:rPr>
      <w:rFonts w:ascii="宋体" w:hAnsi="Calibri" w:eastAsia="宋体" w:cs="Times New Roman"/>
      <w:kern w:val="0"/>
      <w:sz w:val="24"/>
      <w:szCs w:val="24"/>
    </w:rPr>
  </w:style>
  <w:style w:type="character" w:customStyle="1" w:styleId="146">
    <w:name w:val="纯文本 字符1"/>
    <w:autoRedefine/>
    <w:qFormat/>
    <w:uiPriority w:val="0"/>
    <w:rPr>
      <w:rFonts w:ascii="宋体" w:hAnsi="Courier New" w:eastAsia="宋体"/>
      <w:kern w:val="2"/>
      <w:sz w:val="21"/>
      <w:szCs w:val="24"/>
      <w:lang w:val="en-US" w:eastAsia="zh-CN" w:bidi="ar-SA"/>
    </w:rPr>
  </w:style>
  <w:style w:type="character" w:customStyle="1" w:styleId="147">
    <w:name w:val="列出段落 Char1"/>
    <w:autoRedefine/>
    <w:qFormat/>
    <w:uiPriority w:val="34"/>
    <w:rPr>
      <w:rFonts w:ascii="宋体"/>
      <w:sz w:val="24"/>
      <w:szCs w:val="24"/>
    </w:rPr>
  </w:style>
  <w:style w:type="character" w:customStyle="1" w:styleId="148">
    <w:name w:val="彩色列表 - 着色 1 字符"/>
    <w:link w:val="149"/>
    <w:autoRedefine/>
    <w:qFormat/>
    <w:uiPriority w:val="0"/>
    <w:rPr>
      <w:rFonts w:ascii="Calibri" w:hAnsi="Calibri"/>
    </w:rPr>
  </w:style>
  <w:style w:type="paragraph" w:customStyle="1" w:styleId="149">
    <w:name w:val="彩色列表 - 着色 11"/>
    <w:basedOn w:val="1"/>
    <w:link w:val="148"/>
    <w:autoRedefine/>
    <w:qFormat/>
    <w:uiPriority w:val="0"/>
    <w:pPr>
      <w:ind w:firstLine="420" w:firstLineChars="200"/>
    </w:pPr>
    <w:rPr>
      <w:rFonts w:ascii="Calibri" w:hAnsi="Calibri"/>
    </w:rPr>
  </w:style>
  <w:style w:type="character" w:customStyle="1" w:styleId="150">
    <w:name w:val="纯文本 Char"/>
    <w:autoRedefine/>
    <w:qFormat/>
    <w:uiPriority w:val="0"/>
    <w:rPr>
      <w:rFonts w:ascii="宋体" w:hAnsi="Courier New" w:eastAsia="宋体" w:cs="Times New Roman"/>
      <w:szCs w:val="20"/>
    </w:rPr>
  </w:style>
  <w:style w:type="character" w:customStyle="1" w:styleId="151">
    <w:name w:val="标题 6 字符1"/>
    <w:link w:val="7"/>
    <w:autoRedefine/>
    <w:qFormat/>
    <w:uiPriority w:val="9"/>
    <w:rPr>
      <w:rFonts w:ascii="Times New Roman" w:hAnsi="Calibri" w:eastAsia="黑体" w:cs="Times New Roman"/>
      <w:b/>
      <w:bCs/>
      <w:kern w:val="0"/>
      <w:sz w:val="28"/>
      <w:szCs w:val="24"/>
    </w:rPr>
  </w:style>
  <w:style w:type="character" w:customStyle="1" w:styleId="152">
    <w:name w:val="正文文本 2 字符"/>
    <w:link w:val="37"/>
    <w:autoRedefine/>
    <w:qFormat/>
    <w:uiPriority w:val="0"/>
    <w:rPr>
      <w:rFonts w:ascii="Arial" w:hAnsi="Arial" w:eastAsia="宋体" w:cs="Times New Roman"/>
      <w:color w:val="000000"/>
      <w:szCs w:val="24"/>
    </w:rPr>
  </w:style>
  <w:style w:type="character" w:customStyle="1" w:styleId="153">
    <w:name w:val="标题 3 字符1"/>
    <w:link w:val="4"/>
    <w:qFormat/>
    <w:uiPriority w:val="0"/>
    <w:rPr>
      <w:rFonts w:ascii="宋体" w:hAnsi="Calibri" w:eastAsia="宋体" w:cs="Times New Roman"/>
      <w:kern w:val="0"/>
      <w:sz w:val="24"/>
      <w:szCs w:val="24"/>
    </w:rPr>
  </w:style>
  <w:style w:type="character" w:customStyle="1" w:styleId="154">
    <w:name w:val="正文文本缩进 2 字符1"/>
    <w:semiHidden/>
    <w:qFormat/>
    <w:uiPriority w:val="99"/>
    <w:rPr>
      <w:rFonts w:ascii="宋体" w:hAnsi="Calibri" w:eastAsia="宋体" w:cs="Times New Roman"/>
      <w:kern w:val="0"/>
      <w:sz w:val="24"/>
      <w:szCs w:val="24"/>
    </w:rPr>
  </w:style>
  <w:style w:type="character" w:customStyle="1" w:styleId="155">
    <w:name w:val="正文文本缩进 3 字符1"/>
    <w:autoRedefine/>
    <w:semiHidden/>
    <w:qFormat/>
    <w:uiPriority w:val="99"/>
    <w:rPr>
      <w:rFonts w:ascii="宋体" w:hAnsi="Calibri" w:eastAsia="宋体" w:cs="Times New Roman"/>
      <w:kern w:val="0"/>
      <w:sz w:val="16"/>
      <w:szCs w:val="16"/>
    </w:rPr>
  </w:style>
  <w:style w:type="character" w:customStyle="1" w:styleId="156">
    <w:name w:val="正文文本 2 字符1"/>
    <w:autoRedefine/>
    <w:semiHidden/>
    <w:qFormat/>
    <w:uiPriority w:val="99"/>
    <w:rPr>
      <w:rFonts w:ascii="宋体" w:hAnsi="Calibri" w:eastAsia="宋体" w:cs="Times New Roman"/>
      <w:kern w:val="0"/>
      <w:sz w:val="24"/>
      <w:szCs w:val="24"/>
    </w:rPr>
  </w:style>
  <w:style w:type="character" w:customStyle="1" w:styleId="157">
    <w:name w:val="eschoolnr"/>
    <w:autoRedefine/>
    <w:qFormat/>
    <w:uiPriority w:val="0"/>
    <w:rPr>
      <w:sz w:val="23"/>
      <w:szCs w:val="23"/>
    </w:rPr>
  </w:style>
  <w:style w:type="character" w:customStyle="1" w:styleId="158">
    <w:name w:val="访问过的超链接1"/>
    <w:autoRedefine/>
    <w:qFormat/>
    <w:uiPriority w:val="0"/>
    <w:rPr>
      <w:rFonts w:ascii="Arial" w:hAnsi="Arial" w:cs="Arial"/>
      <w:color w:val="000000"/>
      <w:sz w:val="20"/>
      <w:szCs w:val="20"/>
      <w:u w:val="none"/>
    </w:rPr>
  </w:style>
  <w:style w:type="character" w:customStyle="1" w:styleId="159">
    <w:name w:val="标题 1 字符1"/>
    <w:link w:val="2"/>
    <w:autoRedefine/>
    <w:qFormat/>
    <w:uiPriority w:val="0"/>
    <w:rPr>
      <w:rFonts w:ascii="宋体" w:hAnsi="Calibri" w:eastAsia="宋体" w:cs="Times New Roman"/>
      <w:kern w:val="0"/>
      <w:sz w:val="24"/>
      <w:szCs w:val="24"/>
    </w:rPr>
  </w:style>
  <w:style w:type="character" w:customStyle="1" w:styleId="160">
    <w:name w:val="批注文字 Char1"/>
    <w:autoRedefine/>
    <w:qFormat/>
    <w:uiPriority w:val="0"/>
    <w:rPr>
      <w:kern w:val="2"/>
      <w:sz w:val="21"/>
      <w:szCs w:val="24"/>
    </w:rPr>
  </w:style>
  <w:style w:type="character" w:customStyle="1" w:styleId="161">
    <w:name w:val="批注框文本 Char"/>
    <w:semiHidden/>
    <w:qFormat/>
    <w:uiPriority w:val="99"/>
    <w:rPr>
      <w:kern w:val="2"/>
      <w:sz w:val="18"/>
      <w:szCs w:val="18"/>
    </w:rPr>
  </w:style>
  <w:style w:type="character" w:customStyle="1" w:styleId="162">
    <w:name w:val="DAS正文 Char"/>
    <w:autoRedefine/>
    <w:qFormat/>
    <w:uiPriority w:val="0"/>
    <w:rPr>
      <w:rFonts w:ascii="Verdana" w:hAnsi="Verdana" w:eastAsia="宋体"/>
      <w:kern w:val="2"/>
      <w:sz w:val="21"/>
      <w:szCs w:val="21"/>
      <w:lang w:val="en-US" w:eastAsia="zh-CN" w:bidi="ar-SA"/>
    </w:rPr>
  </w:style>
  <w:style w:type="character" w:customStyle="1" w:styleId="163">
    <w:name w:val="正文文本缩进 3 字符"/>
    <w:link w:val="34"/>
    <w:autoRedefine/>
    <w:qFormat/>
    <w:uiPriority w:val="0"/>
    <w:rPr>
      <w:rFonts w:ascii="宋体" w:hAnsi="Times New Roman" w:eastAsia="宋体" w:cs="Times New Roman"/>
      <w:kern w:val="0"/>
      <w:sz w:val="24"/>
      <w:szCs w:val="24"/>
    </w:rPr>
  </w:style>
  <w:style w:type="character" w:customStyle="1" w:styleId="164">
    <w:name w:val="页眉 Char"/>
    <w:qFormat/>
    <w:uiPriority w:val="99"/>
    <w:rPr>
      <w:kern w:val="2"/>
      <w:sz w:val="18"/>
      <w:szCs w:val="18"/>
    </w:rPr>
  </w:style>
  <w:style w:type="character" w:customStyle="1" w:styleId="165">
    <w:name w:val="正文文本 3 字符"/>
    <w:link w:val="18"/>
    <w:qFormat/>
    <w:uiPriority w:val="0"/>
    <w:rPr>
      <w:rFonts w:ascii="宋体" w:hAnsi="Times New Roman" w:eastAsia="宋体" w:cs="Times New Roman"/>
      <w:b/>
      <w:bCs/>
      <w:color w:val="3366FF"/>
      <w:sz w:val="52"/>
      <w:szCs w:val="52"/>
      <w:lang w:val="zh-CN"/>
    </w:rPr>
  </w:style>
  <w:style w:type="character" w:customStyle="1" w:styleId="166">
    <w:name w:val="HTML 预设格式 字符1"/>
    <w:semiHidden/>
    <w:qFormat/>
    <w:uiPriority w:val="99"/>
    <w:rPr>
      <w:rFonts w:ascii="Courier New" w:hAnsi="Courier New" w:eastAsia="宋体" w:cs="Courier New"/>
      <w:kern w:val="0"/>
      <w:sz w:val="20"/>
      <w:szCs w:val="20"/>
    </w:rPr>
  </w:style>
  <w:style w:type="character" w:customStyle="1" w:styleId="167">
    <w:name w:val="彩色列表 - 强调文字颜色 1 Char"/>
    <w:link w:val="168"/>
    <w:qFormat/>
    <w:uiPriority w:val="0"/>
    <w:rPr>
      <w:rFonts w:ascii="宋体"/>
      <w:sz w:val="24"/>
      <w:szCs w:val="24"/>
    </w:rPr>
  </w:style>
  <w:style w:type="paragraph" w:customStyle="1" w:styleId="168">
    <w:name w:val="彩色列表 - 强调文字颜色 11"/>
    <w:basedOn w:val="1"/>
    <w:link w:val="167"/>
    <w:qFormat/>
    <w:uiPriority w:val="0"/>
    <w:pPr>
      <w:autoSpaceDE w:val="0"/>
      <w:autoSpaceDN w:val="0"/>
      <w:adjustRightInd w:val="0"/>
      <w:ind w:firstLine="420" w:firstLineChars="200"/>
      <w:jc w:val="left"/>
    </w:pPr>
    <w:rPr>
      <w:rFonts w:ascii="宋体"/>
      <w:sz w:val="24"/>
      <w:szCs w:val="24"/>
    </w:rPr>
  </w:style>
  <w:style w:type="character" w:customStyle="1" w:styleId="169">
    <w:name w:val="普通(网站) 字符"/>
    <w:qFormat/>
    <w:locked/>
    <w:uiPriority w:val="99"/>
    <w:rPr>
      <w:rFonts w:ascii="宋体" w:hAnsi="宋体" w:eastAsia="宋体" w:cs="Times New Roman"/>
      <w:kern w:val="0"/>
      <w:sz w:val="15"/>
      <w:szCs w:val="15"/>
      <w:lang w:val="en-US" w:eastAsia="zh-CN"/>
    </w:rPr>
  </w:style>
  <w:style w:type="paragraph" w:customStyle="1" w:styleId="170">
    <w:name w:val="_Style 123"/>
    <w:basedOn w:val="1"/>
    <w:next w:val="138"/>
    <w:qFormat/>
    <w:uiPriority w:val="34"/>
    <w:pPr>
      <w:spacing w:line="360" w:lineRule="auto"/>
      <w:ind w:firstLine="420" w:firstLineChars="200"/>
    </w:pPr>
    <w:rPr>
      <w:rFonts w:ascii="Calibri" w:hAnsi="Calibri" w:eastAsia="宋体" w:cs="Times New Roman"/>
    </w:rPr>
  </w:style>
  <w:style w:type="character" w:customStyle="1" w:styleId="171">
    <w:name w:val="纯文本 字符4"/>
    <w:basedOn w:val="46"/>
    <w:semiHidden/>
    <w:qFormat/>
    <w:uiPriority w:val="99"/>
    <w:rPr>
      <w:rFonts w:hAnsi="Courier New" w:cs="Courier New" w:asciiTheme="minorEastAsia"/>
    </w:rPr>
  </w:style>
  <w:style w:type="character" w:customStyle="1" w:styleId="172">
    <w:name w:val="批注文字 字符4"/>
    <w:basedOn w:val="46"/>
    <w:link w:val="17"/>
    <w:semiHidden/>
    <w:qFormat/>
    <w:uiPriority w:val="99"/>
  </w:style>
  <w:style w:type="character" w:customStyle="1" w:styleId="173">
    <w:name w:val="批注主题 字符2"/>
    <w:basedOn w:val="172"/>
    <w:semiHidden/>
    <w:qFormat/>
    <w:uiPriority w:val="99"/>
    <w:rPr>
      <w:b/>
      <w:bCs/>
    </w:rPr>
  </w:style>
  <w:style w:type="character" w:customStyle="1" w:styleId="174">
    <w:name w:val="标题 字符3"/>
    <w:basedOn w:val="46"/>
    <w:qFormat/>
    <w:uiPriority w:val="10"/>
    <w:rPr>
      <w:rFonts w:asciiTheme="majorHAnsi" w:hAnsiTheme="majorHAnsi" w:eastAsiaTheme="majorEastAsia" w:cstheme="majorBidi"/>
      <w:b/>
      <w:bCs/>
      <w:sz w:val="32"/>
      <w:szCs w:val="32"/>
    </w:rPr>
  </w:style>
  <w:style w:type="character" w:customStyle="1" w:styleId="175">
    <w:name w:val="正文文本缩进 字符3"/>
    <w:basedOn w:val="46"/>
    <w:semiHidden/>
    <w:qFormat/>
    <w:uiPriority w:val="99"/>
  </w:style>
  <w:style w:type="character" w:customStyle="1" w:styleId="176">
    <w:name w:val="正文文本 字符4"/>
    <w:basedOn w:val="46"/>
    <w:semiHidden/>
    <w:qFormat/>
    <w:uiPriority w:val="99"/>
  </w:style>
  <w:style w:type="character" w:customStyle="1" w:styleId="177">
    <w:name w:val="正文文本缩进 3 字符2"/>
    <w:basedOn w:val="46"/>
    <w:semiHidden/>
    <w:qFormat/>
    <w:uiPriority w:val="99"/>
    <w:rPr>
      <w:sz w:val="16"/>
      <w:szCs w:val="16"/>
    </w:rPr>
  </w:style>
  <w:style w:type="character" w:customStyle="1" w:styleId="178">
    <w:name w:val="页眉 字符2"/>
    <w:basedOn w:val="46"/>
    <w:semiHidden/>
    <w:qFormat/>
    <w:uiPriority w:val="99"/>
    <w:rPr>
      <w:sz w:val="18"/>
      <w:szCs w:val="18"/>
    </w:rPr>
  </w:style>
  <w:style w:type="character" w:customStyle="1" w:styleId="179">
    <w:name w:val="批注框文本 字符2"/>
    <w:basedOn w:val="46"/>
    <w:semiHidden/>
    <w:qFormat/>
    <w:uiPriority w:val="99"/>
    <w:rPr>
      <w:sz w:val="18"/>
      <w:szCs w:val="18"/>
    </w:rPr>
  </w:style>
  <w:style w:type="character" w:customStyle="1" w:styleId="180">
    <w:name w:val="HTML 预设格式 字符2"/>
    <w:basedOn w:val="46"/>
    <w:semiHidden/>
    <w:qFormat/>
    <w:uiPriority w:val="99"/>
    <w:rPr>
      <w:rFonts w:ascii="Courier New" w:hAnsi="Courier New" w:cs="Courier New"/>
      <w:sz w:val="20"/>
      <w:szCs w:val="20"/>
    </w:rPr>
  </w:style>
  <w:style w:type="character" w:customStyle="1" w:styleId="181">
    <w:name w:val="页脚 字符2"/>
    <w:basedOn w:val="46"/>
    <w:semiHidden/>
    <w:qFormat/>
    <w:uiPriority w:val="99"/>
    <w:rPr>
      <w:sz w:val="18"/>
      <w:szCs w:val="18"/>
    </w:rPr>
  </w:style>
  <w:style w:type="character" w:customStyle="1" w:styleId="182">
    <w:name w:val="正文文本缩进 2 字符2"/>
    <w:basedOn w:val="46"/>
    <w:semiHidden/>
    <w:qFormat/>
    <w:uiPriority w:val="99"/>
  </w:style>
  <w:style w:type="character" w:customStyle="1" w:styleId="183">
    <w:name w:val="正文文本 3 字符2"/>
    <w:basedOn w:val="46"/>
    <w:semiHidden/>
    <w:qFormat/>
    <w:uiPriority w:val="99"/>
    <w:rPr>
      <w:sz w:val="16"/>
      <w:szCs w:val="16"/>
    </w:rPr>
  </w:style>
  <w:style w:type="character" w:customStyle="1" w:styleId="184">
    <w:name w:val="正文文本 2 字符2"/>
    <w:basedOn w:val="46"/>
    <w:semiHidden/>
    <w:qFormat/>
    <w:uiPriority w:val="99"/>
  </w:style>
  <w:style w:type="paragraph" w:customStyle="1" w:styleId="185">
    <w:name w:val="WPSOffice手动目录 3"/>
    <w:qFormat/>
    <w:uiPriority w:val="0"/>
    <w:pPr>
      <w:ind w:left="400" w:leftChars="400"/>
    </w:pPr>
    <w:rPr>
      <w:rFonts w:ascii="Calibri" w:hAnsi="Calibri" w:eastAsia="宋体" w:cs="Times New Roman"/>
      <w:lang w:val="en-US" w:eastAsia="zh-CN" w:bidi="ar-SA"/>
    </w:rPr>
  </w:style>
  <w:style w:type="paragraph" w:customStyle="1" w:styleId="186">
    <w:name w:val="列表段落1"/>
    <w:basedOn w:val="1"/>
    <w:qFormat/>
    <w:uiPriority w:val="0"/>
    <w:pPr>
      <w:ind w:firstLine="420" w:firstLineChars="200"/>
    </w:pPr>
    <w:rPr>
      <w:rFonts w:ascii="Times New Roman" w:hAnsi="Times New Roman" w:eastAsia="宋体" w:cs="Times New Roman"/>
      <w:szCs w:val="20"/>
    </w:rPr>
  </w:style>
  <w:style w:type="character" w:customStyle="1" w:styleId="187">
    <w:name w:val="文档结构图 字符2"/>
    <w:basedOn w:val="46"/>
    <w:semiHidden/>
    <w:qFormat/>
    <w:uiPriority w:val="99"/>
    <w:rPr>
      <w:rFonts w:ascii="Microsoft YaHei UI" w:eastAsia="Microsoft YaHei UI"/>
      <w:sz w:val="18"/>
      <w:szCs w:val="18"/>
    </w:rPr>
  </w:style>
  <w:style w:type="character" w:customStyle="1" w:styleId="188">
    <w:name w:val="日期 字符2"/>
    <w:basedOn w:val="46"/>
    <w:semiHidden/>
    <w:qFormat/>
    <w:uiPriority w:val="99"/>
  </w:style>
  <w:style w:type="paragraph" w:customStyle="1" w:styleId="18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9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1">
    <w:name w:val="修订1"/>
    <w:semiHidden/>
    <w:qFormat/>
    <w:uiPriority w:val="99"/>
    <w:rPr>
      <w:rFonts w:ascii="宋体" w:hAnsi="Calibri" w:eastAsia="宋体" w:cs="Times New Roman"/>
      <w:sz w:val="24"/>
      <w:szCs w:val="24"/>
      <w:lang w:val="en-US" w:eastAsia="zh-CN" w:bidi="ar-SA"/>
    </w:rPr>
  </w:style>
  <w:style w:type="paragraph" w:customStyle="1" w:styleId="19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6">
    <w:name w:val="p0"/>
    <w:basedOn w:val="1"/>
    <w:qFormat/>
    <w:uiPriority w:val="0"/>
    <w:pPr>
      <w:widowControl/>
    </w:pPr>
    <w:rPr>
      <w:rFonts w:ascii="Times New Roman" w:hAnsi="Calibri" w:eastAsia="宋体" w:cs="Times New Roman"/>
      <w:kern w:val="0"/>
      <w:szCs w:val="20"/>
    </w:rPr>
  </w:style>
  <w:style w:type="paragraph" w:customStyle="1" w:styleId="19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WPSOffice手动目录 1"/>
    <w:qFormat/>
    <w:uiPriority w:val="0"/>
    <w:rPr>
      <w:rFonts w:ascii="Calibri" w:hAnsi="Calibri" w:eastAsia="宋体" w:cs="Times New Roman"/>
      <w:lang w:val="en-US" w:eastAsia="zh-CN" w:bidi="ar-SA"/>
    </w:rPr>
  </w:style>
  <w:style w:type="paragraph" w:customStyle="1" w:styleId="201">
    <w:name w:val="_Style 69"/>
    <w:basedOn w:val="1"/>
    <w:next w:val="138"/>
    <w:qFormat/>
    <w:uiPriority w:val="34"/>
    <w:pPr>
      <w:spacing w:line="360" w:lineRule="auto"/>
      <w:ind w:firstLine="420" w:firstLineChars="200"/>
    </w:pPr>
    <w:rPr>
      <w:rFonts w:ascii="Calibri" w:hAnsi="Calibri" w:eastAsia="宋体" w:cs="Times New Roman"/>
    </w:rPr>
  </w:style>
  <w:style w:type="paragraph" w:customStyle="1" w:styleId="20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4">
    <w:name w:val="彩色底纹 - 着色 11"/>
    <w:semiHidden/>
    <w:qFormat/>
    <w:uiPriority w:val="99"/>
    <w:rPr>
      <w:rFonts w:ascii="宋体" w:hAnsi="Calibri" w:eastAsia="宋体" w:cs="Times New Roman"/>
      <w:sz w:val="24"/>
      <w:szCs w:val="24"/>
      <w:lang w:val="en-US" w:eastAsia="zh-CN" w:bidi="ar-SA"/>
    </w:rPr>
  </w:style>
  <w:style w:type="paragraph" w:customStyle="1" w:styleId="205">
    <w:name w:val="WPSOffice手动目录 2"/>
    <w:qFormat/>
    <w:uiPriority w:val="0"/>
    <w:pPr>
      <w:ind w:left="200" w:leftChars="200"/>
    </w:pPr>
    <w:rPr>
      <w:rFonts w:ascii="Calibri" w:hAnsi="Calibri" w:eastAsia="宋体" w:cs="Times New Roman"/>
      <w:lang w:val="en-US" w:eastAsia="zh-CN" w:bidi="ar-SA"/>
    </w:rPr>
  </w:style>
  <w:style w:type="paragraph" w:customStyle="1" w:styleId="20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7">
    <w:name w:val="表格文字居中"/>
    <w:basedOn w:val="131"/>
    <w:qFormat/>
    <w:uiPriority w:val="0"/>
    <w:pPr>
      <w:jc w:val="center"/>
    </w:pPr>
    <w:rPr>
      <w:rFonts w:cs="宋体"/>
      <w:szCs w:val="20"/>
    </w:rPr>
  </w:style>
  <w:style w:type="paragraph" w:customStyle="1" w:styleId="208">
    <w:name w:val="正文缩进4格"/>
    <w:basedOn w:val="72"/>
    <w:qFormat/>
    <w:uiPriority w:val="0"/>
    <w:pPr>
      <w:spacing w:line="360" w:lineRule="auto"/>
      <w:ind w:left="964" w:leftChars="314" w:hanging="210" w:hangingChars="100"/>
    </w:pPr>
    <w:rPr>
      <w:rFonts w:ascii="宋体" w:eastAsia="宋体"/>
      <w:sz w:val="21"/>
      <w:szCs w:val="21"/>
      <w:lang w:val="zh-CN"/>
    </w:rPr>
  </w:style>
  <w:style w:type="paragraph" w:customStyle="1" w:styleId="20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0">
    <w:name w:val="正文首行缩进 字符"/>
    <w:basedOn w:val="127"/>
    <w:link w:val="42"/>
    <w:semiHidden/>
    <w:qFormat/>
    <w:uiPriority w:val="99"/>
    <w:rPr>
      <w:rFonts w:ascii="宋体" w:eastAsia="宋体"/>
      <w:b w:val="0"/>
      <w:bCs w:val="0"/>
      <w:sz w:val="84"/>
      <w:szCs w:val="84"/>
      <w:lang w:val="zh-CN"/>
    </w:rPr>
  </w:style>
  <w:style w:type="paragraph" w:customStyle="1" w:styleId="21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2">
    <w:name w:val="页脚 字符"/>
    <w:basedOn w:val="46"/>
    <w:link w:val="28"/>
    <w:qFormat/>
    <w:uiPriority w:val="0"/>
    <w:rPr>
      <w:kern w:val="2"/>
      <w:sz w:val="18"/>
    </w:rPr>
  </w:style>
  <w:style w:type="paragraph" w:customStyle="1" w:styleId="213">
    <w:name w:val="Table Text"/>
    <w:basedOn w:val="1"/>
    <w:link w:val="214"/>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4">
    <w:name w:val="Table Text Char1"/>
    <w:basedOn w:val="46"/>
    <w:link w:val="213"/>
    <w:qFormat/>
    <w:uiPriority w:val="0"/>
    <w:rPr>
      <w:rFonts w:hint="default" w:ascii="Arial" w:hAnsi="Arial" w:cs="Arial"/>
      <w:snapToGrid/>
      <w:sz w:val="21"/>
      <w:szCs w:val="21"/>
    </w:rPr>
  </w:style>
  <w:style w:type="table" w:customStyle="1" w:styleId="215">
    <w:name w:val="Table Normal"/>
    <w:basedOn w:val="44"/>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6">
    <w:name w:val="！正文"/>
    <w:basedOn w:val="1"/>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7">
    <w:name w:val="列出段落2"/>
    <w:basedOn w:val="1"/>
    <w:qFormat/>
    <w:uiPriority w:val="99"/>
    <w:pPr>
      <w:ind w:firstLine="420" w:firstLineChars="200"/>
    </w:pPr>
  </w:style>
  <w:style w:type="character" w:customStyle="1" w:styleId="218">
    <w:name w:val="10"/>
    <w:basedOn w:val="46"/>
    <w:qFormat/>
    <w:uiPriority w:val="0"/>
    <w:rPr>
      <w:rFonts w:hint="default" w:ascii="Times New Roman" w:hAnsi="Times New Roman" w:cs="Times New Roman"/>
    </w:rPr>
  </w:style>
  <w:style w:type="character" w:customStyle="1" w:styleId="219">
    <w:name w:val="15"/>
    <w:basedOn w:val="46"/>
    <w:qFormat/>
    <w:uiPriority w:val="0"/>
    <w:rPr>
      <w:rFonts w:hint="default" w:ascii="Times New Roman" w:hAnsi="Times New Roman" w:cs="Times New Roman"/>
    </w:rPr>
  </w:style>
  <w:style w:type="paragraph" w:customStyle="1" w:styleId="220">
    <w:name w:val="表格字体"/>
    <w:qFormat/>
    <w:uiPriority w:val="0"/>
    <w:pPr>
      <w:widowControl w:val="0"/>
      <w:autoSpaceDE/>
      <w:autoSpaceDN/>
      <w:snapToGrid w:val="0"/>
      <w:jc w:val="both"/>
    </w:pPr>
    <w:rPr>
      <w:rFonts w:ascii="微软雅黑" w:hAnsi="微软雅黑" w:eastAsia="仿宋" w:cs="Times New Roman"/>
      <w:kern w:val="2"/>
      <w:sz w:val="20"/>
      <w:szCs w:val="22"/>
      <w:lang w:val="en-US" w:eastAsia="zh-CN" w:bidi="ar-SA"/>
    </w:rPr>
  </w:style>
  <w:style w:type="paragraph" w:customStyle="1" w:styleId="221">
    <w:name w:val="正文 New New New New New"/>
    <w:autoRedefine/>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222">
    <w:name w:val="Table Paragraph"/>
    <w:basedOn w:val="1"/>
    <w:autoRedefine/>
    <w:qFormat/>
    <w:uiPriority w:val="1"/>
    <w:rPr>
      <w:rFonts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201</Pages>
  <Words>20332</Words>
  <Characters>21687</Characters>
  <Lines>1</Lines>
  <Paragraphs>1</Paragraphs>
  <TotalTime>21</TotalTime>
  <ScaleCrop>false</ScaleCrop>
  <LinksUpToDate>false</LinksUpToDate>
  <CharactersWithSpaces>22200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admin</cp:lastModifiedBy>
  <cp:lastPrinted>2025-06-24T01:44:00Z</cp:lastPrinted>
  <dcterms:modified xsi:type="dcterms:W3CDTF">2025-12-25T00:52:02Z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3174359CCE504D67945FDCE7625EB8A6_13</vt:lpwstr>
  </property>
  <property fmtid="{D5CDD505-2E9C-101B-9397-08002B2CF9AE}" pid="4" name="KSOTemplateDocerSaveRecord">
    <vt:lpwstr>eyJoZGlkIjoiNTdiNDQ0YTJhZjU2MDBhNDVkNTJkMjQyOWY3YzQxOWYiLCJ1c2VySWQiOiIzOTI2Njc4NTYifQ==</vt:lpwstr>
  </property>
</Properties>
</file>