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pStyle w:val="2"/>
        <w:jc w:val="center"/>
      </w:pPr>
      <w:r>
        <w:rPr>
          <w:rFonts w:hint="default" w:ascii="Times New Roman" w:hAnsi="Times New Roman" w:eastAsia="宋体" w:cs="Times New Roman"/>
          <w:b/>
          <w:bCs/>
          <w:color w:val="000000" w:themeColor="text1"/>
          <w:kern w:val="0"/>
          <w:sz w:val="48"/>
          <w:szCs w:val="48"/>
          <w:lang w:val="en-US" w:eastAsia="zh-CN"/>
          <w14:textFill>
            <w14:solidFill>
              <w14:schemeClr w14:val="tx1"/>
            </w14:solidFill>
          </w14:textFill>
        </w:rPr>
        <w:t>东莞市污泥集中处理处置项目硫酸和盐酸溶液采购项目</w:t>
      </w:r>
    </w:p>
    <w:p>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30</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pPr>
            <w:pStyle w:val="29"/>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pPr>
            <w:pStyle w:val="16"/>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7"/>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pPr>
            <w:pStyle w:val="16"/>
            <w:rPr>
              <w:rFonts w:ascii="Times New Roman"/>
              <w:kern w:val="2"/>
              <w:sz w:val="22"/>
            </w:rPr>
          </w:pPr>
          <w:r>
            <w:fldChar w:fldCharType="begin"/>
          </w:r>
          <w:r>
            <w:instrText xml:space="preserve"> HYPERLINK \l "_Toc29476691" </w:instrText>
          </w:r>
          <w:r>
            <w:fldChar w:fldCharType="separate"/>
          </w:r>
          <w:r>
            <w:rPr>
              <w:rStyle w:val="27"/>
              <w:rFonts w:ascii="Times New Roman"/>
              <w:sz w:val="28"/>
              <w:szCs w:val="28"/>
            </w:rPr>
            <w:t>第二章 用户需求</w:t>
          </w:r>
          <w:r>
            <w:rPr>
              <w:rStyle w:val="27"/>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pPr>
            <w:pStyle w:val="16"/>
            <w:rPr>
              <w:rFonts w:hint="default" w:ascii="Times New Roman" w:eastAsia="宋体"/>
              <w:kern w:val="2"/>
              <w:sz w:val="22"/>
              <w:lang w:val="en-US" w:eastAsia="zh-CN"/>
            </w:rPr>
          </w:pPr>
          <w:r>
            <w:fldChar w:fldCharType="begin"/>
          </w:r>
          <w:r>
            <w:instrText xml:space="preserve"> HYPERLINK \l "_Toc29476692" </w:instrText>
          </w:r>
          <w:r>
            <w:fldChar w:fldCharType="separate"/>
          </w:r>
          <w:r>
            <w:rPr>
              <w:rStyle w:val="27"/>
              <w:rFonts w:ascii="Times New Roman"/>
              <w:sz w:val="28"/>
              <w:szCs w:val="28"/>
            </w:rPr>
            <w:t>第三章 合同条款</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12</w:t>
          </w:r>
        </w:p>
        <w:p>
          <w:pPr>
            <w:pStyle w:val="16"/>
            <w:rPr>
              <w:rFonts w:hint="default" w:ascii="Times New Roman" w:eastAsia="宋体"/>
              <w:kern w:val="2"/>
              <w:sz w:val="22"/>
              <w:lang w:val="en-US" w:eastAsia="zh-CN"/>
            </w:rPr>
          </w:pPr>
          <w:r>
            <w:fldChar w:fldCharType="begin"/>
          </w:r>
          <w:r>
            <w:instrText xml:space="preserve"> HYPERLINK \l "_Toc29476707" </w:instrText>
          </w:r>
          <w:r>
            <w:fldChar w:fldCharType="separate"/>
          </w:r>
          <w:r>
            <w:rPr>
              <w:rStyle w:val="27"/>
              <w:rFonts w:ascii="Times New Roman"/>
              <w:sz w:val="28"/>
              <w:szCs w:val="28"/>
            </w:rPr>
            <w:t>第四章 报价须知</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44</w:t>
          </w:r>
        </w:p>
        <w:p>
          <w:pPr>
            <w:pStyle w:val="16"/>
            <w:rPr>
              <w:rFonts w:hint="default" w:ascii="Times New Roman" w:eastAsia="宋体"/>
              <w:kern w:val="2"/>
              <w:sz w:val="22"/>
              <w:lang w:val="en-US" w:eastAsia="zh-CN"/>
            </w:rPr>
          </w:pPr>
          <w:r>
            <w:fldChar w:fldCharType="begin"/>
          </w:r>
          <w:r>
            <w:instrText xml:space="preserve"> HYPERLINK \l "_Toc29476708" </w:instrText>
          </w:r>
          <w:r>
            <w:fldChar w:fldCharType="separate"/>
          </w:r>
          <w:r>
            <w:rPr>
              <w:rStyle w:val="27"/>
              <w:rFonts w:ascii="Times New Roman"/>
              <w:sz w:val="28"/>
              <w:szCs w:val="28"/>
            </w:rPr>
            <w:t>第五章 报价文件（格式）</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46</w:t>
          </w:r>
        </w:p>
        <w:p>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pPr>
        <w:pStyle w:val="4"/>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pPr>
        <w:spacing w:line="300" w:lineRule="auto"/>
        <w:rPr>
          <w:rFonts w:hAnsi="宋体" w:cs="宋体"/>
        </w:rPr>
      </w:pPr>
      <w:r>
        <w:rPr>
          <w:rFonts w:hint="eastAsia" w:hAnsi="宋体" w:cs="宋体"/>
        </w:rPr>
        <w:t>各供应商：</w:t>
      </w:r>
    </w:p>
    <w:p>
      <w:pPr>
        <w:spacing w:line="30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hAnsi="宋体" w:cs="宋体"/>
          <w:u w:val="single"/>
          <w:lang w:val="en-US" w:eastAsia="zh-CN"/>
        </w:rPr>
        <w:t>东莞市污泥集中处理处置项目硫酸和盐酸溶液采购项目</w:t>
      </w:r>
      <w:r>
        <w:rPr>
          <w:rFonts w:hint="eastAsia" w:hAnsi="宋体" w:cs="宋体"/>
          <w:u w:val="single"/>
        </w:rPr>
        <w:t>”</w:t>
      </w:r>
      <w:r>
        <w:rPr>
          <w:rFonts w:hint="eastAsia" w:hAnsi="宋体" w:cs="宋体"/>
        </w:rPr>
        <w:t>正式开展，现邀请贵司参与本项目的询价采购。具体采购信息如下：</w:t>
      </w:r>
    </w:p>
    <w:p>
      <w:pPr>
        <w:spacing w:line="300" w:lineRule="auto"/>
        <w:ind w:firstLine="424" w:firstLineChars="177"/>
        <w:rPr>
          <w:rFonts w:hAnsi="宋体" w:cs="宋体"/>
        </w:rPr>
      </w:pPr>
      <w:r>
        <w:rPr>
          <w:rFonts w:hint="eastAsia" w:hAnsi="宋体" w:cs="宋体"/>
        </w:rPr>
        <w:t>一、采购项目编号</w:t>
      </w:r>
      <w:r>
        <w:rPr>
          <w:rFonts w:hint="eastAsia" w:hAnsi="宋体" w:cs="宋体"/>
          <w:color w:val="000000" w:themeColor="text1"/>
          <w14:textFill>
            <w14:solidFill>
              <w14:schemeClr w14:val="tx1"/>
            </w14:solidFill>
          </w14:textFill>
        </w:rPr>
        <w:t>：JS-2025-152</w:t>
      </w:r>
    </w:p>
    <w:p>
      <w:pPr>
        <w:spacing w:line="300" w:lineRule="auto"/>
        <w:ind w:firstLine="424" w:firstLineChars="177"/>
        <w:rPr>
          <w:rFonts w:hAnsi="宋体" w:cs="宋体"/>
        </w:rPr>
      </w:pPr>
      <w:r>
        <w:rPr>
          <w:rFonts w:hint="eastAsia" w:hAnsi="宋体" w:cs="宋体"/>
        </w:rPr>
        <w:t>二、采购项目名称：</w:t>
      </w:r>
      <w:r>
        <w:rPr>
          <w:rFonts w:hint="eastAsia" w:hAnsi="宋体" w:cs="宋体"/>
          <w:u w:val="single"/>
          <w:lang w:val="en-US" w:eastAsia="zh-CN"/>
        </w:rPr>
        <w:t>东莞市污泥集中处理处置项目硫酸和盐酸溶液采购项目</w:t>
      </w:r>
    </w:p>
    <w:p>
      <w:pPr>
        <w:spacing w:line="300" w:lineRule="auto"/>
        <w:ind w:firstLine="424" w:firstLineChars="177"/>
        <w:rPr>
          <w:rFonts w:hAnsi="宋体" w:cs="宋体"/>
        </w:rPr>
      </w:pPr>
      <w:r>
        <w:rPr>
          <w:rFonts w:hint="eastAsia" w:hAnsi="宋体" w:cs="宋体"/>
        </w:rPr>
        <w:t>三、采购预算：</w:t>
      </w:r>
      <w:r>
        <w:rPr>
          <w:rFonts w:hint="eastAsia" w:hAnsi="宋体" w:cs="宋体"/>
          <w:b/>
        </w:rPr>
        <w:t>不含税最高限价为94,608.56元。</w:t>
      </w:r>
    </w:p>
    <w:p>
      <w:pPr>
        <w:spacing w:line="300" w:lineRule="auto"/>
        <w:ind w:firstLine="424" w:firstLineChars="177"/>
        <w:rPr>
          <w:rFonts w:hAnsi="宋体" w:cs="宋体"/>
        </w:rPr>
      </w:pPr>
      <w:r>
        <w:rPr>
          <w:rFonts w:hint="eastAsia" w:hAnsi="宋体" w:cs="宋体"/>
        </w:rPr>
        <w:t>四、采购内容：</w:t>
      </w:r>
      <w:r>
        <w:rPr>
          <w:rFonts w:hint="eastAsia" w:hAnsi="宋体" w:cs="宋体"/>
          <w:u w:val="single"/>
        </w:rPr>
        <w:t>浓度≥50%硫酸溶液、浓度≥31%盐酸溶液</w:t>
      </w:r>
      <w:r>
        <w:rPr>
          <w:rFonts w:hint="eastAsia" w:hAnsi="宋体" w:cs="宋体"/>
        </w:rPr>
        <w:t>（具体详见用户需求书）</w:t>
      </w:r>
    </w:p>
    <w:p>
      <w:pPr>
        <w:spacing w:line="300" w:lineRule="auto"/>
        <w:ind w:firstLine="424" w:firstLineChars="177"/>
        <w:rPr>
          <w:rFonts w:hAnsi="宋体" w:cs="宋体"/>
        </w:rPr>
      </w:pPr>
      <w:r>
        <w:rPr>
          <w:rFonts w:hint="eastAsia" w:hAnsi="宋体" w:cs="宋体"/>
        </w:rPr>
        <w:t>五、资质要求：</w:t>
      </w:r>
    </w:p>
    <w:p>
      <w:pPr>
        <w:spacing w:line="300" w:lineRule="auto"/>
        <w:ind w:firstLine="424" w:firstLineChars="177"/>
        <w:rPr>
          <w:rFonts w:hint="eastAsia" w:hAnsi="宋体" w:eastAsia="宋体" w:cs="宋体"/>
          <w:lang w:val="en-US" w:eastAsia="zh-CN"/>
        </w:rPr>
      </w:pPr>
      <w:r>
        <w:rPr>
          <w:rFonts w:hint="eastAsia" w:hAnsi="宋体" w:cs="宋体"/>
          <w:lang w:val="en-US" w:eastAsia="zh-CN"/>
        </w:rPr>
        <w:t>1.</w:t>
      </w:r>
      <w:r>
        <w:rPr>
          <w:rFonts w:hint="eastAsia" w:hAnsi="宋体" w:cs="宋体"/>
        </w:rPr>
        <w:t>报价人</w:t>
      </w:r>
      <w:r>
        <w:rPr>
          <w:rFonts w:ascii="Times New Roman"/>
        </w:rPr>
        <w:t>自2022年1月1日以来，至少具备一个</w:t>
      </w:r>
      <w:r>
        <w:rPr>
          <w:rFonts w:hint="eastAsia" w:hAnsi="宋体" w:cs="宋体"/>
          <w:u w:val="single"/>
          <w:lang w:val="en-US" w:eastAsia="zh-CN"/>
        </w:rPr>
        <w:t>硫酸和盐酸溶液供货或</w:t>
      </w:r>
      <w:r>
        <w:rPr>
          <w:rFonts w:hint="eastAsia" w:ascii="Times New Roman"/>
        </w:rPr>
        <w:t>相关</w:t>
      </w:r>
      <w:r>
        <w:rPr>
          <w:rFonts w:ascii="Times New Roman"/>
        </w:rPr>
        <w:t>业绩（合同签订日期为2022年1月1日或以后</w:t>
      </w:r>
      <w:r>
        <w:rPr>
          <w:rFonts w:hint="eastAsia" w:hAnsi="宋体" w:cs="宋体"/>
        </w:rPr>
        <w:t>）</w:t>
      </w:r>
      <w:r>
        <w:rPr>
          <w:rFonts w:hint="eastAsia" w:hAnsi="宋体" w:cs="宋体"/>
          <w:lang w:eastAsia="zh-CN"/>
        </w:rPr>
        <w:t>；</w:t>
      </w:r>
    </w:p>
    <w:p>
      <w:pPr>
        <w:spacing w:line="300" w:lineRule="auto"/>
        <w:ind w:firstLine="424" w:firstLineChars="177"/>
        <w:rPr>
          <w:rFonts w:hAnsi="宋体" w:cs="宋体"/>
        </w:rPr>
      </w:pPr>
      <w:r>
        <w:rPr>
          <w:rFonts w:hint="eastAsia" w:hAnsi="宋体" w:cs="宋体"/>
          <w:lang w:val="en-US" w:eastAsia="zh-CN"/>
        </w:rPr>
        <w:t>2.</w:t>
      </w:r>
      <w:r>
        <w:rPr>
          <w:rFonts w:hint="eastAsia" w:hAnsi="宋体" w:cs="宋体"/>
        </w:rPr>
        <w:t>报价人未被列入“信用中国”网站（www.creditchina.gov.cn）失信被执行人、重大税收违法失信主体、政府采购严重违法失信行为记录名单（处罚期限届满的除外）。</w:t>
      </w:r>
    </w:p>
    <w:p>
      <w:pPr>
        <w:spacing w:line="300" w:lineRule="auto"/>
        <w:ind w:firstLine="424" w:firstLineChars="177"/>
        <w:rPr>
          <w:rFonts w:hAnsi="宋体"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Ansi="宋体" w:cs="宋体"/>
          <w:b/>
        </w:rPr>
        <w:t xml:space="preserve"> </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hint="eastAsia" w:ascii="Times New Roman"/>
          <w:color w:val="000000" w:themeColor="text1"/>
          <w:lang w:val="en-US" w:eastAsia="zh-CN"/>
          <w14:textFill>
            <w14:solidFill>
              <w14:schemeClr w14:val="tx1"/>
            </w14:solidFill>
          </w14:textFill>
        </w:rPr>
        <w:t>2026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八、报价文件递交地点：东莞市水务环境投资控股集团净水有限公司招标成本部。</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hint="eastAsia" w:ascii="Times New Roman"/>
          <w:color w:val="000000" w:themeColor="text1"/>
          <w:lang w:val="en-US" w:eastAsia="zh-CN"/>
          <w14:textFill>
            <w14:solidFill>
              <w14:schemeClr w14:val="tx1"/>
            </w14:solidFill>
          </w14:textFill>
        </w:rPr>
        <w:t>2026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十、开封地点：东莞市水务环境投资控股集团净水有限公司4楼开标室。</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pPr>
        <w:spacing w:line="300" w:lineRule="auto"/>
        <w:ind w:left="566" w:leftChars="236" w:firstLine="285"/>
        <w:rPr>
          <w:rFonts w:hAnsi="宋体" w:cs="宋体"/>
          <w:color w:val="000000" w:themeColor="text1"/>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张</w:t>
      </w:r>
      <w:r>
        <w:rPr>
          <w:rFonts w:hint="eastAsia" w:hAnsi="宋体" w:cs="宋体"/>
          <w:color w:val="000000" w:themeColor="text1"/>
          <w14:textFill>
            <w14:solidFill>
              <w14:schemeClr w14:val="tx1"/>
            </w14:solidFill>
          </w14:textFill>
        </w:rPr>
        <w:t>工</w:t>
      </w:r>
    </w:p>
    <w:p>
      <w:pPr>
        <w:spacing w:line="300" w:lineRule="auto"/>
        <w:ind w:left="566" w:leftChars="236" w:firstLine="285"/>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ascii="Times New Roman" w:cs="宋体"/>
          <w:color w:val="000000" w:themeColor="text1"/>
          <w14:textFill>
            <w14:solidFill>
              <w14:schemeClr w14:val="tx1"/>
            </w14:solidFill>
          </w14:textFill>
        </w:rPr>
        <w:t>0769</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23286382</w:t>
      </w:r>
    </w:p>
    <w:p>
      <w:pPr>
        <w:spacing w:line="300" w:lineRule="auto"/>
        <w:ind w:left="566" w:leftChars="236" w:firstLine="285"/>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号（东莞市水务环境投资控股集团</w:t>
      </w:r>
      <w:bookmarkStart w:id="47" w:name="_GoBack"/>
      <w:bookmarkEnd w:id="47"/>
      <w:r>
        <w:rPr>
          <w:rFonts w:hint="eastAsia" w:hAnsi="宋体" w:cs="宋体"/>
          <w:color w:val="000000" w:themeColor="text1"/>
          <w14:textFill>
            <w14:solidFill>
              <w14:schemeClr w14:val="tx1"/>
            </w14:solidFill>
          </w14:textFill>
        </w:rPr>
        <w:t>净水有限公司）</w:t>
      </w:r>
    </w:p>
    <w:bookmarkEnd w:id="3"/>
    <w:p>
      <w:pPr>
        <w:spacing w:line="300" w:lineRule="auto"/>
        <w:rPr>
          <w:rFonts w:hAnsi="宋体" w:cs="宋体"/>
          <w:color w:val="000000" w:themeColor="text1"/>
          <w14:textFill>
            <w14:solidFill>
              <w14:schemeClr w14:val="tx1"/>
            </w14:solidFill>
          </w14:textFill>
        </w:rPr>
      </w:pPr>
    </w:p>
    <w:p>
      <w:pPr>
        <w:spacing w:line="30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pPr>
        <w:spacing w:line="300" w:lineRule="auto"/>
        <w:jc w:val="center"/>
        <w:rPr>
          <w:rFonts w:hAnsi="宋体" w:cs="宋体"/>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pPr>
        <w:spacing w:line="360" w:lineRule="auto"/>
        <w:rPr>
          <w:rFonts w:hAnsi="宋体" w:cs="宋体"/>
        </w:rPr>
        <w:sectPr>
          <w:pgSz w:w="11906" w:h="16838"/>
          <w:pgMar w:top="1440" w:right="1803" w:bottom="1440" w:left="1803" w:header="851" w:footer="992" w:gutter="0"/>
          <w:cols w:space="0" w:num="1"/>
          <w:docGrid w:type="lines" w:linePitch="332" w:charSpace="0"/>
        </w:sectPr>
      </w:pPr>
    </w:p>
    <w:p>
      <w:pPr>
        <w:pStyle w:val="59"/>
        <w:autoSpaceDE/>
        <w:autoSpaceDN/>
        <w:spacing w:line="580" w:lineRule="exact"/>
        <w:jc w:val="center"/>
        <w:rPr>
          <w:rFonts w:hint="eastAsia" w:ascii="方正仿宋_GB2312" w:hAnsi="方正仿宋_GB2312" w:eastAsia="方正仿宋_GB2312" w:cs="方正仿宋_GB2312"/>
          <w:b w:val="0"/>
          <w:bCs w:val="0"/>
          <w:sz w:val="36"/>
          <w:szCs w:val="36"/>
        </w:rPr>
      </w:pPr>
      <w:bookmarkStart w:id="5" w:name="_Toc29476691"/>
      <w:r>
        <w:rPr>
          <w:rFonts w:hint="eastAsia" w:ascii="方正小标宋简体" w:hAnsi="方正小标宋简体" w:eastAsia="方正小标宋简体" w:cs="方正小标宋简体"/>
          <w:b w:val="0"/>
          <w:bCs w:val="0"/>
          <w:sz w:val="36"/>
          <w:szCs w:val="36"/>
        </w:rPr>
        <w:t>用户需求书</w:t>
      </w:r>
    </w:p>
    <w:p>
      <w:pPr>
        <w:autoSpaceDE/>
        <w:autoSpaceDN/>
        <w:spacing w:line="580" w:lineRule="exact"/>
        <w:rPr>
          <w:rFonts w:hint="eastAsia" w:ascii="宋体" w:hAnsi="宋体" w:eastAsia="宋体" w:cs="宋体"/>
          <w:b/>
          <w:color w:val="000000"/>
          <w:sz w:val="21"/>
          <w:szCs w:val="21"/>
          <w:lang w:val="en-US" w:eastAsia="zh-CN"/>
        </w:rPr>
      </w:pPr>
      <w:bookmarkStart w:id="6" w:name="_Toc146625403"/>
      <w:r>
        <w:rPr>
          <w:rFonts w:hint="eastAsia" w:ascii="宋体" w:hAnsi="宋体" w:eastAsia="宋体" w:cs="宋体"/>
          <w:b/>
          <w:color w:val="000000"/>
          <w:sz w:val="21"/>
          <w:szCs w:val="21"/>
        </w:rPr>
        <w:t>一、总体要</w:t>
      </w:r>
      <w:r>
        <w:rPr>
          <w:rFonts w:hint="eastAsia" w:hAnsi="宋体" w:cs="宋体"/>
          <w:b/>
          <w:color w:val="000000"/>
          <w:sz w:val="21"/>
          <w:szCs w:val="21"/>
          <w:lang w:val="en-US" w:eastAsia="zh-CN"/>
        </w:rPr>
        <w:t>求</w:t>
      </w:r>
    </w:p>
    <w:p>
      <w:pPr>
        <w:pStyle w:val="30"/>
        <w:numPr>
          <w:ilvl w:val="0"/>
          <w:numId w:val="2"/>
        </w:numPr>
        <w:spacing w:line="580" w:lineRule="exact"/>
        <w:ind w:firstLineChars="0"/>
        <w:rPr>
          <w:rFonts w:ascii="宋体" w:hAnsi="宋体" w:eastAsia="宋体" w:cs="宋体"/>
          <w:szCs w:val="21"/>
        </w:rPr>
      </w:pPr>
      <w:r>
        <w:rPr>
          <w:rFonts w:hint="eastAsia" w:ascii="宋体" w:hAnsi="宋体" w:eastAsia="宋体" w:cs="宋体"/>
          <w:szCs w:val="21"/>
        </w:rPr>
        <w:t>本项目采购浓度≥50%硫酸溶液、浓度≥31%盐酸溶液，其中硫酸溶液用于调节循环冷却水系统、废水系统脱硫废水的PH值，盐酸溶液调节除盐水系统的PH值、膜系统清洗。</w:t>
      </w:r>
    </w:p>
    <w:p>
      <w:pPr>
        <w:pStyle w:val="30"/>
        <w:numPr>
          <w:ilvl w:val="0"/>
          <w:numId w:val="2"/>
        </w:numPr>
        <w:spacing w:line="580" w:lineRule="exact"/>
        <w:ind w:firstLineChars="0"/>
        <w:rPr>
          <w:rFonts w:ascii="宋体" w:hAnsi="宋体" w:eastAsia="宋体" w:cs="宋体"/>
          <w:szCs w:val="21"/>
        </w:rPr>
      </w:pPr>
      <w:r>
        <w:rPr>
          <w:rFonts w:hint="eastAsia" w:ascii="宋体" w:hAnsi="宋体" w:eastAsia="宋体" w:cs="宋体"/>
          <w:szCs w:val="21"/>
        </w:rPr>
        <w:t>具体供货量根据实际运营需求，并结合实际使用后的情况选用。</w:t>
      </w:r>
    </w:p>
    <w:p>
      <w:pPr>
        <w:pStyle w:val="30"/>
        <w:numPr>
          <w:ilvl w:val="0"/>
          <w:numId w:val="2"/>
        </w:numPr>
        <w:spacing w:line="580" w:lineRule="exact"/>
        <w:ind w:firstLineChars="0"/>
        <w:rPr>
          <w:rFonts w:ascii="宋体" w:hAnsi="宋体" w:eastAsia="宋体" w:cs="宋体"/>
          <w:szCs w:val="21"/>
        </w:rPr>
      </w:pPr>
      <w:r>
        <w:rPr>
          <w:rFonts w:hint="eastAsia" w:ascii="宋体" w:hAnsi="宋体" w:eastAsia="宋体" w:cs="宋体"/>
          <w:szCs w:val="21"/>
        </w:rPr>
        <w:t>供货期：供货期从合同签订之日至2026年12月31日，具体供货起始日期以采购人书面通知为准，供货单位收到采购人通知后必须无条件按照采购人的要求开始供货。</w:t>
      </w:r>
    </w:p>
    <w:p>
      <w:pPr>
        <w:autoSpaceDE/>
        <w:autoSpaceDN/>
        <w:spacing w:line="58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二、药剂要求</w:t>
      </w:r>
    </w:p>
    <w:p>
      <w:pPr>
        <w:pStyle w:val="30"/>
        <w:numPr>
          <w:ilvl w:val="0"/>
          <w:numId w:val="3"/>
        </w:numPr>
        <w:spacing w:line="580" w:lineRule="exact"/>
        <w:ind w:firstLineChars="0"/>
        <w:rPr>
          <w:rFonts w:ascii="宋体" w:hAnsi="宋体" w:eastAsia="宋体" w:cs="宋体"/>
          <w:szCs w:val="21"/>
        </w:rPr>
      </w:pPr>
      <w:r>
        <w:rPr>
          <w:rFonts w:hint="eastAsia" w:ascii="宋体" w:hAnsi="宋体" w:eastAsia="宋体" w:cs="宋体"/>
          <w:szCs w:val="21"/>
        </w:rPr>
        <w:t>产品名称：硫酸溶液浓度≥50%，盐酸溶液浓度≥31%</w:t>
      </w:r>
    </w:p>
    <w:p>
      <w:pPr>
        <w:pStyle w:val="30"/>
        <w:numPr>
          <w:ilvl w:val="0"/>
          <w:numId w:val="3"/>
        </w:numPr>
        <w:spacing w:line="580" w:lineRule="exact"/>
        <w:ind w:firstLineChars="0"/>
        <w:rPr>
          <w:rFonts w:hint="eastAsia" w:ascii="宋体" w:hAnsi="宋体" w:eastAsia="宋体" w:cs="宋体"/>
          <w:szCs w:val="21"/>
        </w:rPr>
      </w:pPr>
      <w:r>
        <w:rPr>
          <w:rFonts w:hint="eastAsia" w:ascii="宋体" w:hAnsi="宋体" w:eastAsia="宋体" w:cs="宋体"/>
          <w:szCs w:val="21"/>
        </w:rPr>
        <w:t>分子式：H</w:t>
      </w:r>
      <w:r>
        <w:rPr>
          <w:rFonts w:hint="eastAsia" w:ascii="宋体" w:hAnsi="宋体" w:eastAsia="宋体" w:cs="宋体"/>
          <w:szCs w:val="21"/>
          <w:vertAlign w:val="subscript"/>
        </w:rPr>
        <w:t>2</w:t>
      </w:r>
      <w:r>
        <w:rPr>
          <w:rFonts w:hint="eastAsia" w:ascii="宋体" w:hAnsi="宋体" w:eastAsia="宋体" w:cs="宋体"/>
          <w:szCs w:val="21"/>
        </w:rPr>
        <w:t>SO</w:t>
      </w:r>
      <w:r>
        <w:rPr>
          <w:rFonts w:hint="eastAsia" w:ascii="宋体" w:hAnsi="宋体" w:eastAsia="宋体" w:cs="宋体"/>
          <w:szCs w:val="21"/>
          <w:vertAlign w:val="subscript"/>
        </w:rPr>
        <w:t>4</w:t>
      </w:r>
      <w:r>
        <w:rPr>
          <w:rFonts w:hint="eastAsia" w:ascii="宋体" w:hAnsi="宋体" w:eastAsia="宋体" w:cs="宋体"/>
          <w:szCs w:val="21"/>
        </w:rPr>
        <w:t>、HCl</w:t>
      </w:r>
    </w:p>
    <w:p>
      <w:pPr>
        <w:pStyle w:val="30"/>
        <w:numPr>
          <w:ilvl w:val="0"/>
          <w:numId w:val="3"/>
        </w:numPr>
        <w:spacing w:line="580" w:lineRule="exact"/>
        <w:ind w:firstLineChars="0"/>
        <w:rPr>
          <w:rFonts w:ascii="宋体" w:hAnsi="宋体" w:eastAsia="宋体" w:cs="宋体"/>
          <w:szCs w:val="21"/>
        </w:rPr>
      </w:pPr>
      <w:r>
        <w:rPr>
          <w:rFonts w:hint="eastAsia" w:ascii="宋体" w:hAnsi="宋体" w:eastAsia="宋体" w:cs="宋体"/>
          <w:szCs w:val="21"/>
        </w:rPr>
        <w:t>本项目暂定采购数量：硫酸溶液74吨，盐酸溶液2吨。</w:t>
      </w:r>
    </w:p>
    <w:p>
      <w:pPr>
        <w:pStyle w:val="30"/>
        <w:numPr>
          <w:ilvl w:val="0"/>
          <w:numId w:val="3"/>
        </w:numPr>
        <w:spacing w:line="580" w:lineRule="exact"/>
        <w:ind w:firstLineChars="0"/>
        <w:rPr>
          <w:rFonts w:ascii="宋体" w:hAnsi="宋体" w:eastAsia="宋体" w:cs="宋体"/>
          <w:szCs w:val="21"/>
        </w:rPr>
      </w:pPr>
      <w:r>
        <w:rPr>
          <w:rFonts w:hint="eastAsia" w:ascii="宋体" w:hAnsi="宋体" w:eastAsia="宋体" w:cs="宋体"/>
          <w:szCs w:val="21"/>
        </w:rPr>
        <w:t>主要技术指标</w:t>
      </w:r>
    </w:p>
    <w:p>
      <w:pPr>
        <w:pStyle w:val="30"/>
        <w:spacing w:line="580" w:lineRule="exact"/>
        <w:ind w:left="860" w:hanging="440" w:firstLineChars="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w:t>
      </w:r>
      <w:r>
        <w:rPr>
          <w:rFonts w:hint="eastAsia" w:ascii="宋体" w:hAnsi="宋体" w:eastAsia="宋体" w:cs="宋体"/>
          <w:szCs w:val="21"/>
        </w:rPr>
        <w:t>硫酸溶液</w:t>
      </w:r>
    </w:p>
    <w:p>
      <w:pPr>
        <w:pStyle w:val="30"/>
        <w:spacing w:line="580" w:lineRule="exact"/>
        <w:ind w:left="860" w:hanging="440" w:firstLineChars="0"/>
        <w:rPr>
          <w:rFonts w:ascii="宋体" w:hAnsi="宋体" w:eastAsia="宋体" w:cs="宋体"/>
          <w:szCs w:val="21"/>
        </w:rPr>
      </w:pPr>
      <w:r>
        <w:rPr>
          <w:rFonts w:hint="eastAsia" w:ascii="宋体" w:hAnsi="宋体" w:eastAsia="宋体" w:cs="宋体"/>
          <w:szCs w:val="21"/>
        </w:rPr>
        <w:t>1）液态硫酸产品外观为无色透明液体，无沉淀，无悬浮异物。</w:t>
      </w:r>
    </w:p>
    <w:p>
      <w:pPr>
        <w:pStyle w:val="30"/>
        <w:spacing w:line="580" w:lineRule="exac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除硫酸质量分数外硫酸必须符合《工业硫酸》（GB 534—2024）一等品产品质量及检测标准，包括下表技术指标：</w:t>
      </w:r>
    </w:p>
    <w:p>
      <w:pPr>
        <w:autoSpaceDE/>
        <w:autoSpaceDN/>
        <w:spacing w:line="580" w:lineRule="exact"/>
        <w:ind w:firstLine="420" w:firstLineChars="200"/>
        <w:jc w:val="center"/>
        <w:rPr>
          <w:rFonts w:ascii="宋体" w:hAnsi="宋体" w:eastAsia="宋体" w:cs="宋体"/>
          <w:sz w:val="21"/>
          <w:szCs w:val="21"/>
        </w:rPr>
      </w:pPr>
      <w:r>
        <w:rPr>
          <w:rFonts w:hint="eastAsia" w:ascii="宋体" w:hAnsi="宋体" w:eastAsia="宋体" w:cs="宋体"/>
          <w:sz w:val="21"/>
          <w:szCs w:val="21"/>
        </w:rPr>
        <w:t>表1  硫酸主要技术指标</w:t>
      </w:r>
    </w:p>
    <w:p>
      <w:pPr>
        <w:pStyle w:val="2"/>
        <w:autoSpaceDE/>
        <w:autoSpaceDN/>
        <w:spacing w:line="580" w:lineRule="exact"/>
        <w:rPr>
          <w:rFonts w:hint="eastAsia" w:hAnsi="宋体" w:cs="宋体"/>
          <w:sz w:val="21"/>
          <w:szCs w:val="21"/>
          <w:highlight w:val="yellow"/>
          <w:lang w:val="en-US"/>
        </w:rPr>
      </w:pPr>
      <w:r>
        <w:rPr>
          <w:rFonts w:hint="eastAsia" w:hAnsi="宋体" w:cs="宋体"/>
          <w:sz w:val="21"/>
          <w:szCs w:val="21"/>
          <w:lang w:val="en-US"/>
        </w:rPr>
        <w:drawing>
          <wp:anchor distT="0" distB="0" distL="0" distR="0" simplePos="0" relativeHeight="251660288" behindDoc="0" locked="0" layoutInCell="1" allowOverlap="1">
            <wp:simplePos x="0" y="0"/>
            <wp:positionH relativeFrom="column">
              <wp:posOffset>454025</wp:posOffset>
            </wp:positionH>
            <wp:positionV relativeFrom="paragraph">
              <wp:posOffset>4445</wp:posOffset>
            </wp:positionV>
            <wp:extent cx="5340985" cy="3349625"/>
            <wp:effectExtent l="0" t="0" r="12065" b="317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6"/>
                    <a:stretch>
                      <a:fillRect/>
                    </a:stretch>
                  </pic:blipFill>
                  <pic:spPr>
                    <a:xfrm>
                      <a:off x="0" y="0"/>
                      <a:ext cx="5340985" cy="3349625"/>
                    </a:xfrm>
                    <a:prstGeom prst="rect">
                      <a:avLst/>
                    </a:prstGeom>
                  </pic:spPr>
                </pic:pic>
              </a:graphicData>
            </a:graphic>
          </wp:anchor>
        </w:drawing>
      </w:r>
    </w:p>
    <w:p>
      <w:pPr>
        <w:pStyle w:val="2"/>
        <w:autoSpaceDE/>
        <w:autoSpaceDN/>
        <w:spacing w:line="580" w:lineRule="exact"/>
        <w:rPr>
          <w:rFonts w:hint="eastAsia" w:hAnsi="宋体" w:cs="宋体"/>
          <w:sz w:val="21"/>
          <w:szCs w:val="21"/>
          <w:highlight w:val="yellow"/>
          <w:lang w:val="en-US"/>
        </w:rPr>
      </w:pPr>
    </w:p>
    <w:p>
      <w:pPr>
        <w:pStyle w:val="2"/>
        <w:autoSpaceDE/>
        <w:autoSpaceDN/>
        <w:spacing w:line="580" w:lineRule="exact"/>
        <w:rPr>
          <w:rFonts w:hint="eastAsia" w:hAnsi="宋体" w:cs="宋体"/>
          <w:sz w:val="21"/>
          <w:szCs w:val="21"/>
          <w:highlight w:val="yellow"/>
          <w:lang w:val="en-US"/>
        </w:rPr>
      </w:pPr>
    </w:p>
    <w:p>
      <w:pPr>
        <w:pStyle w:val="2"/>
        <w:autoSpaceDE/>
        <w:autoSpaceDN/>
        <w:spacing w:line="580" w:lineRule="exact"/>
        <w:rPr>
          <w:rFonts w:hint="eastAsia" w:hAnsi="宋体" w:cs="宋体"/>
          <w:sz w:val="21"/>
          <w:szCs w:val="21"/>
          <w:highlight w:val="yellow"/>
          <w:lang w:val="en-US"/>
        </w:rPr>
      </w:pPr>
    </w:p>
    <w:p>
      <w:pPr>
        <w:pStyle w:val="2"/>
        <w:autoSpaceDE/>
        <w:autoSpaceDN/>
        <w:spacing w:line="580" w:lineRule="exact"/>
        <w:rPr>
          <w:rFonts w:hint="eastAsia" w:hAnsi="宋体" w:cs="宋体"/>
          <w:sz w:val="21"/>
          <w:szCs w:val="21"/>
          <w:highlight w:val="yellow"/>
          <w:lang w:val="en-US"/>
        </w:rPr>
      </w:pPr>
    </w:p>
    <w:p>
      <w:pPr>
        <w:pStyle w:val="30"/>
        <w:spacing w:line="580" w:lineRule="exact"/>
        <w:ind w:left="840" w:firstLine="0" w:firstLineChars="0"/>
        <w:rPr>
          <w:rFonts w:ascii="宋体" w:hAnsi="宋体" w:eastAsia="宋体" w:cs="宋体"/>
          <w:szCs w:val="21"/>
        </w:rPr>
      </w:pPr>
      <w:r>
        <w:rPr>
          <w:rFonts w:hint="eastAsia" w:ascii="宋体" w:hAnsi="宋体" w:eastAsia="宋体" w:cs="宋体"/>
          <w:szCs w:val="21"/>
        </w:rPr>
        <w:t>备注：所供货物浓度按50%，其它技术参数按上表执行。</w:t>
      </w:r>
    </w:p>
    <w:p>
      <w:pPr>
        <w:pStyle w:val="30"/>
        <w:spacing w:line="580" w:lineRule="exact"/>
        <w:ind w:left="840" w:firstLine="0" w:firstLineChars="0"/>
        <w:rPr>
          <w:rFonts w:ascii="宋体" w:hAnsi="宋体" w:eastAsia="宋体" w:cs="宋体"/>
          <w:szCs w:val="21"/>
        </w:rPr>
      </w:pPr>
      <w:r>
        <w:rPr>
          <w:rFonts w:hint="eastAsia" w:ascii="宋体" w:hAnsi="宋体" w:eastAsia="宋体" w:cs="宋体"/>
          <w:szCs w:val="21"/>
        </w:rPr>
        <w:t>（2）盐酸溶液</w:t>
      </w:r>
    </w:p>
    <w:p>
      <w:pPr>
        <w:autoSpaceDE/>
        <w:autoSpaceDN/>
        <w:spacing w:line="580" w:lineRule="exact"/>
        <w:ind w:firstLine="896" w:firstLineChars="427"/>
        <w:rPr>
          <w:rFonts w:ascii="宋体" w:hAnsi="宋体" w:eastAsia="宋体" w:cs="宋体"/>
          <w:sz w:val="21"/>
          <w:szCs w:val="21"/>
        </w:rPr>
      </w:pPr>
      <w:r>
        <w:rPr>
          <w:rFonts w:hint="eastAsia" w:ascii="宋体" w:hAnsi="宋体" w:eastAsia="宋体" w:cs="宋体"/>
          <w:sz w:val="21"/>
          <w:szCs w:val="21"/>
        </w:rPr>
        <w:t>产品必须符合《工业用合成盐酸》（GB/T 320-2025）产品质量及检测标准，其中主要技术指标要求如下：</w:t>
      </w:r>
    </w:p>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表</w:t>
      </w:r>
      <w:r>
        <w:rPr>
          <w:rFonts w:hint="eastAsia" w:hAnsi="宋体" w:cs="宋体"/>
          <w:sz w:val="21"/>
          <w:szCs w:val="21"/>
          <w:lang w:val="en-US" w:eastAsia="zh-CN"/>
        </w:rPr>
        <w:t>2</w:t>
      </w:r>
      <w:r>
        <w:rPr>
          <w:rFonts w:hint="eastAsia" w:ascii="宋体" w:hAnsi="宋体" w:eastAsia="宋体" w:cs="宋体"/>
          <w:sz w:val="21"/>
          <w:szCs w:val="21"/>
        </w:rPr>
        <w:t xml:space="preserve">  盐酸主要技术指标</w:t>
      </w:r>
    </w:p>
    <w:tbl>
      <w:tblPr>
        <w:tblStyle w:val="24"/>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7"/>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647" w:type="dxa"/>
            <w:vAlign w:val="center"/>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指标项目</w:t>
            </w:r>
          </w:p>
        </w:tc>
        <w:tc>
          <w:tcPr>
            <w:tcW w:w="4013" w:type="dxa"/>
            <w:vAlign w:val="center"/>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总酸度（以HCl计），%≥</w:t>
            </w:r>
          </w:p>
        </w:tc>
        <w:tc>
          <w:tcPr>
            <w:tcW w:w="4013" w:type="dxa"/>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铁（以Fe计），% ≤</w:t>
            </w:r>
          </w:p>
        </w:tc>
        <w:tc>
          <w:tcPr>
            <w:tcW w:w="4013" w:type="dxa"/>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灼烧残渣，% ≤</w:t>
            </w:r>
          </w:p>
        </w:tc>
        <w:tc>
          <w:tcPr>
            <w:tcW w:w="4013" w:type="dxa"/>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游离氯（以Cl计），% ≤</w:t>
            </w:r>
          </w:p>
        </w:tc>
        <w:tc>
          <w:tcPr>
            <w:tcW w:w="4013" w:type="dxa"/>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硫酸盐（以SO</w:t>
            </w:r>
            <w:r>
              <w:rPr>
                <w:rFonts w:hint="eastAsia" w:ascii="宋体" w:hAnsi="宋体" w:eastAsia="宋体" w:cs="宋体"/>
                <w:sz w:val="21"/>
                <w:szCs w:val="21"/>
                <w:vertAlign w:val="subscript"/>
              </w:rPr>
              <w:t>4</w:t>
            </w:r>
            <w:r>
              <w:rPr>
                <w:rFonts w:hint="eastAsia" w:ascii="宋体" w:hAnsi="宋体" w:eastAsia="宋体" w:cs="宋体"/>
                <w:sz w:val="21"/>
                <w:szCs w:val="21"/>
                <w:vertAlign w:val="superscript"/>
              </w:rPr>
              <w:t>2-</w:t>
            </w:r>
            <w:r>
              <w:rPr>
                <w:rFonts w:hint="eastAsia" w:ascii="宋体" w:hAnsi="宋体" w:eastAsia="宋体" w:cs="宋体"/>
                <w:sz w:val="21"/>
                <w:szCs w:val="21"/>
              </w:rPr>
              <w:t>计），% ≤</w:t>
            </w:r>
          </w:p>
        </w:tc>
        <w:tc>
          <w:tcPr>
            <w:tcW w:w="4013" w:type="dxa"/>
          </w:tcPr>
          <w:p>
            <w:pPr>
              <w:autoSpaceDE/>
              <w:autoSpaceDN/>
              <w:spacing w:line="580" w:lineRule="exact"/>
              <w:ind w:firstLine="275" w:firstLineChars="131"/>
              <w:jc w:val="center"/>
              <w:rPr>
                <w:rFonts w:ascii="宋体" w:hAnsi="宋体" w:eastAsia="宋体" w:cs="宋体"/>
                <w:sz w:val="21"/>
                <w:szCs w:val="21"/>
              </w:rPr>
            </w:pPr>
            <w:r>
              <w:rPr>
                <w:rFonts w:hint="eastAsia" w:ascii="宋体" w:hAnsi="宋体" w:eastAsia="宋体" w:cs="宋体"/>
                <w:sz w:val="21"/>
                <w:szCs w:val="21"/>
              </w:rPr>
              <w:t>0.03</w:t>
            </w:r>
          </w:p>
        </w:tc>
      </w:tr>
    </w:tbl>
    <w:p>
      <w:pPr>
        <w:autoSpaceDE/>
        <w:autoSpaceDN/>
        <w:spacing w:line="580" w:lineRule="exact"/>
        <w:ind w:firstLine="420" w:firstLineChars="200"/>
        <w:rPr>
          <w:rFonts w:ascii="宋体" w:hAnsi="宋体" w:eastAsia="宋体" w:cs="宋体"/>
          <w:sz w:val="21"/>
          <w:szCs w:val="21"/>
        </w:rPr>
      </w:pPr>
      <w:r>
        <w:rPr>
          <w:rFonts w:hint="eastAsia" w:ascii="宋体" w:hAnsi="宋体" w:eastAsia="宋体" w:cs="宋体"/>
          <w:sz w:val="21"/>
          <w:szCs w:val="21"/>
        </w:rPr>
        <w:t>备注：供货单位在供货时，需注明所供盐酸型号规格、总酸度的质量分数。</w:t>
      </w:r>
    </w:p>
    <w:p>
      <w:pPr>
        <w:pStyle w:val="30"/>
        <w:spacing w:line="580" w:lineRule="exact"/>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w:t>
      </w:r>
      <w:r>
        <w:rPr>
          <w:rFonts w:hint="eastAsia" w:ascii="宋体" w:hAnsi="宋体" w:eastAsia="宋体" w:cs="宋体"/>
          <w:szCs w:val="21"/>
        </w:rPr>
        <w:t>供货期间，如有发布最新的行业标准或国家标准，采购人有权根据项目实际情况及有关行业标准或国家标准对合同的主要技术指标进行变更调整，供货单位应无条件接受。</w:t>
      </w:r>
    </w:p>
    <w:p>
      <w:pPr>
        <w:pStyle w:val="30"/>
        <w:spacing w:line="580" w:lineRule="exact"/>
        <w:rPr>
          <w:rFonts w:ascii="宋体" w:hAnsi="宋体" w:eastAsia="宋体" w:cs="宋体"/>
          <w:szCs w:val="21"/>
        </w:rPr>
      </w:pPr>
      <w:bookmarkStart w:id="7" w:name="_Toc14997"/>
      <w:bookmarkStart w:id="8" w:name="_Toc7916"/>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供货单位所供产品的真实质量，必须满足本用户需求书的所有技术指标。</w:t>
      </w:r>
    </w:p>
    <w:p>
      <w:pPr>
        <w:pStyle w:val="30"/>
        <w:spacing w:line="580" w:lineRule="exact"/>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w:t>
      </w:r>
      <w:r>
        <w:rPr>
          <w:rFonts w:hint="eastAsia" w:ascii="宋体" w:hAnsi="宋体" w:eastAsia="宋体" w:cs="宋体"/>
          <w:szCs w:val="21"/>
        </w:rPr>
        <w:t>供货单位须根据采购人的情况，提供满足厂区正常生产运营的产品。</w:t>
      </w:r>
    </w:p>
    <w:p>
      <w:pPr>
        <w:numPr>
          <w:ilvl w:val="255"/>
          <w:numId w:val="0"/>
        </w:numPr>
        <w:autoSpaceDE/>
        <w:autoSpaceDN/>
        <w:spacing w:line="580" w:lineRule="exact"/>
        <w:rPr>
          <w:rFonts w:ascii="宋体" w:hAnsi="宋体" w:eastAsia="宋体" w:cs="宋体"/>
          <w:b/>
          <w:sz w:val="21"/>
          <w:szCs w:val="21"/>
        </w:rPr>
      </w:pPr>
      <w:r>
        <w:rPr>
          <w:rFonts w:hint="eastAsia" w:ascii="宋体" w:hAnsi="宋体" w:eastAsia="宋体" w:cs="宋体"/>
          <w:b/>
          <w:sz w:val="21"/>
          <w:szCs w:val="21"/>
        </w:rPr>
        <w:t>三、交货要求</w:t>
      </w:r>
      <w:bookmarkEnd w:id="7"/>
      <w:bookmarkEnd w:id="8"/>
    </w:p>
    <w:p>
      <w:pPr>
        <w:pStyle w:val="30"/>
        <w:numPr>
          <w:ilvl w:val="0"/>
          <w:numId w:val="4"/>
        </w:numPr>
        <w:spacing w:line="580" w:lineRule="exact"/>
        <w:ind w:left="420" w:firstLine="420"/>
        <w:rPr>
          <w:rFonts w:ascii="宋体" w:hAnsi="宋体" w:eastAsia="宋体" w:cs="宋体"/>
          <w:szCs w:val="21"/>
        </w:rPr>
      </w:pPr>
      <w:bookmarkStart w:id="9" w:name="_Toc21273"/>
      <w:bookmarkStart w:id="10" w:name="_Toc24196"/>
      <w:r>
        <w:rPr>
          <w:rFonts w:hint="eastAsia" w:ascii="宋体" w:hAnsi="宋体" w:eastAsia="宋体" w:cs="宋体"/>
          <w:szCs w:val="21"/>
        </w:rPr>
        <w:t>服务期：具体供货日期以采购人书面通知为准，供货单位收到采购人通知后必须无条件按照采购人的要求开始供货。</w:t>
      </w:r>
    </w:p>
    <w:p>
      <w:pPr>
        <w:pStyle w:val="30"/>
        <w:spacing w:line="580" w:lineRule="exact"/>
        <w:ind w:left="480" w:leftChars="200"/>
        <w:rPr>
          <w:rFonts w:ascii="宋体" w:hAnsi="宋体" w:eastAsia="宋体" w:cs="宋体"/>
          <w:szCs w:val="21"/>
        </w:rPr>
      </w:pPr>
      <w:r>
        <w:rPr>
          <w:rFonts w:hint="eastAsia" w:ascii="宋体" w:hAnsi="宋体" w:eastAsia="宋体" w:cs="宋体"/>
          <w:szCs w:val="21"/>
        </w:rPr>
        <w:t>交货地点：东莞市污泥集中处理处置项目现场（广东省东莞市沙田镇立沙中路76号）。</w:t>
      </w:r>
    </w:p>
    <w:p>
      <w:pPr>
        <w:pStyle w:val="30"/>
        <w:numPr>
          <w:ilvl w:val="0"/>
          <w:numId w:val="4"/>
        </w:numPr>
        <w:spacing w:line="580" w:lineRule="exact"/>
        <w:ind w:left="420" w:firstLine="420"/>
        <w:rPr>
          <w:rFonts w:hint="eastAsia" w:ascii="宋体" w:hAnsi="宋体" w:eastAsia="宋体" w:cs="宋体"/>
          <w:szCs w:val="21"/>
        </w:rPr>
      </w:pPr>
      <w:r>
        <w:rPr>
          <w:rFonts w:hint="eastAsia" w:ascii="宋体" w:hAnsi="宋体" w:eastAsia="宋体" w:cs="宋体"/>
          <w:szCs w:val="21"/>
        </w:rPr>
        <w:t>交货时间：日常供货（非加急供货)为接到供货通知72小时内，加急供货为接到供货通知24小时内，具体交货时间以采购人供货通知为准。采购人无需因加急供货而额外支付任何费用。</w:t>
      </w:r>
    </w:p>
    <w:p>
      <w:pPr>
        <w:pStyle w:val="30"/>
        <w:numPr>
          <w:ilvl w:val="0"/>
          <w:numId w:val="4"/>
        </w:numPr>
        <w:spacing w:line="580" w:lineRule="exact"/>
        <w:ind w:left="420" w:firstLine="420"/>
        <w:rPr>
          <w:rFonts w:ascii="宋体" w:hAnsi="宋体" w:eastAsia="宋体" w:cs="宋体"/>
          <w:szCs w:val="21"/>
        </w:rPr>
      </w:pPr>
      <w:r>
        <w:rPr>
          <w:rFonts w:hint="eastAsia" w:ascii="宋体" w:hAnsi="宋体" w:eastAsia="宋体" w:cs="宋体"/>
          <w:szCs w:val="21"/>
        </w:rPr>
        <w:t>产品运输、装卸的要求：可以用槽罐车或桶装运输，具体运输方式以实际供货通知确认为准。</w:t>
      </w:r>
    </w:p>
    <w:p>
      <w:pPr>
        <w:pStyle w:val="30"/>
        <w:numPr>
          <w:ilvl w:val="0"/>
          <w:numId w:val="4"/>
        </w:numPr>
        <w:spacing w:line="580" w:lineRule="exact"/>
        <w:ind w:left="420" w:firstLine="420"/>
        <w:rPr>
          <w:rFonts w:ascii="宋体" w:hAnsi="宋体" w:eastAsia="宋体" w:cs="宋体"/>
          <w:szCs w:val="21"/>
        </w:rPr>
      </w:pPr>
      <w:r>
        <w:rPr>
          <w:rFonts w:hint="eastAsia" w:ascii="宋体" w:hAnsi="宋体" w:eastAsia="宋体" w:cs="宋体"/>
          <w:szCs w:val="21"/>
        </w:rPr>
        <w:t>供货单位自行负责将生产药剂运送至采购人指定位置（生产药剂储存罐），未经采购人书面同意，供货单位不得私自将本合同项下的货物运输义务委托第三方个人或企业。供货单位承担相应的运输、装卸、二次搬运等费用，运输人员应配备足够防护器具。如在运输及装卸过程中，生产药剂发生泄漏，应由供货单位负责清理收集，避免造成人员伤害或环境污染；本项目厂内硫酸溶液设置2个5m</w:t>
      </w:r>
      <w:r>
        <w:rPr>
          <w:rFonts w:hint="eastAsia" w:ascii="宋体" w:hAnsi="宋体" w:eastAsia="宋体" w:cs="宋体"/>
          <w:szCs w:val="21"/>
          <w:vertAlign w:val="superscript"/>
        </w:rPr>
        <w:t>3</w:t>
      </w:r>
      <w:r>
        <w:rPr>
          <w:rFonts w:hint="eastAsia" w:ascii="宋体" w:hAnsi="宋体" w:eastAsia="宋体" w:cs="宋体"/>
          <w:szCs w:val="21"/>
        </w:rPr>
        <w:t>储罐、盐酸药剂设置1个2m³的储罐，用于储存该药剂。</w:t>
      </w:r>
    </w:p>
    <w:p>
      <w:pPr>
        <w:pStyle w:val="8"/>
        <w:numPr>
          <w:ilvl w:val="0"/>
          <w:numId w:val="4"/>
        </w:numPr>
        <w:autoSpaceDE/>
        <w:autoSpaceDN/>
        <w:spacing w:line="580" w:lineRule="exact"/>
        <w:ind w:left="420" w:firstLine="420" w:firstLineChars="200"/>
        <w:rPr>
          <w:rFonts w:ascii="宋体" w:hAnsi="宋体" w:eastAsia="宋体" w:cs="宋体"/>
          <w:snapToGrid/>
          <w:color w:val="auto"/>
          <w:kern w:val="2"/>
          <w:sz w:val="21"/>
          <w:szCs w:val="21"/>
        </w:rPr>
      </w:pPr>
      <w:r>
        <w:rPr>
          <w:rFonts w:hint="eastAsia" w:ascii="宋体" w:hAnsi="宋体" w:eastAsia="宋体" w:cs="宋体"/>
          <w:snapToGrid/>
          <w:color w:val="auto"/>
          <w:kern w:val="2"/>
          <w:sz w:val="21"/>
          <w:szCs w:val="21"/>
        </w:rPr>
        <w:t>每次送货到交货地方和卸货离开后，须经过污泥项目厂内的电子地磅进行称重，实际供货数量以污泥项目电子地磅出具的称重单为准。</w:t>
      </w:r>
    </w:p>
    <w:p>
      <w:pPr>
        <w:pStyle w:val="8"/>
        <w:numPr>
          <w:ilvl w:val="0"/>
          <w:numId w:val="4"/>
        </w:numPr>
        <w:autoSpaceDE/>
        <w:autoSpaceDN/>
        <w:spacing w:line="580" w:lineRule="exact"/>
        <w:ind w:left="420" w:firstLine="420" w:firstLineChars="200"/>
        <w:rPr>
          <w:rFonts w:ascii="宋体" w:hAnsi="宋体" w:eastAsia="宋体" w:cs="宋体"/>
          <w:snapToGrid/>
          <w:color w:val="auto"/>
          <w:kern w:val="2"/>
          <w:sz w:val="21"/>
          <w:szCs w:val="21"/>
        </w:rPr>
      </w:pPr>
      <w:r>
        <w:rPr>
          <w:rFonts w:hint="eastAsia" w:ascii="宋体" w:hAnsi="宋体" w:eastAsia="宋体" w:cs="宋体"/>
          <w:snapToGrid/>
          <w:color w:val="auto"/>
          <w:kern w:val="2"/>
          <w:sz w:val="21"/>
          <w:szCs w:val="21"/>
        </w:rPr>
        <w:t>每次送货，供货单位须随货提供生产厂家出具的具有生产厂家、产品名称、规格型号、出厂批号、药剂质量分数、执行标准等主要信息的产品质量检验报告（如出厂检验报告、质量检验报告等）、供货单据等资料，供货单位提供的检验报告只作为采购人参考。</w:t>
      </w:r>
    </w:p>
    <w:p>
      <w:pPr>
        <w:pStyle w:val="8"/>
        <w:numPr>
          <w:ilvl w:val="0"/>
          <w:numId w:val="4"/>
        </w:numPr>
        <w:autoSpaceDE/>
        <w:autoSpaceDN/>
        <w:spacing w:line="580" w:lineRule="exact"/>
        <w:ind w:left="420" w:firstLine="420" w:firstLineChars="200"/>
        <w:rPr>
          <w:rFonts w:ascii="宋体" w:hAnsi="宋体" w:eastAsia="宋体" w:cs="宋体"/>
          <w:snapToGrid/>
          <w:color w:val="auto"/>
          <w:kern w:val="2"/>
          <w:sz w:val="21"/>
          <w:szCs w:val="21"/>
        </w:rPr>
      </w:pPr>
      <w:r>
        <w:rPr>
          <w:rFonts w:hint="eastAsia" w:ascii="宋体" w:hAnsi="宋体" w:eastAsia="宋体" w:cs="宋体"/>
          <w:snapToGrid/>
          <w:color w:val="auto"/>
          <w:kern w:val="2"/>
          <w:sz w:val="21"/>
          <w:szCs w:val="21"/>
        </w:rPr>
        <w:t>供货期间，在收到采购人供货通知前，供货单位无需为合同履行做准备工作。</w:t>
      </w:r>
    </w:p>
    <w:p>
      <w:pPr>
        <w:pStyle w:val="8"/>
        <w:numPr>
          <w:ilvl w:val="0"/>
          <w:numId w:val="4"/>
        </w:numPr>
        <w:autoSpaceDE/>
        <w:autoSpaceDN/>
        <w:spacing w:line="580" w:lineRule="exact"/>
        <w:ind w:left="420" w:firstLine="420" w:firstLineChars="200"/>
        <w:rPr>
          <w:rFonts w:ascii="宋体" w:hAnsi="宋体" w:eastAsia="宋体" w:cs="宋体"/>
          <w:snapToGrid/>
          <w:color w:val="auto"/>
          <w:kern w:val="2"/>
          <w:sz w:val="21"/>
          <w:szCs w:val="21"/>
        </w:rPr>
      </w:pPr>
      <w:r>
        <w:rPr>
          <w:rFonts w:hint="eastAsia" w:ascii="宋体" w:hAnsi="宋体" w:eastAsia="宋体" w:cs="宋体"/>
          <w:snapToGrid/>
          <w:color w:val="auto"/>
          <w:kern w:val="2"/>
          <w:sz w:val="21"/>
          <w:szCs w:val="21"/>
        </w:rPr>
        <w:t>生产药剂的运送及输送方式应符合国家或行业规范标准。</w:t>
      </w:r>
    </w:p>
    <w:p>
      <w:pPr>
        <w:pStyle w:val="8"/>
        <w:numPr>
          <w:ilvl w:val="0"/>
          <w:numId w:val="4"/>
        </w:numPr>
        <w:autoSpaceDE/>
        <w:autoSpaceDN/>
        <w:spacing w:line="580" w:lineRule="exact"/>
        <w:ind w:left="420" w:firstLine="420" w:firstLineChars="200"/>
        <w:rPr>
          <w:rFonts w:ascii="宋体" w:hAnsi="宋体" w:eastAsia="宋体" w:cs="宋体"/>
          <w:snapToGrid/>
          <w:color w:val="auto"/>
          <w:kern w:val="2"/>
          <w:sz w:val="21"/>
          <w:szCs w:val="21"/>
        </w:rPr>
      </w:pPr>
      <w:r>
        <w:rPr>
          <w:rFonts w:hint="eastAsia" w:ascii="宋体" w:hAnsi="宋体" w:eastAsia="宋体" w:cs="宋体"/>
          <w:snapToGrid/>
          <w:color w:val="auto"/>
          <w:kern w:val="2"/>
          <w:sz w:val="21"/>
          <w:szCs w:val="21"/>
        </w:rPr>
        <w:t>生产药剂的贮存装置、贮存条件等信息，供货单位应以书面形式详细告知采购人。</w:t>
      </w:r>
    </w:p>
    <w:p>
      <w:pPr>
        <w:pStyle w:val="8"/>
        <w:numPr>
          <w:ilvl w:val="0"/>
          <w:numId w:val="4"/>
        </w:numPr>
        <w:autoSpaceDE/>
        <w:autoSpaceDN/>
        <w:spacing w:line="580" w:lineRule="exact"/>
        <w:ind w:left="420" w:firstLine="420" w:firstLineChars="200"/>
        <w:rPr>
          <w:rFonts w:ascii="宋体" w:hAnsi="宋体" w:eastAsia="宋体" w:cs="宋体"/>
          <w:sz w:val="21"/>
          <w:szCs w:val="21"/>
        </w:rPr>
      </w:pPr>
      <w:r>
        <w:rPr>
          <w:rFonts w:hint="eastAsia" w:ascii="宋体" w:hAnsi="宋体" w:eastAsia="宋体" w:cs="宋体"/>
          <w:snapToGrid/>
          <w:color w:val="auto"/>
          <w:kern w:val="2"/>
          <w:sz w:val="21"/>
          <w:szCs w:val="21"/>
        </w:rPr>
        <w:t>该产品的标志、包装要求必须符合</w:t>
      </w:r>
      <w:r>
        <w:rPr>
          <w:rFonts w:hint="eastAsia" w:ascii="宋体" w:hAnsi="宋体" w:eastAsia="宋体" w:cs="宋体"/>
          <w:sz w:val="21"/>
          <w:szCs w:val="21"/>
        </w:rPr>
        <w:t>国家相关规范</w:t>
      </w:r>
      <w:r>
        <w:rPr>
          <w:rFonts w:hint="eastAsia" w:ascii="宋体" w:hAnsi="宋体" w:eastAsia="宋体" w:cs="宋体"/>
          <w:snapToGrid/>
          <w:color w:val="auto"/>
          <w:kern w:val="2"/>
          <w:sz w:val="21"/>
          <w:szCs w:val="21"/>
        </w:rPr>
        <w:t>。</w:t>
      </w:r>
    </w:p>
    <w:bookmarkEnd w:id="9"/>
    <w:bookmarkEnd w:id="10"/>
    <w:p>
      <w:pPr>
        <w:numPr>
          <w:ilvl w:val="255"/>
          <w:numId w:val="0"/>
        </w:numPr>
        <w:autoSpaceDE/>
        <w:autoSpaceDN/>
        <w:spacing w:line="580" w:lineRule="exact"/>
        <w:ind w:firstLine="422" w:firstLineChars="200"/>
        <w:rPr>
          <w:rFonts w:ascii="宋体" w:hAnsi="宋体" w:eastAsia="宋体" w:cs="宋体"/>
          <w:b/>
          <w:sz w:val="21"/>
          <w:szCs w:val="21"/>
        </w:rPr>
      </w:pPr>
      <w:bookmarkStart w:id="11" w:name="_Toc24688"/>
      <w:bookmarkStart w:id="12" w:name="_Toc16213"/>
      <w:r>
        <w:rPr>
          <w:rFonts w:hint="eastAsia" w:ascii="宋体" w:hAnsi="宋体" w:eastAsia="宋体" w:cs="宋体"/>
          <w:b/>
          <w:sz w:val="21"/>
          <w:szCs w:val="21"/>
        </w:rPr>
        <w:t>四、验收要求</w:t>
      </w:r>
      <w:bookmarkEnd w:id="11"/>
      <w:bookmarkEnd w:id="12"/>
    </w:p>
    <w:p>
      <w:pPr>
        <w:autoSpaceDE/>
        <w:autoSpaceDN/>
        <w:spacing w:line="58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1.验收分为货到交货地点的初步验收和货物检验合格后的最终验收。</w:t>
      </w:r>
    </w:p>
    <w:p>
      <w:pPr>
        <w:autoSpaceDE/>
        <w:autoSpaceDN/>
        <w:spacing w:line="58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（1）初步验收：</w:t>
      </w:r>
    </w:p>
    <w:p>
      <w:pPr>
        <w:autoSpaceDE/>
        <w:autoSpaceDN/>
        <w:spacing w:line="580" w:lineRule="exact"/>
        <w:ind w:firstLine="420" w:firstLineChars="200"/>
        <w:rPr>
          <w:rFonts w:ascii="宋体" w:hAnsi="宋体" w:eastAsia="宋体" w:cs="宋体"/>
          <w:sz w:val="21"/>
          <w:szCs w:val="21"/>
        </w:rPr>
      </w:pPr>
      <w:r>
        <w:rPr>
          <w:rFonts w:hint="eastAsia" w:ascii="宋体" w:hAnsi="宋体" w:eastAsia="宋体" w:cs="宋体"/>
          <w:color w:val="000000"/>
          <w:sz w:val="21"/>
          <w:szCs w:val="21"/>
        </w:rPr>
        <w:t>1）货物运抵</w:t>
      </w:r>
      <w:r>
        <w:rPr>
          <w:rFonts w:hint="eastAsia" w:ascii="宋体" w:hAnsi="宋体" w:eastAsia="宋体" w:cs="宋体"/>
          <w:sz w:val="21"/>
          <w:szCs w:val="21"/>
        </w:rPr>
        <w:t>交货地点，采购人、供货单位共同验货。采购人按照本项目合同及用户需求书，对货物的数量、品种、随车产品质量检验报告、产品合格证、供货单据等进行核对。</w:t>
      </w:r>
    </w:p>
    <w:p>
      <w:pPr>
        <w:pStyle w:val="30"/>
        <w:spacing w:line="580" w:lineRule="exact"/>
        <w:ind w:firstLineChars="200"/>
        <w:rPr>
          <w:rFonts w:hint="eastAsia" w:ascii="宋体" w:hAnsi="宋体" w:eastAsia="宋体" w:cs="宋体"/>
          <w:sz w:val="21"/>
          <w:szCs w:val="21"/>
        </w:rPr>
      </w:pPr>
      <w:r>
        <w:rPr>
          <w:rFonts w:hint="eastAsia" w:ascii="宋体" w:hAnsi="宋体" w:eastAsia="宋体" w:cs="宋体"/>
          <w:sz w:val="21"/>
          <w:szCs w:val="21"/>
        </w:rPr>
        <w:t>2）初步验收合格后，</w:t>
      </w:r>
      <w:r>
        <w:rPr>
          <w:rFonts w:hint="eastAsia" w:hAnsi="宋体" w:cs="宋体"/>
          <w:color w:val="000000"/>
          <w:sz w:val="24"/>
          <w:szCs w:val="24"/>
          <w:lang w:val="en-US" w:eastAsia="zh-CN"/>
        </w:rPr>
        <w:t>核对完成</w:t>
      </w:r>
      <w:r>
        <w:rPr>
          <w:rFonts w:hint="eastAsia" w:hAnsi="宋体" w:cs="宋体"/>
          <w:color w:val="000000"/>
          <w:sz w:val="24"/>
          <w:szCs w:val="24"/>
        </w:rPr>
        <w:t>后，双方</w:t>
      </w:r>
      <w:r>
        <w:rPr>
          <w:rFonts w:hint="eastAsia" w:hAnsi="宋体" w:cs="宋体"/>
          <w:color w:val="000000"/>
          <w:sz w:val="24"/>
          <w:szCs w:val="24"/>
          <w:lang w:val="en-US" w:eastAsia="zh-CN"/>
        </w:rPr>
        <w:t>对</w:t>
      </w:r>
      <w:r>
        <w:rPr>
          <w:rFonts w:hint="eastAsia" w:hAnsi="宋体" w:cs="宋体"/>
          <w:color w:val="000000"/>
          <w:sz w:val="24"/>
          <w:szCs w:val="24"/>
        </w:rPr>
        <w:t>随车产品质量检验报告、供货单据进行签收手续</w:t>
      </w:r>
      <w:r>
        <w:rPr>
          <w:rFonts w:hint="eastAsia" w:hAnsi="宋体" w:cs="宋体"/>
          <w:color w:val="000000"/>
          <w:sz w:val="24"/>
          <w:szCs w:val="24"/>
          <w:lang w:val="en-US" w:eastAsia="zh-CN"/>
        </w:rPr>
        <w:t>视为完成初步验收，初步验收仅限于</w:t>
      </w:r>
      <w:r>
        <w:rPr>
          <w:rFonts w:hint="eastAsia" w:hAnsi="宋体" w:cs="宋体"/>
          <w:color w:val="000000"/>
          <w:sz w:val="24"/>
          <w:szCs w:val="24"/>
        </w:rPr>
        <w:t>双方共同</w:t>
      </w:r>
      <w:r>
        <w:rPr>
          <w:rFonts w:hint="eastAsia" w:hAnsi="宋体" w:cs="宋体"/>
          <w:color w:val="000000"/>
          <w:sz w:val="24"/>
          <w:szCs w:val="24"/>
          <w:lang w:val="en-US" w:eastAsia="zh-CN"/>
        </w:rPr>
        <w:t>对中标人所供货物数量、品种、</w:t>
      </w:r>
      <w:r>
        <w:rPr>
          <w:rFonts w:hint="eastAsia" w:hAnsi="宋体" w:cs="宋体"/>
          <w:color w:val="000000"/>
          <w:sz w:val="24"/>
          <w:szCs w:val="24"/>
        </w:rPr>
        <w:t>随车产品质量检验报告</w:t>
      </w:r>
      <w:r>
        <w:rPr>
          <w:rFonts w:hint="eastAsia" w:hAnsi="宋体" w:cs="宋体"/>
          <w:color w:val="000000"/>
          <w:sz w:val="24"/>
          <w:szCs w:val="24"/>
          <w:lang w:eastAsia="zh-CN"/>
        </w:rPr>
        <w:t>、供货单据</w:t>
      </w:r>
      <w:r>
        <w:rPr>
          <w:rFonts w:hint="eastAsia" w:hAnsi="宋体" w:cs="宋体"/>
          <w:color w:val="000000"/>
          <w:sz w:val="24"/>
          <w:szCs w:val="24"/>
          <w:lang w:val="en-US" w:eastAsia="zh-CN"/>
        </w:rPr>
        <w:t>等符合合同技术指标要求的</w:t>
      </w:r>
      <w:r>
        <w:rPr>
          <w:rFonts w:hint="eastAsia" w:hAnsi="宋体" w:cs="宋体"/>
          <w:color w:val="000000"/>
          <w:sz w:val="24"/>
          <w:szCs w:val="24"/>
        </w:rPr>
        <w:t>书面确认。</w:t>
      </w:r>
    </w:p>
    <w:p>
      <w:pPr>
        <w:autoSpaceDE/>
        <w:autoSpaceDN/>
        <w:spacing w:line="58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（2）最终验收</w:t>
      </w:r>
    </w:p>
    <w:p>
      <w:pPr>
        <w:autoSpaceDE/>
        <w:autoSpaceDN/>
        <w:spacing w:line="580" w:lineRule="exact"/>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采购人对每次供货货物检验，检验指标由采购人在根据需要选择，货物批按需检验指标由采购人根据采购人关于药剂的管理制度及要求适时调整。采购人对每次供货货物检验，每次货到现场时可由双方共同取样，供货货物合格判定以采购人实验室检验结果为准</w:t>
      </w:r>
      <w:r>
        <w:rPr>
          <w:rFonts w:hint="eastAsia" w:ascii="宋体" w:hAnsi="宋体" w:eastAsia="宋体" w:cs="宋体"/>
          <w:color w:val="000000"/>
          <w:sz w:val="21"/>
          <w:szCs w:val="21"/>
          <w:lang w:eastAsia="zh-CN"/>
        </w:rPr>
        <w:t>。</w:t>
      </w:r>
      <w:r>
        <w:rPr>
          <w:rFonts w:hint="eastAsia" w:hAnsi="宋体" w:cs="宋体"/>
          <w:color w:val="000000"/>
          <w:sz w:val="21"/>
          <w:szCs w:val="21"/>
          <w:lang w:val="en-US" w:eastAsia="zh-CN"/>
        </w:rPr>
        <w:t>采购人</w:t>
      </w:r>
      <w:r>
        <w:rPr>
          <w:rFonts w:hint="eastAsia" w:ascii="宋体" w:hAnsi="宋体" w:eastAsia="宋体" w:cs="宋体"/>
          <w:color w:val="000000"/>
          <w:sz w:val="21"/>
          <w:szCs w:val="21"/>
          <w:lang w:eastAsia="zh-CN"/>
        </w:rPr>
        <w:t>根据需要可委托具有检测产品CMA认证资质的第三方检测机构检测，</w:t>
      </w:r>
      <w:r>
        <w:rPr>
          <w:rFonts w:hint="eastAsia" w:hAnsi="宋体" w:cs="宋体"/>
          <w:color w:val="000000"/>
          <w:sz w:val="21"/>
          <w:szCs w:val="21"/>
          <w:lang w:val="en-US" w:eastAsia="zh-CN"/>
        </w:rPr>
        <w:t>采购人</w:t>
      </w:r>
      <w:r>
        <w:rPr>
          <w:rFonts w:hint="eastAsia" w:ascii="宋体" w:hAnsi="宋体" w:eastAsia="宋体" w:cs="宋体"/>
          <w:color w:val="000000"/>
          <w:sz w:val="21"/>
          <w:szCs w:val="21"/>
          <w:lang w:eastAsia="zh-CN"/>
        </w:rPr>
        <w:t>委托的具有检测产品CMA认证资质的第三方检测机构的检验结果与</w:t>
      </w:r>
      <w:r>
        <w:rPr>
          <w:rFonts w:hint="eastAsia" w:hAnsi="宋体" w:cs="宋体"/>
          <w:color w:val="000000"/>
          <w:sz w:val="21"/>
          <w:szCs w:val="21"/>
          <w:lang w:val="en-US" w:eastAsia="zh-CN"/>
        </w:rPr>
        <w:t>采购人</w:t>
      </w:r>
      <w:r>
        <w:rPr>
          <w:rFonts w:hint="eastAsia" w:ascii="宋体" w:hAnsi="宋体" w:eastAsia="宋体" w:cs="宋体"/>
          <w:color w:val="000000"/>
          <w:sz w:val="21"/>
          <w:szCs w:val="21"/>
          <w:lang w:eastAsia="zh-CN"/>
        </w:rPr>
        <w:t>实验室不一致的，该次的供货货物质量判定以</w:t>
      </w:r>
      <w:r>
        <w:rPr>
          <w:rFonts w:hint="eastAsia" w:hAnsi="宋体" w:cs="宋体"/>
          <w:color w:val="000000"/>
          <w:sz w:val="21"/>
          <w:szCs w:val="21"/>
          <w:lang w:val="en-US" w:eastAsia="zh-CN"/>
        </w:rPr>
        <w:t>采购人</w:t>
      </w:r>
      <w:r>
        <w:rPr>
          <w:rFonts w:hint="eastAsia" w:ascii="宋体" w:hAnsi="宋体" w:eastAsia="宋体" w:cs="宋体"/>
          <w:color w:val="000000"/>
          <w:sz w:val="21"/>
          <w:szCs w:val="21"/>
          <w:lang w:eastAsia="zh-CN"/>
        </w:rPr>
        <w:t>委托的具有检测产品CMA认证资质的第三方检测机构的检验结果为准。</w:t>
      </w:r>
    </w:p>
    <w:p>
      <w:pPr>
        <w:autoSpaceDE/>
        <w:autoSpaceDN/>
        <w:spacing w:line="58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2)供货期间，如有发布最新的行业标准或国家标准，货物检验方法按发布的最新行业标准或国家标准执行。</w:t>
      </w:r>
    </w:p>
    <w:p>
      <w:pPr>
        <w:pStyle w:val="3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hAnsi="宋体" w:cs="宋体"/>
          <w:color w:val="000000"/>
          <w:sz w:val="24"/>
          <w:szCs w:val="24"/>
          <w:lang w:val="en-US" w:eastAsia="zh-CN"/>
        </w:rPr>
        <w:t>货物按上述程序验收后，采购人向供货单位出具书面的验收报告并由双方对验收报告共同签字确认，且供货单位需对验收报告加盖公章或业务章确认，验收报告(模板)见用户需求书附件。验收报告作为对货物供货数量及主要技术指标验收的证明，不代表对货物使用效果的认可。</w:t>
      </w:r>
    </w:p>
    <w:p>
      <w:pPr>
        <w:autoSpaceDE/>
        <w:autoSpaceDN/>
        <w:spacing w:line="58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3.采购人根据本条规定对货物所做出的验收，仅作为起算付款及质保期之用，不视为双方对于货物质量的最终认可，供货单位仍应在质保期内对产品质量承担保证责任。</w:t>
      </w:r>
    </w:p>
    <w:p>
      <w:pPr>
        <w:autoSpaceDE/>
        <w:autoSpaceDN/>
        <w:spacing w:line="580" w:lineRule="exact"/>
        <w:ind w:firstLine="420" w:firstLineChars="200"/>
        <w:rPr>
          <w:rFonts w:ascii="宋体" w:hAnsi="宋体" w:eastAsia="宋体" w:cs="宋体"/>
          <w:b/>
          <w:bCs/>
          <w:sz w:val="21"/>
          <w:szCs w:val="21"/>
        </w:rPr>
      </w:pPr>
      <w:r>
        <w:rPr>
          <w:rFonts w:hint="eastAsia" w:ascii="宋体" w:hAnsi="宋体" w:eastAsia="宋体" w:cs="宋体"/>
          <w:color w:val="000000"/>
          <w:sz w:val="21"/>
          <w:szCs w:val="21"/>
        </w:rPr>
        <w:t>4.货物在经最终验收合格前，其损耗、毁损、灭失等风险及责任由供货单位承担，如因发生前述情形，导致供货单位所提供的货物不能通过采购人验收的，供货单位应按采购人要求无条件予以退换货，给采购人造成损失的供货单位须承担全部的赔偿责任。</w:t>
      </w:r>
    </w:p>
    <w:p>
      <w:pPr>
        <w:numPr>
          <w:ilvl w:val="255"/>
          <w:numId w:val="0"/>
        </w:numPr>
        <w:autoSpaceDE/>
        <w:autoSpaceDN/>
        <w:spacing w:line="580" w:lineRule="exact"/>
        <w:rPr>
          <w:rFonts w:ascii="宋体" w:hAnsi="宋体" w:eastAsia="宋体" w:cs="宋体"/>
          <w:b/>
          <w:sz w:val="21"/>
          <w:szCs w:val="21"/>
        </w:rPr>
      </w:pPr>
      <w:bookmarkStart w:id="13" w:name="_Toc12550"/>
      <w:bookmarkStart w:id="14" w:name="_Toc22100"/>
      <w:bookmarkStart w:id="15" w:name="_Hlk142639147"/>
      <w:r>
        <w:rPr>
          <w:rFonts w:hint="eastAsia" w:ascii="宋体" w:hAnsi="宋体" w:eastAsia="宋体" w:cs="宋体"/>
          <w:b/>
          <w:sz w:val="21"/>
          <w:szCs w:val="21"/>
        </w:rPr>
        <w:t>五、</w:t>
      </w:r>
      <w:bookmarkEnd w:id="13"/>
      <w:bookmarkEnd w:id="14"/>
      <w:r>
        <w:rPr>
          <w:rFonts w:hint="eastAsia" w:hAnsi="宋体" w:cs="宋体"/>
          <w:b/>
          <w:sz w:val="21"/>
          <w:szCs w:val="21"/>
          <w:lang w:val="en-US" w:eastAsia="zh-CN"/>
        </w:rPr>
        <w:t>质量保证及售后</w:t>
      </w:r>
      <w:r>
        <w:rPr>
          <w:rFonts w:hint="eastAsia" w:ascii="宋体" w:hAnsi="宋体" w:eastAsia="宋体" w:cs="宋体"/>
          <w:b/>
          <w:sz w:val="21"/>
          <w:szCs w:val="21"/>
        </w:rPr>
        <w:t>要求</w:t>
      </w:r>
    </w:p>
    <w:bookmarkEnd w:id="15"/>
    <w:p>
      <w:pPr>
        <w:autoSpaceDE/>
        <w:autoSpaceDN/>
        <w:spacing w:line="580" w:lineRule="exact"/>
        <w:ind w:firstLine="420" w:firstLineChars="200"/>
        <w:rPr>
          <w:rFonts w:hint="eastAsia" w:ascii="宋体" w:hAnsi="宋体" w:eastAsia="宋体" w:cs="宋体"/>
          <w:bCs/>
          <w:sz w:val="21"/>
          <w:szCs w:val="21"/>
        </w:rPr>
      </w:pPr>
      <w:bookmarkStart w:id="16" w:name="_Toc20724"/>
      <w:bookmarkStart w:id="17" w:name="_Toc11993"/>
      <w:r>
        <w:rPr>
          <w:rFonts w:hint="eastAsia" w:hAnsi="宋体" w:cs="宋体"/>
          <w:bCs/>
          <w:sz w:val="21"/>
          <w:szCs w:val="21"/>
          <w:lang w:val="en-US" w:eastAsia="zh-CN"/>
        </w:rPr>
        <w:t>1.</w:t>
      </w:r>
      <w:r>
        <w:rPr>
          <w:rFonts w:hint="eastAsia" w:hAnsi="宋体" w:cs="宋体"/>
          <w:color w:val="000000"/>
          <w:szCs w:val="21"/>
        </w:rPr>
        <w:t>保质期：</w:t>
      </w:r>
      <w:r>
        <w:rPr>
          <w:rFonts w:hint="eastAsia" w:hAnsi="宋体" w:cs="宋体"/>
          <w:b/>
          <w:bCs/>
          <w:color w:val="000000"/>
          <w:szCs w:val="21"/>
        </w:rPr>
        <w:t>以货到现场之日起计不少于三个月</w:t>
      </w:r>
      <w:r>
        <w:rPr>
          <w:rFonts w:hint="eastAsia" w:hAnsi="宋体" w:cs="宋体"/>
          <w:color w:val="000000"/>
          <w:szCs w:val="21"/>
        </w:rPr>
        <w:t>，保质期内产品质量须达到</w:t>
      </w:r>
      <w:r>
        <w:rPr>
          <w:rFonts w:hint="eastAsia" w:hAnsi="宋体" w:cs="宋体"/>
          <w:color w:val="000000"/>
          <w:szCs w:val="21"/>
          <w:lang w:val="en-US" w:eastAsia="zh-CN"/>
        </w:rPr>
        <w:t>用户需求书</w:t>
      </w:r>
      <w:r>
        <w:rPr>
          <w:rFonts w:hint="eastAsia" w:hAnsi="宋体" w:cs="宋体"/>
          <w:color w:val="000000"/>
          <w:szCs w:val="21"/>
        </w:rPr>
        <w:t>所有技术指标要求。</w:t>
      </w:r>
    </w:p>
    <w:p>
      <w:pPr>
        <w:autoSpaceDE/>
        <w:autoSpaceDN/>
        <w:spacing w:line="580" w:lineRule="exact"/>
        <w:ind w:firstLine="420" w:firstLineChars="200"/>
        <w:rPr>
          <w:rFonts w:ascii="宋体" w:hAnsi="宋体" w:eastAsia="宋体" w:cs="宋体"/>
          <w:bCs/>
          <w:sz w:val="21"/>
          <w:szCs w:val="21"/>
        </w:rPr>
      </w:pPr>
      <w:r>
        <w:rPr>
          <w:rFonts w:hint="eastAsia" w:hAnsi="宋体" w:cs="宋体"/>
          <w:bCs/>
          <w:sz w:val="21"/>
          <w:szCs w:val="21"/>
          <w:lang w:val="en-US" w:eastAsia="zh-CN"/>
        </w:rPr>
        <w:t>2.</w:t>
      </w:r>
      <w:r>
        <w:rPr>
          <w:rFonts w:hint="eastAsia" w:ascii="宋体" w:hAnsi="宋体" w:eastAsia="宋体" w:cs="宋体"/>
          <w:bCs/>
          <w:sz w:val="21"/>
          <w:szCs w:val="21"/>
        </w:rPr>
        <w:t>供货单位应具有相应的技术人员，具备供货及售前售后的服务能力。</w:t>
      </w:r>
    </w:p>
    <w:p>
      <w:pPr>
        <w:autoSpaceDE/>
        <w:autoSpaceDN/>
        <w:spacing w:line="580" w:lineRule="exact"/>
        <w:ind w:firstLine="420" w:firstLineChars="200"/>
        <w:rPr>
          <w:rFonts w:ascii="宋体" w:hAnsi="宋体" w:eastAsia="宋体" w:cs="宋体"/>
          <w:bCs/>
          <w:sz w:val="21"/>
          <w:szCs w:val="21"/>
        </w:rPr>
      </w:pPr>
      <w:r>
        <w:rPr>
          <w:rFonts w:hint="eastAsia" w:hAnsi="宋体" w:cs="宋体"/>
          <w:bCs/>
          <w:sz w:val="21"/>
          <w:szCs w:val="21"/>
          <w:lang w:val="en-US" w:eastAsia="zh-CN"/>
        </w:rPr>
        <w:t>3</w:t>
      </w:r>
      <w:r>
        <w:rPr>
          <w:rFonts w:hint="eastAsia" w:ascii="宋体" w:hAnsi="宋体" w:eastAsia="宋体" w:cs="宋体"/>
          <w:bCs/>
          <w:sz w:val="21"/>
          <w:szCs w:val="21"/>
        </w:rPr>
        <w:t>.供货单位在接到质量问题通知后24小时内自费派工程师到达现场对问题进行处理。</w:t>
      </w:r>
    </w:p>
    <w:p>
      <w:pPr>
        <w:autoSpaceDE/>
        <w:autoSpaceDN/>
        <w:spacing w:line="580" w:lineRule="exact"/>
        <w:ind w:firstLine="420" w:firstLineChars="200"/>
        <w:rPr>
          <w:rFonts w:ascii="宋体" w:hAnsi="宋体" w:eastAsia="宋体" w:cs="宋体"/>
          <w:bCs/>
          <w:sz w:val="21"/>
          <w:szCs w:val="21"/>
        </w:rPr>
      </w:pPr>
      <w:r>
        <w:rPr>
          <w:rFonts w:hint="eastAsia" w:hAnsi="宋体" w:cs="宋体"/>
          <w:bCs/>
          <w:sz w:val="21"/>
          <w:szCs w:val="21"/>
          <w:lang w:val="en-US" w:eastAsia="zh-CN"/>
        </w:rPr>
        <w:t>4</w:t>
      </w:r>
      <w:r>
        <w:rPr>
          <w:rFonts w:hint="eastAsia" w:ascii="宋体" w:hAnsi="宋体" w:eastAsia="宋体" w:cs="宋体"/>
          <w:bCs/>
          <w:sz w:val="21"/>
          <w:szCs w:val="21"/>
        </w:rPr>
        <w:t>.在交货或合同履行过程中，若因所交货物（包括但不限于品种、型号、规格、质量）不符合采购人要求、或货物使用过程中出现质量问题，导致供货单位提供的生产药剂不能通过采购人验收的，采购人可拒绝收货或要求供货单位承担退换货责任。原则上供货单位应该在不影响采购人正常生产的情况下，自采购人通知后24小时内无条件予以退换货，采购人不承担因验收造成的货物损耗及运输等一切费用且不对货物承担保管责任，因此产生的费用及风险由供货单位承担。</w:t>
      </w:r>
    </w:p>
    <w:p>
      <w:pPr>
        <w:autoSpaceDE/>
        <w:autoSpaceDN/>
        <w:spacing w:line="580" w:lineRule="exact"/>
        <w:ind w:firstLine="420" w:firstLineChars="200"/>
        <w:rPr>
          <w:rFonts w:ascii="宋体" w:hAnsi="宋体" w:eastAsia="宋体" w:cs="宋体"/>
          <w:bCs/>
          <w:sz w:val="21"/>
          <w:szCs w:val="21"/>
        </w:rPr>
      </w:pPr>
      <w:r>
        <w:rPr>
          <w:rFonts w:hint="eastAsia" w:hAnsi="宋体" w:cs="宋体"/>
          <w:bCs/>
          <w:sz w:val="21"/>
          <w:szCs w:val="21"/>
          <w:lang w:val="en-US" w:eastAsia="zh-CN"/>
        </w:rPr>
        <w:t>5</w:t>
      </w:r>
      <w:r>
        <w:rPr>
          <w:rFonts w:hint="eastAsia" w:ascii="宋体" w:hAnsi="宋体" w:eastAsia="宋体" w:cs="宋体"/>
          <w:bCs/>
          <w:sz w:val="21"/>
          <w:szCs w:val="21"/>
        </w:rPr>
        <w:t>.自采购人通知货物检验不合格或货物使用过程中出现质量问题而要求供货单位按照前述条款进行退换货后24小时内供货单位未将不合格货物运离采购人仓库，采购人可自行或委托第三方对不合格货物进行处置，供货单位须承担采购人处置该次不合格货物所需的全部费用，以及给采购人造成的一切损失。</w:t>
      </w:r>
    </w:p>
    <w:p>
      <w:pPr>
        <w:autoSpaceDE/>
        <w:autoSpaceDN/>
        <w:spacing w:line="580" w:lineRule="exact"/>
        <w:ind w:firstLine="420" w:firstLineChars="200"/>
        <w:rPr>
          <w:rFonts w:ascii="宋体" w:hAnsi="宋体" w:eastAsia="宋体" w:cs="宋体"/>
          <w:b/>
          <w:sz w:val="21"/>
          <w:szCs w:val="21"/>
        </w:rPr>
      </w:pPr>
      <w:r>
        <w:rPr>
          <w:rFonts w:hint="eastAsia" w:hAnsi="宋体" w:cs="宋体"/>
          <w:bCs/>
          <w:sz w:val="21"/>
          <w:szCs w:val="21"/>
          <w:lang w:val="en-US" w:eastAsia="zh-CN"/>
        </w:rPr>
        <w:t>6</w:t>
      </w:r>
      <w:r>
        <w:rPr>
          <w:rFonts w:hint="eastAsia" w:ascii="宋体" w:hAnsi="宋体" w:eastAsia="宋体" w:cs="宋体"/>
          <w:bCs/>
          <w:sz w:val="21"/>
          <w:szCs w:val="21"/>
        </w:rPr>
        <w:t>.自采购人通知供货单位货物检验不合格或货物使用过程中出现质量问题后，采购人有权要求供货单位按照加急供货的规定，将等量的合格货物送交采购人，否则按加急供货的违约规定进行处理。</w:t>
      </w:r>
    </w:p>
    <w:bookmarkEnd w:id="16"/>
    <w:bookmarkEnd w:id="17"/>
    <w:p>
      <w:pPr>
        <w:autoSpaceDE/>
        <w:autoSpaceDN/>
        <w:spacing w:line="580" w:lineRule="exact"/>
        <w:rPr>
          <w:rFonts w:ascii="宋体" w:hAnsi="宋体" w:eastAsia="宋体" w:cs="宋体"/>
          <w:b/>
          <w:sz w:val="21"/>
          <w:szCs w:val="21"/>
        </w:rPr>
      </w:pPr>
      <w:r>
        <w:rPr>
          <w:rFonts w:hint="eastAsia" w:ascii="宋体" w:hAnsi="宋体" w:eastAsia="宋体" w:cs="宋体"/>
          <w:b/>
          <w:sz w:val="21"/>
          <w:szCs w:val="21"/>
        </w:rPr>
        <w:t>六、付款方式</w:t>
      </w:r>
    </w:p>
    <w:p>
      <w:pPr>
        <w:autoSpaceDE/>
        <w:autoSpaceDN/>
        <w:spacing w:line="580" w:lineRule="exact"/>
        <w:ind w:firstLine="420" w:firstLineChars="200"/>
        <w:rPr>
          <w:rFonts w:ascii="宋体" w:hAnsi="宋体" w:eastAsia="宋体" w:cs="宋体"/>
          <w:bCs/>
          <w:sz w:val="21"/>
          <w:szCs w:val="21"/>
        </w:rPr>
      </w:pPr>
      <w:r>
        <w:rPr>
          <w:rFonts w:hint="eastAsia" w:ascii="宋体" w:hAnsi="宋体" w:eastAsia="宋体" w:cs="宋体"/>
          <w:bCs/>
          <w:sz w:val="21"/>
          <w:szCs w:val="21"/>
        </w:rPr>
        <w:t>1.货物的款项按月支付，在收到货物并最终验收合格后，每月中旬办理支付上月实际供货量的100%货款。</w:t>
      </w:r>
    </w:p>
    <w:p>
      <w:pPr>
        <w:autoSpaceDE/>
        <w:autoSpaceDN/>
        <w:spacing w:line="580" w:lineRule="exact"/>
        <w:ind w:firstLine="420" w:firstLineChars="200"/>
        <w:rPr>
          <w:rFonts w:ascii="宋体" w:hAnsi="宋体" w:eastAsia="宋体" w:cs="宋体"/>
          <w:b/>
          <w:sz w:val="21"/>
          <w:szCs w:val="21"/>
        </w:rPr>
      </w:pPr>
      <w:r>
        <w:rPr>
          <w:rFonts w:hint="eastAsia" w:ascii="宋体" w:hAnsi="宋体" w:eastAsia="宋体" w:cs="宋体"/>
          <w:bCs/>
          <w:sz w:val="21"/>
          <w:szCs w:val="21"/>
        </w:rPr>
        <w:t>2.每次付款前，供货单位需提交请款报告和增值税专用发票，采购人在收到请款报告和增值税专用发票后30 个工作日内支付货款。</w:t>
      </w:r>
    </w:p>
    <w:p>
      <w:pPr>
        <w:autoSpaceDE/>
        <w:autoSpaceDN/>
        <w:spacing w:line="580" w:lineRule="exact"/>
        <w:rPr>
          <w:rFonts w:ascii="宋体" w:hAnsi="宋体" w:eastAsia="宋体" w:cs="宋体"/>
          <w:b/>
          <w:sz w:val="21"/>
          <w:szCs w:val="21"/>
        </w:rPr>
      </w:pPr>
      <w:r>
        <w:rPr>
          <w:rFonts w:hint="eastAsia" w:ascii="宋体" w:hAnsi="宋体" w:eastAsia="宋体" w:cs="宋体"/>
          <w:b/>
          <w:sz w:val="21"/>
          <w:szCs w:val="21"/>
        </w:rPr>
        <w:t>七、其他要求</w:t>
      </w:r>
    </w:p>
    <w:p>
      <w:pPr>
        <w:autoSpaceDE/>
        <w:autoSpaceDN/>
        <w:spacing w:line="580" w:lineRule="exact"/>
        <w:ind w:firstLine="420" w:firstLineChars="200"/>
        <w:rPr>
          <w:rFonts w:hint="eastAsia" w:ascii="宋体" w:hAnsi="宋体" w:eastAsia="宋体" w:cs="宋体"/>
          <w:color w:val="000000"/>
          <w:sz w:val="21"/>
          <w:szCs w:val="21"/>
          <w:lang w:val="en-US" w:eastAsia="zh-CN"/>
        </w:rPr>
        <w:sectPr>
          <w:pgSz w:w="11906" w:h="16838"/>
          <w:pgMar w:top="1327" w:right="1259" w:bottom="1383" w:left="1423" w:header="851" w:footer="992" w:gutter="0"/>
          <w:cols w:space="0" w:num="1"/>
          <w:docGrid w:type="lines" w:linePitch="312" w:charSpace="0"/>
        </w:sectPr>
      </w:pPr>
      <w:r>
        <w:rPr>
          <w:rFonts w:ascii="宋体" w:hAnsi="宋体" w:eastAsia="宋体" w:cs="宋体"/>
          <w:bCs/>
          <w:sz w:val="21"/>
          <w:szCs w:val="21"/>
        </w:rPr>
        <w:t>1</w:t>
      </w:r>
      <w:r>
        <w:rPr>
          <w:rFonts w:hint="eastAsia" w:ascii="宋体" w:hAnsi="宋体" w:eastAsia="宋体" w:cs="宋体"/>
          <w:bCs/>
          <w:sz w:val="21"/>
          <w:szCs w:val="21"/>
        </w:rPr>
        <w:t>.</w:t>
      </w:r>
      <w:r>
        <w:rPr>
          <w:rFonts w:hint="eastAsia" w:ascii="宋体" w:hAnsi="宋体" w:eastAsia="宋体" w:cs="宋体"/>
          <w:color w:val="000000"/>
          <w:sz w:val="21"/>
          <w:szCs w:val="21"/>
        </w:rPr>
        <w:t>采购人每月在付款手续前对供货单位的履约情况进行评价，填写《供应商履约评价表》。考核评分满分为100分，考核评分分数低于80分、达到60分时，供货单位应按该月货物含税结算货款的20%向采购人支付违约金；考核评分分数低于60分时，供货单位应按该月货物含税结算货款的30%向采购人支付违约金。若供货期内累计出现3次（含）以上评审结论为不合格的，采购人有权取消供货单位的供货资格并单方解除合</w:t>
      </w:r>
      <w:r>
        <w:rPr>
          <w:rFonts w:hint="eastAsia" w:ascii="宋体" w:hAnsi="宋体" w:eastAsia="宋体" w:cs="宋体"/>
          <w:color w:val="000000"/>
          <w:sz w:val="21"/>
          <w:szCs w:val="21"/>
          <w:lang w:val="en-US" w:eastAsia="zh-CN"/>
        </w:rPr>
        <w:t>同。</w:t>
      </w:r>
    </w:p>
    <w:p>
      <w:pPr>
        <w:pStyle w:val="6"/>
        <w:numPr>
          <w:ilvl w:val="-1"/>
          <w:numId w:val="0"/>
        </w:numPr>
        <w:ind w:left="0" w:firstLine="0"/>
        <w:rPr>
          <w:lang w:val="zh-CN"/>
        </w:rPr>
      </w:pPr>
    </w:p>
    <w:p>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23"/>
        <w:tblpPr w:leftFromText="180" w:rightFromText="180" w:vertAnchor="text" w:horzAnchor="page" w:tblpX="1146" w:tblpY="296"/>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pPr>
              <w:jc w:val="center"/>
              <w:rPr>
                <w:b/>
                <w:bCs/>
              </w:rPr>
            </w:pPr>
          </w:p>
          <w:p>
            <w:pPr>
              <w:widowControl/>
              <w:ind w:firstLine="241" w:firstLineChars="100"/>
              <w:jc w:val="left"/>
              <w:textAlignment w:val="center"/>
              <w:rPr>
                <w:rFonts w:hint="eastAsia" w:ascii="宋体" w:hAnsi="宋体" w:eastAsia="宋体" w:cs="宋体"/>
                <w:b/>
                <w:bCs w:val="0"/>
                <w:color w:val="000000"/>
                <w:szCs w:val="21"/>
              </w:rPr>
            </w:pPr>
            <w:r>
              <w:rPr>
                <w:rFonts w:hint="eastAsia" w:ascii="宋体" w:hAnsi="宋体" w:eastAsia="宋体" w:cs="宋体"/>
                <w:b/>
                <w:bCs w:val="0"/>
                <w:color w:val="000000"/>
                <w:szCs w:val="21"/>
              </w:rPr>
              <w:t>验收单位：</w:t>
            </w:r>
          </w:p>
          <w:p>
            <w:pPr>
              <w:widowControl/>
              <w:ind w:firstLine="0" w:firstLineChars="0"/>
              <w:jc w:val="left"/>
              <w:textAlignment w:val="center"/>
              <w:rPr>
                <w:rFonts w:hint="eastAsia" w:ascii="宋体" w:hAnsi="宋体" w:eastAsia="宋体" w:cs="宋体"/>
                <w:b/>
                <w:bCs w:val="0"/>
                <w:color w:val="000000"/>
                <w:szCs w:val="21"/>
              </w:rPr>
            </w:pPr>
          </w:p>
          <w:p>
            <w:pPr>
              <w:widowControl/>
              <w:ind w:firstLine="241" w:firstLineChars="100"/>
              <w:jc w:val="left"/>
              <w:textAlignment w:val="center"/>
              <w:rPr>
                <w:rFonts w:hint="eastAsia"/>
                <w:b/>
                <w:bCs/>
              </w:rPr>
            </w:pPr>
            <w:r>
              <w:rPr>
                <w:rFonts w:hint="eastAsia"/>
                <w:b/>
                <w:bCs/>
                <w:lang w:val="en-US" w:eastAsia="zh-CN"/>
              </w:rPr>
              <w:t>验收人1</w:t>
            </w:r>
            <w:r>
              <w:rPr>
                <w:rFonts w:hint="eastAsia"/>
                <w:b/>
                <w:bCs/>
              </w:rPr>
              <w:t>（签名）：</w:t>
            </w:r>
          </w:p>
          <w:p>
            <w:pPr>
              <w:widowControl/>
              <w:jc w:val="left"/>
              <w:textAlignment w:val="center"/>
              <w:rPr>
                <w:rFonts w:hint="eastAsia"/>
                <w:b/>
                <w:bCs/>
              </w:rPr>
            </w:pPr>
          </w:p>
          <w:p>
            <w:pPr>
              <w:widowControl/>
              <w:jc w:val="left"/>
              <w:textAlignment w:val="center"/>
              <w:rPr>
                <w:b/>
                <w:bCs/>
              </w:rPr>
            </w:pPr>
            <w:r>
              <w:rPr>
                <w:rFonts w:hint="eastAsia"/>
                <w:b/>
                <w:bCs/>
              </w:rPr>
              <w:t xml:space="preserve">  </w:t>
            </w:r>
            <w:r>
              <w:rPr>
                <w:rFonts w:hint="eastAsia"/>
                <w:b/>
                <w:bCs/>
                <w:lang w:val="en-US" w:eastAsia="zh-CN"/>
              </w:rPr>
              <w:t>验收人2</w:t>
            </w:r>
            <w:r>
              <w:rPr>
                <w:rFonts w:hint="eastAsia"/>
                <w:b/>
                <w:bCs/>
              </w:rPr>
              <w:t xml:space="preserve">（签名）： </w:t>
            </w:r>
          </w:p>
        </w:tc>
        <w:tc>
          <w:tcPr>
            <w:tcW w:w="4720" w:type="dxa"/>
            <w:gridSpan w:val="4"/>
            <w:shd w:val="clear" w:color="auto" w:fill="auto"/>
            <w:noWrap/>
            <w:tcMar>
              <w:top w:w="15" w:type="dxa"/>
              <w:left w:w="15" w:type="dxa"/>
              <w:right w:w="15" w:type="dxa"/>
            </w:tcMar>
          </w:tcPr>
          <w:p>
            <w:pPr>
              <w:jc w:val="center"/>
              <w:rPr>
                <w:b/>
                <w:bCs/>
              </w:rPr>
            </w:pPr>
          </w:p>
          <w:p>
            <w:pPr>
              <w:ind w:firstLine="24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pPr>
              <w:ind w:firstLine="241" w:firstLineChars="100"/>
              <w:jc w:val="left"/>
              <w:rPr>
                <w:rFonts w:hint="eastAsia" w:ascii="宋体" w:hAnsi="宋体" w:eastAsia="宋体" w:cs="宋体"/>
                <w:b/>
                <w:bCs w:val="0"/>
                <w:color w:val="000000"/>
                <w:szCs w:val="21"/>
                <w:lang w:val="en-US" w:eastAsia="zh-CN"/>
              </w:rPr>
            </w:pPr>
          </w:p>
          <w:p>
            <w:pPr>
              <w:ind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 w:val="21"/>
                <w:szCs w:val="21"/>
                <w:lang w:val="en-US" w:eastAsia="zh-CN"/>
              </w:rPr>
              <w:t>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pPr>
              <w:ind w:firstLine="48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shd w:val="clear" w:color="auto" w:fill="auto"/>
            <w:noWrap/>
            <w:tcMar>
              <w:top w:w="15" w:type="dxa"/>
              <w:left w:w="15" w:type="dxa"/>
              <w:right w:w="15" w:type="dxa"/>
            </w:tcMar>
            <w:vAlign w:val="center"/>
          </w:tcPr>
          <w:p>
            <w:pPr>
              <w:ind w:firstLine="48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r>
      <w:bookmarkEnd w:id="6"/>
    </w:tbl>
    <w:p>
      <w:pPr>
        <w:spacing w:line="360" w:lineRule="auto"/>
        <w:jc w:val="center"/>
        <w:rPr>
          <w:rFonts w:hint="eastAsia" w:hAnsi="宋体" w:cs="宋体"/>
          <w:b/>
          <w:color w:val="000000"/>
          <w:sz w:val="32"/>
          <w:szCs w:val="21"/>
        </w:rPr>
      </w:pPr>
    </w:p>
    <w:p>
      <w:pPr>
        <w:spacing w:line="360" w:lineRule="auto"/>
        <w:jc w:val="center"/>
        <w:rPr>
          <w:rFonts w:hint="eastAsia" w:hAnsi="宋体" w:cs="宋体"/>
          <w:b/>
          <w:color w:val="000000"/>
          <w:sz w:val="32"/>
          <w:szCs w:val="21"/>
        </w:rPr>
      </w:pPr>
      <w:r>
        <w:rPr>
          <w:rFonts w:hint="eastAsia" w:hAnsi="宋体" w:cs="宋体"/>
          <w:b/>
          <w:color w:val="000000"/>
          <w:sz w:val="32"/>
          <w:szCs w:val="21"/>
        </w:rPr>
        <w:t>供应商履约评价表</w:t>
      </w:r>
    </w:p>
    <w:p>
      <w:pPr>
        <w:pStyle w:val="59"/>
        <w:rPr>
          <w:rFonts w:hint="default"/>
          <w:lang w:val="en-US" w:eastAsia="zh-CN"/>
        </w:rPr>
      </w:pPr>
    </w:p>
    <w:tbl>
      <w:tblPr>
        <w:tblStyle w:val="23"/>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672"/>
        <w:gridCol w:w="3819"/>
        <w:gridCol w:w="84"/>
        <w:gridCol w:w="1824"/>
        <w:gridCol w:w="733"/>
        <w:gridCol w:w="705"/>
        <w:gridCol w:w="71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pPr>
              <w:widowControl/>
              <w:snapToGrid w:val="0"/>
              <w:jc w:val="center"/>
              <w:rPr>
                <w:color w:val="000000"/>
              </w:rPr>
            </w:pPr>
            <w:r>
              <w:rPr>
                <w:rFonts w:hint="eastAsia"/>
                <w:bCs/>
                <w:color w:val="000000"/>
              </w:rPr>
              <w:t>合同名称</w:t>
            </w:r>
          </w:p>
        </w:tc>
        <w:tc>
          <w:tcPr>
            <w:tcW w:w="7884" w:type="dxa"/>
            <w:gridSpan w:val="6"/>
            <w:noWrap w:val="0"/>
            <w:vAlign w:val="center"/>
          </w:tcPr>
          <w:p>
            <w:pPr>
              <w:widowControl/>
              <w:snapToGrid w:val="0"/>
              <w:jc w:val="center"/>
              <w:rPr>
                <w:rFonts w:hint="eastAsia" w:eastAsia="宋体"/>
                <w:color w:val="000000"/>
                <w:lang w:val="en-US" w:eastAsia="zh-CN"/>
              </w:rPr>
            </w:pPr>
            <w:r>
              <w:rPr>
                <w:rFonts w:hint="eastAsia" w:eastAsia="宋体"/>
                <w:color w:val="000000"/>
                <w:lang w:val="en-US" w:eastAsia="zh-CN"/>
              </w:rPr>
              <w:t xml:space="preserve">东莞市污泥集中处理处置项目硫酸和盐酸溶液采购项目合同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pPr>
              <w:widowControl/>
              <w:snapToGrid w:val="0"/>
              <w:jc w:val="center"/>
              <w:rPr>
                <w:color w:val="000000"/>
              </w:rPr>
            </w:pPr>
            <w:r>
              <w:rPr>
                <w:rFonts w:hint="eastAsia"/>
                <w:bCs/>
                <w:color w:val="000000"/>
              </w:rPr>
              <w:t>合同编号</w:t>
            </w:r>
          </w:p>
        </w:tc>
        <w:tc>
          <w:tcPr>
            <w:tcW w:w="7884" w:type="dxa"/>
            <w:gridSpan w:val="6"/>
            <w:noWrap w:val="0"/>
            <w:vAlign w:val="center"/>
          </w:tcPr>
          <w:p>
            <w:pPr>
              <w:widowControl/>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pPr>
              <w:widowControl/>
              <w:snapToGrid w:val="0"/>
              <w:jc w:val="center"/>
              <w:rPr>
                <w:bCs/>
                <w:color w:val="000000"/>
              </w:rPr>
            </w:pPr>
            <w:r>
              <w:rPr>
                <w:rFonts w:hint="eastAsia"/>
                <w:bCs/>
                <w:color w:val="000000"/>
              </w:rPr>
              <w:t>甲方名称</w:t>
            </w:r>
          </w:p>
        </w:tc>
        <w:tc>
          <w:tcPr>
            <w:tcW w:w="7884" w:type="dxa"/>
            <w:gridSpan w:val="6"/>
            <w:noWrap w:val="0"/>
            <w:vAlign w:val="center"/>
          </w:tcPr>
          <w:p>
            <w:pPr>
              <w:widowControl/>
              <w:snapToGrid w:val="0"/>
              <w:jc w:val="center"/>
              <w:rPr>
                <w:color w:val="000000"/>
              </w:rPr>
            </w:pPr>
            <w:r>
              <w:rPr>
                <w:rFonts w:hint="eastAsia"/>
                <w:color w:val="000000"/>
              </w:rPr>
              <w:t>东莞市尚源环能科技有限公司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pPr>
              <w:widowControl/>
              <w:snapToGrid w:val="0"/>
              <w:jc w:val="center"/>
              <w:rPr>
                <w:color w:val="000000"/>
              </w:rPr>
            </w:pPr>
            <w:r>
              <w:rPr>
                <w:rFonts w:hint="eastAsia"/>
                <w:bCs/>
                <w:color w:val="000000"/>
              </w:rPr>
              <w:t>供应商</w:t>
            </w:r>
            <w:r>
              <w:rPr>
                <w:rFonts w:hint="eastAsia"/>
                <w:color w:val="000000"/>
              </w:rPr>
              <w:t>名称</w:t>
            </w:r>
          </w:p>
        </w:tc>
        <w:tc>
          <w:tcPr>
            <w:tcW w:w="7884" w:type="dxa"/>
            <w:gridSpan w:val="6"/>
            <w:noWrap w:val="0"/>
            <w:vAlign w:val="center"/>
          </w:tcPr>
          <w:p>
            <w:pPr>
              <w:widowControl/>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pPr>
              <w:widowControl/>
              <w:snapToGrid w:val="0"/>
              <w:jc w:val="center"/>
              <w:rPr>
                <w:bCs/>
                <w:color w:val="000000"/>
              </w:rPr>
            </w:pPr>
            <w:r>
              <w:rPr>
                <w:rFonts w:hint="eastAsia"/>
                <w:bCs/>
                <w:color w:val="000000"/>
              </w:rPr>
              <w:t>供应货物名称</w:t>
            </w:r>
          </w:p>
        </w:tc>
        <w:tc>
          <w:tcPr>
            <w:tcW w:w="7884" w:type="dxa"/>
            <w:gridSpan w:val="6"/>
            <w:noWrap w:val="0"/>
            <w:vAlign w:val="center"/>
          </w:tcPr>
          <w:p>
            <w:pPr>
              <w:widowControl/>
              <w:snapToGrid w:val="0"/>
              <w:jc w:val="center"/>
              <w:rPr>
                <w:rFonts w:hint="eastAsia" w:eastAsia="宋体"/>
                <w:bCs/>
                <w:color w:val="000000"/>
                <w:lang w:eastAsia="zh-CN"/>
              </w:rPr>
            </w:pPr>
            <w:r>
              <w:rPr>
                <w:rFonts w:hint="eastAsia"/>
                <w:bCs/>
                <w:color w:val="000000"/>
                <w:lang w:val="en-US" w:eastAsia="zh-CN"/>
              </w:rPr>
              <w:t>硫酸溶液和盐酸溶液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序号</w:t>
            </w:r>
          </w:p>
        </w:tc>
        <w:tc>
          <w:tcPr>
            <w:tcW w:w="1672" w:type="dxa"/>
            <w:noWrap w:val="0"/>
            <w:vAlign w:val="center"/>
          </w:tcPr>
          <w:p>
            <w:pPr>
              <w:widowControl/>
              <w:snapToGrid w:val="0"/>
              <w:jc w:val="center"/>
              <w:rPr>
                <w:bCs/>
                <w:color w:val="000000"/>
              </w:rPr>
            </w:pPr>
            <w:r>
              <w:rPr>
                <w:rFonts w:hint="eastAsia"/>
                <w:bCs/>
                <w:color w:val="000000"/>
              </w:rPr>
              <w:t>履约评价项目</w:t>
            </w:r>
          </w:p>
        </w:tc>
        <w:tc>
          <w:tcPr>
            <w:tcW w:w="3819" w:type="dxa"/>
            <w:noWrap w:val="0"/>
            <w:vAlign w:val="center"/>
          </w:tcPr>
          <w:p>
            <w:pPr>
              <w:widowControl/>
              <w:snapToGrid w:val="0"/>
              <w:jc w:val="center"/>
              <w:rPr>
                <w:bCs/>
                <w:color w:val="000000"/>
              </w:rPr>
            </w:pPr>
            <w:r>
              <w:rPr>
                <w:rFonts w:hint="eastAsia"/>
                <w:bCs/>
                <w:color w:val="000000"/>
              </w:rPr>
              <w:t>评价标准</w:t>
            </w:r>
          </w:p>
        </w:tc>
        <w:tc>
          <w:tcPr>
            <w:tcW w:w="1908" w:type="dxa"/>
            <w:gridSpan w:val="2"/>
            <w:noWrap w:val="0"/>
            <w:vAlign w:val="center"/>
          </w:tcPr>
          <w:p>
            <w:pPr>
              <w:widowControl/>
              <w:snapToGrid w:val="0"/>
              <w:jc w:val="center"/>
              <w:rPr>
                <w:bCs/>
                <w:color w:val="000000"/>
              </w:rPr>
            </w:pPr>
            <w:r>
              <w:rPr>
                <w:rFonts w:hint="eastAsia"/>
                <w:bCs/>
                <w:color w:val="000000"/>
              </w:rPr>
              <w:t>评分说明</w:t>
            </w:r>
          </w:p>
        </w:tc>
        <w:tc>
          <w:tcPr>
            <w:tcW w:w="733" w:type="dxa"/>
            <w:noWrap w:val="0"/>
            <w:vAlign w:val="center"/>
          </w:tcPr>
          <w:p>
            <w:pPr>
              <w:widowControl/>
              <w:snapToGrid w:val="0"/>
              <w:jc w:val="center"/>
              <w:rPr>
                <w:bCs/>
                <w:color w:val="000000"/>
              </w:rPr>
            </w:pPr>
            <w:r>
              <w:rPr>
                <w:rFonts w:hint="eastAsia"/>
                <w:bCs/>
                <w:color w:val="000000"/>
              </w:rPr>
              <w:t>分值</w:t>
            </w:r>
          </w:p>
        </w:tc>
        <w:tc>
          <w:tcPr>
            <w:tcW w:w="705" w:type="dxa"/>
            <w:noWrap w:val="0"/>
            <w:vAlign w:val="center"/>
          </w:tcPr>
          <w:p>
            <w:pPr>
              <w:widowControl/>
              <w:snapToGrid w:val="0"/>
              <w:jc w:val="center"/>
              <w:rPr>
                <w:bCs/>
                <w:color w:val="000000"/>
              </w:rPr>
            </w:pPr>
            <w:r>
              <w:rPr>
                <w:rFonts w:hint="eastAsia"/>
                <w:bCs/>
                <w:color w:val="000000"/>
              </w:rPr>
              <w:t>实得分</w:t>
            </w:r>
          </w:p>
        </w:tc>
        <w:tc>
          <w:tcPr>
            <w:tcW w:w="719" w:type="dxa"/>
            <w:noWrap w:val="0"/>
            <w:vAlign w:val="center"/>
          </w:tcPr>
          <w:p>
            <w:pPr>
              <w:widowControl/>
              <w:rPr>
                <w:bCs/>
                <w:color w:val="000000"/>
              </w:rPr>
            </w:pPr>
            <w:r>
              <w:rPr>
                <w:rFonts w:hint="eastAsia"/>
                <w:bCs/>
                <w:color w:val="000000"/>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1</w:t>
            </w:r>
          </w:p>
        </w:tc>
        <w:tc>
          <w:tcPr>
            <w:tcW w:w="1672" w:type="dxa"/>
            <w:noWrap w:val="0"/>
            <w:vAlign w:val="center"/>
          </w:tcPr>
          <w:p>
            <w:pPr>
              <w:widowControl/>
              <w:snapToGrid w:val="0"/>
              <w:jc w:val="center"/>
              <w:rPr>
                <w:bCs/>
                <w:color w:val="000000"/>
              </w:rPr>
            </w:pPr>
            <w:r>
              <w:rPr>
                <w:rFonts w:hint="eastAsia"/>
                <w:bCs/>
                <w:color w:val="000000"/>
              </w:rPr>
              <w:t>质量</w:t>
            </w:r>
          </w:p>
        </w:tc>
        <w:tc>
          <w:tcPr>
            <w:tcW w:w="3819" w:type="dxa"/>
            <w:noWrap w:val="0"/>
            <w:vAlign w:val="center"/>
          </w:tcPr>
          <w:p>
            <w:pPr>
              <w:widowControl/>
              <w:snapToGrid w:val="0"/>
              <w:rPr>
                <w:bCs/>
                <w:color w:val="000000"/>
              </w:rPr>
            </w:pPr>
            <w:r>
              <w:rPr>
                <w:rFonts w:hint="eastAsia"/>
                <w:bCs/>
                <w:color w:val="000000"/>
              </w:rPr>
              <w:t>（1）货物未出现全部拒收或换货等质量问题；</w:t>
            </w:r>
          </w:p>
          <w:p>
            <w:pPr>
              <w:widowControl/>
              <w:snapToGrid w:val="0"/>
              <w:rPr>
                <w:bCs/>
                <w:color w:val="000000"/>
              </w:rPr>
            </w:pPr>
            <w:r>
              <w:rPr>
                <w:rFonts w:hint="eastAsia"/>
                <w:bCs/>
                <w:color w:val="000000"/>
              </w:rPr>
              <w:t>（2）货物主要技术指标符合合同规定；</w:t>
            </w:r>
          </w:p>
          <w:p>
            <w:pPr>
              <w:widowControl/>
              <w:snapToGrid w:val="0"/>
              <w:rPr>
                <w:bCs/>
                <w:color w:val="000000"/>
              </w:rPr>
            </w:pPr>
            <w:r>
              <w:rPr>
                <w:rFonts w:hint="eastAsia"/>
                <w:bCs/>
                <w:color w:val="000000"/>
              </w:rPr>
              <w:t>（3）每批次货物质量稳定，投加效果良好，未出现由于每批次货物质量参差不齐导致厂区药剂投加量增加或产生出水水质风险等情况。</w:t>
            </w:r>
          </w:p>
        </w:tc>
        <w:tc>
          <w:tcPr>
            <w:tcW w:w="1908" w:type="dxa"/>
            <w:gridSpan w:val="2"/>
            <w:noWrap w:val="0"/>
            <w:vAlign w:val="center"/>
          </w:tcPr>
          <w:p>
            <w:pPr>
              <w:widowControl/>
              <w:snapToGrid w:val="0"/>
              <w:rPr>
                <w:color w:val="000000"/>
              </w:rPr>
            </w:pPr>
            <w:r>
              <w:rPr>
                <w:rFonts w:hint="eastAsia"/>
                <w:bCs/>
                <w:color w:val="000000"/>
              </w:rPr>
              <w:t>达到标准的得满分，每月每批货物有一项未达到标准的扣4分，每批货物最多扣4分。</w:t>
            </w:r>
          </w:p>
        </w:tc>
        <w:tc>
          <w:tcPr>
            <w:tcW w:w="733" w:type="dxa"/>
            <w:noWrap w:val="0"/>
            <w:vAlign w:val="center"/>
          </w:tcPr>
          <w:p>
            <w:pPr>
              <w:widowControl/>
              <w:snapToGrid w:val="0"/>
              <w:jc w:val="center"/>
              <w:rPr>
                <w:color w:val="000000"/>
              </w:rPr>
            </w:pPr>
            <w:r>
              <w:rPr>
                <w:rFonts w:hint="eastAsia"/>
                <w:color w:val="000000"/>
              </w:rPr>
              <w:t>20</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2</w:t>
            </w:r>
          </w:p>
        </w:tc>
        <w:tc>
          <w:tcPr>
            <w:tcW w:w="1672" w:type="dxa"/>
            <w:noWrap w:val="0"/>
            <w:vAlign w:val="center"/>
          </w:tcPr>
          <w:p>
            <w:pPr>
              <w:widowControl/>
              <w:snapToGrid w:val="0"/>
              <w:jc w:val="center"/>
              <w:rPr>
                <w:bCs/>
                <w:color w:val="000000"/>
              </w:rPr>
            </w:pPr>
            <w:r>
              <w:rPr>
                <w:rFonts w:hint="eastAsia"/>
                <w:bCs/>
                <w:color w:val="000000"/>
              </w:rPr>
              <w:t>包装、运输</w:t>
            </w:r>
          </w:p>
        </w:tc>
        <w:tc>
          <w:tcPr>
            <w:tcW w:w="3819" w:type="dxa"/>
            <w:noWrap w:val="0"/>
            <w:vAlign w:val="center"/>
          </w:tcPr>
          <w:p>
            <w:pPr>
              <w:widowControl/>
              <w:snapToGrid w:val="0"/>
              <w:rPr>
                <w:bCs/>
                <w:color w:val="000000"/>
              </w:rPr>
            </w:pPr>
            <w:r>
              <w:rPr>
                <w:rFonts w:hint="eastAsia"/>
                <w:bCs/>
                <w:color w:val="000000"/>
              </w:rPr>
              <w:t>货物的包装、运输符合合同规定及国家、行业有关标准规范；未出现由于包装、运输方式不当造成以下不良后果：</w:t>
            </w:r>
          </w:p>
          <w:p>
            <w:pPr>
              <w:widowControl/>
              <w:snapToGrid w:val="0"/>
              <w:rPr>
                <w:bCs/>
                <w:color w:val="000000"/>
              </w:rPr>
            </w:pPr>
            <w:r>
              <w:rPr>
                <w:rFonts w:hint="eastAsia"/>
                <w:bCs/>
                <w:color w:val="000000"/>
              </w:rPr>
              <w:t>（1）影响货物输送或储存质量；</w:t>
            </w:r>
          </w:p>
          <w:p>
            <w:pPr>
              <w:widowControl/>
              <w:snapToGrid w:val="0"/>
              <w:rPr>
                <w:bCs/>
                <w:color w:val="000000"/>
              </w:rPr>
            </w:pPr>
            <w:r>
              <w:rPr>
                <w:rFonts w:hint="eastAsia"/>
                <w:bCs/>
                <w:color w:val="000000"/>
              </w:rPr>
              <w:t>（2）货物质量下降；</w:t>
            </w:r>
          </w:p>
          <w:p>
            <w:pPr>
              <w:widowControl/>
              <w:snapToGrid w:val="0"/>
              <w:rPr>
                <w:bCs/>
                <w:color w:val="000000"/>
              </w:rPr>
            </w:pPr>
            <w:r>
              <w:rPr>
                <w:rFonts w:hint="eastAsia"/>
                <w:bCs/>
                <w:color w:val="000000"/>
              </w:rPr>
              <w:t>（3）货物泄漏导致供货量不足；</w:t>
            </w:r>
          </w:p>
          <w:p>
            <w:pPr>
              <w:widowControl/>
              <w:snapToGrid w:val="0"/>
              <w:rPr>
                <w:bCs/>
                <w:color w:val="000000"/>
              </w:rPr>
            </w:pPr>
            <w:r>
              <w:rPr>
                <w:rFonts w:hint="eastAsia"/>
                <w:bCs/>
                <w:color w:val="000000"/>
              </w:rPr>
              <w:t>（4）造成环境污染。</w:t>
            </w:r>
          </w:p>
        </w:tc>
        <w:tc>
          <w:tcPr>
            <w:tcW w:w="1908" w:type="dxa"/>
            <w:gridSpan w:val="2"/>
            <w:noWrap w:val="0"/>
            <w:vAlign w:val="center"/>
          </w:tcPr>
          <w:p>
            <w:pPr>
              <w:widowControl/>
              <w:snapToGrid w:val="0"/>
              <w:rPr>
                <w:bCs/>
                <w:color w:val="000000"/>
              </w:rPr>
            </w:pPr>
            <w:r>
              <w:rPr>
                <w:rFonts w:hint="eastAsia"/>
                <w:bCs/>
                <w:color w:val="000000"/>
              </w:rPr>
              <w:t>达到标准的得满分，每月每批货物有一项未达到标准的扣3分，每批货物最多扣3分。</w:t>
            </w:r>
          </w:p>
        </w:tc>
        <w:tc>
          <w:tcPr>
            <w:tcW w:w="733" w:type="dxa"/>
            <w:noWrap w:val="0"/>
            <w:vAlign w:val="center"/>
          </w:tcPr>
          <w:p>
            <w:pPr>
              <w:widowControl/>
              <w:snapToGrid w:val="0"/>
              <w:jc w:val="center"/>
              <w:rPr>
                <w:color w:val="000000"/>
              </w:rPr>
            </w:pPr>
            <w:r>
              <w:rPr>
                <w:rFonts w:hint="eastAsia"/>
                <w:color w:val="000000"/>
              </w:rPr>
              <w:t>15</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3</w:t>
            </w:r>
          </w:p>
        </w:tc>
        <w:tc>
          <w:tcPr>
            <w:tcW w:w="1672" w:type="dxa"/>
            <w:noWrap w:val="0"/>
            <w:vAlign w:val="center"/>
          </w:tcPr>
          <w:p>
            <w:pPr>
              <w:widowControl/>
              <w:snapToGrid w:val="0"/>
              <w:jc w:val="center"/>
              <w:rPr>
                <w:bCs/>
                <w:color w:val="000000"/>
              </w:rPr>
            </w:pPr>
            <w:r>
              <w:rPr>
                <w:rFonts w:hint="eastAsia"/>
                <w:bCs/>
                <w:color w:val="000000"/>
              </w:rPr>
              <w:t>货物交付</w:t>
            </w:r>
          </w:p>
        </w:tc>
        <w:tc>
          <w:tcPr>
            <w:tcW w:w="3819" w:type="dxa"/>
            <w:noWrap w:val="0"/>
            <w:vAlign w:val="center"/>
          </w:tcPr>
          <w:p>
            <w:pPr>
              <w:widowControl/>
              <w:rPr>
                <w:bCs/>
                <w:color w:val="000000"/>
              </w:rPr>
            </w:pPr>
            <w:r>
              <w:rPr>
                <w:rFonts w:hint="eastAsia"/>
                <w:bCs/>
                <w:color w:val="000000"/>
              </w:rPr>
              <w:t>（1）按合同要求的期限供货（包括加急供货）；</w:t>
            </w:r>
          </w:p>
          <w:p>
            <w:pPr>
              <w:rPr>
                <w:bCs/>
                <w:color w:val="000000"/>
              </w:rPr>
            </w:pPr>
            <w:r>
              <w:rPr>
                <w:rFonts w:hint="eastAsia"/>
                <w:bCs/>
                <w:color w:val="000000"/>
              </w:rPr>
              <w:t>（</w:t>
            </w:r>
            <w:r>
              <w:rPr>
                <w:rFonts w:hint="eastAsia"/>
                <w:bCs/>
                <w:color w:val="000000"/>
                <w:lang w:val="en-US" w:eastAsia="zh-CN"/>
              </w:rPr>
              <w:t>2</w:t>
            </w:r>
            <w:r>
              <w:rPr>
                <w:rFonts w:hint="eastAsia"/>
                <w:bCs/>
                <w:color w:val="000000"/>
              </w:rPr>
              <w:t>）每批次供货配合提供出厂检验报告或质量合格证等技术资料；</w:t>
            </w:r>
          </w:p>
          <w:p>
            <w:pPr>
              <w:widowControl/>
              <w:rPr>
                <w:bCs/>
                <w:color w:val="000000"/>
              </w:rPr>
            </w:pPr>
            <w:r>
              <w:rPr>
                <w:rFonts w:hint="eastAsia"/>
                <w:bCs/>
                <w:color w:val="000000"/>
              </w:rPr>
              <w:t>（</w:t>
            </w:r>
            <w:r>
              <w:rPr>
                <w:rFonts w:hint="eastAsia"/>
                <w:bCs/>
                <w:color w:val="000000"/>
                <w:lang w:val="en-US" w:eastAsia="zh-CN"/>
              </w:rPr>
              <w:t>3</w:t>
            </w:r>
            <w:r>
              <w:rPr>
                <w:rFonts w:hint="eastAsia"/>
                <w:bCs/>
                <w:color w:val="000000"/>
              </w:rPr>
              <w:t>）交付人员专业性强，工作效率高，熟悉交付操作流程；</w:t>
            </w:r>
          </w:p>
          <w:p>
            <w:pPr>
              <w:widowControl/>
              <w:rPr>
                <w:bCs/>
                <w:color w:val="000000"/>
              </w:rPr>
            </w:pPr>
            <w:r>
              <w:rPr>
                <w:rFonts w:hint="eastAsia"/>
                <w:bCs/>
                <w:color w:val="000000"/>
              </w:rPr>
              <w:t>（</w:t>
            </w:r>
            <w:r>
              <w:rPr>
                <w:rFonts w:hint="eastAsia"/>
                <w:bCs/>
                <w:color w:val="000000"/>
                <w:lang w:val="en-US" w:eastAsia="zh-CN"/>
              </w:rPr>
              <w:t>4</w:t>
            </w:r>
            <w:r>
              <w:rPr>
                <w:rFonts w:hint="eastAsia"/>
                <w:bCs/>
                <w:color w:val="000000"/>
              </w:rPr>
              <w:t>）未出现因库存、运力不足等原因影响供货量的情况。</w:t>
            </w:r>
          </w:p>
        </w:tc>
        <w:tc>
          <w:tcPr>
            <w:tcW w:w="1908" w:type="dxa"/>
            <w:gridSpan w:val="2"/>
            <w:noWrap w:val="0"/>
            <w:vAlign w:val="center"/>
          </w:tcPr>
          <w:p>
            <w:pPr>
              <w:widowControl/>
              <w:snapToGrid w:val="0"/>
              <w:rPr>
                <w:color w:val="000000"/>
              </w:rPr>
            </w:pPr>
            <w:r>
              <w:rPr>
                <w:rFonts w:hint="eastAsia"/>
                <w:bCs/>
                <w:color w:val="000000"/>
              </w:rPr>
              <w:t>达到标准的得满分，每月每批货物有一项未达到标准的扣3分，每批货物最多扣3分。</w:t>
            </w:r>
          </w:p>
        </w:tc>
        <w:tc>
          <w:tcPr>
            <w:tcW w:w="733" w:type="dxa"/>
            <w:noWrap w:val="0"/>
            <w:vAlign w:val="center"/>
          </w:tcPr>
          <w:p>
            <w:pPr>
              <w:widowControl/>
              <w:snapToGrid w:val="0"/>
              <w:jc w:val="center"/>
              <w:rPr>
                <w:color w:val="000000"/>
              </w:rPr>
            </w:pPr>
            <w:r>
              <w:rPr>
                <w:rFonts w:hint="eastAsia"/>
                <w:color w:val="000000"/>
              </w:rPr>
              <w:t>20</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4</w:t>
            </w:r>
          </w:p>
        </w:tc>
        <w:tc>
          <w:tcPr>
            <w:tcW w:w="1672" w:type="dxa"/>
            <w:noWrap w:val="0"/>
            <w:vAlign w:val="center"/>
          </w:tcPr>
          <w:p>
            <w:pPr>
              <w:widowControl/>
              <w:snapToGrid w:val="0"/>
              <w:jc w:val="center"/>
              <w:rPr>
                <w:bCs/>
                <w:color w:val="000000"/>
              </w:rPr>
            </w:pPr>
            <w:r>
              <w:rPr>
                <w:rFonts w:hint="eastAsia"/>
                <w:bCs/>
                <w:color w:val="000000"/>
              </w:rPr>
              <w:t>验收</w:t>
            </w:r>
          </w:p>
        </w:tc>
        <w:tc>
          <w:tcPr>
            <w:tcW w:w="3819" w:type="dxa"/>
            <w:noWrap w:val="0"/>
            <w:vAlign w:val="center"/>
          </w:tcPr>
          <w:p>
            <w:pPr>
              <w:widowControl/>
              <w:snapToGrid w:val="0"/>
              <w:rPr>
                <w:bCs/>
                <w:color w:val="000000"/>
              </w:rPr>
            </w:pPr>
            <w:r>
              <w:rPr>
                <w:rFonts w:hint="eastAsia"/>
                <w:bCs/>
                <w:color w:val="000000"/>
              </w:rPr>
              <w:t>（1）及时提供货物的各项技术资料，技术资料齐全、规范；</w:t>
            </w:r>
          </w:p>
          <w:p>
            <w:pPr>
              <w:widowControl/>
              <w:snapToGrid w:val="0"/>
              <w:rPr>
                <w:bCs/>
                <w:color w:val="000000"/>
              </w:rPr>
            </w:pPr>
            <w:r>
              <w:rPr>
                <w:rFonts w:hint="eastAsia"/>
                <w:bCs/>
                <w:color w:val="000000"/>
              </w:rPr>
              <w:t>（2）未出现因对检测结果存在异议而影响供货的情况；</w:t>
            </w:r>
          </w:p>
          <w:p>
            <w:pPr>
              <w:widowControl/>
              <w:snapToGrid w:val="0"/>
              <w:rPr>
                <w:bCs/>
                <w:color w:val="000000"/>
              </w:rPr>
            </w:pPr>
            <w:r>
              <w:rPr>
                <w:rFonts w:hint="eastAsia"/>
                <w:bCs/>
                <w:color w:val="000000"/>
              </w:rPr>
              <w:t>（3）未出现因货物检验不合格，或因货物不合格影响厂区生产效果的情况。</w:t>
            </w:r>
          </w:p>
        </w:tc>
        <w:tc>
          <w:tcPr>
            <w:tcW w:w="1908" w:type="dxa"/>
            <w:gridSpan w:val="2"/>
            <w:noWrap w:val="0"/>
            <w:vAlign w:val="center"/>
          </w:tcPr>
          <w:p>
            <w:pPr>
              <w:widowControl/>
              <w:snapToGrid w:val="0"/>
              <w:rPr>
                <w:bCs/>
                <w:color w:val="000000"/>
              </w:rPr>
            </w:pPr>
            <w:r>
              <w:rPr>
                <w:rFonts w:hint="eastAsia"/>
                <w:bCs/>
                <w:color w:val="000000"/>
              </w:rPr>
              <w:t>达到标准的得满分，每月每批货物有一项未达到标准的扣4分，每批货物最多扣4分。</w:t>
            </w:r>
          </w:p>
        </w:tc>
        <w:tc>
          <w:tcPr>
            <w:tcW w:w="733" w:type="dxa"/>
            <w:noWrap w:val="0"/>
            <w:vAlign w:val="center"/>
          </w:tcPr>
          <w:p>
            <w:pPr>
              <w:widowControl/>
              <w:snapToGrid w:val="0"/>
              <w:jc w:val="center"/>
              <w:rPr>
                <w:color w:val="000000"/>
              </w:rPr>
            </w:pPr>
            <w:r>
              <w:rPr>
                <w:rFonts w:hint="eastAsia"/>
                <w:color w:val="000000"/>
              </w:rPr>
              <w:t>20</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5</w:t>
            </w:r>
          </w:p>
        </w:tc>
        <w:tc>
          <w:tcPr>
            <w:tcW w:w="1672" w:type="dxa"/>
            <w:noWrap w:val="0"/>
            <w:vAlign w:val="center"/>
          </w:tcPr>
          <w:p>
            <w:pPr>
              <w:widowControl/>
              <w:snapToGrid w:val="0"/>
              <w:jc w:val="center"/>
              <w:rPr>
                <w:bCs/>
                <w:color w:val="000000"/>
              </w:rPr>
            </w:pPr>
            <w:r>
              <w:rPr>
                <w:rFonts w:hint="eastAsia"/>
                <w:bCs/>
                <w:color w:val="000000"/>
              </w:rPr>
              <w:t>安全</w:t>
            </w:r>
          </w:p>
        </w:tc>
        <w:tc>
          <w:tcPr>
            <w:tcW w:w="3819" w:type="dxa"/>
            <w:noWrap w:val="0"/>
            <w:vAlign w:val="center"/>
          </w:tcPr>
          <w:p>
            <w:pPr>
              <w:widowControl/>
              <w:snapToGrid w:val="0"/>
              <w:rPr>
                <w:bCs/>
                <w:color w:val="000000"/>
              </w:rPr>
            </w:pPr>
            <w:r>
              <w:rPr>
                <w:rFonts w:hint="eastAsia"/>
                <w:bCs/>
                <w:color w:val="000000"/>
              </w:rPr>
              <w:t>（1）运输服务商资质、运输人员、运输车辆符合合同规定及国家相关法律法规要求；</w:t>
            </w:r>
          </w:p>
          <w:p>
            <w:pPr>
              <w:widowControl/>
              <w:snapToGrid w:val="0"/>
              <w:rPr>
                <w:bCs/>
                <w:color w:val="000000"/>
              </w:rPr>
            </w:pPr>
            <w:r>
              <w:rPr>
                <w:rFonts w:hint="eastAsia"/>
                <w:bCs/>
                <w:color w:val="000000"/>
              </w:rPr>
              <w:t>（2）未出现超载或非法运输等情况；</w:t>
            </w:r>
          </w:p>
          <w:p>
            <w:pPr>
              <w:widowControl/>
              <w:snapToGrid w:val="0"/>
              <w:rPr>
                <w:rFonts w:hint="eastAsia"/>
                <w:bCs/>
                <w:color w:val="000000"/>
              </w:rPr>
            </w:pPr>
            <w:r>
              <w:rPr>
                <w:rFonts w:hint="eastAsia"/>
                <w:bCs/>
                <w:color w:val="000000"/>
              </w:rPr>
              <w:t>（3）未出现由于运输服务商资质不符、超载或非法运输、未按厂区指示行驶及停放造成第三方或厂区事故、损失的情况；</w:t>
            </w:r>
          </w:p>
          <w:p>
            <w:pPr>
              <w:outlineLvl w:val="2"/>
              <w:rPr>
                <w:color w:val="000000"/>
              </w:rPr>
            </w:pPr>
            <w:bookmarkStart w:id="18" w:name="_Toc95729751"/>
            <w:bookmarkStart w:id="19" w:name="_Toc146625412"/>
            <w:r>
              <w:rPr>
                <w:rFonts w:hint="eastAsia"/>
                <w:bCs/>
                <w:color w:val="000000"/>
              </w:rPr>
              <w:t>（4）未出现卸货安全事故。</w:t>
            </w:r>
            <w:bookmarkEnd w:id="18"/>
            <w:bookmarkEnd w:id="19"/>
          </w:p>
        </w:tc>
        <w:tc>
          <w:tcPr>
            <w:tcW w:w="1908" w:type="dxa"/>
            <w:gridSpan w:val="2"/>
            <w:noWrap w:val="0"/>
            <w:vAlign w:val="center"/>
          </w:tcPr>
          <w:p>
            <w:pPr>
              <w:widowControl/>
              <w:snapToGrid w:val="0"/>
              <w:rPr>
                <w:bCs/>
                <w:color w:val="000000"/>
              </w:rPr>
            </w:pPr>
            <w:r>
              <w:rPr>
                <w:rFonts w:hint="eastAsia"/>
                <w:bCs/>
                <w:color w:val="000000"/>
              </w:rPr>
              <w:t>达到标准的得满分，每月每批货物有一项未达到标准的扣3分，每批货物最多扣3分。</w:t>
            </w:r>
          </w:p>
        </w:tc>
        <w:tc>
          <w:tcPr>
            <w:tcW w:w="733" w:type="dxa"/>
            <w:noWrap w:val="0"/>
            <w:vAlign w:val="center"/>
          </w:tcPr>
          <w:p>
            <w:pPr>
              <w:widowControl/>
              <w:snapToGrid w:val="0"/>
              <w:jc w:val="center"/>
              <w:rPr>
                <w:bCs/>
                <w:color w:val="000000"/>
              </w:rPr>
            </w:pPr>
            <w:r>
              <w:rPr>
                <w:rFonts w:hint="eastAsia"/>
                <w:bCs/>
                <w:color w:val="000000"/>
              </w:rPr>
              <w:t>15</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6</w:t>
            </w:r>
          </w:p>
        </w:tc>
        <w:tc>
          <w:tcPr>
            <w:tcW w:w="1672" w:type="dxa"/>
            <w:noWrap w:val="0"/>
            <w:vAlign w:val="center"/>
          </w:tcPr>
          <w:p>
            <w:pPr>
              <w:widowControl/>
              <w:snapToGrid w:val="0"/>
              <w:jc w:val="center"/>
              <w:rPr>
                <w:bCs/>
                <w:color w:val="000000"/>
              </w:rPr>
            </w:pPr>
            <w:r>
              <w:rPr>
                <w:rFonts w:hint="eastAsia"/>
                <w:bCs/>
                <w:color w:val="000000"/>
              </w:rPr>
              <w:t>售后服务</w:t>
            </w:r>
          </w:p>
        </w:tc>
        <w:tc>
          <w:tcPr>
            <w:tcW w:w="3819" w:type="dxa"/>
            <w:noWrap w:val="0"/>
            <w:vAlign w:val="center"/>
          </w:tcPr>
          <w:p>
            <w:pPr>
              <w:widowControl/>
              <w:snapToGrid w:val="0"/>
              <w:rPr>
                <w:bCs/>
                <w:color w:val="000000"/>
              </w:rPr>
            </w:pPr>
            <w:r>
              <w:rPr>
                <w:rFonts w:hint="eastAsia"/>
                <w:bCs/>
                <w:color w:val="000000"/>
              </w:rPr>
              <w:t>（1）人员：</w:t>
            </w:r>
          </w:p>
          <w:p>
            <w:pPr>
              <w:widowControl/>
              <w:snapToGrid w:val="0"/>
              <w:rPr>
                <w:bCs/>
                <w:color w:val="000000"/>
              </w:rPr>
            </w:pPr>
            <w:r>
              <w:rPr>
                <w:rFonts w:hint="eastAsia"/>
                <w:bCs/>
                <w:color w:val="000000"/>
              </w:rPr>
              <w:t>①管理、技术及服务人员均符合申请文件的承诺，服务队伍稳定，人员充足、专业性强，充分配合甲方供货需求；</w:t>
            </w:r>
          </w:p>
          <w:p>
            <w:pPr>
              <w:widowControl/>
              <w:snapToGrid w:val="0"/>
              <w:rPr>
                <w:bCs/>
                <w:color w:val="000000"/>
              </w:rPr>
            </w:pPr>
            <w:r>
              <w:rPr>
                <w:rFonts w:hint="eastAsia"/>
                <w:bCs/>
                <w:color w:val="000000"/>
              </w:rPr>
              <w:t>②对接人员与甲方沟通良好、理解到位、执行力强，能及时发现、解决问题，并未雨绸缪地因应各厂区实际情况提供合理化的供配货建议；</w:t>
            </w:r>
          </w:p>
          <w:p>
            <w:pPr>
              <w:widowControl/>
              <w:snapToGrid w:val="0"/>
              <w:rPr>
                <w:bCs/>
                <w:color w:val="000000"/>
              </w:rPr>
            </w:pPr>
            <w:r>
              <w:rPr>
                <w:rFonts w:hint="eastAsia"/>
                <w:bCs/>
                <w:color w:val="000000"/>
              </w:rPr>
              <w:t>③未出现推诿，借故不肯签署合同规定的文件或者敷衍了事、置之不理等情况。</w:t>
            </w:r>
          </w:p>
          <w:p>
            <w:pPr>
              <w:widowControl/>
              <w:snapToGrid w:val="0"/>
              <w:rPr>
                <w:bCs/>
                <w:color w:val="000000"/>
              </w:rPr>
            </w:pPr>
            <w:r>
              <w:rPr>
                <w:rFonts w:hint="eastAsia"/>
                <w:bCs/>
                <w:color w:val="000000"/>
              </w:rPr>
              <w:t>（2）配合：</w:t>
            </w:r>
          </w:p>
          <w:p>
            <w:pPr>
              <w:widowControl/>
              <w:snapToGrid w:val="0"/>
              <w:rPr>
                <w:bCs/>
                <w:color w:val="000000"/>
              </w:rPr>
            </w:pPr>
            <w:r>
              <w:rPr>
                <w:rFonts w:hint="eastAsia"/>
                <w:bCs/>
                <w:color w:val="000000"/>
              </w:rPr>
              <w:t>①售后服务流程完善，跟踪到位，响应速度快；</w:t>
            </w:r>
          </w:p>
          <w:p>
            <w:pPr>
              <w:widowControl/>
              <w:snapToGrid w:val="0"/>
              <w:rPr>
                <w:bCs/>
                <w:color w:val="000000"/>
              </w:rPr>
            </w:pPr>
            <w:r>
              <w:rPr>
                <w:rFonts w:hint="eastAsia"/>
                <w:bCs/>
                <w:color w:val="000000"/>
              </w:rPr>
              <w:t>②就货物储存保质方式、方法提出合理化建议并能提供专业技术指导；</w:t>
            </w:r>
          </w:p>
          <w:p>
            <w:pPr>
              <w:widowControl/>
              <w:snapToGrid w:val="0"/>
              <w:rPr>
                <w:bCs/>
                <w:color w:val="000000"/>
              </w:rPr>
            </w:pPr>
            <w:r>
              <w:rPr>
                <w:rFonts w:hint="eastAsia"/>
                <w:bCs/>
                <w:color w:val="000000"/>
              </w:rPr>
              <w:t>③积极配合甲方进行试验、积极协助甲方接受政府管理部门的检查工作及提供各类资质证明材料；</w:t>
            </w:r>
          </w:p>
          <w:p>
            <w:pPr>
              <w:widowControl/>
              <w:snapToGrid w:val="0"/>
              <w:rPr>
                <w:bCs/>
                <w:color w:val="000000"/>
              </w:rPr>
            </w:pPr>
            <w:r>
              <w:rPr>
                <w:rFonts w:hint="eastAsia"/>
                <w:bCs/>
                <w:color w:val="000000"/>
              </w:rPr>
              <w:t>④能根据甲方要求提供专业培训。</w:t>
            </w:r>
          </w:p>
          <w:p>
            <w:pPr>
              <w:outlineLvl w:val="2"/>
              <w:rPr>
                <w:color w:val="000000"/>
              </w:rPr>
            </w:pPr>
            <w:bookmarkStart w:id="20" w:name="_Toc95729752"/>
            <w:bookmarkStart w:id="21" w:name="_Toc146625413"/>
            <w:r>
              <w:rPr>
                <w:rFonts w:hint="eastAsia"/>
                <w:bCs/>
                <w:color w:val="000000"/>
              </w:rPr>
              <w:t>⑤高效处理退换货工作、态度良好。</w:t>
            </w:r>
            <w:bookmarkEnd w:id="20"/>
            <w:bookmarkEnd w:id="21"/>
          </w:p>
        </w:tc>
        <w:tc>
          <w:tcPr>
            <w:tcW w:w="1908" w:type="dxa"/>
            <w:gridSpan w:val="2"/>
            <w:noWrap w:val="0"/>
            <w:vAlign w:val="center"/>
          </w:tcPr>
          <w:p>
            <w:pPr>
              <w:widowControl/>
              <w:snapToGrid w:val="0"/>
              <w:rPr>
                <w:bCs/>
                <w:color w:val="000000"/>
              </w:rPr>
            </w:pPr>
            <w:r>
              <w:rPr>
                <w:rFonts w:hint="eastAsia"/>
                <w:bCs/>
                <w:color w:val="000000"/>
              </w:rPr>
              <w:t>达到标准的得满分，每月每批货物有一项未达到标准的扣2分，每批货物最多扣2分。</w:t>
            </w:r>
          </w:p>
        </w:tc>
        <w:tc>
          <w:tcPr>
            <w:tcW w:w="733" w:type="dxa"/>
            <w:noWrap w:val="0"/>
            <w:vAlign w:val="center"/>
          </w:tcPr>
          <w:p>
            <w:pPr>
              <w:widowControl/>
              <w:snapToGrid w:val="0"/>
              <w:jc w:val="center"/>
              <w:rPr>
                <w:bCs/>
                <w:color w:val="000000"/>
              </w:rPr>
            </w:pPr>
            <w:r>
              <w:rPr>
                <w:rFonts w:hint="eastAsia"/>
                <w:bCs/>
                <w:color w:val="000000"/>
              </w:rPr>
              <w:t>10</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noWrap w:val="0"/>
            <w:vAlign w:val="center"/>
          </w:tcPr>
          <w:p>
            <w:pPr>
              <w:widowControl/>
              <w:snapToGrid w:val="0"/>
              <w:jc w:val="center"/>
              <w:rPr>
                <w:bCs/>
                <w:color w:val="000000"/>
              </w:rPr>
            </w:pPr>
            <w:r>
              <w:rPr>
                <w:rFonts w:hint="eastAsia"/>
                <w:bCs/>
                <w:color w:val="000000"/>
              </w:rPr>
              <w:t>合计</w:t>
            </w:r>
          </w:p>
        </w:tc>
        <w:tc>
          <w:tcPr>
            <w:tcW w:w="733" w:type="dxa"/>
            <w:noWrap w:val="0"/>
            <w:vAlign w:val="center"/>
          </w:tcPr>
          <w:p>
            <w:pPr>
              <w:widowControl/>
              <w:snapToGrid w:val="0"/>
              <w:jc w:val="center"/>
              <w:rPr>
                <w:bCs/>
                <w:color w:val="000000"/>
              </w:rPr>
            </w:pPr>
            <w:r>
              <w:rPr>
                <w:rFonts w:hint="eastAsia"/>
                <w:bCs/>
                <w:color w:val="000000"/>
              </w:rPr>
              <w:t>1</w:t>
            </w:r>
            <w:r>
              <w:rPr>
                <w:bCs/>
                <w:color w:val="000000"/>
              </w:rPr>
              <w:t>00</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559" w:hRule="atLeast"/>
          <w:jc w:val="center"/>
        </w:trPr>
        <w:tc>
          <w:tcPr>
            <w:tcW w:w="2097" w:type="dxa"/>
            <w:gridSpan w:val="2"/>
            <w:noWrap w:val="0"/>
            <w:vAlign w:val="center"/>
          </w:tcPr>
          <w:p>
            <w:pPr>
              <w:widowControl/>
              <w:snapToGrid w:val="0"/>
              <w:jc w:val="center"/>
              <w:rPr>
                <w:bCs/>
                <w:color w:val="000000"/>
              </w:rPr>
            </w:pPr>
            <w:r>
              <w:rPr>
                <w:rFonts w:hint="eastAsia"/>
                <w:bCs/>
                <w:color w:val="000000"/>
              </w:rPr>
              <w:t>评审结论</w:t>
            </w:r>
          </w:p>
        </w:tc>
        <w:tc>
          <w:tcPr>
            <w:tcW w:w="7884" w:type="dxa"/>
            <w:gridSpan w:val="6"/>
            <w:noWrap w:val="0"/>
            <w:vAlign w:val="top"/>
          </w:tcPr>
          <w:p>
            <w:pPr>
              <w:widowControl/>
              <w:snapToGrid w:val="0"/>
              <w:rPr>
                <w:bCs/>
                <w:color w:val="000000"/>
              </w:rPr>
            </w:pPr>
            <w:r>
              <w:rPr>
                <w:rFonts w:hint="eastAsia"/>
                <w:bCs/>
                <w:color w:val="000000"/>
              </w:rPr>
              <w:t>□每项实得分均不低于该项分值</w:t>
            </w:r>
            <w:r>
              <w:rPr>
                <w:bCs/>
                <w:color w:val="000000"/>
              </w:rPr>
              <w:t>8</w:t>
            </w:r>
            <w:r>
              <w:rPr>
                <w:rFonts w:hint="eastAsia"/>
                <w:bCs/>
                <w:color w:val="000000"/>
              </w:rPr>
              <w:t>0%的，评审结论合格</w:t>
            </w:r>
            <w:r>
              <w:rPr>
                <w:rFonts w:hint="eastAsia"/>
                <w:bCs/>
                <w:color w:val="000000"/>
              </w:rPr>
              <w:br w:type="textWrapping"/>
            </w:r>
            <w:r>
              <w:rPr>
                <w:rFonts w:hint="eastAsia"/>
                <w:bCs/>
                <w:color w:val="000000"/>
              </w:rPr>
              <w:t>□评审结论不合格，说明：</w:t>
            </w:r>
            <w:r>
              <w:rPr>
                <w:rFonts w:hint="eastAsia"/>
                <w:bCs/>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097" w:type="dxa"/>
            <w:gridSpan w:val="2"/>
            <w:vMerge w:val="restart"/>
            <w:noWrap w:val="0"/>
            <w:vAlign w:val="center"/>
          </w:tcPr>
          <w:p>
            <w:pPr>
              <w:widowControl/>
              <w:snapToGrid w:val="0"/>
              <w:jc w:val="center"/>
              <w:rPr>
                <w:color w:val="000000"/>
              </w:rPr>
            </w:pPr>
            <w:r>
              <w:rPr>
                <w:rFonts w:hint="eastAsia"/>
                <w:bCs/>
                <w:color w:val="000000"/>
              </w:rPr>
              <w:t>履约评审运营项目</w:t>
            </w:r>
            <w:r>
              <w:rPr>
                <w:rFonts w:hint="eastAsia"/>
                <w:color w:val="000000"/>
              </w:rPr>
              <w:t>其他</w:t>
            </w:r>
            <w:r>
              <w:rPr>
                <w:rFonts w:hint="eastAsia"/>
                <w:bCs/>
                <w:color w:val="000000"/>
              </w:rPr>
              <w:t>意见及签署</w:t>
            </w:r>
          </w:p>
        </w:tc>
        <w:tc>
          <w:tcPr>
            <w:tcW w:w="3903" w:type="dxa"/>
            <w:gridSpan w:val="2"/>
            <w:noWrap w:val="0"/>
            <w:vAlign w:val="center"/>
          </w:tcPr>
          <w:p>
            <w:pPr>
              <w:widowControl/>
              <w:snapToGrid w:val="0"/>
              <w:rPr>
                <w:color w:val="000000"/>
              </w:rPr>
            </w:pPr>
            <w:r>
              <w:rPr>
                <w:rFonts w:hint="eastAsia"/>
                <w:bCs/>
                <w:color w:val="000000"/>
              </w:rPr>
              <w:t>经办人</w:t>
            </w:r>
          </w:p>
        </w:tc>
        <w:tc>
          <w:tcPr>
            <w:tcW w:w="3987" w:type="dxa"/>
            <w:gridSpan w:val="5"/>
            <w:noWrap w:val="0"/>
            <w:vAlign w:val="center"/>
          </w:tcPr>
          <w:p>
            <w:pPr>
              <w:widowControl/>
              <w:snapToGrid w:val="0"/>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97" w:type="dxa"/>
            <w:gridSpan w:val="2"/>
            <w:vMerge w:val="continue"/>
            <w:noWrap w:val="0"/>
            <w:vAlign w:val="top"/>
          </w:tcPr>
          <w:p>
            <w:pPr>
              <w:widowControl/>
              <w:snapToGrid w:val="0"/>
              <w:rPr>
                <w:bCs/>
                <w:color w:val="000000"/>
              </w:rPr>
            </w:pPr>
          </w:p>
        </w:tc>
        <w:tc>
          <w:tcPr>
            <w:tcW w:w="3903" w:type="dxa"/>
            <w:gridSpan w:val="2"/>
            <w:noWrap w:val="0"/>
            <w:vAlign w:val="center"/>
          </w:tcPr>
          <w:p>
            <w:pPr>
              <w:widowControl/>
              <w:snapToGrid w:val="0"/>
              <w:rPr>
                <w:bCs/>
                <w:color w:val="000000"/>
              </w:rPr>
            </w:pPr>
            <w:r>
              <w:rPr>
                <w:rFonts w:hint="eastAsia"/>
                <w:bCs/>
                <w:color w:val="000000"/>
              </w:rPr>
              <w:t>运营项目负责人</w:t>
            </w:r>
          </w:p>
        </w:tc>
        <w:tc>
          <w:tcPr>
            <w:tcW w:w="3987" w:type="dxa"/>
            <w:gridSpan w:val="5"/>
            <w:noWrap w:val="0"/>
            <w:vAlign w:val="center"/>
          </w:tcPr>
          <w:p>
            <w:pPr>
              <w:widowControl/>
              <w:snapToGrid w:val="0"/>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97" w:type="dxa"/>
            <w:gridSpan w:val="2"/>
            <w:noWrap w:val="0"/>
            <w:vAlign w:val="top"/>
          </w:tcPr>
          <w:p>
            <w:pPr>
              <w:widowControl/>
              <w:snapToGrid w:val="0"/>
              <w:rPr>
                <w:bCs/>
                <w:color w:val="000000"/>
              </w:rPr>
            </w:pPr>
            <w:r>
              <w:rPr>
                <w:rFonts w:hint="eastAsia"/>
                <w:bCs/>
                <w:color w:val="000000"/>
              </w:rPr>
              <w:t>供应商意见及签署</w:t>
            </w:r>
          </w:p>
        </w:tc>
        <w:tc>
          <w:tcPr>
            <w:tcW w:w="3903" w:type="dxa"/>
            <w:gridSpan w:val="2"/>
            <w:noWrap w:val="0"/>
            <w:vAlign w:val="center"/>
          </w:tcPr>
          <w:p>
            <w:pPr>
              <w:widowControl/>
              <w:snapToGrid w:val="0"/>
              <w:rPr>
                <w:rFonts w:hint="eastAsia"/>
                <w:bCs/>
                <w:color w:val="000000"/>
              </w:rPr>
            </w:pPr>
          </w:p>
        </w:tc>
        <w:tc>
          <w:tcPr>
            <w:tcW w:w="3987" w:type="dxa"/>
            <w:gridSpan w:val="5"/>
            <w:noWrap w:val="0"/>
            <w:vAlign w:val="center"/>
          </w:tcPr>
          <w:p>
            <w:pPr>
              <w:widowControl/>
              <w:snapToGrid w:val="0"/>
              <w:rPr>
                <w:bCs/>
                <w:color w:val="000000"/>
              </w:rPr>
            </w:pPr>
          </w:p>
        </w:tc>
      </w:tr>
      <w:bookmarkEnd w:id="5"/>
    </w:tbl>
    <w:p>
      <w:bookmarkStart w:id="22" w:name="_Toc447044600"/>
      <w:bookmarkStart w:id="23" w:name="_Toc447044476"/>
      <w:bookmarkStart w:id="24" w:name="_Toc447045087"/>
    </w:p>
    <w:bookmarkEnd w:id="22"/>
    <w:bookmarkEnd w:id="23"/>
    <w:bookmarkEnd w:id="24"/>
    <w:p>
      <w:pPr>
        <w:wordWrap w:val="0"/>
        <w:spacing w:line="360" w:lineRule="auto"/>
        <w:jc w:val="right"/>
        <w:rPr>
          <w:rFonts w:hint="default" w:ascii="Times New Roman" w:hAnsi="Times New Roman" w:cs="Times New Roman"/>
        </w:rPr>
      </w:pPr>
      <w:bookmarkStart w:id="25" w:name="_Toc27990830"/>
      <w:bookmarkStart w:id="26" w:name="_Toc29476692"/>
      <w:r>
        <w:rPr>
          <w:rFonts w:hint="default" w:ascii="Times New Roman" w:hAnsi="Times New Roman" w:cs="Times New Roman"/>
          <w:b/>
          <w:bCs/>
        </w:rPr>
        <w:t xml:space="preserve">合同编号：        </w:t>
      </w:r>
      <w:r>
        <w:rPr>
          <w:rFonts w:hint="default" w:ascii="Times New Roman" w:hAnsi="Times New Roman" w:cs="Times New Roman"/>
        </w:rPr>
        <w:t xml:space="preserve">   </w:t>
      </w:r>
    </w:p>
    <w:p>
      <w:pPr>
        <w:spacing w:line="1000" w:lineRule="exact"/>
        <w:ind w:left="-1" w:leftChars="-100" w:hanging="239" w:hangingChars="54"/>
        <w:jc w:val="center"/>
        <w:rPr>
          <w:rFonts w:hint="default" w:ascii="Times New Roman" w:hAnsi="Times New Roman" w:cs="Times New Roman"/>
          <w:b/>
          <w:bCs/>
          <w:sz w:val="44"/>
          <w:szCs w:val="44"/>
        </w:rPr>
      </w:pPr>
    </w:p>
    <w:p>
      <w:pPr>
        <w:spacing w:line="600" w:lineRule="auto"/>
        <w:jc w:val="center"/>
        <w:outlineLvl w:val="0"/>
        <w:rPr>
          <w:rFonts w:hint="default" w:ascii="Times New Roman" w:hAnsi="Times New Roman" w:cs="Times New Roman"/>
          <w:b/>
          <w:bCs/>
          <w:sz w:val="44"/>
          <w:szCs w:val="44"/>
        </w:rPr>
      </w:pPr>
      <w:r>
        <w:rPr>
          <w:rFonts w:hint="default" w:ascii="Times New Roman" w:hAnsi="Times New Roman" w:eastAsia="宋体" w:cs="Times New Roman"/>
          <w:b/>
          <w:bCs/>
          <w:color w:val="000000" w:themeColor="text1"/>
          <w:kern w:val="0"/>
          <w:sz w:val="48"/>
          <w:szCs w:val="48"/>
          <w:lang w:val="en-US" w:eastAsia="zh-CN"/>
          <w14:textFill>
            <w14:solidFill>
              <w14:schemeClr w14:val="tx1"/>
            </w14:solidFill>
          </w14:textFill>
        </w:rPr>
        <w:t>东莞市污泥集中处理处置项目硫酸和盐酸溶液采购项目合同</w:t>
      </w: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jc w:val="center"/>
        <w:rPr>
          <w:rFonts w:hint="default" w:ascii="Times New Roman" w:hAnsi="Times New Roman" w:cs="Times New Roman"/>
        </w:rPr>
      </w:pPr>
    </w:p>
    <w:p>
      <w:pPr>
        <w:spacing w:line="360" w:lineRule="auto"/>
        <w:jc w:val="center"/>
        <w:rPr>
          <w:rFonts w:hint="default" w:ascii="Times New Roman" w:hAnsi="Times New Roman" w:cs="Times New Roman"/>
        </w:rPr>
      </w:pPr>
    </w:p>
    <w:p>
      <w:pPr>
        <w:pStyle w:val="59"/>
        <w:rPr>
          <w:rFonts w:hint="default" w:ascii="Times New Roman" w:hAnsi="Times New Roman" w:cs="Times New Roman"/>
        </w:rPr>
      </w:pPr>
    </w:p>
    <w:p>
      <w:pPr>
        <w:pStyle w:val="59"/>
        <w:rPr>
          <w:rFonts w:hint="default" w:ascii="Times New Roman" w:hAnsi="Times New Roman" w:cs="Times New Roman"/>
        </w:rPr>
      </w:pPr>
    </w:p>
    <w:p>
      <w:pPr>
        <w:pStyle w:val="59"/>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ind w:firstLine="1800" w:firstLineChars="600"/>
        <w:rPr>
          <w:rFonts w:hint="default" w:ascii="Times New Roman" w:hAnsi="Times New Roman" w:cs="Times New Roman"/>
          <w:sz w:val="30"/>
          <w:szCs w:val="30"/>
        </w:rPr>
      </w:pPr>
    </w:p>
    <w:p>
      <w:pPr>
        <w:spacing w:line="720" w:lineRule="auto"/>
        <w:ind w:firstLine="1800" w:firstLineChars="600"/>
        <w:rPr>
          <w:rFonts w:hint="default" w:ascii="Times New Roman" w:hAnsi="Times New Roman" w:cs="Times New Roman"/>
          <w:color w:val="000000" w:themeColor="text1"/>
          <w:sz w:val="30"/>
          <w:szCs w:val="30"/>
          <w:u w:val="single"/>
          <w14:textFill>
            <w14:solidFill>
              <w14:schemeClr w14:val="tx1"/>
            </w14:solidFill>
          </w14:textFill>
        </w:rPr>
      </w:pPr>
      <w:r>
        <w:rPr>
          <w:rFonts w:hint="default" w:ascii="Times New Roman" w:hAnsi="Times New Roman" w:cs="Times New Roman"/>
          <w:sz w:val="30"/>
          <w:szCs w:val="30"/>
        </w:rPr>
        <w:t>甲方：</w:t>
      </w:r>
      <w:r>
        <w:rPr>
          <w:rFonts w:hint="eastAsia" w:ascii="Times New Roman" w:cs="Times New Roman"/>
          <w:color w:val="000000" w:themeColor="text1"/>
          <w:sz w:val="30"/>
          <w:szCs w:val="30"/>
          <w:u w:val="single"/>
          <w:lang w:val="en-US" w:eastAsia="zh-CN"/>
          <w14:textFill>
            <w14:solidFill>
              <w14:schemeClr w14:val="tx1"/>
            </w14:solidFill>
          </w14:textFill>
        </w:rPr>
        <w:t>东莞市尚源环能科技</w:t>
      </w:r>
      <w:r>
        <w:rPr>
          <w:rFonts w:hint="default" w:ascii="Times New Roman" w:hAnsi="Times New Roman" w:cs="Times New Roman"/>
          <w:color w:val="000000" w:themeColor="text1"/>
          <w:sz w:val="30"/>
          <w:szCs w:val="30"/>
          <w:u w:val="single"/>
          <w14:textFill>
            <w14:solidFill>
              <w14:schemeClr w14:val="tx1"/>
            </w14:solidFill>
          </w14:textFill>
        </w:rPr>
        <w:t>有限公司</w:t>
      </w:r>
    </w:p>
    <w:p>
      <w:pPr>
        <w:spacing w:line="720" w:lineRule="auto"/>
        <w:ind w:firstLine="1800" w:firstLineChars="600"/>
        <w:rPr>
          <w:rFonts w:hint="default" w:ascii="Times New Roman" w:hAnsi="Times New Roman" w:cs="Times New Roman"/>
          <w:sz w:val="30"/>
          <w:szCs w:val="30"/>
        </w:rPr>
      </w:pPr>
    </w:p>
    <w:p>
      <w:pPr>
        <w:spacing w:line="720" w:lineRule="auto"/>
        <w:ind w:firstLine="1800" w:firstLineChars="600"/>
        <w:rPr>
          <w:rFonts w:hint="default" w:ascii="Times New Roman" w:hAnsi="Times New Roman" w:cs="Times New Roman"/>
          <w:sz w:val="30"/>
          <w:szCs w:val="30"/>
          <w:u w:val="single"/>
        </w:rPr>
      </w:pPr>
      <w:r>
        <w:rPr>
          <w:rFonts w:hint="default" w:ascii="Times New Roman" w:hAnsi="Times New Roman" w:cs="Times New Roman"/>
          <w:sz w:val="30"/>
          <w:szCs w:val="30"/>
        </w:rPr>
        <w:t>乙方：</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p>
    <w:p>
      <w:pPr>
        <w:spacing w:line="360" w:lineRule="auto"/>
        <w:ind w:firstLine="1800" w:firstLineChars="600"/>
        <w:rPr>
          <w:rFonts w:hint="default" w:ascii="Times New Roman" w:hAnsi="Times New Roman" w:cs="Times New Roman"/>
          <w:sz w:val="30"/>
          <w:szCs w:val="30"/>
        </w:rPr>
      </w:pPr>
    </w:p>
    <w:p>
      <w:pPr>
        <w:jc w:val="center"/>
        <w:rPr>
          <w:rFonts w:hint="default" w:ascii="Times New Roman" w:hAnsi="Times New Roman" w:cs="Times New Roman"/>
          <w:sz w:val="30"/>
          <w:szCs w:val="30"/>
        </w:rPr>
        <w:sectPr>
          <w:pgSz w:w="11906" w:h="16838"/>
          <w:pgMar w:top="1440" w:right="1800" w:bottom="1440" w:left="1800" w:header="851" w:footer="992" w:gutter="0"/>
          <w:cols w:space="425" w:num="1"/>
          <w:docGrid w:type="lines" w:linePitch="312" w:charSpace="0"/>
        </w:sectPr>
      </w:pPr>
    </w:p>
    <w:p>
      <w:pPr>
        <w:spacing w:line="360" w:lineRule="auto"/>
        <w:rPr>
          <w:rFonts w:hint="default" w:ascii="Times New Roman" w:hAnsi="Times New Roman" w:cs="Times New Roman"/>
          <w:u w:val="single"/>
        </w:rPr>
      </w:pPr>
      <w:r>
        <w:rPr>
          <w:rFonts w:hint="default" w:ascii="Times New Roman" w:hAnsi="Times New Roman" w:cs="Times New Roman"/>
          <w:b/>
        </w:rPr>
        <w:t>甲方：</w:t>
      </w:r>
      <w:r>
        <w:rPr>
          <w:rFonts w:hint="default" w:ascii="Times New Roman" w:hAnsi="Times New Roman" w:cs="Times New Roman"/>
          <w:b/>
          <w:lang w:val="en-US" w:eastAsia="zh-CN"/>
        </w:rPr>
        <w:t>东莞市尚源环能科技</w:t>
      </w:r>
      <w:r>
        <w:rPr>
          <w:rFonts w:hint="default" w:ascii="Times New Roman" w:hAnsi="Times New Roman" w:cs="Times New Roman"/>
          <w:b/>
        </w:rPr>
        <w:t>有限公司</w:t>
      </w:r>
    </w:p>
    <w:p>
      <w:pPr>
        <w:spacing w:line="360" w:lineRule="auto"/>
        <w:rPr>
          <w:rFonts w:hint="default" w:ascii="Times New Roman" w:hAnsi="Times New Roman" w:eastAsia="宋体" w:cs="Times New Roman"/>
          <w:u w:val="single"/>
          <w:lang w:val="en-US" w:eastAsia="zh-CN"/>
        </w:rPr>
      </w:pPr>
      <w:r>
        <w:rPr>
          <w:rFonts w:hint="default" w:ascii="Times New Roman" w:hAnsi="Times New Roman" w:cs="Times New Roman"/>
        </w:rPr>
        <w:t>地址：</w:t>
      </w:r>
      <w:r>
        <w:rPr>
          <w:rFonts w:hint="default" w:ascii="Times New Roman" w:hAnsi="Times New Roman" w:cs="Times New Roman"/>
          <w:u w:val="single"/>
        </w:rPr>
        <w:t>广东省东莞市</w:t>
      </w:r>
      <w:r>
        <w:rPr>
          <w:rFonts w:hint="eastAsia" w:ascii="Times New Roman" w:cs="Times New Roman"/>
          <w:u w:val="single"/>
          <w:lang w:val="en-US" w:eastAsia="zh-CN"/>
        </w:rPr>
        <w:t>沙田镇立沙中路76号</w:t>
      </w:r>
    </w:p>
    <w:p>
      <w:pPr>
        <w:spacing w:line="360" w:lineRule="auto"/>
        <w:rPr>
          <w:rFonts w:hint="default" w:ascii="Times New Roman" w:hAnsi="Times New Roman" w:eastAsia="宋体" w:cs="Times New Roman"/>
          <w:lang w:val="en-US" w:eastAsia="zh-CN"/>
        </w:rPr>
      </w:pPr>
      <w:r>
        <w:rPr>
          <w:rFonts w:hint="default" w:ascii="Times New Roman" w:hAnsi="Times New Roman" w:cs="Times New Roman"/>
          <w:b/>
        </w:rPr>
        <w:t>乙方：</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p>
    <w:p>
      <w:pPr>
        <w:spacing w:line="360" w:lineRule="auto"/>
        <w:rPr>
          <w:rFonts w:hint="default" w:ascii="Times New Roman" w:hAnsi="Times New Roman" w:cs="Times New Roman"/>
          <w:u w:val="single"/>
        </w:rPr>
      </w:pPr>
      <w:r>
        <w:rPr>
          <w:rFonts w:hint="default" w:ascii="Times New Roman" w:hAnsi="Times New Roman" w:cs="Times New Roman"/>
        </w:rPr>
        <w:t>地址：</w:t>
      </w:r>
      <w:r>
        <w:rPr>
          <w:rFonts w:hint="default" w:ascii="Times New Roman" w:hAnsi="Times New Roman" w:cs="Times New Roman"/>
          <w:u w:val="single"/>
        </w:rPr>
        <w:t xml:space="preserve">                                   </w:t>
      </w:r>
    </w:p>
    <w:p>
      <w:pPr>
        <w:spacing w:line="360" w:lineRule="auto"/>
        <w:rPr>
          <w:rFonts w:hint="default" w:ascii="Times New Roman" w:hAnsi="Times New Roman" w:cs="Times New Roman"/>
        </w:rPr>
      </w:pPr>
    </w:p>
    <w:p>
      <w:pPr>
        <w:pStyle w:val="59"/>
        <w:spacing w:line="360" w:lineRule="auto"/>
        <w:rPr>
          <w:rFonts w:hint="default" w:ascii="Times New Roman" w:hAnsi="Times New Roman" w:cs="Times New Roman"/>
          <w:sz w:val="24"/>
          <w:szCs w:val="24"/>
        </w:rPr>
      </w:pPr>
      <w:r>
        <w:rPr>
          <w:rFonts w:hint="default" w:ascii="Times New Roman" w:hAnsi="Times New Roman" w:cs="Times New Roman"/>
        </w:rPr>
        <w:t>经甲方询价采购，现确定甲方向乙方采购</w:t>
      </w:r>
      <w:r>
        <w:rPr>
          <w:rFonts w:hint="default" w:ascii="Times New Roman" w:hAnsi="Times New Roman" w:cs="Times New Roman"/>
          <w:sz w:val="24"/>
          <w:szCs w:val="24"/>
          <w:u w:val="single"/>
        </w:rPr>
        <w:t>生产</w:t>
      </w:r>
      <w:r>
        <w:rPr>
          <w:rFonts w:hint="eastAsia" w:ascii="Times New Roman" w:cs="Times New Roman"/>
          <w:sz w:val="24"/>
          <w:szCs w:val="24"/>
          <w:u w:val="single"/>
          <w:lang w:val="en-US" w:eastAsia="zh-CN"/>
        </w:rPr>
        <w:t>药剂硫酸溶液和盐酸溶液</w:t>
      </w:r>
      <w:r>
        <w:rPr>
          <w:rFonts w:hint="default" w:ascii="Times New Roman" w:hAnsi="Times New Roman" w:cs="Times New Roman"/>
          <w:sz w:val="24"/>
          <w:szCs w:val="24"/>
        </w:rPr>
        <w:t>一批。根据《中华人民共和国</w:t>
      </w:r>
      <w:r>
        <w:rPr>
          <w:rFonts w:hint="default" w:ascii="Times New Roman" w:hAnsi="Times New Roman" w:cs="Times New Roman"/>
          <w:sz w:val="24"/>
          <w:szCs w:val="24"/>
          <w:lang w:val="en-US" w:eastAsia="zh-CN"/>
        </w:rPr>
        <w:t>民法典</w:t>
      </w:r>
      <w:r>
        <w:rPr>
          <w:rFonts w:hint="default" w:ascii="Times New Roman" w:hAnsi="Times New Roman" w:cs="Times New Roman"/>
          <w:sz w:val="24"/>
          <w:szCs w:val="24"/>
        </w:rPr>
        <w:t>》等法律、法规的规定，经双方平等协商，双方就</w:t>
      </w:r>
      <w:r>
        <w:rPr>
          <w:rFonts w:hint="default" w:ascii="Times New Roman" w:hAnsi="Times New Roman" w:cs="Times New Roman"/>
          <w:sz w:val="24"/>
          <w:szCs w:val="24"/>
          <w:u w:val="single"/>
        </w:rPr>
        <w:t>生产药剂</w:t>
      </w:r>
      <w:r>
        <w:rPr>
          <w:rFonts w:hint="eastAsia" w:ascii="Times New Roman" w:cs="Times New Roman"/>
          <w:sz w:val="24"/>
          <w:szCs w:val="24"/>
          <w:u w:val="single"/>
          <w:lang w:val="en-US" w:eastAsia="zh-CN"/>
        </w:rPr>
        <w:t>硫酸溶液和盐酸溶液</w:t>
      </w:r>
      <w:r>
        <w:rPr>
          <w:rFonts w:hint="default" w:ascii="Times New Roman" w:hAnsi="Times New Roman" w:cs="Times New Roman"/>
          <w:sz w:val="24"/>
          <w:szCs w:val="24"/>
        </w:rPr>
        <w:t>（以下称“货物”）采购事宜，签订本合同。</w:t>
      </w:r>
    </w:p>
    <w:p>
      <w:pPr>
        <w:spacing w:line="360" w:lineRule="auto"/>
        <w:ind w:firstLine="0" w:firstLineChars="0"/>
        <w:rPr>
          <w:rFonts w:hint="default" w:ascii="Times New Roman" w:hAnsi="Times New Roman" w:cs="Times New Roman"/>
        </w:rPr>
      </w:pPr>
    </w:p>
    <w:p>
      <w:pPr>
        <w:pStyle w:val="30"/>
        <w:numPr>
          <w:ilvl w:val="0"/>
          <w:numId w:val="5"/>
        </w:numPr>
        <w:spacing w:line="360" w:lineRule="auto"/>
        <w:ind w:firstLineChars="0"/>
        <w:outlineLvl w:val="1"/>
        <w:rPr>
          <w:rFonts w:hint="default" w:ascii="Times New Roman" w:hAnsi="Times New Roman" w:cs="Times New Roman"/>
          <w:b/>
          <w:sz w:val="24"/>
          <w:szCs w:val="24"/>
          <w:lang w:val="en-US"/>
        </w:rPr>
      </w:pPr>
      <w:r>
        <w:rPr>
          <w:rFonts w:hint="default" w:ascii="Times New Roman" w:hAnsi="Times New Roman" w:cs="Times New Roman"/>
          <w:b/>
          <w:sz w:val="24"/>
          <w:szCs w:val="24"/>
          <w:lang w:val="en-US" w:eastAsia="zh-CN"/>
        </w:rPr>
        <w:t>采购药剂</w:t>
      </w:r>
    </w:p>
    <w:p>
      <w:pPr>
        <w:autoSpaceDE/>
        <w:autoSpaceDN/>
        <w:adjustRightInd/>
        <w:spacing w:line="360" w:lineRule="auto"/>
        <w:ind w:firstLine="480" w:firstLineChars="200"/>
        <w:jc w:val="both"/>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1、产品名称：硫酸溶液浓度≥50%，盐酸溶液浓度≥31%</w:t>
      </w:r>
    </w:p>
    <w:p>
      <w:pPr>
        <w:autoSpaceDE/>
        <w:autoSpaceDN/>
        <w:adjustRightInd/>
        <w:spacing w:line="360" w:lineRule="auto"/>
        <w:ind w:firstLine="480" w:firstLineChars="200"/>
        <w:jc w:val="both"/>
        <w:rPr>
          <w:rFonts w:hint="default" w:ascii="Times New Roman" w:hAnsi="Times New Roman" w:eastAsia="宋体" w:cs="Times New Roman"/>
          <w:color w:val="000000"/>
          <w:kern w:val="2"/>
          <w:sz w:val="24"/>
          <w:szCs w:val="24"/>
          <w:lang w:eastAsia="zh-CN"/>
        </w:rPr>
      </w:pPr>
      <w:r>
        <w:rPr>
          <w:rFonts w:hint="default" w:ascii="Times New Roman" w:hAnsi="Times New Roman" w:cs="Times New Roman"/>
          <w:color w:val="000000"/>
          <w:kern w:val="2"/>
          <w:sz w:val="24"/>
          <w:szCs w:val="24"/>
        </w:rPr>
        <w:t>2、暂定采购数量：硫酸溶液74吨，盐酸溶液2吨。</w:t>
      </w:r>
    </w:p>
    <w:p>
      <w:pPr>
        <w:autoSpaceDE/>
        <w:autoSpaceDN/>
        <w:adjustRightInd/>
        <w:spacing w:line="360" w:lineRule="auto"/>
        <w:ind w:firstLine="482" w:firstLineChars="200"/>
        <w:jc w:val="both"/>
        <w:rPr>
          <w:rFonts w:hint="default" w:ascii="Times New Roman" w:hAnsi="Times New Roman" w:cs="Times New Roman"/>
          <w:color w:val="000000"/>
          <w:kern w:val="2"/>
          <w:sz w:val="24"/>
          <w:szCs w:val="24"/>
        </w:rPr>
      </w:pPr>
      <w:r>
        <w:rPr>
          <w:rFonts w:hint="default" w:ascii="Times New Roman" w:hAnsi="Times New Roman" w:cs="Times New Roman"/>
          <w:b/>
          <w:color w:val="000000"/>
          <w:kern w:val="2"/>
          <w:sz w:val="24"/>
          <w:szCs w:val="24"/>
        </w:rPr>
        <w:t>3、本次采购涉及采购数量为暂定，仅为便于计算暂定合同</w:t>
      </w:r>
      <w:r>
        <w:rPr>
          <w:rFonts w:hint="eastAsia" w:ascii="Times New Roman" w:cs="Times New Roman"/>
          <w:b/>
          <w:color w:val="000000"/>
          <w:kern w:val="2"/>
          <w:sz w:val="24"/>
          <w:szCs w:val="24"/>
          <w:lang w:val="en-US" w:eastAsia="zh-CN"/>
        </w:rPr>
        <w:t>总</w:t>
      </w:r>
      <w:r>
        <w:rPr>
          <w:rFonts w:hint="default" w:ascii="Times New Roman" w:hAnsi="Times New Roman" w:cs="Times New Roman"/>
          <w:b/>
          <w:color w:val="000000"/>
          <w:kern w:val="2"/>
          <w:sz w:val="24"/>
          <w:szCs w:val="24"/>
        </w:rPr>
        <w:t>价使用，不作为</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最终采购数量的保证。</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的实际需求数量以每次的供货通知为准，在供货期内</w:t>
      </w:r>
      <w:r>
        <w:rPr>
          <w:rFonts w:hint="default" w:ascii="Times New Roman" w:hAnsi="Times New Roman" w:cs="Times New Roman"/>
          <w:b/>
          <w:color w:val="000000"/>
          <w:kern w:val="2"/>
          <w:sz w:val="24"/>
          <w:szCs w:val="24"/>
          <w:lang w:eastAsia="zh-CN"/>
        </w:rPr>
        <w:t>乙方</w:t>
      </w:r>
      <w:r>
        <w:rPr>
          <w:rFonts w:hint="default" w:ascii="Times New Roman" w:hAnsi="Times New Roman" w:cs="Times New Roman"/>
          <w:b/>
          <w:color w:val="000000"/>
          <w:kern w:val="2"/>
          <w:sz w:val="24"/>
          <w:szCs w:val="24"/>
        </w:rPr>
        <w:t>不得因</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实际采购数量的减少或增加而要求提供任何形式的补偿或赔偿，或要求</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按暂定采购数量采购相应货物。</w:t>
      </w:r>
    </w:p>
    <w:p>
      <w:pPr>
        <w:autoSpaceDE/>
        <w:autoSpaceDN/>
        <w:adjustRightInd/>
        <w:spacing w:line="360" w:lineRule="auto"/>
        <w:ind w:firstLine="482" w:firstLineChars="200"/>
        <w:jc w:val="both"/>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4、主要技术指标</w:t>
      </w:r>
    </w:p>
    <w:p>
      <w:pPr>
        <w:pStyle w:val="30"/>
        <w:spacing w:line="360" w:lineRule="auto"/>
        <w:ind w:left="860" w:hanging="440" w:firstLineChars="0"/>
        <w:rPr>
          <w:rFonts w:ascii="宋体" w:hAnsi="宋体" w:eastAsia="宋体" w:cs="宋体"/>
          <w:sz w:val="24"/>
          <w:szCs w:val="24"/>
        </w:rPr>
      </w:pPr>
      <w:bookmarkStart w:id="27" w:name="_Toc7208"/>
      <w:bookmarkStart w:id="28" w:name="_Toc12795"/>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硫酸溶液</w:t>
      </w:r>
    </w:p>
    <w:p>
      <w:pPr>
        <w:pStyle w:val="30"/>
        <w:spacing w:line="360" w:lineRule="auto"/>
        <w:ind w:left="860" w:hanging="440" w:firstLineChars="0"/>
        <w:rPr>
          <w:rFonts w:ascii="宋体" w:hAnsi="宋体" w:eastAsia="宋体" w:cs="宋体"/>
          <w:sz w:val="24"/>
          <w:szCs w:val="24"/>
        </w:rPr>
      </w:pPr>
      <w:r>
        <w:rPr>
          <w:rFonts w:hint="eastAsia" w:ascii="宋体" w:hAnsi="宋体" w:eastAsia="宋体" w:cs="宋体"/>
          <w:sz w:val="24"/>
          <w:szCs w:val="24"/>
        </w:rPr>
        <w:t>1）液态硫酸产品外观为无色透明液体，无沉淀，无悬浮异物。</w:t>
      </w:r>
      <w:bookmarkEnd w:id="27"/>
      <w:bookmarkEnd w:id="28"/>
    </w:p>
    <w:p>
      <w:pPr>
        <w:pStyle w:val="30"/>
        <w:spacing w:line="360" w:lineRule="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除硫酸质量分数外硫酸必须符合《工业硫酸》（GB 534—2024）一等品产品质量及检测标准，包括下表技术指标：</w:t>
      </w:r>
    </w:p>
    <w:p>
      <w:pPr>
        <w:spacing w:line="360" w:lineRule="auto"/>
        <w:ind w:firstLine="480" w:firstLineChars="200"/>
        <w:jc w:val="center"/>
        <w:rPr>
          <w:rFonts w:ascii="宋体" w:hAnsi="宋体" w:eastAsia="宋体" w:cs="宋体"/>
          <w:szCs w:val="21"/>
        </w:rPr>
      </w:pPr>
      <w:r>
        <w:rPr>
          <w:lang w:val="en-US"/>
        </w:rPr>
        <w:drawing>
          <wp:anchor distT="0" distB="0" distL="0" distR="0" simplePos="0" relativeHeight="251661312" behindDoc="0" locked="0" layoutInCell="1" allowOverlap="1">
            <wp:simplePos x="0" y="0"/>
            <wp:positionH relativeFrom="column">
              <wp:posOffset>541655</wp:posOffset>
            </wp:positionH>
            <wp:positionV relativeFrom="paragraph">
              <wp:posOffset>377825</wp:posOffset>
            </wp:positionV>
            <wp:extent cx="4855845" cy="3045460"/>
            <wp:effectExtent l="0" t="0" r="1905" b="2540"/>
            <wp:wrapSquare wrapText="bothSides"/>
            <wp:docPr id="1108869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69852" name="Picture 1"/>
                    <pic:cNvPicPr>
                      <a:picLocks noChangeAspect="1"/>
                    </pic:cNvPicPr>
                  </pic:nvPicPr>
                  <pic:blipFill>
                    <a:blip r:embed="rId6"/>
                    <a:stretch>
                      <a:fillRect/>
                    </a:stretch>
                  </pic:blipFill>
                  <pic:spPr>
                    <a:xfrm>
                      <a:off x="0" y="0"/>
                      <a:ext cx="4855845" cy="3045460"/>
                    </a:xfrm>
                    <a:prstGeom prst="rect">
                      <a:avLst/>
                    </a:prstGeom>
                  </pic:spPr>
                </pic:pic>
              </a:graphicData>
            </a:graphic>
          </wp:anchor>
        </w:drawing>
      </w:r>
      <w:r>
        <w:rPr>
          <w:rFonts w:hint="eastAsia" w:ascii="宋体" w:hAnsi="宋体" w:eastAsia="宋体" w:cs="宋体"/>
          <w:szCs w:val="21"/>
        </w:rPr>
        <w:t>表1  硫酸主要技术指标</w:t>
      </w:r>
    </w:p>
    <w:p>
      <w:pPr>
        <w:pStyle w:val="2"/>
        <w:rPr>
          <w:highlight w:val="yellow"/>
          <w:lang w:val="en-US"/>
        </w:rPr>
      </w:pPr>
    </w:p>
    <w:p>
      <w:pPr>
        <w:pStyle w:val="2"/>
        <w:rPr>
          <w:highlight w:val="yellow"/>
          <w:lang w:val="en-US"/>
        </w:rPr>
      </w:pPr>
    </w:p>
    <w:p>
      <w:pPr>
        <w:pStyle w:val="2"/>
        <w:jc w:val="both"/>
        <w:rPr>
          <w:highlight w:val="yellow"/>
          <w:lang w:val="en-US"/>
        </w:rPr>
      </w:pPr>
    </w:p>
    <w:p>
      <w:pPr>
        <w:pStyle w:val="30"/>
        <w:spacing w:line="360" w:lineRule="auto"/>
        <w:ind w:left="840" w:firstLine="0" w:firstLineChars="0"/>
        <w:rPr>
          <w:rFonts w:hint="eastAsia" w:ascii="宋体" w:hAnsi="宋体" w:eastAsia="宋体" w:cs="宋体"/>
          <w:sz w:val="24"/>
          <w:szCs w:val="24"/>
        </w:rPr>
      </w:pPr>
    </w:p>
    <w:p>
      <w:pPr>
        <w:pStyle w:val="30"/>
        <w:spacing w:line="360" w:lineRule="auto"/>
        <w:ind w:left="840" w:firstLine="0" w:firstLineChars="0"/>
        <w:rPr>
          <w:rFonts w:hint="eastAsia" w:ascii="宋体" w:hAnsi="宋体" w:eastAsia="宋体" w:cs="宋体"/>
          <w:sz w:val="24"/>
          <w:szCs w:val="24"/>
        </w:rPr>
      </w:pPr>
    </w:p>
    <w:p>
      <w:pPr>
        <w:pStyle w:val="30"/>
        <w:spacing w:line="360" w:lineRule="auto"/>
        <w:ind w:left="840" w:firstLine="0" w:firstLineChars="0"/>
        <w:rPr>
          <w:rFonts w:hint="eastAsia" w:ascii="宋体" w:hAnsi="宋体" w:eastAsia="宋体" w:cs="宋体"/>
          <w:sz w:val="24"/>
          <w:szCs w:val="24"/>
        </w:rPr>
      </w:pPr>
    </w:p>
    <w:p>
      <w:pPr>
        <w:pStyle w:val="30"/>
        <w:spacing w:line="360" w:lineRule="auto"/>
        <w:ind w:left="840" w:firstLine="0" w:firstLineChars="0"/>
        <w:rPr>
          <w:rFonts w:hint="eastAsia" w:ascii="宋体" w:hAnsi="宋体" w:eastAsia="宋体" w:cs="宋体"/>
          <w:sz w:val="24"/>
          <w:szCs w:val="24"/>
        </w:rPr>
      </w:pPr>
    </w:p>
    <w:p>
      <w:pPr>
        <w:pStyle w:val="30"/>
        <w:spacing w:line="360" w:lineRule="auto"/>
        <w:ind w:left="840" w:firstLine="0" w:firstLineChars="0"/>
        <w:rPr>
          <w:rFonts w:hint="eastAsia" w:ascii="宋体" w:hAnsi="宋体" w:eastAsia="宋体" w:cs="宋体"/>
          <w:sz w:val="24"/>
          <w:szCs w:val="24"/>
        </w:rPr>
      </w:pPr>
    </w:p>
    <w:p>
      <w:pPr>
        <w:pStyle w:val="30"/>
        <w:spacing w:line="360" w:lineRule="auto"/>
        <w:ind w:left="840" w:firstLine="0" w:firstLineChars="0"/>
        <w:rPr>
          <w:rFonts w:ascii="宋体" w:hAnsi="宋体" w:eastAsia="宋体" w:cs="宋体"/>
          <w:szCs w:val="21"/>
        </w:rPr>
      </w:pPr>
      <w:r>
        <w:rPr>
          <w:rFonts w:hint="eastAsia" w:ascii="宋体" w:hAnsi="宋体" w:eastAsia="宋体" w:cs="宋体"/>
          <w:sz w:val="24"/>
          <w:szCs w:val="24"/>
        </w:rPr>
        <w:t>备注：所供货物浓度按50%，其它技术参数按上表执行。</w:t>
      </w:r>
    </w:p>
    <w:p>
      <w:pPr>
        <w:pStyle w:val="30"/>
        <w:spacing w:line="360" w:lineRule="auto"/>
        <w:ind w:left="840" w:firstLine="0" w:firstLineChars="0"/>
        <w:rPr>
          <w:rFonts w:ascii="宋体" w:hAnsi="宋体" w:eastAsia="宋体" w:cs="宋体"/>
          <w:sz w:val="24"/>
          <w:szCs w:val="24"/>
        </w:rPr>
      </w:pPr>
      <w:r>
        <w:rPr>
          <w:rFonts w:hint="eastAsia" w:ascii="宋体" w:hAnsi="宋体" w:eastAsia="宋体" w:cs="宋体"/>
          <w:sz w:val="24"/>
          <w:szCs w:val="24"/>
        </w:rPr>
        <w:t>（2）盐酸溶液</w:t>
      </w:r>
    </w:p>
    <w:p>
      <w:pPr>
        <w:spacing w:line="360" w:lineRule="auto"/>
        <w:ind w:firstLine="1024" w:firstLineChars="427"/>
        <w:rPr>
          <w:rFonts w:ascii="宋体" w:hAnsi="宋体" w:eastAsia="宋体" w:cs="宋体"/>
          <w:szCs w:val="21"/>
        </w:rPr>
      </w:pPr>
      <w:r>
        <w:rPr>
          <w:rFonts w:hint="eastAsia" w:ascii="宋体" w:hAnsi="宋体" w:eastAsia="宋体" w:cs="宋体"/>
          <w:szCs w:val="21"/>
        </w:rPr>
        <w:t>产品必须符合《工业用合成盐酸》（GB/T 320-2025）产品质量及检测标准，其中主要技术指标要求如下：</w:t>
      </w:r>
    </w:p>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表</w:t>
      </w:r>
      <w:r>
        <w:rPr>
          <w:rFonts w:hint="eastAsia" w:hAnsi="宋体" w:cs="宋体"/>
          <w:szCs w:val="21"/>
          <w:lang w:val="en-US" w:eastAsia="zh-CN"/>
        </w:rPr>
        <w:t>2</w:t>
      </w:r>
      <w:r>
        <w:rPr>
          <w:rFonts w:hint="eastAsia" w:ascii="宋体" w:hAnsi="宋体" w:eastAsia="宋体" w:cs="宋体"/>
          <w:szCs w:val="21"/>
        </w:rPr>
        <w:t xml:space="preserve">  盐酸主要技术指标</w:t>
      </w:r>
    </w:p>
    <w:tbl>
      <w:tblPr>
        <w:tblStyle w:val="24"/>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7"/>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647" w:type="dxa"/>
            <w:vAlign w:val="center"/>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指标项目</w:t>
            </w:r>
          </w:p>
        </w:tc>
        <w:tc>
          <w:tcPr>
            <w:tcW w:w="4013" w:type="dxa"/>
            <w:vAlign w:val="center"/>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总酸度（以HCl计），%≥</w:t>
            </w:r>
          </w:p>
        </w:tc>
        <w:tc>
          <w:tcPr>
            <w:tcW w:w="4013" w:type="dxa"/>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铁（以Fe计），% ≤</w:t>
            </w:r>
          </w:p>
        </w:tc>
        <w:tc>
          <w:tcPr>
            <w:tcW w:w="4013" w:type="dxa"/>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灼烧残渣，% ≤</w:t>
            </w:r>
          </w:p>
        </w:tc>
        <w:tc>
          <w:tcPr>
            <w:tcW w:w="4013" w:type="dxa"/>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游离氯（以Cl计），% ≤</w:t>
            </w:r>
          </w:p>
        </w:tc>
        <w:tc>
          <w:tcPr>
            <w:tcW w:w="4013" w:type="dxa"/>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硫酸盐（以SO</w:t>
            </w:r>
            <w:r>
              <w:rPr>
                <w:rFonts w:hint="eastAsia" w:ascii="宋体" w:hAnsi="宋体" w:eastAsia="宋体" w:cs="宋体"/>
                <w:szCs w:val="21"/>
                <w:vertAlign w:val="subscript"/>
              </w:rPr>
              <w:t>4</w:t>
            </w:r>
            <w:r>
              <w:rPr>
                <w:rFonts w:hint="eastAsia" w:ascii="宋体" w:hAnsi="宋体" w:eastAsia="宋体" w:cs="宋体"/>
                <w:szCs w:val="21"/>
                <w:vertAlign w:val="superscript"/>
              </w:rPr>
              <w:t>2-</w:t>
            </w:r>
            <w:r>
              <w:rPr>
                <w:rFonts w:hint="eastAsia" w:ascii="宋体" w:hAnsi="宋体" w:eastAsia="宋体" w:cs="宋体"/>
                <w:szCs w:val="21"/>
              </w:rPr>
              <w:t>计），% ≤</w:t>
            </w:r>
          </w:p>
        </w:tc>
        <w:tc>
          <w:tcPr>
            <w:tcW w:w="4013" w:type="dxa"/>
          </w:tcPr>
          <w:p>
            <w:pPr>
              <w:spacing w:line="360" w:lineRule="auto"/>
              <w:ind w:firstLine="314" w:firstLineChars="131"/>
              <w:jc w:val="center"/>
              <w:rPr>
                <w:rFonts w:ascii="宋体" w:hAnsi="宋体" w:eastAsia="宋体" w:cs="宋体"/>
                <w:szCs w:val="21"/>
              </w:rPr>
            </w:pPr>
            <w:r>
              <w:rPr>
                <w:rFonts w:hint="eastAsia" w:ascii="宋体" w:hAnsi="宋体" w:eastAsia="宋体" w:cs="宋体"/>
                <w:szCs w:val="21"/>
              </w:rPr>
              <w:t>0.03</w:t>
            </w:r>
          </w:p>
        </w:tc>
      </w:tr>
    </w:tbl>
    <w:p>
      <w:pPr>
        <w:autoSpaceDE/>
        <w:autoSpaceDN/>
        <w:adjustRightInd/>
        <w:spacing w:line="360" w:lineRule="auto"/>
        <w:ind w:firstLine="480" w:firstLineChars="200"/>
        <w:rPr>
          <w:rFonts w:hint="eastAsia" w:ascii="Times New Roman"/>
          <w:sz w:val="24"/>
          <w:szCs w:val="24"/>
        </w:rPr>
      </w:pPr>
      <w:r>
        <w:rPr>
          <w:rFonts w:hint="eastAsia" w:ascii="宋体" w:hAnsi="宋体" w:eastAsia="宋体" w:cs="宋体"/>
          <w:szCs w:val="21"/>
        </w:rPr>
        <w:t>备注：供货单位在供货时，需注明所供盐酸型号规格、总酸度的质量分数。</w:t>
      </w:r>
    </w:p>
    <w:p>
      <w:pPr>
        <w:spacing w:line="360" w:lineRule="auto"/>
        <w:ind w:firstLine="480" w:firstLineChars="200"/>
        <w:rPr>
          <w:rFonts w:ascii="Times New Roman"/>
          <w:sz w:val="24"/>
          <w:szCs w:val="24"/>
        </w:rPr>
      </w:pPr>
      <w:r>
        <w:rPr>
          <w:rFonts w:hint="eastAsia" w:ascii="Times New Roman"/>
          <w:sz w:val="24"/>
          <w:szCs w:val="24"/>
        </w:rPr>
        <w:t>（3）供货期间，如有发布最新的行业标准或国家标准，</w:t>
      </w:r>
      <w:r>
        <w:rPr>
          <w:rFonts w:hint="eastAsia" w:ascii="Times New Roman"/>
          <w:sz w:val="24"/>
          <w:szCs w:val="24"/>
          <w:lang w:eastAsia="zh-CN"/>
        </w:rPr>
        <w:t>甲方</w:t>
      </w:r>
      <w:r>
        <w:rPr>
          <w:rFonts w:hint="eastAsia" w:ascii="Times New Roman"/>
          <w:sz w:val="24"/>
          <w:szCs w:val="24"/>
        </w:rPr>
        <w:t>有权根据有关行业标准或国家标准对合同的主要技术指标进行变更调整，</w:t>
      </w:r>
      <w:r>
        <w:rPr>
          <w:rFonts w:hint="eastAsia" w:ascii="Times New Roman"/>
          <w:sz w:val="24"/>
          <w:szCs w:val="24"/>
          <w:lang w:eastAsia="zh-CN"/>
        </w:rPr>
        <w:t>乙方</w:t>
      </w:r>
      <w:r>
        <w:rPr>
          <w:rFonts w:hint="eastAsia" w:ascii="Times New Roman"/>
          <w:sz w:val="24"/>
          <w:szCs w:val="24"/>
        </w:rPr>
        <w:t>应无条件接受。</w:t>
      </w:r>
    </w:p>
    <w:p>
      <w:pPr>
        <w:autoSpaceDE w:val="0"/>
        <w:autoSpaceDN w:val="0"/>
        <w:adjustRightInd w:val="0"/>
        <w:spacing w:line="360" w:lineRule="auto"/>
        <w:ind w:firstLine="480"/>
        <w:rPr>
          <w:rFonts w:ascii="Times New Roman"/>
          <w:sz w:val="24"/>
          <w:szCs w:val="24"/>
          <w:lang w:val="zh-CN"/>
        </w:rPr>
      </w:pPr>
      <w:r>
        <w:rPr>
          <w:rFonts w:hint="eastAsia" w:ascii="Times New Roman"/>
          <w:sz w:val="24"/>
          <w:szCs w:val="24"/>
          <w:lang w:val="zh-CN"/>
        </w:rPr>
        <w:t>（4）乙方所供产品的真实质量，必须满足本</w:t>
      </w:r>
      <w:r>
        <w:rPr>
          <w:rFonts w:hint="eastAsia" w:ascii="Times New Roman"/>
          <w:sz w:val="24"/>
          <w:szCs w:val="24"/>
          <w:lang w:val="en-US" w:eastAsia="zh-CN"/>
        </w:rPr>
        <w:t>合同</w:t>
      </w:r>
      <w:r>
        <w:rPr>
          <w:rFonts w:hint="eastAsia" w:ascii="Times New Roman"/>
          <w:sz w:val="24"/>
          <w:szCs w:val="24"/>
          <w:lang w:val="zh-CN"/>
        </w:rPr>
        <w:t>的所有技术指标。</w:t>
      </w:r>
    </w:p>
    <w:p>
      <w:pPr>
        <w:autoSpaceDE w:val="0"/>
        <w:autoSpaceDN w:val="0"/>
        <w:adjustRightInd w:val="0"/>
        <w:spacing w:line="360" w:lineRule="auto"/>
        <w:ind w:firstLine="480"/>
        <w:rPr>
          <w:rFonts w:hint="eastAsia" w:ascii="Times New Roman"/>
          <w:sz w:val="24"/>
          <w:szCs w:val="24"/>
          <w:lang w:val="zh-CN"/>
        </w:rPr>
      </w:pPr>
      <w:r>
        <w:rPr>
          <w:rFonts w:hint="eastAsia" w:ascii="Times New Roman"/>
          <w:sz w:val="24"/>
          <w:szCs w:val="24"/>
          <w:lang w:val="zh-CN"/>
        </w:rPr>
        <w:t>（</w:t>
      </w:r>
      <w:r>
        <w:rPr>
          <w:rFonts w:hint="eastAsia" w:ascii="Times New Roman"/>
          <w:sz w:val="24"/>
          <w:szCs w:val="24"/>
        </w:rPr>
        <w:t>5</w:t>
      </w:r>
      <w:r>
        <w:rPr>
          <w:rFonts w:hint="eastAsia" w:ascii="Times New Roman"/>
          <w:sz w:val="24"/>
          <w:szCs w:val="24"/>
          <w:lang w:val="zh-CN"/>
        </w:rPr>
        <w:t>）乙方须根据甲方的情况，提供满足</w:t>
      </w:r>
      <w:r>
        <w:rPr>
          <w:rFonts w:hint="eastAsia" w:ascii="Times New Roman"/>
          <w:sz w:val="24"/>
          <w:szCs w:val="24"/>
        </w:rPr>
        <w:t>厂区</w:t>
      </w:r>
      <w:r>
        <w:rPr>
          <w:rFonts w:hint="eastAsia" w:ascii="Times New Roman"/>
          <w:sz w:val="24"/>
          <w:szCs w:val="24"/>
          <w:lang w:val="zh-CN"/>
        </w:rPr>
        <w:t>正常生产运营的产品。</w:t>
      </w:r>
    </w:p>
    <w:p>
      <w:pPr>
        <w:pStyle w:val="59"/>
        <w:rPr>
          <w:rFonts w:hint="default"/>
          <w:lang w:val="en-US" w:eastAsia="zh-CN"/>
        </w:rPr>
      </w:pPr>
    </w:p>
    <w:p>
      <w:pPr>
        <w:pStyle w:val="30"/>
        <w:numPr>
          <w:ilvl w:val="0"/>
          <w:numId w:val="5"/>
        </w:numPr>
        <w:spacing w:line="360" w:lineRule="auto"/>
        <w:ind w:firstLineChars="0"/>
        <w:outlineLvl w:val="1"/>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交货要求</w:t>
      </w:r>
    </w:p>
    <w:p>
      <w:pPr>
        <w:pStyle w:val="30"/>
        <w:numPr>
          <w:ilvl w:val="0"/>
          <w:numId w:val="0"/>
        </w:numPr>
        <w:ind w:firstLine="400" w:firstLineChars="0"/>
        <w:rPr>
          <w:rFonts w:hint="eastAsia" w:ascii="Times New Roman" w:cs="Times New Roman"/>
          <w:color w:val="auto"/>
          <w:kern w:val="2"/>
          <w:sz w:val="24"/>
          <w:szCs w:val="24"/>
          <w:lang w:val="en-US" w:eastAsia="zh-CN"/>
        </w:rPr>
      </w:pPr>
      <w:r>
        <w:rPr>
          <w:rFonts w:hint="eastAsia" w:ascii="Times New Roman" w:cs="Times New Roman"/>
          <w:color w:val="auto"/>
          <w:kern w:val="2"/>
          <w:sz w:val="24"/>
          <w:szCs w:val="24"/>
          <w:highlight w:val="none"/>
          <w:lang w:val="en-US" w:eastAsia="zh-CN"/>
        </w:rPr>
        <w:t>1、</w:t>
      </w:r>
      <w:r>
        <w:rPr>
          <w:rFonts w:hint="eastAsia" w:ascii="Times New Roman"/>
          <w:color w:val="auto"/>
          <w:sz w:val="24"/>
          <w:szCs w:val="24"/>
        </w:rPr>
        <w:t>服务期：</w:t>
      </w:r>
      <w:r>
        <w:rPr>
          <w:rFonts w:hint="eastAsia" w:ascii="Times New Roman" w:hAnsi="Calibri" w:eastAsia="宋体" w:cs="Times New Roman"/>
          <w:color w:val="auto"/>
          <w:sz w:val="24"/>
          <w:szCs w:val="24"/>
        </w:rPr>
        <w:t>供货期从合同签订之日至2026年12月31日，</w:t>
      </w:r>
      <w:r>
        <w:rPr>
          <w:rFonts w:hint="eastAsia" w:ascii="Times New Roman"/>
          <w:color w:val="auto"/>
          <w:sz w:val="24"/>
          <w:szCs w:val="24"/>
        </w:rPr>
        <w:t>具体供货日期以</w:t>
      </w:r>
      <w:r>
        <w:rPr>
          <w:rFonts w:hint="eastAsia" w:ascii="Times New Roman"/>
          <w:color w:val="auto"/>
          <w:sz w:val="24"/>
          <w:szCs w:val="24"/>
          <w:lang w:val="en-US" w:eastAsia="zh-CN"/>
        </w:rPr>
        <w:t>甲方</w:t>
      </w:r>
      <w:r>
        <w:rPr>
          <w:rFonts w:hint="eastAsia" w:ascii="Times New Roman"/>
          <w:color w:val="auto"/>
          <w:sz w:val="24"/>
          <w:szCs w:val="24"/>
        </w:rPr>
        <w:t>书面通知为准</w:t>
      </w:r>
      <w:r>
        <w:rPr>
          <w:rFonts w:hint="eastAsia" w:ascii="Times New Roman"/>
          <w:color w:val="auto"/>
          <w:sz w:val="24"/>
          <w:szCs w:val="24"/>
          <w:lang w:eastAsia="zh-CN"/>
        </w:rPr>
        <w:t>，</w:t>
      </w:r>
      <w:r>
        <w:rPr>
          <w:rFonts w:hint="eastAsia" w:ascii="Times New Roman"/>
          <w:color w:val="auto"/>
          <w:sz w:val="24"/>
          <w:szCs w:val="24"/>
          <w:lang w:val="en-US" w:eastAsia="zh-CN"/>
        </w:rPr>
        <w:t>乙方</w:t>
      </w:r>
      <w:r>
        <w:rPr>
          <w:rFonts w:hint="eastAsia" w:ascii="Times New Roman"/>
          <w:color w:val="auto"/>
          <w:sz w:val="24"/>
          <w:szCs w:val="24"/>
          <w:lang w:eastAsia="zh-CN"/>
        </w:rPr>
        <w:t>收到甲方通知后必须无条件按照</w:t>
      </w:r>
      <w:r>
        <w:rPr>
          <w:rFonts w:hint="eastAsia" w:ascii="Times New Roman"/>
          <w:color w:val="auto"/>
          <w:sz w:val="24"/>
          <w:szCs w:val="24"/>
          <w:lang w:val="en-US" w:eastAsia="zh-CN"/>
        </w:rPr>
        <w:t>甲方</w:t>
      </w:r>
      <w:r>
        <w:rPr>
          <w:rFonts w:hint="eastAsia" w:ascii="Times New Roman"/>
          <w:color w:val="auto"/>
          <w:sz w:val="24"/>
          <w:szCs w:val="24"/>
          <w:lang w:eastAsia="zh-CN"/>
        </w:rPr>
        <w:t>的要求开始供货</w:t>
      </w:r>
      <w:r>
        <w:rPr>
          <w:rFonts w:hint="eastAsia" w:ascii="Times New Roman"/>
          <w:color w:val="auto"/>
          <w:sz w:val="24"/>
          <w:szCs w:val="24"/>
        </w:rPr>
        <w:t>。</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rPr>
      </w:pPr>
      <w:r>
        <w:rPr>
          <w:rFonts w:hint="eastAsia" w:ascii="Times New Roman" w:cs="Times New Roman"/>
          <w:color w:val="auto"/>
          <w:kern w:val="2"/>
          <w:sz w:val="24"/>
          <w:szCs w:val="24"/>
          <w:highlight w:val="none"/>
          <w:lang w:val="en-US" w:eastAsia="zh-CN"/>
        </w:rPr>
        <w:t>2</w:t>
      </w:r>
      <w:r>
        <w:rPr>
          <w:rFonts w:hint="default" w:ascii="Times New Roman" w:hAnsi="Times New Roman" w:eastAsia="宋体" w:cs="Times New Roman"/>
          <w:color w:val="auto"/>
          <w:kern w:val="2"/>
          <w:sz w:val="24"/>
          <w:szCs w:val="24"/>
          <w:highlight w:val="none"/>
          <w:lang w:val="en-US" w:eastAsia="zh-CN"/>
        </w:rPr>
        <w:t>、交货地点：</w:t>
      </w:r>
      <w:r>
        <w:rPr>
          <w:rFonts w:hint="eastAsia" w:ascii="宋体" w:hAnsi="宋体" w:eastAsia="宋体" w:cs="宋体"/>
          <w:szCs w:val="21"/>
        </w:rPr>
        <w:t>东莞市污泥集中处理处置项目现场（广东省东莞市沙田镇立沙中路76</w:t>
      </w:r>
      <w:r>
        <w:rPr>
          <w:rFonts w:hint="default" w:ascii="宋体" w:hAnsi="宋体" w:eastAsia="宋体" w:cs="宋体"/>
          <w:color w:val="000000"/>
          <w:szCs w:val="24"/>
        </w:rPr>
        <w:t>号）</w:t>
      </w:r>
      <w:r>
        <w:rPr>
          <w:rFonts w:hint="default" w:ascii="宋体" w:hAnsi="宋体" w:eastAsia="宋体" w:cs="宋体"/>
          <w:color w:val="000000"/>
          <w:kern w:val="0"/>
          <w:sz w:val="24"/>
          <w:szCs w:val="24"/>
          <w:lang w:val="en-US" w:eastAsia="zh-CN"/>
        </w:rPr>
        <w:t>。</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rPr>
      </w:pPr>
      <w:r>
        <w:rPr>
          <w:rFonts w:hint="default" w:ascii="宋体" w:hAnsi="宋体" w:cs="宋体"/>
          <w:color w:val="000000"/>
          <w:kern w:val="0"/>
          <w:sz w:val="24"/>
          <w:szCs w:val="24"/>
          <w:lang w:val="en-US" w:eastAsia="zh-CN"/>
        </w:rPr>
        <w:t>3</w:t>
      </w:r>
      <w:r>
        <w:rPr>
          <w:rFonts w:hint="default" w:ascii="宋体" w:hAnsi="宋体" w:eastAsia="宋体" w:cs="宋体"/>
          <w:color w:val="000000"/>
          <w:kern w:val="0"/>
          <w:sz w:val="24"/>
          <w:szCs w:val="24"/>
          <w:lang w:val="en-US" w:eastAsia="zh-CN"/>
        </w:rPr>
        <w:t>、交货时间：日常供货（非加急供货)为接到供货通知</w:t>
      </w:r>
      <w:r>
        <w:rPr>
          <w:rFonts w:hint="default" w:ascii="宋体" w:hAnsi="宋体" w:cs="宋体"/>
          <w:color w:val="000000"/>
          <w:kern w:val="0"/>
          <w:sz w:val="24"/>
          <w:szCs w:val="24"/>
          <w:lang w:val="en-US" w:eastAsia="zh-CN"/>
        </w:rPr>
        <w:t>72</w:t>
      </w:r>
      <w:r>
        <w:rPr>
          <w:rFonts w:hint="default" w:ascii="宋体" w:hAnsi="宋体" w:eastAsia="宋体" w:cs="宋体"/>
          <w:color w:val="000000"/>
          <w:kern w:val="0"/>
          <w:sz w:val="24"/>
          <w:szCs w:val="24"/>
          <w:lang w:val="en-US" w:eastAsia="zh-CN"/>
        </w:rPr>
        <w:t>小时内，加急供货为接到供货通知</w:t>
      </w:r>
      <w:r>
        <w:rPr>
          <w:rFonts w:hint="default" w:ascii="宋体" w:hAnsi="宋体" w:cs="宋体"/>
          <w:color w:val="000000"/>
          <w:kern w:val="0"/>
          <w:sz w:val="24"/>
          <w:szCs w:val="24"/>
          <w:lang w:val="en-US" w:eastAsia="zh-CN"/>
        </w:rPr>
        <w:t>24</w:t>
      </w:r>
      <w:r>
        <w:rPr>
          <w:rFonts w:hint="default" w:ascii="宋体" w:hAnsi="宋体" w:eastAsia="宋体" w:cs="宋体"/>
          <w:color w:val="000000"/>
          <w:kern w:val="0"/>
          <w:sz w:val="24"/>
          <w:szCs w:val="24"/>
          <w:lang w:val="en-US" w:eastAsia="zh-CN"/>
        </w:rPr>
        <w:t>小时内，具体交货时间以甲方供货通知为准。甲方无需因加急供货而额外支付任何费用。</w:t>
      </w:r>
    </w:p>
    <w:p>
      <w:pPr>
        <w:spacing w:line="360" w:lineRule="auto"/>
        <w:ind w:firstLine="480" w:firstLineChars="200"/>
        <w:rPr>
          <w:rFonts w:hint="default" w:hAnsi="宋体" w:cs="宋体"/>
          <w:color w:val="000000"/>
          <w:lang w:val="en-US" w:eastAsia="zh-CN"/>
        </w:rPr>
      </w:pPr>
      <w:r>
        <w:rPr>
          <w:rFonts w:hint="eastAsia" w:hAnsi="宋体" w:cs="宋体"/>
          <w:color w:val="000000"/>
          <w:lang w:val="en-US" w:eastAsia="zh-CN"/>
        </w:rPr>
        <w:t>4</w:t>
      </w:r>
      <w:r>
        <w:rPr>
          <w:rFonts w:hint="default" w:hAnsi="宋体" w:cs="宋体"/>
          <w:color w:val="000000"/>
          <w:lang w:val="en-US" w:eastAsia="zh-CN"/>
        </w:rPr>
        <w:t>、产品运输、装卸的要求：可以用槽罐车或桶装运输，具体运输方式以实际供货通知确认为准。</w:t>
      </w:r>
    </w:p>
    <w:p>
      <w:pPr>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5</w:t>
      </w:r>
      <w:r>
        <w:rPr>
          <w:rFonts w:hAnsi="宋体" w:cs="宋体"/>
          <w:color w:val="000000"/>
          <w:sz w:val="24"/>
          <w:szCs w:val="24"/>
        </w:rPr>
        <w:t>、</w:t>
      </w:r>
      <w:r>
        <w:rPr>
          <w:rFonts w:hint="default" w:hAnsi="宋体" w:cs="宋体"/>
          <w:color w:val="000000"/>
          <w:sz w:val="24"/>
          <w:szCs w:val="24"/>
          <w:lang w:eastAsia="zh-CN"/>
        </w:rPr>
        <w:t>乙方</w:t>
      </w:r>
      <w:r>
        <w:rPr>
          <w:rFonts w:hAnsi="宋体" w:cs="宋体"/>
          <w:color w:val="000000"/>
          <w:sz w:val="24"/>
          <w:szCs w:val="24"/>
        </w:rPr>
        <w:t>自行负责将生产药剂运送至</w:t>
      </w:r>
      <w:r>
        <w:rPr>
          <w:rFonts w:hint="eastAsia" w:hAnsi="宋体" w:cs="宋体"/>
          <w:color w:val="000000"/>
          <w:sz w:val="24"/>
          <w:szCs w:val="24"/>
          <w:lang w:eastAsia="zh-CN"/>
        </w:rPr>
        <w:t>甲方</w:t>
      </w:r>
      <w:r>
        <w:rPr>
          <w:rFonts w:hAnsi="宋体" w:cs="宋体"/>
          <w:color w:val="000000"/>
          <w:sz w:val="24"/>
          <w:szCs w:val="24"/>
        </w:rPr>
        <w:t>指定位置（生产药剂储存罐），未经</w:t>
      </w:r>
      <w:r>
        <w:rPr>
          <w:rFonts w:hint="eastAsia" w:hAnsi="宋体" w:cs="宋体"/>
          <w:color w:val="000000"/>
          <w:sz w:val="24"/>
          <w:szCs w:val="24"/>
          <w:lang w:eastAsia="zh-CN"/>
        </w:rPr>
        <w:t>甲方</w:t>
      </w:r>
      <w:r>
        <w:rPr>
          <w:rFonts w:hAnsi="宋体" w:cs="宋体"/>
          <w:color w:val="000000"/>
          <w:sz w:val="24"/>
          <w:szCs w:val="24"/>
        </w:rPr>
        <w:t>书面同意，</w:t>
      </w:r>
      <w:r>
        <w:rPr>
          <w:rFonts w:hint="eastAsia" w:hAnsi="宋体" w:cs="宋体"/>
          <w:color w:val="000000"/>
          <w:sz w:val="24"/>
          <w:szCs w:val="24"/>
          <w:lang w:eastAsia="zh-CN"/>
        </w:rPr>
        <w:t>乙方</w:t>
      </w:r>
      <w:r>
        <w:rPr>
          <w:rFonts w:hAnsi="宋体" w:cs="宋体"/>
          <w:color w:val="000000"/>
          <w:sz w:val="24"/>
          <w:szCs w:val="24"/>
        </w:rPr>
        <w:t>不得私自将本合同项下的货物运输义务委托第三方个人或企业。</w:t>
      </w:r>
      <w:r>
        <w:rPr>
          <w:rFonts w:hint="eastAsia" w:hAnsi="宋体" w:cs="宋体"/>
          <w:color w:val="000000"/>
          <w:sz w:val="24"/>
          <w:szCs w:val="24"/>
          <w:lang w:eastAsia="zh-CN"/>
        </w:rPr>
        <w:t>乙方</w:t>
      </w:r>
      <w:r>
        <w:rPr>
          <w:rFonts w:hAnsi="宋体" w:cs="宋体"/>
          <w:color w:val="000000"/>
          <w:sz w:val="24"/>
          <w:szCs w:val="24"/>
        </w:rPr>
        <w:t>承担相应的运输、装卸、二次搬运等费用，运输人员应配备足够防护器具。如在运输及装卸过程中，生产药剂发生泄</w:t>
      </w:r>
      <w:r>
        <w:rPr>
          <w:rFonts w:hint="eastAsia" w:hAnsi="宋体" w:cs="宋体"/>
          <w:color w:val="000000"/>
          <w:sz w:val="24"/>
          <w:szCs w:val="24"/>
        </w:rPr>
        <w:t>漏</w:t>
      </w:r>
      <w:r>
        <w:rPr>
          <w:rFonts w:hAnsi="宋体" w:cs="宋体"/>
          <w:color w:val="000000"/>
          <w:sz w:val="24"/>
          <w:szCs w:val="24"/>
        </w:rPr>
        <w:t>，应由</w:t>
      </w:r>
      <w:r>
        <w:rPr>
          <w:rFonts w:hint="eastAsia" w:hAnsi="宋体" w:cs="宋体"/>
          <w:color w:val="000000"/>
          <w:sz w:val="24"/>
          <w:szCs w:val="24"/>
          <w:lang w:eastAsia="zh-CN"/>
        </w:rPr>
        <w:t>乙方</w:t>
      </w:r>
      <w:r>
        <w:rPr>
          <w:rFonts w:hAnsi="宋体" w:cs="宋体"/>
          <w:color w:val="000000"/>
          <w:sz w:val="24"/>
          <w:szCs w:val="24"/>
        </w:rPr>
        <w:t>负责清理收集，避免造成人员伤害或环境污染。</w:t>
      </w:r>
      <w:r>
        <w:rPr>
          <w:rFonts w:hint="eastAsia" w:hAnsi="宋体" w:cs="宋体"/>
          <w:color w:val="000000"/>
          <w:sz w:val="24"/>
          <w:szCs w:val="24"/>
        </w:rPr>
        <w:t>本项目厂内硫酸溶液设置2个5m3储罐、盐酸药剂设置1个2m³的储罐，用于储存该药剂。</w:t>
      </w:r>
    </w:p>
    <w:p>
      <w:pPr>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6</w:t>
      </w:r>
      <w:r>
        <w:rPr>
          <w:rFonts w:hAnsi="宋体" w:cs="宋体"/>
          <w:color w:val="000000"/>
          <w:sz w:val="24"/>
          <w:szCs w:val="24"/>
        </w:rPr>
        <w:t>、</w:t>
      </w:r>
      <w:r>
        <w:rPr>
          <w:rFonts w:hint="eastAsia" w:hAnsi="宋体" w:cs="宋体"/>
          <w:color w:val="000000"/>
          <w:sz w:val="24"/>
          <w:szCs w:val="24"/>
        </w:rPr>
        <w:t>每次送货到交货地方和卸货离开后，须经过污泥项目厂内的电子地磅进行称重，实际供货数量以污泥项目电子地磅出具的称重单为准。</w:t>
      </w:r>
    </w:p>
    <w:p>
      <w:pPr>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7</w:t>
      </w:r>
      <w:r>
        <w:rPr>
          <w:rFonts w:hint="eastAsia" w:hAnsi="宋体" w:cs="宋体"/>
          <w:color w:val="000000"/>
          <w:sz w:val="24"/>
          <w:szCs w:val="24"/>
        </w:rPr>
        <w:t>、每次送货，</w:t>
      </w:r>
      <w:r>
        <w:rPr>
          <w:rFonts w:hint="eastAsia" w:hAnsi="宋体" w:cs="宋体"/>
          <w:color w:val="000000"/>
          <w:sz w:val="24"/>
          <w:szCs w:val="24"/>
          <w:lang w:eastAsia="zh-CN"/>
        </w:rPr>
        <w:t>乙方</w:t>
      </w:r>
      <w:r>
        <w:rPr>
          <w:rFonts w:hint="eastAsia" w:hAnsi="宋体" w:cs="宋体"/>
          <w:color w:val="000000"/>
          <w:sz w:val="24"/>
          <w:szCs w:val="24"/>
        </w:rPr>
        <w:t>须随货提供生产厂家出具的具有</w:t>
      </w:r>
      <w:r>
        <w:rPr>
          <w:rFonts w:hint="eastAsia" w:hAnsi="宋体" w:cs="宋体"/>
          <w:b/>
          <w:bCs/>
          <w:color w:val="000000"/>
          <w:sz w:val="24"/>
          <w:szCs w:val="24"/>
        </w:rPr>
        <w:t>生产厂家、产品名称、规格型号、出厂批号、</w:t>
      </w:r>
      <w:r>
        <w:rPr>
          <w:rFonts w:hint="eastAsia" w:hAnsi="宋体" w:cs="宋体"/>
          <w:b/>
          <w:bCs/>
          <w:color w:val="000000"/>
          <w:sz w:val="24"/>
          <w:szCs w:val="24"/>
          <w:lang w:val="en-US" w:eastAsia="zh-CN"/>
        </w:rPr>
        <w:t>药剂质量</w:t>
      </w:r>
      <w:r>
        <w:rPr>
          <w:rFonts w:hint="eastAsia" w:hAnsi="宋体" w:cs="宋体"/>
          <w:b/>
          <w:bCs/>
          <w:color w:val="000000"/>
          <w:sz w:val="24"/>
          <w:szCs w:val="24"/>
        </w:rPr>
        <w:t>含量、执行标准</w:t>
      </w:r>
      <w:r>
        <w:rPr>
          <w:rFonts w:hint="eastAsia" w:hAnsi="宋体" w:cs="宋体"/>
          <w:color w:val="000000"/>
          <w:sz w:val="24"/>
          <w:szCs w:val="24"/>
        </w:rPr>
        <w:t>等主要信息的产品质量检验报告（如出厂检验报告、质量检验报告等）、供货单据等资料，</w:t>
      </w:r>
      <w:r>
        <w:rPr>
          <w:rFonts w:hint="eastAsia" w:hAnsi="宋体" w:cs="宋体"/>
          <w:color w:val="000000"/>
          <w:sz w:val="24"/>
          <w:szCs w:val="24"/>
          <w:lang w:eastAsia="zh-CN"/>
        </w:rPr>
        <w:t>乙方</w:t>
      </w:r>
      <w:r>
        <w:rPr>
          <w:rFonts w:hint="eastAsia" w:hAnsi="宋体" w:cs="宋体"/>
          <w:color w:val="000000"/>
          <w:sz w:val="24"/>
          <w:szCs w:val="24"/>
        </w:rPr>
        <w:t>提供的检验报告只作为</w:t>
      </w:r>
      <w:r>
        <w:rPr>
          <w:rFonts w:hint="eastAsia" w:hAnsi="宋体" w:cs="宋体"/>
          <w:color w:val="000000"/>
          <w:sz w:val="24"/>
          <w:szCs w:val="24"/>
          <w:lang w:eastAsia="zh-CN"/>
        </w:rPr>
        <w:t>甲方</w:t>
      </w:r>
      <w:r>
        <w:rPr>
          <w:rFonts w:hint="eastAsia" w:hAnsi="宋体" w:cs="宋体"/>
          <w:color w:val="000000"/>
          <w:sz w:val="24"/>
          <w:szCs w:val="24"/>
        </w:rPr>
        <w:t>参考。</w:t>
      </w:r>
    </w:p>
    <w:p>
      <w:pPr>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8</w:t>
      </w:r>
      <w:r>
        <w:rPr>
          <w:rFonts w:hAnsi="宋体" w:cs="宋体"/>
          <w:color w:val="000000"/>
          <w:sz w:val="24"/>
          <w:szCs w:val="24"/>
        </w:rPr>
        <w:t>、供货期间，</w:t>
      </w:r>
      <w:r>
        <w:rPr>
          <w:rFonts w:hint="eastAsia" w:hAnsi="宋体" w:cs="宋体"/>
          <w:color w:val="000000"/>
          <w:sz w:val="24"/>
          <w:szCs w:val="24"/>
        </w:rPr>
        <w:t>在</w:t>
      </w:r>
      <w:r>
        <w:rPr>
          <w:rFonts w:hAnsi="宋体" w:cs="宋体"/>
          <w:color w:val="000000"/>
          <w:sz w:val="24"/>
          <w:szCs w:val="24"/>
        </w:rPr>
        <w:t>收到</w:t>
      </w:r>
      <w:r>
        <w:rPr>
          <w:rFonts w:hint="eastAsia" w:hAnsi="宋体" w:cs="宋体"/>
          <w:color w:val="000000"/>
          <w:sz w:val="24"/>
          <w:szCs w:val="24"/>
          <w:lang w:eastAsia="zh-CN"/>
        </w:rPr>
        <w:t>甲方</w:t>
      </w:r>
      <w:r>
        <w:rPr>
          <w:rFonts w:hint="eastAsia" w:hAnsi="宋体" w:cs="宋体"/>
          <w:color w:val="000000"/>
          <w:sz w:val="24"/>
          <w:szCs w:val="24"/>
        </w:rPr>
        <w:t>供货</w:t>
      </w:r>
      <w:r>
        <w:rPr>
          <w:rFonts w:hAnsi="宋体" w:cs="宋体"/>
          <w:color w:val="000000"/>
          <w:sz w:val="24"/>
          <w:szCs w:val="24"/>
        </w:rPr>
        <w:t>通知前，</w:t>
      </w:r>
      <w:r>
        <w:rPr>
          <w:rFonts w:hint="eastAsia" w:hAnsi="宋体" w:cs="宋体"/>
          <w:color w:val="000000"/>
          <w:sz w:val="24"/>
          <w:szCs w:val="24"/>
          <w:lang w:eastAsia="zh-CN"/>
        </w:rPr>
        <w:t>乙方</w:t>
      </w:r>
      <w:r>
        <w:rPr>
          <w:rFonts w:hAnsi="宋体" w:cs="宋体"/>
          <w:color w:val="000000"/>
          <w:sz w:val="24"/>
          <w:szCs w:val="24"/>
        </w:rPr>
        <w:t>无需为合同履行做准备工作。</w:t>
      </w:r>
    </w:p>
    <w:p>
      <w:pPr>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9</w:t>
      </w:r>
      <w:r>
        <w:rPr>
          <w:rFonts w:hAnsi="宋体" w:cs="宋体"/>
          <w:color w:val="000000"/>
          <w:sz w:val="24"/>
          <w:szCs w:val="24"/>
        </w:rPr>
        <w:t>、生产药剂的运送及输送方式应符合国家或行业规范标准。</w:t>
      </w:r>
    </w:p>
    <w:p>
      <w:pPr>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10</w:t>
      </w:r>
      <w:r>
        <w:rPr>
          <w:rFonts w:hint="eastAsia" w:hAnsi="宋体" w:cs="宋体"/>
          <w:color w:val="000000"/>
          <w:sz w:val="24"/>
          <w:szCs w:val="24"/>
        </w:rPr>
        <w:t>、生产药剂的贮存装置、贮存条件等信息，</w:t>
      </w:r>
      <w:r>
        <w:rPr>
          <w:rFonts w:hint="eastAsia" w:hAnsi="宋体" w:cs="宋体"/>
          <w:color w:val="000000"/>
          <w:sz w:val="24"/>
          <w:szCs w:val="24"/>
          <w:lang w:eastAsia="zh-CN"/>
        </w:rPr>
        <w:t>乙方</w:t>
      </w:r>
      <w:r>
        <w:rPr>
          <w:rFonts w:hint="eastAsia" w:hAnsi="宋体" w:cs="宋体"/>
          <w:color w:val="000000"/>
          <w:sz w:val="24"/>
          <w:szCs w:val="24"/>
        </w:rPr>
        <w:t>应以书面形式详细告知</w:t>
      </w:r>
      <w:r>
        <w:rPr>
          <w:rFonts w:hint="eastAsia" w:hAnsi="宋体" w:cs="宋体"/>
          <w:color w:val="000000"/>
          <w:sz w:val="24"/>
          <w:szCs w:val="24"/>
          <w:lang w:eastAsia="zh-CN"/>
        </w:rPr>
        <w:t>甲方</w:t>
      </w:r>
      <w:r>
        <w:rPr>
          <w:rFonts w:hint="eastAsia" w:hAnsi="宋体" w:cs="宋体"/>
          <w:color w:val="000000"/>
          <w:sz w:val="24"/>
          <w:szCs w:val="24"/>
        </w:rPr>
        <w:t>。</w:t>
      </w:r>
    </w:p>
    <w:p>
      <w:pPr>
        <w:pStyle w:val="59"/>
        <w:rPr>
          <w:rFonts w:hint="eastAsia" w:eastAsia="宋体"/>
          <w:lang w:eastAsia="zh-CN"/>
        </w:rPr>
      </w:pPr>
      <w:r>
        <w:rPr>
          <w:rFonts w:hint="eastAsia" w:hAnsi="宋体" w:cs="宋体"/>
          <w:color w:val="000000"/>
          <w:sz w:val="24"/>
          <w:szCs w:val="24"/>
          <w:lang w:val="en-US" w:eastAsia="zh-CN"/>
        </w:rPr>
        <w:t>11</w:t>
      </w:r>
      <w:r>
        <w:rPr>
          <w:rFonts w:hint="eastAsia" w:hAnsi="宋体" w:cs="宋体"/>
          <w:color w:val="000000"/>
          <w:sz w:val="24"/>
          <w:szCs w:val="24"/>
        </w:rPr>
        <w:t>、</w:t>
      </w:r>
      <w:r>
        <w:rPr>
          <w:rFonts w:hint="eastAsia" w:hAnsi="宋体" w:cs="宋体"/>
          <w:color w:val="000000"/>
          <w:sz w:val="24"/>
          <w:szCs w:val="24"/>
          <w:lang w:val="en-US" w:eastAsia="zh-CN"/>
        </w:rPr>
        <w:t>货物</w:t>
      </w:r>
      <w:r>
        <w:rPr>
          <w:rFonts w:hint="eastAsia" w:hAnsi="宋体" w:cs="宋体"/>
          <w:color w:val="000000"/>
          <w:sz w:val="24"/>
          <w:szCs w:val="24"/>
        </w:rPr>
        <w:t>标志、包装要求必须符合国家相关规范</w:t>
      </w:r>
      <w:r>
        <w:rPr>
          <w:rFonts w:hint="eastAsia" w:hAnsi="宋体" w:cs="宋体"/>
          <w:color w:val="000000"/>
          <w:sz w:val="24"/>
          <w:szCs w:val="24"/>
          <w:lang w:eastAsia="zh-CN"/>
        </w:rPr>
        <w:t>。</w:t>
      </w:r>
    </w:p>
    <w:p>
      <w:pPr>
        <w:pStyle w:val="30"/>
        <w:numPr>
          <w:ilvl w:val="0"/>
          <w:numId w:val="5"/>
        </w:numPr>
        <w:spacing w:line="360" w:lineRule="auto"/>
        <w:ind w:firstLineChars="0"/>
        <w:outlineLvl w:val="1"/>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验收要求</w:t>
      </w:r>
    </w:p>
    <w:p>
      <w:pPr>
        <w:pStyle w:val="30"/>
        <w:spacing w:line="360" w:lineRule="auto"/>
        <w:rPr>
          <w:rFonts w:hAnsi="宋体" w:cs="宋体"/>
          <w:color w:val="000000"/>
          <w:sz w:val="24"/>
          <w:szCs w:val="24"/>
        </w:rPr>
      </w:pPr>
      <w:r>
        <w:rPr>
          <w:rFonts w:hint="eastAsia" w:hAnsi="宋体" w:cs="宋体"/>
          <w:color w:val="000000"/>
          <w:sz w:val="24"/>
          <w:szCs w:val="24"/>
        </w:rPr>
        <w:t>1、验收分为货到交货地点的初步验收，和货物检验合格后的最终验收。</w:t>
      </w:r>
    </w:p>
    <w:p>
      <w:pPr>
        <w:pStyle w:val="30"/>
        <w:spacing w:line="360" w:lineRule="auto"/>
        <w:rPr>
          <w:rFonts w:hAnsi="宋体" w:cs="宋体"/>
          <w:color w:val="000000"/>
          <w:sz w:val="24"/>
          <w:szCs w:val="24"/>
        </w:rPr>
      </w:pPr>
      <w:r>
        <w:rPr>
          <w:rFonts w:hint="eastAsia" w:hAnsi="宋体" w:cs="宋体"/>
          <w:color w:val="000000"/>
          <w:sz w:val="24"/>
          <w:szCs w:val="24"/>
        </w:rPr>
        <w:t>（1）初步验收：</w:t>
      </w:r>
    </w:p>
    <w:p>
      <w:pPr>
        <w:pStyle w:val="30"/>
        <w:spacing w:line="360" w:lineRule="auto"/>
        <w:rPr>
          <w:rFonts w:hAnsi="宋体" w:cs="宋体"/>
          <w:color w:val="000000"/>
          <w:sz w:val="24"/>
          <w:szCs w:val="24"/>
        </w:rPr>
      </w:pPr>
      <w:r>
        <w:rPr>
          <w:rFonts w:hint="eastAsia" w:hAnsi="宋体" w:cs="宋体"/>
          <w:color w:val="000000"/>
          <w:sz w:val="24"/>
          <w:szCs w:val="24"/>
        </w:rPr>
        <w:t>1）货物运抵交货地点，</w:t>
      </w:r>
      <w:r>
        <w:rPr>
          <w:rFonts w:hint="eastAsia" w:hAnsi="宋体" w:cs="宋体"/>
          <w:color w:val="000000"/>
          <w:sz w:val="24"/>
          <w:szCs w:val="24"/>
          <w:lang w:eastAsia="zh-CN"/>
        </w:rPr>
        <w:t>甲方</w:t>
      </w:r>
      <w:r>
        <w:rPr>
          <w:rFonts w:hint="eastAsia" w:hAnsi="宋体" w:cs="宋体"/>
          <w:color w:val="000000"/>
          <w:sz w:val="24"/>
          <w:szCs w:val="24"/>
        </w:rPr>
        <w:t>、</w:t>
      </w:r>
      <w:r>
        <w:rPr>
          <w:rFonts w:hint="eastAsia" w:hAnsi="宋体" w:cs="宋体"/>
          <w:color w:val="000000"/>
          <w:sz w:val="24"/>
          <w:szCs w:val="24"/>
          <w:lang w:eastAsia="zh-CN"/>
        </w:rPr>
        <w:t>乙方</w:t>
      </w:r>
      <w:r>
        <w:rPr>
          <w:rFonts w:hint="eastAsia" w:hAnsi="宋体" w:cs="宋体"/>
          <w:color w:val="000000"/>
          <w:sz w:val="24"/>
          <w:szCs w:val="24"/>
        </w:rPr>
        <w:t>共同验货。</w:t>
      </w:r>
      <w:r>
        <w:rPr>
          <w:rFonts w:hint="eastAsia" w:hAnsi="宋体" w:cs="宋体"/>
          <w:color w:val="000000"/>
          <w:sz w:val="24"/>
          <w:szCs w:val="24"/>
          <w:lang w:eastAsia="zh-CN"/>
        </w:rPr>
        <w:t>甲方</w:t>
      </w:r>
      <w:r>
        <w:rPr>
          <w:rFonts w:hint="eastAsia" w:hAnsi="宋体" w:cs="宋体"/>
          <w:color w:val="000000"/>
          <w:sz w:val="24"/>
          <w:szCs w:val="24"/>
        </w:rPr>
        <w:t>按照本项目合同及用户需求书，对货物的数量、品种、随车产品质量检验报告、产品合格证、供货单据等进行核对。</w:t>
      </w:r>
    </w:p>
    <w:p>
      <w:pPr>
        <w:pStyle w:val="30"/>
        <w:spacing w:line="360" w:lineRule="auto"/>
        <w:rPr>
          <w:rFonts w:hAnsi="宋体" w:cs="宋体"/>
          <w:color w:val="000000"/>
          <w:sz w:val="24"/>
          <w:szCs w:val="24"/>
        </w:rPr>
      </w:pPr>
      <w:r>
        <w:rPr>
          <w:rFonts w:hint="eastAsia" w:hAnsi="宋体" w:cs="宋体"/>
          <w:color w:val="000000"/>
          <w:sz w:val="24"/>
          <w:szCs w:val="24"/>
        </w:rPr>
        <w:t>2）</w:t>
      </w:r>
      <w:r>
        <w:rPr>
          <w:rFonts w:hint="eastAsia" w:hAnsi="宋体" w:cs="宋体"/>
          <w:color w:val="000000"/>
          <w:sz w:val="24"/>
          <w:szCs w:val="24"/>
          <w:lang w:val="en-US" w:eastAsia="zh-CN"/>
        </w:rPr>
        <w:t>核对完成</w:t>
      </w:r>
      <w:r>
        <w:rPr>
          <w:rFonts w:hint="eastAsia" w:hAnsi="宋体" w:cs="宋体"/>
          <w:color w:val="000000"/>
          <w:sz w:val="24"/>
          <w:szCs w:val="24"/>
        </w:rPr>
        <w:t>后，双方</w:t>
      </w:r>
      <w:r>
        <w:rPr>
          <w:rFonts w:hint="eastAsia" w:hAnsi="宋体" w:cs="宋体"/>
          <w:color w:val="000000"/>
          <w:sz w:val="24"/>
          <w:szCs w:val="24"/>
          <w:lang w:val="en-US" w:eastAsia="zh-CN"/>
        </w:rPr>
        <w:t>对</w:t>
      </w:r>
      <w:r>
        <w:rPr>
          <w:rFonts w:hint="eastAsia" w:hAnsi="宋体" w:cs="宋体"/>
          <w:color w:val="000000"/>
          <w:sz w:val="24"/>
          <w:szCs w:val="24"/>
        </w:rPr>
        <w:t>随车产品质量检验报告、供货单据进行签收手续</w:t>
      </w:r>
      <w:r>
        <w:rPr>
          <w:rFonts w:hint="eastAsia" w:hAnsi="宋体" w:cs="宋体"/>
          <w:color w:val="000000"/>
          <w:sz w:val="24"/>
          <w:szCs w:val="24"/>
          <w:lang w:val="en-US" w:eastAsia="zh-CN"/>
        </w:rPr>
        <w:t>视为完成初步验收，初步验收仅限于</w:t>
      </w:r>
      <w:r>
        <w:rPr>
          <w:rFonts w:hint="eastAsia" w:hAnsi="宋体" w:cs="宋体"/>
          <w:color w:val="000000"/>
          <w:sz w:val="24"/>
          <w:szCs w:val="24"/>
        </w:rPr>
        <w:t>双方共同</w:t>
      </w:r>
      <w:r>
        <w:rPr>
          <w:rFonts w:hint="eastAsia" w:hAnsi="宋体" w:cs="宋体"/>
          <w:color w:val="000000"/>
          <w:sz w:val="24"/>
          <w:szCs w:val="24"/>
          <w:lang w:val="en-US" w:eastAsia="zh-CN"/>
        </w:rPr>
        <w:t>对中标人所供货物数量、品种、</w:t>
      </w:r>
      <w:r>
        <w:rPr>
          <w:rFonts w:hint="eastAsia" w:hAnsi="宋体" w:cs="宋体"/>
          <w:color w:val="000000"/>
          <w:sz w:val="24"/>
          <w:szCs w:val="24"/>
        </w:rPr>
        <w:t>随车产品质量检验报告</w:t>
      </w:r>
      <w:r>
        <w:rPr>
          <w:rFonts w:hint="eastAsia" w:hAnsi="宋体" w:cs="宋体"/>
          <w:color w:val="000000"/>
          <w:sz w:val="24"/>
          <w:szCs w:val="24"/>
          <w:lang w:eastAsia="zh-CN"/>
        </w:rPr>
        <w:t>、供货单据</w:t>
      </w:r>
      <w:r>
        <w:rPr>
          <w:rFonts w:hint="eastAsia" w:hAnsi="宋体" w:cs="宋体"/>
          <w:color w:val="000000"/>
          <w:sz w:val="24"/>
          <w:szCs w:val="24"/>
          <w:lang w:val="en-US" w:eastAsia="zh-CN"/>
        </w:rPr>
        <w:t>等符合合同技术指标要求的</w:t>
      </w:r>
      <w:r>
        <w:rPr>
          <w:rFonts w:hint="eastAsia" w:hAnsi="宋体" w:cs="宋体"/>
          <w:color w:val="000000"/>
          <w:sz w:val="24"/>
          <w:szCs w:val="24"/>
        </w:rPr>
        <w:t>书面确认。</w:t>
      </w:r>
    </w:p>
    <w:p>
      <w:pPr>
        <w:pStyle w:val="30"/>
        <w:spacing w:line="360" w:lineRule="auto"/>
        <w:rPr>
          <w:rFonts w:hAnsi="宋体" w:cs="宋体"/>
          <w:color w:val="000000"/>
          <w:sz w:val="24"/>
          <w:szCs w:val="24"/>
        </w:rPr>
      </w:pPr>
      <w:r>
        <w:rPr>
          <w:rFonts w:hint="eastAsia" w:hAnsi="宋体" w:cs="宋体"/>
          <w:color w:val="000000"/>
          <w:sz w:val="24"/>
          <w:szCs w:val="24"/>
        </w:rPr>
        <w:t>（2）最终验收</w:t>
      </w:r>
    </w:p>
    <w:p>
      <w:pPr>
        <w:pStyle w:val="30"/>
        <w:spacing w:line="360" w:lineRule="auto"/>
        <w:rPr>
          <w:rFonts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eastAsia="zh-CN"/>
        </w:rPr>
        <w:t>甲方</w:t>
      </w:r>
      <w:r>
        <w:rPr>
          <w:rFonts w:hint="eastAsia" w:hAnsi="宋体" w:cs="宋体"/>
          <w:color w:val="000000"/>
          <w:sz w:val="24"/>
          <w:szCs w:val="24"/>
        </w:rPr>
        <w:t>对每次供货货物检验，检验指标由</w:t>
      </w:r>
      <w:r>
        <w:rPr>
          <w:rFonts w:hint="eastAsia" w:hAnsi="宋体" w:cs="宋体"/>
          <w:color w:val="000000"/>
          <w:sz w:val="24"/>
          <w:szCs w:val="24"/>
          <w:lang w:eastAsia="zh-CN"/>
        </w:rPr>
        <w:t>甲方根据需要选择</w:t>
      </w:r>
      <w:r>
        <w:rPr>
          <w:rFonts w:hint="eastAsia" w:hAnsi="宋体" w:cs="宋体"/>
          <w:color w:val="000000"/>
          <w:sz w:val="24"/>
          <w:szCs w:val="24"/>
        </w:rPr>
        <w:t>，货物批检检验指标和按需检验指标由</w:t>
      </w:r>
      <w:r>
        <w:rPr>
          <w:rFonts w:hint="eastAsia" w:hAnsi="宋体" w:cs="宋体"/>
          <w:color w:val="000000"/>
          <w:sz w:val="24"/>
          <w:szCs w:val="24"/>
          <w:lang w:eastAsia="zh-CN"/>
        </w:rPr>
        <w:t>甲方</w:t>
      </w:r>
      <w:r>
        <w:rPr>
          <w:rFonts w:hint="eastAsia" w:hAnsi="宋体" w:cs="宋体"/>
          <w:color w:val="000000"/>
          <w:sz w:val="24"/>
          <w:szCs w:val="24"/>
        </w:rPr>
        <w:t>根据</w:t>
      </w:r>
      <w:r>
        <w:rPr>
          <w:rFonts w:hint="eastAsia" w:hAnsi="宋体" w:cs="宋体"/>
          <w:color w:val="000000"/>
          <w:sz w:val="24"/>
          <w:szCs w:val="24"/>
          <w:lang w:eastAsia="zh-CN"/>
        </w:rPr>
        <w:t>甲方</w:t>
      </w:r>
      <w:r>
        <w:rPr>
          <w:rFonts w:hint="eastAsia" w:hAnsi="宋体" w:cs="宋体"/>
          <w:color w:val="000000"/>
          <w:sz w:val="24"/>
          <w:szCs w:val="24"/>
        </w:rPr>
        <w:t>关于药剂的管理制度及要求适时调整。每次货到现场时可由双方共同取样，供货货物合格判定以</w:t>
      </w:r>
      <w:r>
        <w:rPr>
          <w:rFonts w:hint="eastAsia" w:hAnsi="宋体" w:cs="宋体"/>
          <w:color w:val="000000"/>
          <w:sz w:val="24"/>
          <w:szCs w:val="24"/>
          <w:lang w:eastAsia="zh-CN"/>
        </w:rPr>
        <w:t>甲方</w:t>
      </w:r>
      <w:r>
        <w:rPr>
          <w:rFonts w:hint="eastAsia" w:hAnsi="宋体" w:cs="宋体"/>
          <w:color w:val="000000"/>
          <w:sz w:val="24"/>
          <w:szCs w:val="24"/>
        </w:rPr>
        <w:t>实验室检验结果为准。</w:t>
      </w:r>
      <w:r>
        <w:rPr>
          <w:rFonts w:hint="eastAsia" w:hAnsi="宋体" w:cs="宋体"/>
          <w:color w:val="000000"/>
          <w:sz w:val="24"/>
          <w:szCs w:val="24"/>
          <w:lang w:eastAsia="zh-CN"/>
        </w:rPr>
        <w:t>甲方</w:t>
      </w:r>
      <w:r>
        <w:rPr>
          <w:rFonts w:hint="eastAsia" w:hAnsi="宋体" w:cs="宋体"/>
          <w:color w:val="000000"/>
          <w:sz w:val="24"/>
          <w:szCs w:val="24"/>
        </w:rPr>
        <w:t>根据需要可委托具有检测产品CMA认证资质的第三方检测机构检测，</w:t>
      </w:r>
      <w:r>
        <w:rPr>
          <w:rFonts w:hint="eastAsia" w:hAnsi="宋体" w:cs="宋体"/>
          <w:color w:val="000000"/>
          <w:sz w:val="24"/>
          <w:szCs w:val="24"/>
          <w:lang w:eastAsia="zh-CN"/>
        </w:rPr>
        <w:t>甲方</w:t>
      </w:r>
      <w:r>
        <w:rPr>
          <w:rFonts w:hint="eastAsia" w:hAnsi="宋体" w:cs="宋体"/>
          <w:color w:val="000000"/>
          <w:sz w:val="24"/>
          <w:szCs w:val="24"/>
        </w:rPr>
        <w:t>委托的具有检测产品CMA认证资质的第三方检测机构的检验结果与</w:t>
      </w:r>
      <w:r>
        <w:rPr>
          <w:rFonts w:hint="eastAsia" w:hAnsi="宋体" w:cs="宋体"/>
          <w:color w:val="000000"/>
          <w:sz w:val="24"/>
          <w:szCs w:val="24"/>
          <w:lang w:eastAsia="zh-CN"/>
        </w:rPr>
        <w:t>甲方</w:t>
      </w:r>
      <w:r>
        <w:rPr>
          <w:rFonts w:hint="eastAsia" w:hAnsi="宋体" w:cs="宋体"/>
          <w:color w:val="000000"/>
          <w:sz w:val="24"/>
          <w:szCs w:val="24"/>
        </w:rPr>
        <w:t>实验室不一致的，该次的供货货物质量判定以</w:t>
      </w:r>
      <w:r>
        <w:rPr>
          <w:rFonts w:hint="eastAsia" w:hAnsi="宋体" w:cs="宋体"/>
          <w:color w:val="000000"/>
          <w:sz w:val="24"/>
          <w:szCs w:val="24"/>
          <w:lang w:eastAsia="zh-CN"/>
        </w:rPr>
        <w:t>甲方</w:t>
      </w:r>
      <w:r>
        <w:rPr>
          <w:rFonts w:hint="eastAsia" w:hAnsi="宋体" w:cs="宋体"/>
          <w:color w:val="000000"/>
          <w:sz w:val="24"/>
          <w:szCs w:val="24"/>
        </w:rPr>
        <w:t>委托的具有检测产品CMA认证资质的第三方检测机构的检验结果为准。</w:t>
      </w:r>
    </w:p>
    <w:p>
      <w:pPr>
        <w:pStyle w:val="30"/>
        <w:spacing w:line="360" w:lineRule="auto"/>
        <w:rPr>
          <w:rFonts w:hAnsi="宋体" w:cs="宋体"/>
          <w:color w:val="000000"/>
          <w:sz w:val="24"/>
          <w:szCs w:val="24"/>
        </w:rPr>
      </w:pPr>
      <w:r>
        <w:rPr>
          <w:rFonts w:hint="eastAsia" w:hAnsi="宋体" w:cs="宋体"/>
          <w:color w:val="000000"/>
          <w:sz w:val="24"/>
          <w:szCs w:val="24"/>
        </w:rPr>
        <w:t>2）货物检验方法按照</w:t>
      </w:r>
      <w:r>
        <w:rPr>
          <w:rFonts w:hint="eastAsia" w:hAnsi="宋体" w:cs="宋体"/>
          <w:color w:val="000000"/>
          <w:sz w:val="24"/>
          <w:szCs w:val="24"/>
          <w:lang w:val="en-US" w:eastAsia="zh-CN"/>
        </w:rPr>
        <w:t>现国家或行业标准</w:t>
      </w:r>
      <w:r>
        <w:rPr>
          <w:rFonts w:hint="eastAsia" w:ascii="Times New Roman"/>
          <w:sz w:val="24"/>
          <w:szCs w:val="24"/>
        </w:rPr>
        <w:t>测</w:t>
      </w:r>
      <w:r>
        <w:rPr>
          <w:rFonts w:hint="eastAsia" w:hAnsi="宋体" w:cs="宋体"/>
          <w:color w:val="000000"/>
          <w:sz w:val="24"/>
          <w:szCs w:val="24"/>
        </w:rPr>
        <w:t>定。供货期间，如有发布最新的行业标准或国家标准，货物检验方法按发布的最新行业标准或国家标准执行。</w:t>
      </w:r>
    </w:p>
    <w:p>
      <w:pPr>
        <w:pStyle w:val="30"/>
        <w:spacing w:line="360" w:lineRule="auto"/>
        <w:rPr>
          <w:rFonts w:hAnsi="宋体" w:cs="宋体"/>
          <w:color w:val="000000"/>
          <w:sz w:val="24"/>
          <w:szCs w:val="24"/>
        </w:rPr>
      </w:pPr>
      <w:r>
        <w:rPr>
          <w:rFonts w:hint="eastAsia" w:hAnsi="宋体" w:cs="宋体"/>
          <w:color w:val="000000"/>
          <w:sz w:val="24"/>
          <w:szCs w:val="24"/>
        </w:rPr>
        <w:t>2、货物按上述程序验收后，甲方向乙方出具书面的验收报告并由甲乙双方对验收报告共同签字确认，且乙方需对验收报告加盖公章或业务章确认，验收报告(模板)见用户需求书附件。验收报告作为对货物供货数量及主要技术指标验收的证明，不代表对货物使用效果的认可。3、</w:t>
      </w:r>
      <w:r>
        <w:rPr>
          <w:rFonts w:hint="eastAsia" w:hAnsi="宋体" w:cs="宋体"/>
          <w:color w:val="000000"/>
          <w:sz w:val="24"/>
          <w:szCs w:val="24"/>
          <w:lang w:eastAsia="zh-CN"/>
        </w:rPr>
        <w:t>甲方</w:t>
      </w:r>
      <w:r>
        <w:rPr>
          <w:rFonts w:hint="eastAsia" w:hAnsi="宋体" w:cs="宋体"/>
          <w:color w:val="000000"/>
          <w:sz w:val="24"/>
          <w:szCs w:val="24"/>
        </w:rPr>
        <w:t>根据本条规定对货物所做出的验收，仅作为起算付款及质保期之用，不视为双方对于货物质量的最终认可，</w:t>
      </w:r>
      <w:r>
        <w:rPr>
          <w:rFonts w:hint="eastAsia" w:hAnsi="宋体" w:cs="宋体"/>
          <w:color w:val="000000"/>
          <w:sz w:val="24"/>
          <w:szCs w:val="24"/>
          <w:lang w:eastAsia="zh-CN"/>
        </w:rPr>
        <w:t>乙方</w:t>
      </w:r>
      <w:r>
        <w:rPr>
          <w:rFonts w:hint="eastAsia" w:hAnsi="宋体" w:cs="宋体"/>
          <w:color w:val="000000"/>
          <w:sz w:val="24"/>
          <w:szCs w:val="24"/>
        </w:rPr>
        <w:t>仍应在质保期内对产品质量承担保证责任。</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hAnsi="宋体" w:cs="宋体"/>
          <w:color w:val="000000"/>
          <w:sz w:val="24"/>
          <w:szCs w:val="24"/>
        </w:rPr>
      </w:pPr>
      <w:r>
        <w:rPr>
          <w:rFonts w:hint="eastAsia" w:hAnsi="宋体" w:cs="宋体"/>
          <w:color w:val="000000"/>
          <w:sz w:val="24"/>
          <w:szCs w:val="24"/>
        </w:rPr>
        <w:t>4、货物在经最终验收</w:t>
      </w:r>
      <w:r>
        <w:rPr>
          <w:rFonts w:hint="default" w:hAnsi="宋体" w:cs="宋体"/>
          <w:color w:val="000000"/>
          <w:sz w:val="24"/>
          <w:szCs w:val="24"/>
          <w:lang w:val="en-US"/>
        </w:rPr>
        <w:t>合格</w:t>
      </w:r>
      <w:r>
        <w:rPr>
          <w:rFonts w:hint="eastAsia" w:hAnsi="宋体" w:cs="宋体"/>
          <w:color w:val="000000"/>
          <w:sz w:val="24"/>
          <w:szCs w:val="24"/>
        </w:rPr>
        <w:t>前，其损耗、毁损、灭失等风险及责任由</w:t>
      </w:r>
      <w:r>
        <w:rPr>
          <w:rFonts w:hint="eastAsia" w:hAnsi="宋体" w:cs="宋体"/>
          <w:color w:val="000000"/>
          <w:sz w:val="24"/>
          <w:szCs w:val="24"/>
          <w:lang w:eastAsia="zh-CN"/>
        </w:rPr>
        <w:t>乙方</w:t>
      </w:r>
      <w:r>
        <w:rPr>
          <w:rFonts w:hint="eastAsia" w:hAnsi="宋体" w:cs="宋体"/>
          <w:color w:val="000000"/>
          <w:sz w:val="24"/>
          <w:szCs w:val="24"/>
        </w:rPr>
        <w:t>承担，如因发生前述情形，导致</w:t>
      </w:r>
      <w:r>
        <w:rPr>
          <w:rFonts w:hint="eastAsia" w:hAnsi="宋体" w:cs="宋体"/>
          <w:color w:val="000000"/>
          <w:sz w:val="24"/>
          <w:szCs w:val="24"/>
          <w:lang w:eastAsia="zh-CN"/>
        </w:rPr>
        <w:t>乙方</w:t>
      </w:r>
      <w:r>
        <w:rPr>
          <w:rFonts w:hint="eastAsia" w:hAnsi="宋体" w:cs="宋体"/>
          <w:color w:val="000000"/>
          <w:sz w:val="24"/>
          <w:szCs w:val="24"/>
        </w:rPr>
        <w:t>所提供的货物不能通过</w:t>
      </w:r>
      <w:r>
        <w:rPr>
          <w:rFonts w:hint="eastAsia" w:hAnsi="宋体" w:cs="宋体"/>
          <w:color w:val="000000"/>
          <w:sz w:val="24"/>
          <w:szCs w:val="24"/>
          <w:lang w:eastAsia="zh-CN"/>
        </w:rPr>
        <w:t>甲方</w:t>
      </w:r>
      <w:r>
        <w:rPr>
          <w:rFonts w:hint="eastAsia" w:hAnsi="宋体" w:cs="宋体"/>
          <w:color w:val="000000"/>
          <w:sz w:val="24"/>
          <w:szCs w:val="24"/>
        </w:rPr>
        <w:t>验收的，</w:t>
      </w:r>
      <w:r>
        <w:rPr>
          <w:rFonts w:hint="eastAsia" w:hAnsi="宋体" w:cs="宋体"/>
          <w:color w:val="000000"/>
          <w:sz w:val="24"/>
          <w:szCs w:val="24"/>
          <w:lang w:eastAsia="zh-CN"/>
        </w:rPr>
        <w:t>乙方</w:t>
      </w:r>
      <w:r>
        <w:rPr>
          <w:rFonts w:hint="eastAsia" w:hAnsi="宋体" w:cs="宋体"/>
          <w:color w:val="000000"/>
          <w:sz w:val="24"/>
          <w:szCs w:val="24"/>
        </w:rPr>
        <w:t>应按</w:t>
      </w:r>
      <w:r>
        <w:rPr>
          <w:rFonts w:hint="eastAsia" w:hAnsi="宋体" w:cs="宋体"/>
          <w:color w:val="000000"/>
          <w:sz w:val="24"/>
          <w:szCs w:val="24"/>
          <w:lang w:eastAsia="zh-CN"/>
        </w:rPr>
        <w:t>甲方</w:t>
      </w:r>
      <w:r>
        <w:rPr>
          <w:rFonts w:hint="eastAsia" w:hAnsi="宋体" w:cs="宋体"/>
          <w:color w:val="000000"/>
          <w:sz w:val="24"/>
          <w:szCs w:val="24"/>
        </w:rPr>
        <w:t>要求无条件予以退换货，给</w:t>
      </w:r>
      <w:r>
        <w:rPr>
          <w:rFonts w:hint="eastAsia" w:hAnsi="宋体" w:cs="宋体"/>
          <w:color w:val="000000"/>
          <w:sz w:val="24"/>
          <w:szCs w:val="24"/>
          <w:lang w:eastAsia="zh-CN"/>
        </w:rPr>
        <w:t>甲方</w:t>
      </w:r>
      <w:r>
        <w:rPr>
          <w:rFonts w:hint="eastAsia" w:hAnsi="宋体" w:cs="宋体"/>
          <w:color w:val="000000"/>
          <w:sz w:val="24"/>
          <w:szCs w:val="24"/>
        </w:rPr>
        <w:t>造成损失的</w:t>
      </w:r>
      <w:r>
        <w:rPr>
          <w:rFonts w:hint="eastAsia" w:hAnsi="宋体" w:cs="宋体"/>
          <w:color w:val="000000"/>
          <w:sz w:val="24"/>
          <w:szCs w:val="24"/>
          <w:lang w:eastAsia="zh-CN"/>
        </w:rPr>
        <w:t>乙方</w:t>
      </w:r>
      <w:r>
        <w:rPr>
          <w:rFonts w:hint="eastAsia" w:hAnsi="宋体" w:cs="宋体"/>
          <w:color w:val="000000"/>
          <w:sz w:val="24"/>
          <w:szCs w:val="24"/>
        </w:rPr>
        <w:t>须承担全部的赔偿责任。</w:t>
      </w:r>
    </w:p>
    <w:p>
      <w:pPr>
        <w:pStyle w:val="59"/>
        <w:rPr>
          <w:rFonts w:hint="default"/>
          <w:lang w:val="en-US" w:eastAsia="zh-CN"/>
        </w:rPr>
      </w:pPr>
    </w:p>
    <w:p>
      <w:pPr>
        <w:pStyle w:val="30"/>
        <w:numPr>
          <w:ilvl w:val="0"/>
          <w:numId w:val="5"/>
        </w:numPr>
        <w:spacing w:line="360" w:lineRule="auto"/>
        <w:ind w:firstLineChars="0"/>
        <w:outlineLvl w:val="1"/>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资料要求</w:t>
      </w:r>
    </w:p>
    <w:p>
      <w:pPr>
        <w:snapToGrid w:val="0"/>
        <w:spacing w:line="360" w:lineRule="auto"/>
        <w:ind w:firstLine="480" w:firstLineChars="200"/>
        <w:rPr>
          <w:rFonts w:hAnsi="宋体"/>
          <w:color w:val="000000"/>
          <w:szCs w:val="21"/>
        </w:rPr>
      </w:pPr>
      <w:r>
        <w:rPr>
          <w:rFonts w:hint="eastAsia" w:hAnsi="宋体"/>
          <w:color w:val="000000"/>
          <w:szCs w:val="21"/>
        </w:rPr>
        <w:t>1、</w:t>
      </w:r>
      <w:r>
        <w:rPr>
          <w:rFonts w:hint="eastAsia" w:hAnsi="宋体"/>
          <w:color w:val="000000"/>
          <w:szCs w:val="21"/>
          <w:lang w:eastAsia="zh-CN"/>
        </w:rPr>
        <w:t>乙方</w:t>
      </w:r>
      <w:r>
        <w:rPr>
          <w:rFonts w:hint="eastAsia" w:hAnsi="宋体"/>
          <w:color w:val="000000"/>
          <w:szCs w:val="21"/>
        </w:rPr>
        <w:t>需向</w:t>
      </w:r>
      <w:r>
        <w:rPr>
          <w:rFonts w:hint="eastAsia" w:hAnsi="宋体"/>
          <w:color w:val="000000"/>
          <w:szCs w:val="21"/>
          <w:lang w:eastAsia="zh-CN"/>
        </w:rPr>
        <w:t>甲方</w:t>
      </w:r>
      <w:r>
        <w:rPr>
          <w:rFonts w:hint="eastAsia" w:hAnsi="宋体"/>
          <w:color w:val="000000"/>
          <w:szCs w:val="21"/>
        </w:rPr>
        <w:t>提供但不限于下述技术资料：</w:t>
      </w:r>
    </w:p>
    <w:p>
      <w:pPr>
        <w:snapToGrid w:val="0"/>
        <w:spacing w:line="360" w:lineRule="auto"/>
        <w:ind w:firstLine="480" w:firstLineChars="200"/>
        <w:rPr>
          <w:rFonts w:ascii="Times New Roman"/>
        </w:rPr>
      </w:pPr>
      <w:r>
        <w:rPr>
          <w:rFonts w:hint="eastAsia" w:hAnsi="宋体"/>
          <w:color w:val="000000"/>
          <w:szCs w:val="21"/>
        </w:rPr>
        <w:t>（1）符合第</w:t>
      </w:r>
      <w:r>
        <w:rPr>
          <w:rFonts w:hint="eastAsia" w:hAnsi="宋体"/>
          <w:color w:val="000000"/>
          <w:szCs w:val="21"/>
          <w:lang w:val="en-US" w:eastAsia="zh-CN"/>
        </w:rPr>
        <w:t>二</w:t>
      </w:r>
      <w:r>
        <w:rPr>
          <w:rFonts w:hint="eastAsia" w:hAnsi="宋体"/>
          <w:color w:val="000000"/>
          <w:szCs w:val="21"/>
        </w:rPr>
        <w:t>条交货要求</w:t>
      </w:r>
      <w:r>
        <w:rPr>
          <w:rFonts w:hint="eastAsia" w:ascii="Times New Roman"/>
        </w:rPr>
        <w:t>第</w:t>
      </w:r>
      <w:r>
        <w:rPr>
          <w:rFonts w:hint="eastAsia" w:ascii="Times New Roman"/>
          <w:lang w:val="en-US" w:eastAsia="zh-CN"/>
        </w:rPr>
        <w:t>7</w:t>
      </w:r>
      <w:r>
        <w:rPr>
          <w:rFonts w:hint="eastAsia" w:ascii="Times New Roman"/>
        </w:rPr>
        <w:t>点要求的产品质量检验报告（如出厂检验报告、质量检验报告等）、供货单据；</w:t>
      </w:r>
    </w:p>
    <w:p>
      <w:pPr>
        <w:snapToGrid w:val="0"/>
        <w:spacing w:line="360" w:lineRule="auto"/>
        <w:ind w:firstLine="480" w:firstLineChars="200"/>
        <w:rPr>
          <w:rFonts w:hAnsi="宋体"/>
          <w:color w:val="000000"/>
          <w:szCs w:val="21"/>
        </w:rPr>
      </w:pPr>
      <w:r>
        <w:rPr>
          <w:rFonts w:hint="eastAsia" w:hAnsi="宋体"/>
          <w:color w:val="000000"/>
          <w:szCs w:val="21"/>
        </w:rPr>
        <w:t>（2）验收报告（由</w:t>
      </w:r>
      <w:r>
        <w:rPr>
          <w:rFonts w:hint="default" w:hAnsi="宋体"/>
          <w:color w:val="000000"/>
          <w:szCs w:val="21"/>
          <w:lang w:val="en-US"/>
        </w:rPr>
        <w:t>甲方提供，乙方</w:t>
      </w:r>
      <w:r>
        <w:rPr>
          <w:rFonts w:hint="eastAsia" w:hAnsi="宋体"/>
          <w:color w:val="000000"/>
          <w:szCs w:val="21"/>
        </w:rPr>
        <w:t>盖章确认）；</w:t>
      </w:r>
    </w:p>
    <w:p>
      <w:pPr>
        <w:snapToGrid w:val="0"/>
        <w:spacing w:line="360" w:lineRule="auto"/>
        <w:ind w:firstLine="480" w:firstLineChars="200"/>
        <w:rPr>
          <w:rFonts w:hAnsi="宋体"/>
          <w:color w:val="000000"/>
          <w:szCs w:val="21"/>
        </w:rPr>
      </w:pPr>
      <w:r>
        <w:rPr>
          <w:rFonts w:hint="eastAsia" w:hAnsi="宋体"/>
          <w:color w:val="000000"/>
          <w:szCs w:val="21"/>
        </w:rPr>
        <w:t>（3）与货物使用相关的其他文件；</w:t>
      </w:r>
    </w:p>
    <w:p>
      <w:pPr>
        <w:snapToGrid w:val="0"/>
        <w:spacing w:line="360" w:lineRule="auto"/>
        <w:ind w:firstLine="480" w:firstLineChars="200"/>
        <w:rPr>
          <w:rFonts w:hAnsi="宋体"/>
          <w:color w:val="000000"/>
          <w:szCs w:val="21"/>
        </w:rPr>
      </w:pPr>
      <w:r>
        <w:rPr>
          <w:rFonts w:hint="eastAsia" w:hAnsi="宋体"/>
          <w:color w:val="000000"/>
          <w:szCs w:val="21"/>
        </w:rPr>
        <w:t>（4）</w:t>
      </w:r>
      <w:r>
        <w:rPr>
          <w:rFonts w:hint="eastAsia" w:hAnsi="宋体"/>
          <w:color w:val="000000"/>
          <w:szCs w:val="21"/>
          <w:lang w:eastAsia="zh-CN"/>
        </w:rPr>
        <w:t>甲方</w:t>
      </w:r>
      <w:r>
        <w:rPr>
          <w:rFonts w:hint="eastAsia" w:hAnsi="宋体"/>
          <w:color w:val="000000"/>
          <w:szCs w:val="21"/>
        </w:rPr>
        <w:t>要求提供的其他技术资料。</w:t>
      </w:r>
    </w:p>
    <w:p>
      <w:pPr>
        <w:snapToGrid w:val="0"/>
        <w:spacing w:line="360" w:lineRule="auto"/>
        <w:ind w:firstLine="480" w:firstLineChars="200"/>
        <w:rPr>
          <w:rFonts w:hAnsi="宋体" w:cs="宋体"/>
          <w:b/>
          <w:bCs/>
          <w:color w:val="000000"/>
          <w:szCs w:val="21"/>
        </w:rPr>
      </w:pPr>
      <w:r>
        <w:rPr>
          <w:rFonts w:hint="eastAsia" w:hAnsi="宋体"/>
          <w:color w:val="000000"/>
          <w:szCs w:val="21"/>
        </w:rPr>
        <w:t>2、</w:t>
      </w:r>
      <w:r>
        <w:rPr>
          <w:rFonts w:hint="eastAsia" w:hAnsi="宋体"/>
          <w:color w:val="000000"/>
          <w:szCs w:val="21"/>
          <w:lang w:eastAsia="zh-CN"/>
        </w:rPr>
        <w:t>乙方</w:t>
      </w:r>
      <w:r>
        <w:rPr>
          <w:rFonts w:hint="eastAsia" w:hAnsi="宋体"/>
          <w:color w:val="000000"/>
          <w:szCs w:val="21"/>
        </w:rPr>
        <w:t>需将上述资料（若上述资料为复印件的，则须加盖</w:t>
      </w:r>
      <w:r>
        <w:rPr>
          <w:rFonts w:hint="eastAsia" w:hAnsi="宋体"/>
          <w:color w:val="000000"/>
          <w:szCs w:val="21"/>
          <w:lang w:eastAsia="zh-CN"/>
        </w:rPr>
        <w:t>乙方</w:t>
      </w:r>
      <w:r>
        <w:rPr>
          <w:rFonts w:hint="eastAsia" w:hAnsi="宋体"/>
          <w:color w:val="000000"/>
          <w:szCs w:val="21"/>
        </w:rPr>
        <w:t>公章）在交货时交给</w:t>
      </w:r>
      <w:r>
        <w:rPr>
          <w:rFonts w:hint="eastAsia" w:hAnsi="宋体"/>
          <w:color w:val="000000"/>
          <w:szCs w:val="21"/>
          <w:lang w:eastAsia="zh-CN"/>
        </w:rPr>
        <w:t>甲方</w:t>
      </w:r>
      <w:r>
        <w:rPr>
          <w:rFonts w:hint="eastAsia" w:hAnsi="宋体"/>
          <w:color w:val="000000"/>
          <w:szCs w:val="21"/>
        </w:rPr>
        <w:t>，有关资料的收集和整理由</w:t>
      </w:r>
      <w:r>
        <w:rPr>
          <w:rFonts w:hint="eastAsia" w:hAnsi="宋体"/>
          <w:color w:val="000000"/>
          <w:szCs w:val="21"/>
          <w:lang w:eastAsia="zh-CN"/>
        </w:rPr>
        <w:t>乙方</w:t>
      </w:r>
      <w:r>
        <w:rPr>
          <w:rFonts w:hint="eastAsia" w:hAnsi="宋体"/>
          <w:color w:val="000000"/>
          <w:szCs w:val="21"/>
        </w:rPr>
        <w:t>负责，</w:t>
      </w:r>
      <w:r>
        <w:rPr>
          <w:rFonts w:hint="eastAsia" w:hAnsi="宋体"/>
          <w:color w:val="000000"/>
          <w:szCs w:val="21"/>
          <w:lang w:eastAsia="zh-CN"/>
        </w:rPr>
        <w:t>甲方</w:t>
      </w:r>
      <w:r>
        <w:rPr>
          <w:rFonts w:hint="eastAsia" w:hAnsi="宋体"/>
          <w:color w:val="000000"/>
          <w:szCs w:val="21"/>
        </w:rPr>
        <w:t>予以配合。</w:t>
      </w:r>
    </w:p>
    <w:p>
      <w:pPr>
        <w:spacing w:line="360" w:lineRule="auto"/>
        <w:ind w:firstLine="420"/>
        <w:rPr>
          <w:rFonts w:hint="eastAsia" w:hAnsi="宋体" w:cs="宋体"/>
          <w:color w:val="000000"/>
          <w:szCs w:val="21"/>
        </w:rPr>
      </w:pPr>
      <w:r>
        <w:rPr>
          <w:rFonts w:hint="eastAsia" w:hAnsi="宋体" w:cs="宋体"/>
          <w:color w:val="000000"/>
          <w:szCs w:val="21"/>
          <w:lang w:val="en-US" w:eastAsia="zh-CN"/>
        </w:rPr>
        <w:t>3</w:t>
      </w:r>
      <w:r>
        <w:rPr>
          <w:rFonts w:hAnsi="宋体" w:cs="宋体"/>
          <w:color w:val="000000"/>
          <w:szCs w:val="21"/>
        </w:rPr>
        <w:t>、</w:t>
      </w:r>
      <w:r>
        <w:rPr>
          <w:rFonts w:hint="eastAsia" w:hAnsi="宋体" w:cs="宋体"/>
          <w:color w:val="000000"/>
          <w:szCs w:val="21"/>
          <w:lang w:eastAsia="zh-CN"/>
        </w:rPr>
        <w:t>乙方</w:t>
      </w:r>
      <w:r>
        <w:rPr>
          <w:rFonts w:hAnsi="宋体" w:cs="宋体"/>
          <w:color w:val="000000"/>
          <w:szCs w:val="21"/>
        </w:rPr>
        <w:t>提交的技术资料在出现遗漏或发现错误时，</w:t>
      </w:r>
      <w:r>
        <w:rPr>
          <w:rFonts w:hint="eastAsia" w:hAnsi="宋体" w:cs="宋体"/>
          <w:color w:val="000000"/>
          <w:szCs w:val="21"/>
        </w:rPr>
        <w:t>应</w:t>
      </w:r>
      <w:r>
        <w:rPr>
          <w:rFonts w:hAnsi="宋体" w:cs="宋体"/>
          <w:color w:val="000000"/>
          <w:szCs w:val="21"/>
        </w:rPr>
        <w:t>及时补充或更正</w:t>
      </w:r>
      <w:r>
        <w:rPr>
          <w:rFonts w:hint="eastAsia" w:hAnsi="宋体" w:cs="宋体"/>
          <w:color w:val="000000"/>
          <w:szCs w:val="21"/>
        </w:rPr>
        <w:t>后</w:t>
      </w:r>
      <w:r>
        <w:rPr>
          <w:rFonts w:hAnsi="宋体" w:cs="宋体"/>
          <w:color w:val="000000"/>
          <w:szCs w:val="21"/>
        </w:rPr>
        <w:t>提交</w:t>
      </w:r>
      <w:r>
        <w:rPr>
          <w:rFonts w:hint="eastAsia" w:hAnsi="宋体" w:cs="宋体"/>
          <w:color w:val="000000"/>
          <w:szCs w:val="21"/>
          <w:lang w:eastAsia="zh-CN"/>
        </w:rPr>
        <w:t>甲方</w:t>
      </w:r>
      <w:r>
        <w:rPr>
          <w:rFonts w:hint="eastAsia" w:hAnsi="宋体" w:cs="宋体"/>
          <w:color w:val="000000"/>
          <w:szCs w:val="21"/>
        </w:rPr>
        <w:t>。</w:t>
      </w:r>
    </w:p>
    <w:p>
      <w:pPr>
        <w:pStyle w:val="59"/>
      </w:pPr>
    </w:p>
    <w:p>
      <w:pPr>
        <w:pStyle w:val="30"/>
        <w:numPr>
          <w:ilvl w:val="0"/>
          <w:numId w:val="5"/>
        </w:numPr>
        <w:spacing w:line="360" w:lineRule="auto"/>
        <w:ind w:firstLineChars="0"/>
        <w:outlineLvl w:val="1"/>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质量保证及售后要求</w:t>
      </w:r>
    </w:p>
    <w:p>
      <w:pPr>
        <w:spacing w:line="360" w:lineRule="auto"/>
        <w:ind w:firstLine="480" w:firstLineChars="200"/>
        <w:rPr>
          <w:rFonts w:hAnsi="宋体" w:cs="宋体"/>
          <w:color w:val="000000"/>
          <w:szCs w:val="21"/>
        </w:rPr>
      </w:pPr>
      <w:r>
        <w:rPr>
          <w:rFonts w:hint="eastAsia" w:hAnsi="宋体" w:cs="宋体"/>
          <w:color w:val="000000"/>
          <w:szCs w:val="21"/>
        </w:rPr>
        <w:t>1、保质期：</w:t>
      </w:r>
      <w:r>
        <w:rPr>
          <w:rFonts w:hint="eastAsia" w:hAnsi="宋体" w:cs="宋体"/>
          <w:b/>
          <w:bCs/>
          <w:color w:val="000000"/>
          <w:szCs w:val="21"/>
        </w:rPr>
        <w:t>以货到现场之日起计不少于三个月</w:t>
      </w:r>
      <w:r>
        <w:rPr>
          <w:rFonts w:hint="eastAsia" w:hAnsi="宋体" w:cs="宋体"/>
          <w:color w:val="000000"/>
          <w:szCs w:val="21"/>
        </w:rPr>
        <w:t>，保质期内产品质量须达到本合同所有技术指标要求。</w:t>
      </w:r>
    </w:p>
    <w:p>
      <w:pPr>
        <w:spacing w:line="360" w:lineRule="auto"/>
        <w:ind w:firstLine="480" w:firstLineChars="200"/>
        <w:rPr>
          <w:rFonts w:hAnsi="宋体" w:cs="宋体"/>
          <w:color w:val="000000"/>
          <w:szCs w:val="21"/>
        </w:rPr>
      </w:pPr>
      <w:r>
        <w:rPr>
          <w:rFonts w:hint="eastAsia" w:hAnsi="宋体" w:cs="宋体"/>
          <w:color w:val="000000"/>
          <w:szCs w:val="21"/>
        </w:rPr>
        <w:t>2、</w:t>
      </w:r>
      <w:r>
        <w:rPr>
          <w:rFonts w:hint="eastAsia" w:hAnsi="宋体" w:cs="宋体"/>
          <w:color w:val="000000"/>
          <w:szCs w:val="21"/>
          <w:lang w:eastAsia="zh-CN"/>
        </w:rPr>
        <w:t>乙方</w:t>
      </w:r>
      <w:r>
        <w:rPr>
          <w:rFonts w:hint="eastAsia" w:hAnsi="宋体" w:cs="宋体"/>
          <w:color w:val="000000"/>
          <w:szCs w:val="21"/>
        </w:rPr>
        <w:t>应具有相应的技术人员，具备供货及售前售后的服务能力。</w:t>
      </w:r>
    </w:p>
    <w:p>
      <w:pPr>
        <w:spacing w:line="360" w:lineRule="auto"/>
        <w:ind w:firstLine="480" w:firstLineChars="200"/>
        <w:rPr>
          <w:rFonts w:hAnsi="宋体" w:cs="宋体"/>
          <w:color w:val="000000"/>
          <w:szCs w:val="21"/>
        </w:rPr>
      </w:pPr>
      <w:r>
        <w:rPr>
          <w:rFonts w:hint="eastAsia" w:hAnsi="宋体" w:cs="宋体"/>
          <w:color w:val="000000"/>
          <w:szCs w:val="21"/>
        </w:rPr>
        <w:t>3、</w:t>
      </w:r>
      <w:r>
        <w:rPr>
          <w:rFonts w:hint="eastAsia" w:hAnsi="宋体" w:cs="宋体"/>
          <w:color w:val="000000"/>
          <w:szCs w:val="21"/>
          <w:lang w:eastAsia="zh-CN"/>
        </w:rPr>
        <w:t>乙方</w:t>
      </w:r>
      <w:r>
        <w:rPr>
          <w:rFonts w:hint="eastAsia" w:hAnsi="宋体" w:cs="宋体"/>
          <w:color w:val="000000"/>
          <w:szCs w:val="21"/>
        </w:rPr>
        <w:t>在接到质量问题通知后</w:t>
      </w:r>
      <w:r>
        <w:rPr>
          <w:rFonts w:hint="eastAsia" w:hAnsi="宋体" w:cs="宋体"/>
          <w:color w:val="000000"/>
          <w:szCs w:val="21"/>
          <w:lang w:val="en-US" w:eastAsia="zh-CN"/>
        </w:rPr>
        <w:t>2</w:t>
      </w:r>
      <w:r>
        <w:rPr>
          <w:rFonts w:hint="eastAsia" w:hAnsi="宋体" w:cs="宋体"/>
          <w:color w:val="000000"/>
          <w:szCs w:val="21"/>
        </w:rPr>
        <w:t>4小时内自费派工程师到达现场对问题进行处理。</w:t>
      </w:r>
    </w:p>
    <w:p>
      <w:pPr>
        <w:spacing w:line="360" w:lineRule="auto"/>
        <w:ind w:firstLine="480" w:firstLineChars="200"/>
        <w:rPr>
          <w:rFonts w:hAnsi="宋体" w:cs="宋体"/>
          <w:color w:val="000000"/>
          <w:szCs w:val="21"/>
        </w:rPr>
      </w:pPr>
      <w:r>
        <w:rPr>
          <w:rFonts w:hint="eastAsia" w:hAnsi="宋体" w:cs="宋体"/>
          <w:color w:val="000000"/>
          <w:szCs w:val="21"/>
          <w:lang w:val="en-US" w:eastAsia="zh-CN"/>
        </w:rPr>
        <w:t>4</w:t>
      </w:r>
      <w:r>
        <w:rPr>
          <w:rFonts w:hint="eastAsia" w:hAnsi="宋体" w:cs="宋体"/>
          <w:color w:val="000000"/>
          <w:szCs w:val="21"/>
        </w:rPr>
        <w:t>、在交货或合同履行过程中，若因所交货物（包括但不限于品种、型号、规格、质量）不符合</w:t>
      </w:r>
      <w:r>
        <w:rPr>
          <w:rFonts w:hint="eastAsia" w:hAnsi="宋体" w:cs="宋体"/>
          <w:color w:val="000000"/>
          <w:szCs w:val="21"/>
          <w:lang w:eastAsia="zh-CN"/>
        </w:rPr>
        <w:t>甲方</w:t>
      </w:r>
      <w:r>
        <w:rPr>
          <w:rFonts w:hint="eastAsia" w:hAnsi="宋体" w:cs="宋体"/>
          <w:color w:val="000000"/>
          <w:szCs w:val="21"/>
        </w:rPr>
        <w:t>要求、或货物使用过程中出现质量问题，导致</w:t>
      </w:r>
      <w:r>
        <w:rPr>
          <w:rFonts w:hint="eastAsia" w:hAnsi="宋体" w:cs="宋体"/>
          <w:color w:val="000000"/>
          <w:szCs w:val="21"/>
          <w:lang w:eastAsia="zh-CN"/>
        </w:rPr>
        <w:t>乙方</w:t>
      </w:r>
      <w:r>
        <w:rPr>
          <w:rFonts w:hint="eastAsia" w:hAnsi="宋体" w:cs="宋体"/>
          <w:color w:val="000000"/>
          <w:szCs w:val="21"/>
        </w:rPr>
        <w:t>提供的生产药剂如不能通过</w:t>
      </w:r>
      <w:r>
        <w:rPr>
          <w:rFonts w:hint="eastAsia" w:hAnsi="宋体" w:cs="宋体"/>
          <w:color w:val="000000"/>
          <w:szCs w:val="21"/>
          <w:lang w:eastAsia="zh-CN"/>
        </w:rPr>
        <w:t>甲方</w:t>
      </w:r>
      <w:r>
        <w:rPr>
          <w:rFonts w:hint="eastAsia" w:hAnsi="宋体" w:cs="宋体"/>
          <w:color w:val="000000"/>
          <w:szCs w:val="21"/>
        </w:rPr>
        <w:t>验收的，</w:t>
      </w:r>
      <w:r>
        <w:rPr>
          <w:rFonts w:hint="eastAsia" w:hAnsi="宋体" w:cs="宋体"/>
          <w:color w:val="000000"/>
          <w:szCs w:val="21"/>
          <w:lang w:eastAsia="zh-CN"/>
        </w:rPr>
        <w:t>甲方</w:t>
      </w:r>
      <w:r>
        <w:rPr>
          <w:rFonts w:hint="eastAsia" w:hAnsi="宋体" w:cs="宋体"/>
          <w:color w:val="000000"/>
          <w:szCs w:val="21"/>
        </w:rPr>
        <w:t>可拒绝收货或要求</w:t>
      </w:r>
      <w:r>
        <w:rPr>
          <w:rFonts w:hint="eastAsia" w:hAnsi="宋体" w:cs="宋体"/>
          <w:color w:val="000000"/>
          <w:szCs w:val="21"/>
          <w:lang w:eastAsia="zh-CN"/>
        </w:rPr>
        <w:t>乙方</w:t>
      </w:r>
      <w:r>
        <w:rPr>
          <w:rFonts w:hint="eastAsia" w:hAnsi="宋体" w:cs="宋体"/>
          <w:color w:val="000000"/>
          <w:szCs w:val="21"/>
        </w:rPr>
        <w:t>承担退换货责任。原则上</w:t>
      </w:r>
      <w:r>
        <w:rPr>
          <w:rFonts w:hint="eastAsia" w:hAnsi="宋体" w:cs="宋体"/>
          <w:color w:val="000000"/>
          <w:szCs w:val="21"/>
          <w:lang w:eastAsia="zh-CN"/>
        </w:rPr>
        <w:t>乙方</w:t>
      </w:r>
      <w:r>
        <w:rPr>
          <w:rFonts w:hint="eastAsia" w:hAnsi="宋体" w:cs="宋体"/>
          <w:color w:val="000000"/>
          <w:szCs w:val="21"/>
        </w:rPr>
        <w:t>应该在不影响</w:t>
      </w:r>
      <w:r>
        <w:rPr>
          <w:rFonts w:hint="eastAsia" w:hAnsi="宋体" w:cs="宋体"/>
          <w:color w:val="000000"/>
          <w:szCs w:val="21"/>
          <w:lang w:eastAsia="zh-CN"/>
        </w:rPr>
        <w:t>甲方</w:t>
      </w:r>
      <w:r>
        <w:rPr>
          <w:rFonts w:hint="eastAsia" w:hAnsi="宋体" w:cs="宋体"/>
          <w:color w:val="000000"/>
          <w:szCs w:val="21"/>
        </w:rPr>
        <w:t>正常生产的情况下，自</w:t>
      </w:r>
      <w:r>
        <w:rPr>
          <w:rFonts w:hint="eastAsia" w:hAnsi="宋体" w:cs="宋体"/>
          <w:color w:val="000000"/>
          <w:szCs w:val="21"/>
          <w:lang w:eastAsia="zh-CN"/>
        </w:rPr>
        <w:t>甲方</w:t>
      </w:r>
      <w:r>
        <w:rPr>
          <w:rFonts w:hint="eastAsia" w:hAnsi="宋体" w:cs="宋体"/>
          <w:color w:val="000000"/>
          <w:szCs w:val="21"/>
        </w:rPr>
        <w:t>通知后</w:t>
      </w:r>
      <w:r>
        <w:rPr>
          <w:rFonts w:hint="eastAsia" w:hAnsi="宋体" w:cs="宋体"/>
          <w:color w:val="000000"/>
          <w:szCs w:val="21"/>
          <w:lang w:val="en-US" w:eastAsia="zh-CN"/>
        </w:rPr>
        <w:t>2</w:t>
      </w:r>
      <w:r>
        <w:rPr>
          <w:rFonts w:hint="eastAsia" w:hAnsi="宋体" w:cs="宋体"/>
          <w:color w:val="000000"/>
          <w:szCs w:val="21"/>
        </w:rPr>
        <w:t>4小时内无条件予以退换货，</w:t>
      </w:r>
      <w:r>
        <w:rPr>
          <w:rFonts w:hint="eastAsia" w:hAnsi="宋体" w:cs="宋体"/>
          <w:color w:val="000000"/>
          <w:szCs w:val="21"/>
          <w:lang w:eastAsia="zh-CN"/>
        </w:rPr>
        <w:t>甲方</w:t>
      </w:r>
      <w:r>
        <w:rPr>
          <w:rFonts w:hint="eastAsia" w:hAnsi="宋体" w:cs="宋体"/>
          <w:color w:val="000000"/>
          <w:szCs w:val="21"/>
        </w:rPr>
        <w:t>不承担因验收造成的货物损耗及运输等一切费用且不对货物承担保管责任，因此产生的费用及风险由</w:t>
      </w:r>
      <w:r>
        <w:rPr>
          <w:rFonts w:hint="eastAsia" w:hAnsi="宋体" w:cs="宋体"/>
          <w:color w:val="000000"/>
          <w:szCs w:val="21"/>
          <w:lang w:eastAsia="zh-CN"/>
        </w:rPr>
        <w:t>乙方</w:t>
      </w:r>
      <w:r>
        <w:rPr>
          <w:rFonts w:hint="eastAsia" w:hAnsi="宋体" w:cs="宋体"/>
          <w:color w:val="000000"/>
          <w:szCs w:val="21"/>
        </w:rPr>
        <w:t>承担。</w:t>
      </w:r>
    </w:p>
    <w:p>
      <w:pPr>
        <w:spacing w:line="360" w:lineRule="auto"/>
        <w:ind w:firstLine="480" w:firstLineChars="200"/>
        <w:rPr>
          <w:rFonts w:hAnsi="宋体" w:cs="宋体"/>
          <w:color w:val="000000"/>
          <w:szCs w:val="21"/>
        </w:rPr>
      </w:pPr>
      <w:r>
        <w:rPr>
          <w:rFonts w:hint="eastAsia" w:hAnsi="宋体" w:cs="宋体"/>
          <w:color w:val="000000"/>
          <w:szCs w:val="21"/>
          <w:lang w:val="en-US" w:eastAsia="zh-CN"/>
        </w:rPr>
        <w:t>5</w:t>
      </w:r>
      <w:r>
        <w:rPr>
          <w:rFonts w:hint="eastAsia" w:hAnsi="宋体" w:cs="宋体"/>
          <w:color w:val="000000"/>
          <w:szCs w:val="21"/>
        </w:rPr>
        <w:t>、自</w:t>
      </w:r>
      <w:r>
        <w:rPr>
          <w:rFonts w:hint="eastAsia" w:hAnsi="宋体" w:cs="宋体"/>
          <w:color w:val="000000"/>
          <w:szCs w:val="21"/>
          <w:lang w:eastAsia="zh-CN"/>
        </w:rPr>
        <w:t>甲方</w:t>
      </w:r>
      <w:r>
        <w:rPr>
          <w:rFonts w:hint="eastAsia" w:hAnsi="宋体" w:cs="宋体"/>
          <w:color w:val="000000"/>
          <w:szCs w:val="21"/>
        </w:rPr>
        <w:t>通知货物检验不合格或货物使用过程中出现质量问题而要求</w:t>
      </w:r>
      <w:r>
        <w:rPr>
          <w:rFonts w:hint="eastAsia" w:hAnsi="宋体" w:cs="宋体"/>
          <w:color w:val="000000"/>
          <w:szCs w:val="21"/>
          <w:lang w:eastAsia="zh-CN"/>
        </w:rPr>
        <w:t>乙方</w:t>
      </w:r>
      <w:r>
        <w:rPr>
          <w:rFonts w:hint="eastAsia" w:hAnsi="宋体" w:cs="宋体"/>
          <w:color w:val="000000"/>
          <w:szCs w:val="21"/>
        </w:rPr>
        <w:t>按照前述条款进行退换货后</w:t>
      </w:r>
      <w:r>
        <w:rPr>
          <w:rFonts w:hint="eastAsia" w:hAnsi="宋体" w:cs="宋体"/>
          <w:color w:val="000000"/>
          <w:szCs w:val="21"/>
          <w:lang w:val="en-US" w:eastAsia="zh-CN"/>
        </w:rPr>
        <w:t>2</w:t>
      </w:r>
      <w:r>
        <w:rPr>
          <w:rFonts w:hint="eastAsia" w:hAnsi="宋体" w:cs="宋体"/>
          <w:color w:val="000000"/>
          <w:szCs w:val="21"/>
        </w:rPr>
        <w:t>4小时内</w:t>
      </w:r>
      <w:r>
        <w:rPr>
          <w:rFonts w:hint="eastAsia" w:hAnsi="宋体" w:cs="宋体"/>
          <w:color w:val="000000"/>
          <w:szCs w:val="21"/>
          <w:lang w:eastAsia="zh-CN"/>
        </w:rPr>
        <w:t>乙方</w:t>
      </w:r>
      <w:r>
        <w:rPr>
          <w:rFonts w:hint="eastAsia" w:hAnsi="宋体" w:cs="宋体"/>
          <w:color w:val="000000"/>
          <w:szCs w:val="21"/>
        </w:rPr>
        <w:t>未将不合格货物运离</w:t>
      </w:r>
      <w:r>
        <w:rPr>
          <w:rFonts w:hint="eastAsia" w:hAnsi="宋体" w:cs="宋体"/>
          <w:color w:val="000000"/>
          <w:szCs w:val="21"/>
          <w:lang w:eastAsia="zh-CN"/>
        </w:rPr>
        <w:t>甲方</w:t>
      </w:r>
      <w:r>
        <w:rPr>
          <w:rFonts w:hint="eastAsia" w:hAnsi="宋体" w:cs="宋体"/>
          <w:color w:val="000000"/>
          <w:szCs w:val="21"/>
        </w:rPr>
        <w:t>仓库，</w:t>
      </w:r>
      <w:r>
        <w:rPr>
          <w:rFonts w:hint="eastAsia" w:hAnsi="宋体" w:cs="宋体"/>
          <w:color w:val="000000"/>
          <w:szCs w:val="21"/>
          <w:lang w:eastAsia="zh-CN"/>
        </w:rPr>
        <w:t>甲方</w:t>
      </w:r>
      <w:r>
        <w:rPr>
          <w:rFonts w:hint="eastAsia" w:hAnsi="宋体" w:cs="宋体"/>
          <w:color w:val="000000"/>
          <w:szCs w:val="21"/>
        </w:rPr>
        <w:t>可自行或委托第三方对不合格货物进行处置，</w:t>
      </w:r>
      <w:r>
        <w:rPr>
          <w:rFonts w:hint="eastAsia" w:hAnsi="宋体" w:cs="宋体"/>
          <w:color w:val="000000"/>
          <w:szCs w:val="21"/>
          <w:lang w:eastAsia="zh-CN"/>
        </w:rPr>
        <w:t>乙方</w:t>
      </w:r>
      <w:r>
        <w:rPr>
          <w:rFonts w:hint="eastAsia" w:hAnsi="宋体" w:cs="宋体"/>
          <w:color w:val="000000"/>
          <w:szCs w:val="21"/>
        </w:rPr>
        <w:t>须承担</w:t>
      </w:r>
      <w:r>
        <w:rPr>
          <w:rFonts w:hint="eastAsia" w:hAnsi="宋体" w:cs="宋体"/>
          <w:color w:val="000000"/>
          <w:szCs w:val="21"/>
          <w:lang w:eastAsia="zh-CN"/>
        </w:rPr>
        <w:t>甲方</w:t>
      </w:r>
      <w:r>
        <w:rPr>
          <w:rFonts w:hint="eastAsia" w:hAnsi="宋体" w:cs="宋体"/>
          <w:color w:val="000000"/>
          <w:szCs w:val="21"/>
        </w:rPr>
        <w:t>处置该次不合格货物所需的全部费用，以及给</w:t>
      </w:r>
      <w:r>
        <w:rPr>
          <w:rFonts w:hint="eastAsia" w:hAnsi="宋体" w:cs="宋体"/>
          <w:color w:val="000000"/>
          <w:szCs w:val="21"/>
          <w:lang w:eastAsia="zh-CN"/>
        </w:rPr>
        <w:t>甲方</w:t>
      </w:r>
      <w:r>
        <w:rPr>
          <w:rFonts w:hint="eastAsia" w:hAnsi="宋体" w:cs="宋体"/>
          <w:color w:val="000000"/>
          <w:szCs w:val="21"/>
        </w:rPr>
        <w:t>造成的一切损失。</w:t>
      </w:r>
    </w:p>
    <w:p>
      <w:pPr>
        <w:spacing w:line="360" w:lineRule="auto"/>
        <w:ind w:firstLine="480" w:firstLineChars="200"/>
        <w:rPr>
          <w:rFonts w:hint="eastAsia" w:hAnsi="宋体" w:cs="宋体"/>
          <w:color w:val="000000"/>
          <w:szCs w:val="21"/>
        </w:rPr>
      </w:pPr>
      <w:r>
        <w:rPr>
          <w:rFonts w:hint="eastAsia" w:hAnsi="宋体" w:cs="宋体"/>
          <w:color w:val="000000"/>
          <w:szCs w:val="21"/>
          <w:lang w:val="en-US" w:eastAsia="zh-CN"/>
        </w:rPr>
        <w:t>6</w:t>
      </w:r>
      <w:r>
        <w:rPr>
          <w:rFonts w:hint="eastAsia" w:hAnsi="宋体" w:cs="宋体"/>
          <w:color w:val="000000"/>
          <w:szCs w:val="21"/>
        </w:rPr>
        <w:t>、自</w:t>
      </w:r>
      <w:r>
        <w:rPr>
          <w:rFonts w:hint="eastAsia" w:hAnsi="宋体" w:cs="宋体"/>
          <w:color w:val="000000"/>
          <w:szCs w:val="21"/>
          <w:lang w:eastAsia="zh-CN"/>
        </w:rPr>
        <w:t>甲方</w:t>
      </w:r>
      <w:r>
        <w:rPr>
          <w:rFonts w:hint="eastAsia" w:hAnsi="宋体" w:cs="宋体"/>
          <w:color w:val="000000"/>
          <w:szCs w:val="21"/>
        </w:rPr>
        <w:t>通知</w:t>
      </w:r>
      <w:r>
        <w:rPr>
          <w:rFonts w:hint="eastAsia" w:hAnsi="宋体" w:cs="宋体"/>
          <w:color w:val="000000"/>
          <w:szCs w:val="21"/>
          <w:lang w:eastAsia="zh-CN"/>
        </w:rPr>
        <w:t>乙方</w:t>
      </w:r>
      <w:r>
        <w:rPr>
          <w:rFonts w:hint="eastAsia" w:hAnsi="宋体" w:cs="宋体"/>
          <w:color w:val="000000"/>
          <w:szCs w:val="21"/>
        </w:rPr>
        <w:t>货物检验不合格或货物使用过程中出现质量问题后，</w:t>
      </w:r>
      <w:r>
        <w:rPr>
          <w:rFonts w:hint="eastAsia" w:hAnsi="宋体" w:cs="宋体"/>
          <w:color w:val="000000"/>
          <w:szCs w:val="21"/>
          <w:lang w:eastAsia="zh-CN"/>
        </w:rPr>
        <w:t>甲方</w:t>
      </w:r>
      <w:r>
        <w:rPr>
          <w:rFonts w:hint="eastAsia" w:hAnsi="宋体" w:cs="宋体"/>
          <w:color w:val="000000"/>
          <w:szCs w:val="21"/>
        </w:rPr>
        <w:t>有权要求</w:t>
      </w:r>
      <w:r>
        <w:rPr>
          <w:rFonts w:hint="eastAsia" w:hAnsi="宋体" w:cs="宋体"/>
          <w:color w:val="000000"/>
          <w:szCs w:val="21"/>
          <w:lang w:eastAsia="zh-CN"/>
        </w:rPr>
        <w:t>乙方</w:t>
      </w:r>
      <w:r>
        <w:rPr>
          <w:rFonts w:hint="eastAsia" w:hAnsi="宋体" w:cs="宋体"/>
          <w:color w:val="000000"/>
          <w:szCs w:val="21"/>
        </w:rPr>
        <w:t>按照加急供货的规定，将等量的合格货物送交</w:t>
      </w:r>
      <w:r>
        <w:rPr>
          <w:rFonts w:hint="eastAsia" w:hAnsi="宋体" w:cs="宋体"/>
          <w:color w:val="000000"/>
          <w:szCs w:val="21"/>
          <w:lang w:eastAsia="zh-CN"/>
        </w:rPr>
        <w:t>甲方</w:t>
      </w:r>
      <w:r>
        <w:rPr>
          <w:rFonts w:hint="eastAsia" w:hAnsi="宋体" w:cs="宋体"/>
          <w:color w:val="000000"/>
          <w:szCs w:val="21"/>
        </w:rPr>
        <w:t>，否则按加急供货的违约规定进行处理。</w:t>
      </w:r>
    </w:p>
    <w:p>
      <w:pPr>
        <w:pStyle w:val="59"/>
        <w:rPr>
          <w:rFonts w:hint="eastAsia"/>
          <w:lang w:val="en-US" w:eastAsia="zh-CN"/>
        </w:rPr>
      </w:pPr>
    </w:p>
    <w:p>
      <w:pPr>
        <w:pStyle w:val="30"/>
        <w:numPr>
          <w:ilvl w:val="0"/>
          <w:numId w:val="5"/>
        </w:numPr>
        <w:spacing w:line="360" w:lineRule="auto"/>
        <w:ind w:firstLineChars="0"/>
        <w:outlineLvl w:val="1"/>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价款要求及付款方式</w:t>
      </w:r>
    </w:p>
    <w:p>
      <w:pPr>
        <w:spacing w:line="360" w:lineRule="auto"/>
        <w:ind w:firstLine="480" w:firstLineChars="200"/>
        <w:jc w:val="both"/>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1、本合同综合单价（即销售额，不含乙方销项税额）为</w:t>
      </w:r>
      <w:r>
        <w:rPr>
          <w:rFonts w:hint="eastAsia" w:hAnsi="宋体" w:cs="Times New Roman"/>
          <w:color w:val="000000"/>
          <w:sz w:val="24"/>
          <w:szCs w:val="24"/>
          <w:lang w:val="en-US" w:eastAsia="zh-CN"/>
        </w:rPr>
        <w:t>硫酸溶液</w:t>
      </w:r>
      <w:r>
        <w:rPr>
          <w:rFonts w:hint="default"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元/吨（大写人民币</w:t>
      </w:r>
      <w:r>
        <w:rPr>
          <w:rFonts w:hint="eastAsia" w:ascii="宋体" w:hAnsi="宋体" w:eastAsia="宋体" w:cs="Times New Roman"/>
          <w:color w:val="000000"/>
          <w:sz w:val="24"/>
          <w:szCs w:val="24"/>
          <w:lang w:val="en-US" w:eastAsia="zh-CN"/>
        </w:rPr>
        <w:t>每吨</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w:t>
      </w:r>
      <w:r>
        <w:rPr>
          <w:rFonts w:hint="eastAsia" w:hAnsi="宋体" w:cs="Times New Roman"/>
          <w:color w:val="000000"/>
          <w:sz w:val="24"/>
          <w:szCs w:val="24"/>
          <w:lang w:val="en-US" w:eastAsia="zh-CN"/>
        </w:rPr>
        <w:t>、盐酸溶液</w:t>
      </w:r>
      <w:r>
        <w:rPr>
          <w:rFonts w:hint="default"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元/吨（大写人民币</w:t>
      </w:r>
      <w:r>
        <w:rPr>
          <w:rFonts w:hint="eastAsia" w:ascii="宋体" w:hAnsi="宋体" w:eastAsia="宋体" w:cs="Times New Roman"/>
          <w:color w:val="000000"/>
          <w:sz w:val="24"/>
          <w:szCs w:val="24"/>
          <w:lang w:val="en-US" w:eastAsia="zh-CN"/>
        </w:rPr>
        <w:t>每吨</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）。在本合同履行过程中，综合单价（即销售额，不含乙方销项税额）固定不变，不因材料、成分比例调整、劳务成本、运输成本、货物</w:t>
      </w:r>
      <w:r>
        <w:rPr>
          <w:rFonts w:hint="eastAsia" w:hAnsi="宋体" w:cs="Times New Roman"/>
          <w:color w:val="000000"/>
          <w:sz w:val="24"/>
          <w:szCs w:val="24"/>
          <w:lang w:val="en-US" w:eastAsia="zh-CN"/>
        </w:rPr>
        <w:t>、乙方销项税以外的税费</w:t>
      </w:r>
      <w:r>
        <w:rPr>
          <w:rFonts w:hint="default" w:ascii="宋体" w:hAnsi="宋体" w:eastAsia="宋体" w:cs="Times New Roman"/>
          <w:color w:val="000000"/>
          <w:sz w:val="24"/>
          <w:szCs w:val="24"/>
          <w:lang w:val="en-US" w:eastAsia="zh-CN"/>
        </w:rPr>
        <w:t>等行业标准或国家标准的变动等其他理由予以变更。未经甲方书面确认，乙方无权增加任何费用。</w:t>
      </w:r>
    </w:p>
    <w:p>
      <w:pPr>
        <w:spacing w:line="360" w:lineRule="auto"/>
        <w:ind w:firstLine="480" w:firstLineChars="200"/>
        <w:jc w:val="both"/>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2、依法计得并根据本合同约定确定的销项税额由甲方承担。根据《中华人民共和国增值税暂行条例》（国务院令第691号修订版）及当前税务部门的相关规定，本合同项目的增值税税率为</w:t>
      </w:r>
      <w:r>
        <w:rPr>
          <w:rFonts w:hint="default"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%，对应的销项税额为</w:t>
      </w:r>
      <w:r>
        <w:rPr>
          <w:rFonts w:hint="eastAsia" w:hAnsi="宋体" w:cs="Times New Roman"/>
          <w:color w:val="000000"/>
          <w:sz w:val="24"/>
          <w:szCs w:val="24"/>
          <w:lang w:val="en-US" w:eastAsia="zh-CN"/>
        </w:rPr>
        <w:t>硫酸溶液</w:t>
      </w:r>
      <w:r>
        <w:rPr>
          <w:rFonts w:hint="default" w:ascii="宋体" w:hAnsi="宋体" w:eastAsia="宋体" w:cs="Times New Roman"/>
          <w:color w:val="000000"/>
          <w:sz w:val="24"/>
          <w:szCs w:val="24"/>
          <w:lang w:val="en-US" w:eastAsia="zh-CN"/>
        </w:rPr>
        <w:t>¥</w:t>
      </w:r>
      <w:r>
        <w:rPr>
          <w:rFonts w:hint="default" w:ascii="宋体" w:hAnsi="宋体" w:eastAsia="宋体" w:cs="Times New Roman"/>
          <w:color w:val="000000"/>
          <w:sz w:val="24"/>
          <w:szCs w:val="24"/>
          <w:u w:val="single"/>
          <w:lang w:val="en-US" w:eastAsia="zh-CN"/>
        </w:rPr>
        <w:t xml:space="preserve">        </w:t>
      </w:r>
      <w:r>
        <w:rPr>
          <w:rFonts w:hint="eastAsia" w:ascii="Times New Roman"/>
        </w:rPr>
        <w:t>元/吨</w:t>
      </w:r>
      <w:r>
        <w:rPr>
          <w:rFonts w:hint="default" w:ascii="宋体" w:hAnsi="宋体" w:eastAsia="宋体" w:cs="Times New Roman"/>
          <w:color w:val="000000"/>
          <w:sz w:val="24"/>
          <w:szCs w:val="24"/>
          <w:lang w:val="en-US" w:eastAsia="zh-CN"/>
        </w:rPr>
        <w:t>（大写人民币</w:t>
      </w:r>
      <w:r>
        <w:rPr>
          <w:rFonts w:hint="eastAsia" w:ascii="宋体" w:hAnsi="宋体" w:eastAsia="宋体" w:cs="Times New Roman"/>
          <w:color w:val="000000"/>
          <w:sz w:val="24"/>
          <w:szCs w:val="24"/>
          <w:lang w:val="en-US" w:eastAsia="zh-CN"/>
        </w:rPr>
        <w:t>每吨</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w:t>
      </w:r>
      <w:r>
        <w:rPr>
          <w:rFonts w:hint="eastAsia" w:hAnsi="宋体" w:cs="Times New Roman"/>
          <w:color w:val="000000"/>
          <w:sz w:val="24"/>
          <w:szCs w:val="24"/>
          <w:lang w:val="en-US" w:eastAsia="zh-CN"/>
        </w:rPr>
        <w:t>、盐酸溶液</w:t>
      </w:r>
      <w:r>
        <w:rPr>
          <w:rFonts w:hint="default"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元/吨（大写人民币</w:t>
      </w:r>
      <w:r>
        <w:rPr>
          <w:rFonts w:hint="eastAsia" w:ascii="宋体" w:hAnsi="宋体" w:eastAsia="宋体" w:cs="Times New Roman"/>
          <w:color w:val="000000"/>
          <w:sz w:val="24"/>
          <w:szCs w:val="24"/>
          <w:lang w:val="en-US" w:eastAsia="zh-CN"/>
        </w:rPr>
        <w:t>每吨</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pPr>
        <w:spacing w:line="360" w:lineRule="auto"/>
        <w:ind w:firstLine="480" w:firstLineChars="200"/>
        <w:jc w:val="both"/>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因乙方未按法定税率计算税额或未根据本合同约定出具对应税额的增值税专用发票等乙方原因导致甲方多支付税额的，乙方必须退还甲方，给甲方造成损失的，乙方须向甲方赔偿相应损失。</w:t>
      </w:r>
    </w:p>
    <w:p>
      <w:pPr>
        <w:spacing w:line="360" w:lineRule="auto"/>
        <w:ind w:firstLine="480" w:firstLineChars="200"/>
        <w:jc w:val="both"/>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3、合同综合单价价税合计为</w:t>
      </w:r>
      <w:r>
        <w:rPr>
          <w:rFonts w:hint="eastAsia" w:hAnsi="宋体" w:cs="Times New Roman"/>
          <w:color w:val="000000"/>
          <w:sz w:val="24"/>
          <w:szCs w:val="24"/>
          <w:lang w:val="en-US" w:eastAsia="zh-CN"/>
        </w:rPr>
        <w:t>硫酸溶液</w:t>
      </w:r>
      <w:r>
        <w:rPr>
          <w:rFonts w:hint="default" w:ascii="宋体" w:hAnsi="宋体" w:eastAsia="宋体" w:cs="Times New Roman"/>
          <w:color w:val="000000"/>
          <w:sz w:val="24"/>
          <w:szCs w:val="24"/>
          <w:lang w:val="en-US" w:eastAsia="zh-CN"/>
        </w:rPr>
        <w:t>¥</w:t>
      </w:r>
      <w:r>
        <w:rPr>
          <w:rFonts w:hint="default" w:ascii="宋体" w:hAnsi="宋体" w:eastAsia="宋体" w:cs="Times New Roman"/>
          <w:color w:val="000000"/>
          <w:sz w:val="24"/>
          <w:szCs w:val="24"/>
          <w:u w:val="single"/>
          <w:lang w:val="en-US" w:eastAsia="zh-CN"/>
        </w:rPr>
        <w:t xml:space="preserve">        </w:t>
      </w:r>
      <w:r>
        <w:rPr>
          <w:rFonts w:hint="eastAsia" w:ascii="Times New Roman"/>
        </w:rPr>
        <w:t>元/吨</w:t>
      </w:r>
      <w:r>
        <w:rPr>
          <w:rFonts w:hint="default" w:ascii="宋体" w:hAnsi="宋体" w:eastAsia="宋体" w:cs="Times New Roman"/>
          <w:color w:val="000000"/>
          <w:sz w:val="24"/>
          <w:szCs w:val="24"/>
          <w:lang w:val="en-US" w:eastAsia="zh-CN"/>
        </w:rPr>
        <w:t>（大写人民币</w:t>
      </w:r>
      <w:r>
        <w:rPr>
          <w:rFonts w:hint="eastAsia" w:ascii="宋体" w:hAnsi="宋体" w:eastAsia="宋体" w:cs="Times New Roman"/>
          <w:color w:val="000000"/>
          <w:sz w:val="24"/>
          <w:szCs w:val="24"/>
          <w:lang w:val="en-US" w:eastAsia="zh-CN"/>
        </w:rPr>
        <w:t>每吨</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w:t>
      </w:r>
      <w:r>
        <w:rPr>
          <w:rFonts w:hint="eastAsia" w:hAnsi="宋体" w:cs="Times New Roman"/>
          <w:color w:val="000000"/>
          <w:sz w:val="24"/>
          <w:szCs w:val="24"/>
          <w:lang w:val="en-US" w:eastAsia="zh-CN"/>
        </w:rPr>
        <w:t>、盐酸溶液</w:t>
      </w:r>
      <w:r>
        <w:rPr>
          <w:rFonts w:hint="default"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元/吨（大写人民币</w:t>
      </w:r>
      <w:r>
        <w:rPr>
          <w:rFonts w:hint="eastAsia" w:ascii="宋体" w:hAnsi="宋体" w:eastAsia="宋体" w:cs="Times New Roman"/>
          <w:color w:val="000000"/>
          <w:sz w:val="24"/>
          <w:szCs w:val="24"/>
          <w:lang w:val="en-US" w:eastAsia="zh-CN"/>
        </w:rPr>
        <w:t>每吨</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），合同履行期间根据本条第2项规定调整销项税额的，结算合同价税合计对应调整。</w:t>
      </w:r>
    </w:p>
    <w:p>
      <w:pPr>
        <w:spacing w:line="360" w:lineRule="auto"/>
        <w:ind w:firstLine="480" w:firstLineChars="200"/>
        <w:jc w:val="both"/>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4、采购合同下暂定采购数量对应的暂定合同价为¥</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元（大写人民币</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，不含增值税）；暂定采购数量对应的暂定合同</w:t>
      </w:r>
      <w:r>
        <w:rPr>
          <w:rFonts w:hint="eastAsia" w:hAnsi="宋体" w:cs="Times New Roman"/>
          <w:color w:val="000000"/>
          <w:sz w:val="24"/>
          <w:szCs w:val="24"/>
          <w:lang w:val="en-US" w:eastAsia="zh-CN"/>
        </w:rPr>
        <w:t>价税合计</w:t>
      </w:r>
      <w:r>
        <w:rPr>
          <w:rFonts w:hint="default" w:ascii="宋体" w:hAnsi="宋体" w:eastAsia="宋体" w:cs="Times New Roman"/>
          <w:color w:val="000000"/>
          <w:sz w:val="24"/>
          <w:szCs w:val="24"/>
          <w:lang w:val="en-US" w:eastAsia="zh-CN"/>
        </w:rPr>
        <w:t>为¥</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元（大写人民币</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w:t>
      </w:r>
    </w:p>
    <w:p>
      <w:pPr>
        <w:pStyle w:val="59"/>
        <w:spacing w:line="360" w:lineRule="auto"/>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lang w:val="en-US" w:eastAsia="zh-CN" w:bidi="ar-SA"/>
        </w:rPr>
        <w:t>、货物结算</w:t>
      </w:r>
    </w:p>
    <w:p>
      <w:pPr>
        <w:pStyle w:val="30"/>
        <w:spacing w:line="360" w:lineRule="auto"/>
        <w:rPr>
          <w:rFonts w:hAnsi="宋体" w:cs="宋体"/>
          <w:color w:val="000000"/>
          <w:sz w:val="24"/>
          <w:szCs w:val="24"/>
        </w:rPr>
      </w:pPr>
      <w:r>
        <w:rPr>
          <w:rFonts w:hint="eastAsia" w:hAnsi="宋体" w:cs="宋体"/>
          <w:color w:val="000000"/>
          <w:sz w:val="24"/>
          <w:szCs w:val="24"/>
        </w:rPr>
        <w:t>双方一致同意，</w:t>
      </w:r>
      <w:r>
        <w:rPr>
          <w:rFonts w:hint="eastAsia" w:hAnsi="宋体" w:cs="宋体"/>
          <w:color w:val="000000"/>
          <w:sz w:val="24"/>
          <w:szCs w:val="24"/>
          <w:lang w:eastAsia="zh-CN"/>
        </w:rPr>
        <w:t>甲方</w:t>
      </w:r>
      <w:r>
        <w:rPr>
          <w:rFonts w:hint="eastAsia" w:hAnsi="宋体" w:cs="宋体"/>
          <w:color w:val="000000"/>
          <w:sz w:val="24"/>
          <w:szCs w:val="24"/>
        </w:rPr>
        <w:t>通过以下方式以人民币支付合同款项给</w:t>
      </w:r>
      <w:r>
        <w:rPr>
          <w:rFonts w:hint="eastAsia" w:hAnsi="宋体" w:cs="宋体"/>
          <w:color w:val="000000"/>
          <w:sz w:val="24"/>
          <w:szCs w:val="24"/>
          <w:lang w:eastAsia="zh-CN"/>
        </w:rPr>
        <w:t>乙方</w:t>
      </w:r>
      <w:r>
        <w:rPr>
          <w:rFonts w:hint="eastAsia" w:hAnsi="宋体" w:cs="宋体"/>
          <w:color w:val="000000"/>
          <w:sz w:val="24"/>
          <w:szCs w:val="24"/>
        </w:rPr>
        <w:t>：</w:t>
      </w:r>
    </w:p>
    <w:p>
      <w:pPr>
        <w:pStyle w:val="30"/>
        <w:spacing w:line="360" w:lineRule="auto"/>
        <w:rPr>
          <w:rFonts w:hAnsi="宋体" w:cs="宋体"/>
          <w:color w:val="000000"/>
          <w:sz w:val="24"/>
          <w:szCs w:val="24"/>
        </w:rPr>
      </w:pPr>
      <w:bookmarkStart w:id="29" w:name="_Hlk142640500"/>
      <w:r>
        <w:rPr>
          <w:rFonts w:hint="eastAsia" w:hAnsi="宋体" w:cs="宋体"/>
          <w:color w:val="000000"/>
          <w:sz w:val="24"/>
          <w:szCs w:val="24"/>
          <w:lang w:eastAsia="zh-CN"/>
        </w:rPr>
        <w:t>（</w:t>
      </w:r>
      <w:r>
        <w:rPr>
          <w:rFonts w:hint="eastAsia" w:hAnsi="宋体" w:cs="宋体"/>
          <w:color w:val="000000"/>
          <w:sz w:val="24"/>
          <w:szCs w:val="24"/>
        </w:rPr>
        <w:t>1</w:t>
      </w:r>
      <w:r>
        <w:rPr>
          <w:rFonts w:hint="eastAsia" w:hAnsi="宋体" w:cs="宋体"/>
          <w:color w:val="000000"/>
          <w:sz w:val="24"/>
          <w:szCs w:val="24"/>
          <w:lang w:eastAsia="zh-CN"/>
        </w:rPr>
        <w:t>）</w:t>
      </w:r>
      <w:r>
        <w:rPr>
          <w:rFonts w:hint="eastAsia" w:hAnsi="宋体" w:cs="宋体"/>
          <w:color w:val="000000"/>
          <w:sz w:val="24"/>
          <w:szCs w:val="24"/>
        </w:rPr>
        <w:t>合同的履约过程中，</w:t>
      </w:r>
      <w:r>
        <w:rPr>
          <w:rFonts w:hint="eastAsia" w:hAnsi="宋体" w:cs="宋体"/>
          <w:color w:val="000000"/>
          <w:sz w:val="24"/>
          <w:szCs w:val="24"/>
          <w:lang w:eastAsia="zh-CN"/>
        </w:rPr>
        <w:t>乙方</w:t>
      </w:r>
      <w:r>
        <w:rPr>
          <w:rFonts w:hint="eastAsia" w:hAnsi="宋体" w:cs="宋体"/>
          <w:color w:val="000000"/>
          <w:sz w:val="24"/>
          <w:szCs w:val="24"/>
        </w:rPr>
        <w:t>根据本项目合同书约定需向</w:t>
      </w:r>
      <w:r>
        <w:rPr>
          <w:rFonts w:hint="eastAsia" w:hAnsi="宋体" w:cs="宋体"/>
          <w:color w:val="000000"/>
          <w:sz w:val="24"/>
          <w:szCs w:val="24"/>
          <w:lang w:eastAsia="zh-CN"/>
        </w:rPr>
        <w:t>甲方</w:t>
      </w:r>
      <w:r>
        <w:rPr>
          <w:rFonts w:hint="eastAsia" w:hAnsi="宋体" w:cs="宋体"/>
          <w:color w:val="000000"/>
          <w:sz w:val="24"/>
          <w:szCs w:val="24"/>
        </w:rPr>
        <w:t>支付违约金、赔偿金、或其他应付费用等款项的，</w:t>
      </w:r>
      <w:r>
        <w:rPr>
          <w:rFonts w:hint="eastAsia" w:hAnsi="宋体" w:cs="宋体"/>
          <w:color w:val="000000"/>
          <w:sz w:val="24"/>
          <w:szCs w:val="24"/>
          <w:lang w:eastAsia="zh-CN"/>
        </w:rPr>
        <w:t>乙方</w:t>
      </w:r>
      <w:r>
        <w:rPr>
          <w:rFonts w:hint="eastAsia" w:hAnsi="宋体" w:cs="宋体"/>
          <w:color w:val="000000"/>
          <w:sz w:val="24"/>
          <w:szCs w:val="24"/>
        </w:rPr>
        <w:t>必须向</w:t>
      </w:r>
      <w:r>
        <w:rPr>
          <w:rFonts w:hint="eastAsia" w:hAnsi="宋体" w:cs="宋体"/>
          <w:color w:val="000000"/>
          <w:sz w:val="24"/>
          <w:szCs w:val="24"/>
          <w:lang w:eastAsia="zh-CN"/>
        </w:rPr>
        <w:t>甲方</w:t>
      </w:r>
      <w:r>
        <w:rPr>
          <w:rFonts w:hint="eastAsia" w:hAnsi="宋体" w:cs="宋体"/>
          <w:color w:val="000000"/>
          <w:sz w:val="24"/>
          <w:szCs w:val="24"/>
        </w:rPr>
        <w:t>支付完相关款项后，</w:t>
      </w:r>
      <w:r>
        <w:rPr>
          <w:rFonts w:hint="eastAsia" w:hAnsi="宋体" w:cs="宋体"/>
          <w:color w:val="000000"/>
          <w:sz w:val="24"/>
          <w:szCs w:val="24"/>
          <w:lang w:eastAsia="zh-CN"/>
        </w:rPr>
        <w:t>甲方</w:t>
      </w:r>
      <w:r>
        <w:rPr>
          <w:rFonts w:hint="eastAsia" w:hAnsi="宋体" w:cs="宋体"/>
          <w:color w:val="000000"/>
          <w:sz w:val="24"/>
          <w:szCs w:val="24"/>
        </w:rPr>
        <w:t>才根据合同书约定向</w:t>
      </w:r>
      <w:r>
        <w:rPr>
          <w:rFonts w:hint="eastAsia" w:hAnsi="宋体" w:cs="宋体"/>
          <w:color w:val="000000"/>
          <w:sz w:val="24"/>
          <w:szCs w:val="24"/>
          <w:lang w:eastAsia="zh-CN"/>
        </w:rPr>
        <w:t>乙方</w:t>
      </w:r>
      <w:r>
        <w:rPr>
          <w:rFonts w:hint="eastAsia" w:hAnsi="宋体" w:cs="宋体"/>
          <w:color w:val="000000"/>
          <w:sz w:val="24"/>
          <w:szCs w:val="24"/>
        </w:rPr>
        <w:t>支付合同价和税额。若因</w:t>
      </w:r>
      <w:r>
        <w:rPr>
          <w:rFonts w:hint="eastAsia" w:hAnsi="宋体" w:cs="宋体"/>
          <w:color w:val="000000"/>
          <w:sz w:val="24"/>
          <w:szCs w:val="24"/>
          <w:lang w:eastAsia="zh-CN"/>
        </w:rPr>
        <w:t>乙方</w:t>
      </w:r>
      <w:r>
        <w:rPr>
          <w:rFonts w:hint="eastAsia" w:hAnsi="宋体" w:cs="宋体"/>
          <w:color w:val="000000"/>
          <w:sz w:val="24"/>
          <w:szCs w:val="24"/>
        </w:rPr>
        <w:t>未能支付前述费用，影响项目实施的，</w:t>
      </w:r>
      <w:r>
        <w:rPr>
          <w:rFonts w:hint="eastAsia" w:hAnsi="宋体" w:cs="宋体"/>
          <w:color w:val="000000"/>
          <w:sz w:val="24"/>
          <w:szCs w:val="24"/>
          <w:lang w:eastAsia="zh-CN"/>
        </w:rPr>
        <w:t>甲方</w:t>
      </w:r>
      <w:r>
        <w:rPr>
          <w:rFonts w:hint="eastAsia" w:hAnsi="宋体" w:cs="宋体"/>
          <w:color w:val="000000"/>
          <w:sz w:val="24"/>
          <w:szCs w:val="24"/>
        </w:rPr>
        <w:t>有权直接从未付合同款项中直接扣除，且</w:t>
      </w:r>
      <w:r>
        <w:rPr>
          <w:rFonts w:hint="eastAsia" w:hAnsi="宋体" w:cs="宋体"/>
          <w:color w:val="000000"/>
          <w:sz w:val="24"/>
          <w:szCs w:val="24"/>
          <w:lang w:eastAsia="zh-CN"/>
        </w:rPr>
        <w:t>乙方</w:t>
      </w:r>
      <w:r>
        <w:rPr>
          <w:rFonts w:hint="eastAsia" w:hAnsi="宋体" w:cs="宋体"/>
          <w:color w:val="000000"/>
          <w:sz w:val="24"/>
          <w:szCs w:val="24"/>
        </w:rPr>
        <w:t>必须按照扣除前述费用前的合同价（销售额）开具增值税专用发票，保证增值税税额符合法律规定。</w:t>
      </w:r>
    </w:p>
    <w:p>
      <w:pPr>
        <w:pStyle w:val="30"/>
        <w:spacing w:line="360" w:lineRule="auto"/>
        <w:rPr>
          <w:rFonts w:hAnsi="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rPr>
        <w:t>2</w:t>
      </w:r>
      <w:r>
        <w:rPr>
          <w:rFonts w:hint="eastAsia" w:hAnsi="宋体" w:cs="宋体"/>
          <w:color w:val="000000"/>
          <w:sz w:val="24"/>
          <w:szCs w:val="24"/>
          <w:lang w:eastAsia="zh-CN"/>
        </w:rPr>
        <w:t>）</w:t>
      </w:r>
      <w:r>
        <w:rPr>
          <w:rFonts w:hint="eastAsia" w:hAnsi="宋体" w:cs="宋体"/>
          <w:color w:val="000000"/>
          <w:sz w:val="24"/>
          <w:szCs w:val="24"/>
        </w:rPr>
        <w:t>货物供货的款项按</w:t>
      </w:r>
      <w:r>
        <w:rPr>
          <w:rFonts w:hint="eastAsia" w:hAnsi="宋体" w:cs="宋体"/>
          <w:color w:val="000000"/>
          <w:sz w:val="24"/>
          <w:szCs w:val="24"/>
          <w:lang w:eastAsia="zh-CN"/>
        </w:rPr>
        <w:t>甲方</w:t>
      </w:r>
      <w:r>
        <w:rPr>
          <w:rFonts w:hint="eastAsia" w:hAnsi="宋体" w:cs="宋体"/>
          <w:color w:val="000000"/>
          <w:sz w:val="24"/>
          <w:szCs w:val="24"/>
        </w:rPr>
        <w:t>要求进行支付、结算。货物供货的款项每月按实结算，每月中旬办理支付上月实际供货量的款项。</w:t>
      </w:r>
    </w:p>
    <w:p>
      <w:pPr>
        <w:pStyle w:val="30"/>
        <w:spacing w:line="360" w:lineRule="auto"/>
        <w:rPr>
          <w:rFonts w:hAnsi="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rPr>
        <w:t>3</w:t>
      </w:r>
      <w:r>
        <w:rPr>
          <w:rFonts w:hint="eastAsia" w:hAnsi="宋体" w:cs="宋体"/>
          <w:color w:val="000000"/>
          <w:sz w:val="24"/>
          <w:szCs w:val="24"/>
          <w:lang w:eastAsia="zh-CN"/>
        </w:rPr>
        <w:t>）乙方</w:t>
      </w:r>
      <w:r>
        <w:rPr>
          <w:rFonts w:hint="eastAsia" w:hAnsi="宋体" w:cs="宋体"/>
          <w:color w:val="000000"/>
          <w:sz w:val="24"/>
          <w:szCs w:val="24"/>
        </w:rPr>
        <w:t>向</w:t>
      </w:r>
      <w:r>
        <w:rPr>
          <w:rFonts w:hint="eastAsia" w:hAnsi="宋体" w:cs="宋体"/>
          <w:color w:val="000000"/>
          <w:sz w:val="24"/>
          <w:szCs w:val="24"/>
          <w:lang w:eastAsia="zh-CN"/>
        </w:rPr>
        <w:t>甲方</w:t>
      </w:r>
      <w:r>
        <w:rPr>
          <w:rFonts w:hint="eastAsia" w:hAnsi="宋体" w:cs="宋体"/>
          <w:color w:val="000000"/>
          <w:sz w:val="24"/>
          <w:szCs w:val="24"/>
        </w:rPr>
        <w:t>提交请款报告和请款金额等额的合法、有效的增值税专用发票，</w:t>
      </w:r>
      <w:r>
        <w:rPr>
          <w:rFonts w:hint="eastAsia" w:hAnsi="宋体" w:cs="宋体"/>
          <w:color w:val="000000"/>
          <w:sz w:val="24"/>
          <w:szCs w:val="24"/>
          <w:lang w:eastAsia="zh-CN"/>
        </w:rPr>
        <w:t>甲方</w:t>
      </w:r>
      <w:r>
        <w:rPr>
          <w:rFonts w:hint="eastAsia" w:hAnsi="宋体" w:cs="宋体"/>
          <w:color w:val="000000"/>
          <w:sz w:val="24"/>
          <w:szCs w:val="24"/>
        </w:rPr>
        <w:t>在收到前述材料并确认无误后30个工作日内支付结算上月实际供货量的货款和该货款对应的税额给</w:t>
      </w:r>
      <w:r>
        <w:rPr>
          <w:rFonts w:hint="eastAsia" w:hAnsi="宋体" w:cs="宋体"/>
          <w:color w:val="000000"/>
          <w:sz w:val="24"/>
          <w:szCs w:val="24"/>
          <w:lang w:eastAsia="zh-CN"/>
        </w:rPr>
        <w:t>乙方</w:t>
      </w:r>
      <w:r>
        <w:rPr>
          <w:rFonts w:hint="eastAsia" w:hAnsi="宋体" w:cs="宋体"/>
          <w:color w:val="000000"/>
          <w:sz w:val="24"/>
          <w:szCs w:val="24"/>
        </w:rPr>
        <w:t>。</w:t>
      </w:r>
    </w:p>
    <w:p>
      <w:pPr>
        <w:pStyle w:val="30"/>
        <w:spacing w:line="360" w:lineRule="auto"/>
        <w:rPr>
          <w:rFonts w:ascii="宋体" w:hAnsi="宋体" w:eastAsia="宋体" w:cs="宋体"/>
          <w:sz w:val="24"/>
          <w:szCs w:val="24"/>
        </w:rPr>
      </w:pPr>
      <w:r>
        <w:rPr>
          <w:rFonts w:hint="eastAsia" w:hAnsi="宋体" w:cs="宋体"/>
          <w:sz w:val="24"/>
          <w:szCs w:val="24"/>
          <w:lang w:eastAsia="zh-CN"/>
        </w:rPr>
        <w:t>（</w:t>
      </w:r>
      <w:r>
        <w:rPr>
          <w:rFonts w:hint="eastAsia" w:hAnsi="宋体" w:eastAsia="宋体" w:cs="宋体"/>
          <w:sz w:val="24"/>
          <w:szCs w:val="24"/>
        </w:rPr>
        <w:t>4</w:t>
      </w:r>
      <w:r>
        <w:rPr>
          <w:rFonts w:hint="eastAsia" w:hAnsi="宋体" w:cs="宋体"/>
          <w:sz w:val="24"/>
          <w:szCs w:val="24"/>
          <w:lang w:eastAsia="zh-CN"/>
        </w:rPr>
        <w:t>）</w:t>
      </w:r>
      <w:r>
        <w:rPr>
          <w:rFonts w:hint="eastAsia" w:ascii="宋体" w:hAnsi="宋体" w:eastAsia="宋体" w:cs="宋体"/>
          <w:sz w:val="24"/>
          <w:szCs w:val="24"/>
        </w:rPr>
        <w:t>支付方式：支付方式为银行转账或银行承兑汇票，汇票期限不超过三个月，每期款项支付方式由</w:t>
      </w:r>
      <w:r>
        <w:rPr>
          <w:rFonts w:hint="eastAsia" w:ascii="宋体" w:hAnsi="宋体" w:eastAsia="宋体" w:cs="宋体"/>
          <w:sz w:val="24"/>
          <w:szCs w:val="24"/>
          <w:lang w:eastAsia="zh-CN"/>
        </w:rPr>
        <w:t>甲方</w:t>
      </w:r>
      <w:r>
        <w:rPr>
          <w:rFonts w:hint="eastAsia" w:ascii="宋体" w:hAnsi="宋体" w:eastAsia="宋体" w:cs="宋体"/>
          <w:sz w:val="24"/>
          <w:szCs w:val="24"/>
        </w:rPr>
        <w:t>决定。</w:t>
      </w:r>
    </w:p>
    <w:p>
      <w:pPr>
        <w:pStyle w:val="59"/>
        <w:spacing w:line="360" w:lineRule="auto"/>
        <w:rPr>
          <w:rFonts w:hint="default" w:ascii="宋体" w:hAnsi="宋体" w:eastAsia="宋体" w:cs="Times New Roman"/>
          <w:color w:val="000000"/>
          <w:sz w:val="24"/>
          <w:szCs w:val="24"/>
          <w:lang w:val="en-US" w:eastAsia="zh-CN" w:bidi="ar-SA"/>
        </w:rPr>
      </w:pPr>
      <w:r>
        <w:rPr>
          <w:rFonts w:hint="eastAsia" w:hAnsi="宋体" w:cs="宋体"/>
          <w:color w:val="000000"/>
          <w:sz w:val="24"/>
          <w:szCs w:val="24"/>
          <w:lang w:eastAsia="zh-CN"/>
        </w:rPr>
        <w:t>（</w:t>
      </w:r>
      <w:r>
        <w:rPr>
          <w:rFonts w:hint="eastAsia" w:hAnsi="宋体" w:cs="宋体"/>
          <w:color w:val="000000"/>
          <w:sz w:val="24"/>
          <w:szCs w:val="24"/>
        </w:rPr>
        <w:t>5</w:t>
      </w:r>
      <w:r>
        <w:rPr>
          <w:rFonts w:hint="eastAsia" w:hAnsi="宋体" w:cs="宋体"/>
          <w:color w:val="000000"/>
          <w:sz w:val="24"/>
          <w:szCs w:val="24"/>
          <w:lang w:eastAsia="zh-CN"/>
        </w:rPr>
        <w:t>）乙方</w:t>
      </w:r>
      <w:r>
        <w:rPr>
          <w:rFonts w:hint="eastAsia" w:hAnsi="宋体" w:cs="宋体"/>
          <w:color w:val="000000"/>
          <w:sz w:val="24"/>
          <w:szCs w:val="24"/>
        </w:rPr>
        <w:t>迟延提供发票或提供的请款报告、发票不符合要求的，</w:t>
      </w:r>
      <w:r>
        <w:rPr>
          <w:rFonts w:hint="eastAsia" w:hAnsi="宋体" w:cs="宋体"/>
          <w:color w:val="000000"/>
          <w:sz w:val="24"/>
          <w:szCs w:val="24"/>
          <w:lang w:eastAsia="zh-CN"/>
        </w:rPr>
        <w:t>甲方</w:t>
      </w:r>
      <w:r>
        <w:rPr>
          <w:rFonts w:hint="eastAsia" w:hAnsi="宋体" w:cs="宋体"/>
          <w:color w:val="000000"/>
          <w:sz w:val="24"/>
          <w:szCs w:val="24"/>
        </w:rPr>
        <w:t>的付款时间可相应顺延，且</w:t>
      </w:r>
      <w:r>
        <w:rPr>
          <w:rFonts w:hint="eastAsia" w:hAnsi="宋体" w:cs="宋体"/>
          <w:color w:val="000000"/>
          <w:sz w:val="24"/>
          <w:szCs w:val="24"/>
          <w:lang w:eastAsia="zh-CN"/>
        </w:rPr>
        <w:t>甲方</w:t>
      </w:r>
      <w:r>
        <w:rPr>
          <w:rFonts w:hint="eastAsia" w:hAnsi="宋体" w:cs="宋体"/>
          <w:color w:val="000000"/>
          <w:sz w:val="24"/>
          <w:szCs w:val="24"/>
        </w:rPr>
        <w:t>不因此承担任何责任。因支付产生的相关银行手续费用，根据有关银行规定执行。由于</w:t>
      </w:r>
      <w:r>
        <w:rPr>
          <w:rFonts w:hint="eastAsia" w:hAnsi="宋体" w:cs="宋体"/>
          <w:color w:val="000000"/>
          <w:sz w:val="24"/>
          <w:szCs w:val="24"/>
          <w:lang w:eastAsia="zh-CN"/>
        </w:rPr>
        <w:t>乙方</w:t>
      </w:r>
      <w:r>
        <w:rPr>
          <w:rFonts w:hint="eastAsia" w:hAnsi="宋体" w:cs="宋体"/>
          <w:color w:val="000000"/>
          <w:sz w:val="24"/>
          <w:szCs w:val="24"/>
        </w:rPr>
        <w:t>提供的发票不符合税法规定，给</w:t>
      </w:r>
      <w:r>
        <w:rPr>
          <w:rFonts w:hint="eastAsia" w:hAnsi="宋体" w:cs="宋体"/>
          <w:color w:val="000000"/>
          <w:sz w:val="24"/>
          <w:szCs w:val="24"/>
          <w:lang w:eastAsia="zh-CN"/>
        </w:rPr>
        <w:t>甲方</w:t>
      </w:r>
      <w:r>
        <w:rPr>
          <w:rFonts w:hint="eastAsia" w:hAnsi="宋体" w:cs="宋体"/>
          <w:color w:val="000000"/>
          <w:sz w:val="24"/>
          <w:szCs w:val="24"/>
        </w:rPr>
        <w:t>造成的损失由</w:t>
      </w:r>
      <w:r>
        <w:rPr>
          <w:rFonts w:hint="eastAsia" w:hAnsi="宋体" w:cs="宋体"/>
          <w:color w:val="000000"/>
          <w:sz w:val="24"/>
          <w:szCs w:val="24"/>
          <w:lang w:eastAsia="zh-CN"/>
        </w:rPr>
        <w:t>乙方</w:t>
      </w:r>
      <w:r>
        <w:rPr>
          <w:rFonts w:hint="eastAsia" w:hAnsi="宋体" w:cs="宋体"/>
          <w:color w:val="000000"/>
          <w:sz w:val="24"/>
          <w:szCs w:val="24"/>
        </w:rPr>
        <w:t>承担全部的赔偿责任</w:t>
      </w:r>
      <w:bookmarkEnd w:id="29"/>
      <w:r>
        <w:rPr>
          <w:rFonts w:hint="default" w:ascii="宋体" w:hAnsi="宋体" w:eastAsia="宋体" w:cs="Times New Roman"/>
          <w:color w:val="000000"/>
          <w:sz w:val="24"/>
          <w:szCs w:val="24"/>
          <w:lang w:val="en-US" w:eastAsia="zh-CN" w:bidi="ar-SA"/>
        </w:rPr>
        <w:t>。</w:t>
      </w:r>
    </w:p>
    <w:p>
      <w:pPr>
        <w:pStyle w:val="59"/>
        <w:spacing w:line="360" w:lineRule="auto"/>
        <w:rPr>
          <w:rFonts w:hint="default" w:ascii="宋体" w:hAnsi="宋体" w:eastAsia="宋体" w:cs="Times New Roman"/>
          <w:color w:val="000000"/>
          <w:sz w:val="24"/>
          <w:szCs w:val="24"/>
          <w:lang w:val="en-US" w:eastAsia="zh-CN" w:bidi="ar-SA"/>
        </w:rPr>
      </w:pPr>
    </w:p>
    <w:p>
      <w:pPr>
        <w:pStyle w:val="30"/>
        <w:numPr>
          <w:ilvl w:val="0"/>
          <w:numId w:val="5"/>
        </w:numPr>
        <w:spacing w:line="360" w:lineRule="auto"/>
        <w:ind w:firstLineChars="0"/>
        <w:outlineLvl w:val="1"/>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违约责任及其他要求</w:t>
      </w:r>
    </w:p>
    <w:p>
      <w:pPr>
        <w:pStyle w:val="30"/>
        <w:spacing w:line="360" w:lineRule="auto"/>
        <w:rPr>
          <w:rFonts w:hAnsi="宋体" w:cs="宋体"/>
          <w:color w:val="000000"/>
          <w:sz w:val="24"/>
          <w:szCs w:val="24"/>
        </w:rPr>
      </w:pPr>
      <w:r>
        <w:rPr>
          <w:rFonts w:hint="eastAsia" w:hAnsi="宋体" w:cs="宋体"/>
          <w:color w:val="000000"/>
          <w:sz w:val="24"/>
          <w:szCs w:val="24"/>
        </w:rPr>
        <w:t>1、日常供货（非加急供货）时，</w:t>
      </w:r>
      <w:r>
        <w:rPr>
          <w:rFonts w:hint="eastAsia" w:hAnsi="宋体" w:cs="宋体"/>
          <w:color w:val="000000"/>
          <w:sz w:val="24"/>
          <w:szCs w:val="24"/>
          <w:lang w:eastAsia="zh-CN"/>
        </w:rPr>
        <w:t>乙方</w:t>
      </w:r>
      <w:r>
        <w:rPr>
          <w:rFonts w:hint="eastAsia" w:hAnsi="宋体" w:cs="宋体"/>
          <w:color w:val="000000"/>
          <w:sz w:val="24"/>
          <w:szCs w:val="24"/>
        </w:rPr>
        <w:t>未在约定的时间内完成交货，或未在规定的时间内承担相应的更换、退货责任的，每逾期2小时，</w:t>
      </w:r>
      <w:r>
        <w:rPr>
          <w:rFonts w:hint="eastAsia" w:hAnsi="宋体" w:cs="宋体"/>
          <w:color w:val="000000"/>
          <w:sz w:val="24"/>
          <w:szCs w:val="24"/>
          <w:lang w:eastAsia="zh-CN"/>
        </w:rPr>
        <w:t>甲方</w:t>
      </w:r>
      <w:r>
        <w:rPr>
          <w:rFonts w:hint="eastAsia" w:hAnsi="宋体" w:cs="宋体"/>
          <w:color w:val="000000"/>
          <w:sz w:val="24"/>
          <w:szCs w:val="24"/>
        </w:rPr>
        <w:t>有权要求</w:t>
      </w:r>
      <w:r>
        <w:rPr>
          <w:rFonts w:hint="eastAsia" w:hAnsi="宋体" w:cs="宋体"/>
          <w:color w:val="000000"/>
          <w:sz w:val="24"/>
          <w:szCs w:val="24"/>
          <w:lang w:eastAsia="zh-CN"/>
        </w:rPr>
        <w:t>乙方</w:t>
      </w:r>
      <w:r>
        <w:rPr>
          <w:rFonts w:hint="eastAsia" w:hAnsi="宋体" w:cs="宋体"/>
          <w:color w:val="000000"/>
          <w:sz w:val="24"/>
          <w:szCs w:val="24"/>
        </w:rPr>
        <w:t>按该次货物含税结算货款的1%向</w:t>
      </w:r>
      <w:r>
        <w:rPr>
          <w:rFonts w:hint="eastAsia" w:hAnsi="宋体" w:cs="宋体"/>
          <w:color w:val="000000"/>
          <w:sz w:val="24"/>
          <w:szCs w:val="24"/>
          <w:lang w:eastAsia="zh-CN"/>
        </w:rPr>
        <w:t>甲方</w:t>
      </w:r>
      <w:r>
        <w:rPr>
          <w:rFonts w:hint="eastAsia" w:hAnsi="宋体" w:cs="宋体"/>
          <w:color w:val="000000"/>
          <w:sz w:val="24"/>
          <w:szCs w:val="24"/>
        </w:rPr>
        <w:t>支付违约金</w:t>
      </w:r>
      <w:r>
        <w:rPr>
          <w:rFonts w:hint="eastAsia" w:hAnsi="宋体" w:cs="宋体"/>
          <w:color w:val="000000"/>
          <w:sz w:val="24"/>
          <w:szCs w:val="24"/>
          <w:lang w:eastAsia="zh-CN"/>
        </w:rPr>
        <w:t>，</w:t>
      </w:r>
      <w:r>
        <w:rPr>
          <w:rFonts w:hint="eastAsia" w:hAnsi="宋体" w:cs="宋体"/>
          <w:color w:val="000000"/>
          <w:sz w:val="24"/>
          <w:szCs w:val="24"/>
          <w:lang w:val="en-US" w:eastAsia="zh-CN"/>
        </w:rPr>
        <w:t>逾期违约金累计总额最高不超过该次货物含税结算货款的【30】%</w:t>
      </w:r>
      <w:r>
        <w:rPr>
          <w:rFonts w:hint="eastAsia" w:hAnsi="宋体" w:cs="宋体"/>
          <w:color w:val="000000"/>
          <w:sz w:val="24"/>
          <w:szCs w:val="24"/>
        </w:rPr>
        <w:t>。</w:t>
      </w:r>
      <w:r>
        <w:rPr>
          <w:rFonts w:hint="eastAsia" w:hAnsi="宋体" w:cs="宋体"/>
          <w:color w:val="000000"/>
          <w:sz w:val="24"/>
          <w:szCs w:val="24"/>
          <w:lang w:eastAsia="zh-CN"/>
        </w:rPr>
        <w:t>乙方</w:t>
      </w:r>
      <w:r>
        <w:rPr>
          <w:rFonts w:hint="eastAsia" w:hAnsi="宋体" w:cs="宋体"/>
          <w:color w:val="000000"/>
          <w:sz w:val="24"/>
          <w:szCs w:val="24"/>
        </w:rPr>
        <w:t>逾期超过12小时的，</w:t>
      </w:r>
      <w:r>
        <w:rPr>
          <w:rFonts w:hint="eastAsia" w:hAnsi="宋体" w:cs="宋体"/>
          <w:color w:val="000000"/>
          <w:sz w:val="24"/>
          <w:szCs w:val="24"/>
          <w:lang w:eastAsia="zh-CN"/>
        </w:rPr>
        <w:t>甲方</w:t>
      </w:r>
      <w:r>
        <w:rPr>
          <w:rFonts w:hint="eastAsia" w:hAnsi="宋体" w:cs="宋体"/>
          <w:color w:val="000000"/>
          <w:sz w:val="24"/>
          <w:szCs w:val="24"/>
        </w:rPr>
        <w:t>有权单方解除合同，且</w:t>
      </w:r>
      <w:r>
        <w:rPr>
          <w:rFonts w:hint="eastAsia" w:hAnsi="宋体" w:cs="宋体"/>
          <w:color w:val="000000"/>
          <w:sz w:val="24"/>
          <w:szCs w:val="24"/>
          <w:lang w:eastAsia="zh-CN"/>
        </w:rPr>
        <w:t>乙方</w:t>
      </w:r>
      <w:r>
        <w:rPr>
          <w:rFonts w:hint="eastAsia" w:hAnsi="宋体" w:cs="宋体"/>
          <w:color w:val="000000"/>
          <w:sz w:val="24"/>
          <w:szCs w:val="24"/>
        </w:rPr>
        <w:t>除支付前述逾期违约金外，</w:t>
      </w:r>
      <w:r>
        <w:rPr>
          <w:rFonts w:hint="eastAsia" w:hAnsi="宋体" w:cs="宋体"/>
          <w:color w:val="000000"/>
          <w:sz w:val="24"/>
          <w:szCs w:val="24"/>
          <w:lang w:eastAsia="zh-CN"/>
        </w:rPr>
        <w:t>甲方</w:t>
      </w:r>
      <w:r>
        <w:rPr>
          <w:rFonts w:hint="eastAsia" w:hAnsi="宋体" w:cs="宋体"/>
          <w:color w:val="000000"/>
          <w:sz w:val="24"/>
          <w:szCs w:val="24"/>
        </w:rPr>
        <w:t>有权要求</w:t>
      </w:r>
      <w:r>
        <w:rPr>
          <w:rFonts w:hint="eastAsia" w:hAnsi="宋体" w:cs="宋体"/>
          <w:color w:val="000000"/>
          <w:sz w:val="24"/>
          <w:szCs w:val="24"/>
          <w:lang w:eastAsia="zh-CN"/>
        </w:rPr>
        <w:t>乙方</w:t>
      </w:r>
      <w:r>
        <w:rPr>
          <w:rFonts w:hint="eastAsia" w:hAnsi="宋体" w:cs="宋体"/>
          <w:color w:val="000000"/>
          <w:sz w:val="24"/>
          <w:szCs w:val="24"/>
        </w:rPr>
        <w:t>额外按该次货物含税结算货款的5%向</w:t>
      </w:r>
      <w:r>
        <w:rPr>
          <w:rFonts w:hint="eastAsia" w:hAnsi="宋体" w:cs="宋体"/>
          <w:color w:val="000000"/>
          <w:sz w:val="24"/>
          <w:szCs w:val="24"/>
          <w:lang w:eastAsia="zh-CN"/>
        </w:rPr>
        <w:t>甲方</w:t>
      </w:r>
      <w:r>
        <w:rPr>
          <w:rFonts w:hint="eastAsia" w:hAnsi="宋体" w:cs="宋体"/>
          <w:color w:val="000000"/>
          <w:sz w:val="24"/>
          <w:szCs w:val="24"/>
        </w:rPr>
        <w:t>支付违约金，违约金不足以赔偿</w:t>
      </w:r>
      <w:r>
        <w:rPr>
          <w:rFonts w:hint="eastAsia" w:hAnsi="宋体" w:cs="宋体"/>
          <w:color w:val="000000"/>
          <w:sz w:val="24"/>
          <w:szCs w:val="24"/>
          <w:lang w:eastAsia="zh-CN"/>
        </w:rPr>
        <w:t>甲方</w:t>
      </w:r>
      <w:r>
        <w:rPr>
          <w:rFonts w:hint="eastAsia" w:hAnsi="宋体" w:cs="宋体"/>
          <w:color w:val="000000"/>
          <w:sz w:val="24"/>
          <w:szCs w:val="24"/>
        </w:rPr>
        <w:t>损失的，</w:t>
      </w:r>
      <w:r>
        <w:rPr>
          <w:rFonts w:hint="eastAsia" w:hAnsi="宋体" w:cs="宋体"/>
          <w:color w:val="000000"/>
          <w:sz w:val="24"/>
          <w:szCs w:val="24"/>
          <w:lang w:eastAsia="zh-CN"/>
        </w:rPr>
        <w:t>乙方</w:t>
      </w:r>
      <w:r>
        <w:rPr>
          <w:rFonts w:hint="eastAsia" w:hAnsi="宋体" w:cs="宋体"/>
          <w:color w:val="000000"/>
          <w:sz w:val="24"/>
          <w:szCs w:val="24"/>
        </w:rPr>
        <w:t>需另行赔偿。</w:t>
      </w:r>
    </w:p>
    <w:p>
      <w:pPr>
        <w:pStyle w:val="30"/>
        <w:spacing w:line="360" w:lineRule="auto"/>
        <w:rPr>
          <w:rFonts w:hAnsi="宋体" w:cs="宋体"/>
          <w:color w:val="000000"/>
          <w:sz w:val="24"/>
          <w:szCs w:val="24"/>
        </w:rPr>
      </w:pPr>
      <w:r>
        <w:rPr>
          <w:rFonts w:hint="eastAsia" w:hAnsi="宋体" w:cs="宋体"/>
          <w:color w:val="000000"/>
          <w:sz w:val="24"/>
          <w:szCs w:val="24"/>
        </w:rPr>
        <w:t>2、加急供货时，</w:t>
      </w:r>
      <w:r>
        <w:rPr>
          <w:rFonts w:hint="eastAsia" w:hAnsi="宋体" w:cs="宋体"/>
          <w:color w:val="000000"/>
          <w:sz w:val="24"/>
          <w:szCs w:val="24"/>
          <w:lang w:eastAsia="zh-CN"/>
        </w:rPr>
        <w:t>乙方</w:t>
      </w:r>
      <w:r>
        <w:rPr>
          <w:rFonts w:hint="eastAsia" w:hAnsi="宋体" w:cs="宋体"/>
          <w:color w:val="000000"/>
          <w:sz w:val="24"/>
          <w:szCs w:val="24"/>
        </w:rPr>
        <w:t>未在约定的时间内完成交货的，或未在规定的时间内承担相应的更换、退货责任的，每逾期1小时，</w:t>
      </w:r>
      <w:r>
        <w:rPr>
          <w:rFonts w:hint="eastAsia" w:hAnsi="宋体" w:cs="宋体"/>
          <w:color w:val="000000"/>
          <w:sz w:val="24"/>
          <w:szCs w:val="24"/>
          <w:lang w:eastAsia="zh-CN"/>
        </w:rPr>
        <w:t>甲方</w:t>
      </w:r>
      <w:r>
        <w:rPr>
          <w:rFonts w:hint="eastAsia" w:hAnsi="宋体" w:cs="宋体"/>
          <w:color w:val="000000"/>
          <w:sz w:val="24"/>
          <w:szCs w:val="24"/>
        </w:rPr>
        <w:t>有权要求</w:t>
      </w:r>
      <w:r>
        <w:rPr>
          <w:rFonts w:hint="eastAsia" w:hAnsi="宋体" w:cs="宋体"/>
          <w:color w:val="000000"/>
          <w:sz w:val="24"/>
          <w:szCs w:val="24"/>
          <w:lang w:eastAsia="zh-CN"/>
        </w:rPr>
        <w:t>乙方</w:t>
      </w:r>
      <w:r>
        <w:rPr>
          <w:rFonts w:hint="eastAsia" w:hAnsi="宋体" w:cs="宋体"/>
          <w:color w:val="000000"/>
          <w:sz w:val="24"/>
          <w:szCs w:val="24"/>
        </w:rPr>
        <w:t>按该次货物含税结算货款的10%向</w:t>
      </w:r>
      <w:r>
        <w:rPr>
          <w:rFonts w:hint="eastAsia" w:hAnsi="宋体" w:cs="宋体"/>
          <w:color w:val="000000"/>
          <w:sz w:val="24"/>
          <w:szCs w:val="24"/>
          <w:lang w:eastAsia="zh-CN"/>
        </w:rPr>
        <w:t>甲方</w:t>
      </w:r>
      <w:r>
        <w:rPr>
          <w:rFonts w:hint="eastAsia" w:hAnsi="宋体" w:cs="宋体"/>
          <w:color w:val="000000"/>
          <w:sz w:val="24"/>
          <w:szCs w:val="24"/>
        </w:rPr>
        <w:t>支付违约金</w:t>
      </w:r>
      <w:r>
        <w:rPr>
          <w:rFonts w:hint="eastAsia" w:hAnsi="宋体" w:cs="宋体"/>
          <w:color w:val="000000"/>
          <w:sz w:val="24"/>
          <w:szCs w:val="24"/>
          <w:lang w:eastAsia="zh-CN"/>
        </w:rPr>
        <w:t>，</w:t>
      </w:r>
      <w:r>
        <w:rPr>
          <w:rFonts w:hint="eastAsia" w:hAnsi="宋体" w:cs="宋体"/>
          <w:color w:val="000000"/>
          <w:sz w:val="24"/>
          <w:szCs w:val="24"/>
        </w:rPr>
        <w:t>逾期违约金累计总额最高不超过该次货物含税结算货款的</w:t>
      </w:r>
      <w:r>
        <w:rPr>
          <w:rFonts w:hint="eastAsia" w:hAnsi="宋体" w:cs="宋体"/>
          <w:color w:val="000000"/>
          <w:sz w:val="24"/>
          <w:szCs w:val="24"/>
          <w:lang w:eastAsia="zh-CN"/>
        </w:rPr>
        <w:t>【</w:t>
      </w:r>
      <w:r>
        <w:rPr>
          <w:rFonts w:hint="eastAsia" w:hAnsi="宋体" w:cs="宋体"/>
          <w:color w:val="000000"/>
          <w:sz w:val="24"/>
          <w:szCs w:val="24"/>
          <w:lang w:val="en-US" w:eastAsia="zh-CN"/>
        </w:rPr>
        <w:t>30</w:t>
      </w:r>
      <w:r>
        <w:rPr>
          <w:rFonts w:hint="eastAsia" w:hAnsi="宋体" w:cs="宋体"/>
          <w:color w:val="000000"/>
          <w:sz w:val="24"/>
          <w:szCs w:val="24"/>
          <w:lang w:eastAsia="zh-CN"/>
        </w:rPr>
        <w:t>】</w:t>
      </w:r>
      <w:r>
        <w:rPr>
          <w:rFonts w:hint="eastAsia" w:hAnsi="宋体" w:cs="宋体"/>
          <w:color w:val="000000"/>
          <w:sz w:val="24"/>
          <w:szCs w:val="24"/>
        </w:rPr>
        <w:t>%，</w:t>
      </w:r>
      <w:r>
        <w:rPr>
          <w:rFonts w:hint="eastAsia" w:hAnsi="宋体" w:cs="宋体"/>
          <w:color w:val="000000"/>
          <w:sz w:val="24"/>
          <w:szCs w:val="24"/>
          <w:lang w:eastAsia="zh-CN"/>
        </w:rPr>
        <w:t>乙方</w:t>
      </w:r>
      <w:r>
        <w:rPr>
          <w:rFonts w:hint="eastAsia" w:hAnsi="宋体" w:cs="宋体"/>
          <w:color w:val="000000"/>
          <w:sz w:val="24"/>
          <w:szCs w:val="24"/>
        </w:rPr>
        <w:t>逾期超过4小时的，</w:t>
      </w:r>
      <w:r>
        <w:rPr>
          <w:rFonts w:hint="eastAsia" w:hAnsi="宋体" w:cs="宋体"/>
          <w:color w:val="000000"/>
          <w:sz w:val="24"/>
          <w:szCs w:val="24"/>
          <w:lang w:eastAsia="zh-CN"/>
        </w:rPr>
        <w:t>甲方</w:t>
      </w:r>
      <w:r>
        <w:rPr>
          <w:rFonts w:hint="eastAsia" w:hAnsi="宋体" w:cs="宋体"/>
          <w:color w:val="000000"/>
          <w:sz w:val="24"/>
          <w:szCs w:val="24"/>
        </w:rPr>
        <w:t>有权单方解除合同，且</w:t>
      </w:r>
      <w:r>
        <w:rPr>
          <w:rFonts w:hint="eastAsia" w:hAnsi="宋体" w:cs="宋体"/>
          <w:color w:val="000000"/>
          <w:sz w:val="24"/>
          <w:szCs w:val="24"/>
          <w:lang w:eastAsia="zh-CN"/>
        </w:rPr>
        <w:t>乙方</w:t>
      </w:r>
      <w:r>
        <w:rPr>
          <w:rFonts w:hint="eastAsia" w:hAnsi="宋体" w:cs="宋体"/>
          <w:color w:val="000000"/>
          <w:sz w:val="24"/>
          <w:szCs w:val="24"/>
        </w:rPr>
        <w:t>除前述逾期违约金外，</w:t>
      </w:r>
      <w:r>
        <w:rPr>
          <w:rFonts w:hint="eastAsia" w:hAnsi="宋体" w:cs="宋体"/>
          <w:color w:val="000000"/>
          <w:sz w:val="24"/>
          <w:szCs w:val="24"/>
          <w:lang w:eastAsia="zh-CN"/>
        </w:rPr>
        <w:t>甲方</w:t>
      </w:r>
      <w:r>
        <w:rPr>
          <w:rFonts w:hint="eastAsia" w:hAnsi="宋体" w:cs="宋体"/>
          <w:color w:val="000000"/>
          <w:sz w:val="24"/>
          <w:szCs w:val="24"/>
        </w:rPr>
        <w:t>有权要求</w:t>
      </w:r>
      <w:r>
        <w:rPr>
          <w:rFonts w:hint="eastAsia" w:hAnsi="宋体" w:cs="宋体"/>
          <w:color w:val="000000"/>
          <w:sz w:val="24"/>
          <w:szCs w:val="24"/>
          <w:lang w:eastAsia="zh-CN"/>
        </w:rPr>
        <w:t>乙方</w:t>
      </w:r>
      <w:r>
        <w:rPr>
          <w:rFonts w:hint="eastAsia" w:hAnsi="宋体" w:cs="宋体"/>
          <w:color w:val="000000"/>
          <w:sz w:val="24"/>
          <w:szCs w:val="24"/>
        </w:rPr>
        <w:t>额外按该次货物含税结算货款的20%向</w:t>
      </w:r>
      <w:r>
        <w:rPr>
          <w:rFonts w:hint="eastAsia" w:hAnsi="宋体" w:cs="宋体"/>
          <w:color w:val="000000"/>
          <w:sz w:val="24"/>
          <w:szCs w:val="24"/>
          <w:lang w:eastAsia="zh-CN"/>
        </w:rPr>
        <w:t>甲方</w:t>
      </w:r>
      <w:r>
        <w:rPr>
          <w:rFonts w:hint="eastAsia" w:hAnsi="宋体" w:cs="宋体"/>
          <w:color w:val="000000"/>
          <w:sz w:val="24"/>
          <w:szCs w:val="24"/>
        </w:rPr>
        <w:t>支付违约金，违约金不足以赔偿</w:t>
      </w:r>
      <w:r>
        <w:rPr>
          <w:rFonts w:hint="eastAsia" w:hAnsi="宋体" w:cs="宋体"/>
          <w:color w:val="000000"/>
          <w:sz w:val="24"/>
          <w:szCs w:val="24"/>
          <w:lang w:eastAsia="zh-CN"/>
        </w:rPr>
        <w:t>甲方</w:t>
      </w:r>
      <w:r>
        <w:rPr>
          <w:rFonts w:hint="eastAsia" w:hAnsi="宋体" w:cs="宋体"/>
          <w:color w:val="000000"/>
          <w:sz w:val="24"/>
          <w:szCs w:val="24"/>
        </w:rPr>
        <w:t>损失的，</w:t>
      </w:r>
      <w:r>
        <w:rPr>
          <w:rFonts w:hint="eastAsia" w:hAnsi="宋体" w:cs="宋体"/>
          <w:color w:val="000000"/>
          <w:sz w:val="24"/>
          <w:szCs w:val="24"/>
          <w:lang w:eastAsia="zh-CN"/>
        </w:rPr>
        <w:t>乙方</w:t>
      </w:r>
      <w:r>
        <w:rPr>
          <w:rFonts w:hint="eastAsia" w:hAnsi="宋体" w:cs="宋体"/>
          <w:color w:val="000000"/>
          <w:sz w:val="24"/>
          <w:szCs w:val="24"/>
        </w:rPr>
        <w:t>需另行赔偿。</w:t>
      </w:r>
    </w:p>
    <w:p>
      <w:pPr>
        <w:pStyle w:val="30"/>
        <w:spacing w:line="360" w:lineRule="auto"/>
        <w:rPr>
          <w:rFonts w:hAnsi="宋体" w:cs="宋体"/>
          <w:color w:val="000000"/>
          <w:sz w:val="24"/>
          <w:szCs w:val="24"/>
        </w:rPr>
      </w:pPr>
      <w:r>
        <w:rPr>
          <w:rFonts w:hint="eastAsia" w:hAnsi="宋体" w:cs="宋体"/>
          <w:color w:val="000000"/>
          <w:sz w:val="24"/>
          <w:szCs w:val="24"/>
        </w:rPr>
        <w:t>3</w:t>
      </w:r>
      <w:r>
        <w:rPr>
          <w:rFonts w:hAnsi="宋体" w:cs="宋体"/>
          <w:color w:val="000000"/>
          <w:sz w:val="24"/>
          <w:szCs w:val="24"/>
        </w:rPr>
        <w:t>、</w:t>
      </w:r>
      <w:bookmarkStart w:id="30" w:name="_Hlk142640625"/>
      <w:r>
        <w:rPr>
          <w:rFonts w:hint="eastAsia" w:hAnsi="宋体" w:cs="宋体"/>
          <w:color w:val="000000"/>
          <w:sz w:val="24"/>
          <w:szCs w:val="24"/>
          <w:lang w:eastAsia="zh-CN"/>
        </w:rPr>
        <w:t>乙方</w:t>
      </w:r>
      <w:r>
        <w:rPr>
          <w:rFonts w:hAnsi="宋体" w:cs="宋体"/>
          <w:color w:val="000000"/>
          <w:sz w:val="24"/>
          <w:szCs w:val="24"/>
        </w:rPr>
        <w:t>所交货物经</w:t>
      </w:r>
      <w:r>
        <w:rPr>
          <w:rFonts w:hint="eastAsia" w:hAnsi="宋体" w:cs="宋体"/>
          <w:color w:val="000000"/>
          <w:sz w:val="24"/>
          <w:szCs w:val="24"/>
          <w:lang w:eastAsia="zh-CN"/>
        </w:rPr>
        <w:t>甲方</w:t>
      </w:r>
      <w:r>
        <w:rPr>
          <w:rFonts w:hAnsi="宋体" w:cs="宋体"/>
          <w:color w:val="000000"/>
          <w:sz w:val="24"/>
          <w:szCs w:val="24"/>
        </w:rPr>
        <w:t>实验室或</w:t>
      </w:r>
      <w:r>
        <w:rPr>
          <w:rFonts w:hint="eastAsia" w:hAnsi="宋体" w:cs="宋体"/>
          <w:color w:val="000000"/>
          <w:sz w:val="24"/>
          <w:szCs w:val="24"/>
          <w:lang w:eastAsia="zh-CN"/>
        </w:rPr>
        <w:t>甲方</w:t>
      </w:r>
      <w:r>
        <w:rPr>
          <w:rFonts w:hAnsi="宋体" w:cs="宋体"/>
          <w:color w:val="000000"/>
          <w:sz w:val="24"/>
          <w:szCs w:val="24"/>
        </w:rPr>
        <w:t>委托的第三方检测机构检验</w:t>
      </w:r>
      <w:r>
        <w:rPr>
          <w:rFonts w:hint="eastAsia" w:hAnsi="宋体" w:cs="宋体"/>
          <w:color w:val="000000"/>
          <w:sz w:val="24"/>
          <w:szCs w:val="24"/>
        </w:rPr>
        <w:t>累计</w:t>
      </w:r>
      <w:r>
        <w:rPr>
          <w:rFonts w:hAnsi="宋体" w:cs="宋体"/>
          <w:color w:val="000000"/>
          <w:sz w:val="24"/>
          <w:szCs w:val="24"/>
        </w:rPr>
        <w:t>出现3次（含）以上不合格的，</w:t>
      </w:r>
      <w:r>
        <w:rPr>
          <w:rFonts w:hint="eastAsia" w:hAnsi="宋体" w:cs="宋体"/>
          <w:color w:val="000000"/>
          <w:sz w:val="24"/>
          <w:szCs w:val="24"/>
          <w:lang w:eastAsia="zh-CN"/>
        </w:rPr>
        <w:t>甲方</w:t>
      </w:r>
      <w:r>
        <w:rPr>
          <w:rFonts w:hAnsi="宋体" w:cs="宋体"/>
          <w:color w:val="000000"/>
          <w:sz w:val="24"/>
          <w:szCs w:val="24"/>
        </w:rPr>
        <w:t>有权单方中止或解除合同，暂停或取消</w:t>
      </w:r>
      <w:r>
        <w:rPr>
          <w:rFonts w:hint="eastAsia" w:hAnsi="宋体" w:cs="宋体"/>
          <w:color w:val="000000"/>
          <w:sz w:val="24"/>
          <w:szCs w:val="24"/>
          <w:lang w:eastAsia="zh-CN"/>
        </w:rPr>
        <w:t>乙方</w:t>
      </w:r>
      <w:r>
        <w:rPr>
          <w:rFonts w:hAnsi="宋体" w:cs="宋体"/>
          <w:color w:val="000000"/>
          <w:sz w:val="24"/>
          <w:szCs w:val="24"/>
        </w:rPr>
        <w:t>的供货资格，</w:t>
      </w:r>
      <w:bookmarkEnd w:id="30"/>
      <w:r>
        <w:rPr>
          <w:rFonts w:hint="eastAsia" w:hAnsi="宋体" w:cs="宋体"/>
          <w:color w:val="000000"/>
          <w:sz w:val="24"/>
          <w:szCs w:val="24"/>
        </w:rPr>
        <w:t>同时</w:t>
      </w:r>
      <w:r>
        <w:rPr>
          <w:rFonts w:hint="eastAsia" w:hAnsi="宋体" w:cs="宋体"/>
          <w:color w:val="000000"/>
          <w:sz w:val="24"/>
          <w:szCs w:val="24"/>
          <w:lang w:eastAsia="zh-CN"/>
        </w:rPr>
        <w:t>甲方</w:t>
      </w:r>
      <w:r>
        <w:rPr>
          <w:rFonts w:hint="eastAsia" w:hAnsi="宋体" w:cs="宋体"/>
          <w:color w:val="000000"/>
          <w:sz w:val="24"/>
          <w:szCs w:val="24"/>
        </w:rPr>
        <w:t>有权追究因为使用</w:t>
      </w:r>
      <w:r>
        <w:rPr>
          <w:rFonts w:hint="eastAsia" w:hAnsi="宋体" w:cs="宋体"/>
          <w:color w:val="000000"/>
          <w:sz w:val="24"/>
          <w:szCs w:val="24"/>
          <w:lang w:eastAsia="zh-CN"/>
        </w:rPr>
        <w:t>乙方</w:t>
      </w:r>
      <w:r>
        <w:rPr>
          <w:rFonts w:hint="eastAsia" w:hAnsi="宋体" w:cs="宋体"/>
          <w:color w:val="000000"/>
          <w:sz w:val="24"/>
          <w:szCs w:val="24"/>
        </w:rPr>
        <w:t>所提供的未达到所承诺质量标准产品而产生的所有损失和责任</w:t>
      </w:r>
      <w:r>
        <w:rPr>
          <w:rFonts w:hAnsi="宋体" w:cs="宋体"/>
          <w:color w:val="000000"/>
          <w:sz w:val="24"/>
          <w:szCs w:val="24"/>
        </w:rPr>
        <w:t>。</w:t>
      </w:r>
    </w:p>
    <w:p>
      <w:pPr>
        <w:pStyle w:val="30"/>
        <w:spacing w:line="360" w:lineRule="auto"/>
        <w:rPr>
          <w:rFonts w:hAnsi="宋体" w:cs="宋体"/>
          <w:color w:val="000000"/>
          <w:sz w:val="24"/>
          <w:szCs w:val="24"/>
        </w:rPr>
      </w:pPr>
      <w:bookmarkStart w:id="31" w:name="_Hlk142640642"/>
      <w:r>
        <w:rPr>
          <w:rFonts w:hint="eastAsia" w:hAnsi="宋体" w:cs="宋体"/>
          <w:color w:val="000000"/>
          <w:sz w:val="24"/>
          <w:szCs w:val="24"/>
        </w:rPr>
        <w:t>4、</w:t>
      </w:r>
      <w:bookmarkEnd w:id="31"/>
      <w:r>
        <w:rPr>
          <w:rFonts w:hint="eastAsia" w:hAnsi="宋体" w:cs="宋体"/>
          <w:color w:val="000000"/>
          <w:sz w:val="24"/>
          <w:szCs w:val="24"/>
          <w:lang w:eastAsia="zh-CN"/>
        </w:rPr>
        <w:t>乙方</w:t>
      </w:r>
      <w:r>
        <w:rPr>
          <w:rFonts w:hint="eastAsia" w:hAnsi="宋体" w:cs="宋体"/>
          <w:color w:val="000000"/>
          <w:sz w:val="24"/>
          <w:szCs w:val="24"/>
        </w:rPr>
        <w:t>应根据</w:t>
      </w:r>
      <w:r>
        <w:rPr>
          <w:rFonts w:hint="eastAsia" w:hAnsi="宋体" w:cs="宋体"/>
          <w:color w:val="000000"/>
          <w:sz w:val="24"/>
          <w:szCs w:val="24"/>
          <w:lang w:eastAsia="zh-CN"/>
        </w:rPr>
        <w:t>甲方</w:t>
      </w:r>
      <w:r>
        <w:rPr>
          <w:rFonts w:hint="eastAsia" w:hAnsi="宋体" w:cs="宋体"/>
          <w:color w:val="000000"/>
          <w:sz w:val="24"/>
          <w:szCs w:val="24"/>
        </w:rPr>
        <w:t>工艺以及性质，配合</w:t>
      </w:r>
      <w:r>
        <w:rPr>
          <w:rFonts w:hint="eastAsia" w:hAnsi="宋体" w:cs="宋体"/>
          <w:color w:val="000000"/>
          <w:sz w:val="24"/>
          <w:szCs w:val="24"/>
          <w:lang w:eastAsia="zh-CN"/>
        </w:rPr>
        <w:t>甲方</w:t>
      </w:r>
      <w:r>
        <w:rPr>
          <w:rFonts w:hint="eastAsia" w:hAnsi="宋体" w:cs="宋体"/>
          <w:color w:val="000000"/>
          <w:sz w:val="24"/>
          <w:szCs w:val="24"/>
        </w:rPr>
        <w:t>进行小试、中试，提供符合技术指标的药剂，保证供货的药剂在</w:t>
      </w:r>
      <w:r>
        <w:rPr>
          <w:rFonts w:hint="eastAsia" w:hAnsi="宋体" w:cs="宋体"/>
          <w:color w:val="000000"/>
          <w:sz w:val="24"/>
          <w:szCs w:val="24"/>
          <w:lang w:eastAsia="zh-CN"/>
        </w:rPr>
        <w:t>甲方</w:t>
      </w:r>
      <w:r>
        <w:rPr>
          <w:rFonts w:hint="eastAsia" w:hAnsi="宋体" w:cs="宋体"/>
          <w:color w:val="000000"/>
          <w:sz w:val="24"/>
          <w:szCs w:val="24"/>
        </w:rPr>
        <w:t>良好的使用效果。如因药剂问题对</w:t>
      </w:r>
      <w:r>
        <w:rPr>
          <w:rFonts w:hint="eastAsia" w:hAnsi="宋体" w:cs="宋体"/>
          <w:color w:val="000000"/>
          <w:sz w:val="24"/>
          <w:szCs w:val="24"/>
          <w:lang w:eastAsia="zh-CN"/>
        </w:rPr>
        <w:t>甲方</w:t>
      </w:r>
      <w:r>
        <w:rPr>
          <w:rFonts w:hint="eastAsia" w:hAnsi="宋体" w:cs="宋体"/>
          <w:color w:val="000000"/>
          <w:sz w:val="24"/>
          <w:szCs w:val="24"/>
        </w:rPr>
        <w:t>生产、成本造成影响，</w:t>
      </w:r>
      <w:r>
        <w:rPr>
          <w:rFonts w:hint="eastAsia" w:hAnsi="宋体" w:cs="宋体"/>
          <w:color w:val="000000"/>
          <w:sz w:val="24"/>
          <w:szCs w:val="24"/>
          <w:lang w:eastAsia="zh-CN"/>
        </w:rPr>
        <w:t>甲方</w:t>
      </w:r>
      <w:r>
        <w:rPr>
          <w:rFonts w:hint="eastAsia" w:hAnsi="宋体" w:cs="宋体"/>
          <w:color w:val="000000"/>
          <w:sz w:val="24"/>
          <w:szCs w:val="24"/>
        </w:rPr>
        <w:t>有权要求</w:t>
      </w:r>
      <w:r>
        <w:rPr>
          <w:rFonts w:hint="eastAsia" w:hAnsi="宋体" w:cs="宋体"/>
          <w:color w:val="000000"/>
          <w:sz w:val="24"/>
          <w:szCs w:val="24"/>
          <w:lang w:eastAsia="zh-CN"/>
        </w:rPr>
        <w:t>乙方</w:t>
      </w:r>
      <w:r>
        <w:rPr>
          <w:rFonts w:hint="eastAsia" w:hAnsi="宋体" w:cs="宋体"/>
          <w:color w:val="000000"/>
          <w:sz w:val="24"/>
          <w:szCs w:val="24"/>
        </w:rPr>
        <w:t>按该次含税货物结算货款的20%向</w:t>
      </w:r>
      <w:r>
        <w:rPr>
          <w:rFonts w:hint="eastAsia" w:hAnsi="宋体" w:cs="宋体"/>
          <w:color w:val="000000"/>
          <w:sz w:val="24"/>
          <w:szCs w:val="24"/>
          <w:lang w:eastAsia="zh-CN"/>
        </w:rPr>
        <w:t>甲方</w:t>
      </w:r>
      <w:r>
        <w:rPr>
          <w:rFonts w:hint="eastAsia" w:hAnsi="宋体" w:cs="宋体"/>
          <w:color w:val="000000"/>
          <w:sz w:val="24"/>
          <w:szCs w:val="24"/>
        </w:rPr>
        <w:t>支付违约金，违约金不足以赔偿</w:t>
      </w:r>
      <w:r>
        <w:rPr>
          <w:rFonts w:hint="eastAsia" w:hAnsi="宋体" w:cs="宋体"/>
          <w:color w:val="000000"/>
          <w:sz w:val="24"/>
          <w:szCs w:val="24"/>
          <w:lang w:eastAsia="zh-CN"/>
        </w:rPr>
        <w:t>甲方</w:t>
      </w:r>
      <w:r>
        <w:rPr>
          <w:rFonts w:hint="eastAsia" w:hAnsi="宋体" w:cs="宋体"/>
          <w:color w:val="000000"/>
          <w:sz w:val="24"/>
          <w:szCs w:val="24"/>
        </w:rPr>
        <w:t>损失的，</w:t>
      </w:r>
      <w:r>
        <w:rPr>
          <w:rFonts w:hint="eastAsia" w:hAnsi="宋体" w:cs="宋体"/>
          <w:color w:val="000000"/>
          <w:sz w:val="24"/>
          <w:szCs w:val="24"/>
          <w:lang w:eastAsia="zh-CN"/>
        </w:rPr>
        <w:t>乙方</w:t>
      </w:r>
      <w:r>
        <w:rPr>
          <w:rFonts w:hint="eastAsia" w:hAnsi="宋体" w:cs="宋体"/>
          <w:color w:val="000000"/>
          <w:sz w:val="24"/>
          <w:szCs w:val="24"/>
        </w:rPr>
        <w:t>需另行赔偿。</w:t>
      </w:r>
    </w:p>
    <w:p>
      <w:pPr>
        <w:pStyle w:val="30"/>
        <w:spacing w:line="360" w:lineRule="auto"/>
        <w:rPr>
          <w:rFonts w:hAnsi="宋体" w:cs="宋体"/>
          <w:color w:val="000000"/>
          <w:sz w:val="24"/>
          <w:szCs w:val="24"/>
        </w:rPr>
      </w:pPr>
      <w:r>
        <w:rPr>
          <w:rFonts w:hint="eastAsia" w:hAnsi="宋体" w:cs="宋体"/>
          <w:color w:val="000000"/>
          <w:sz w:val="24"/>
          <w:szCs w:val="24"/>
        </w:rPr>
        <w:t>5、如</w:t>
      </w:r>
      <w:r>
        <w:rPr>
          <w:rFonts w:hint="eastAsia" w:hAnsi="宋体" w:cs="宋体"/>
          <w:color w:val="000000"/>
          <w:sz w:val="24"/>
          <w:szCs w:val="24"/>
          <w:lang w:eastAsia="zh-CN"/>
        </w:rPr>
        <w:t>乙方</w:t>
      </w:r>
      <w:r>
        <w:rPr>
          <w:rFonts w:hint="eastAsia" w:hAnsi="宋体" w:cs="宋体"/>
          <w:color w:val="000000"/>
          <w:sz w:val="24"/>
          <w:szCs w:val="24"/>
        </w:rPr>
        <w:t>提供的药剂严重影响</w:t>
      </w:r>
      <w:r>
        <w:rPr>
          <w:rFonts w:hint="eastAsia" w:hAnsi="宋体" w:cs="宋体"/>
          <w:color w:val="000000"/>
          <w:sz w:val="24"/>
          <w:szCs w:val="24"/>
          <w:lang w:eastAsia="zh-CN"/>
        </w:rPr>
        <w:t>甲方</w:t>
      </w:r>
      <w:r>
        <w:rPr>
          <w:rFonts w:hint="eastAsia" w:hAnsi="宋体" w:cs="宋体"/>
          <w:color w:val="000000"/>
          <w:sz w:val="24"/>
          <w:szCs w:val="24"/>
        </w:rPr>
        <w:t>生产或造成</w:t>
      </w:r>
      <w:r>
        <w:rPr>
          <w:rFonts w:hint="eastAsia" w:hAnsi="宋体" w:cs="宋体"/>
          <w:color w:val="000000"/>
          <w:sz w:val="24"/>
          <w:szCs w:val="24"/>
          <w:lang w:eastAsia="zh-CN"/>
        </w:rPr>
        <w:t>甲方</w:t>
      </w:r>
      <w:r>
        <w:rPr>
          <w:rFonts w:hint="eastAsia" w:hAnsi="宋体" w:cs="宋体"/>
          <w:color w:val="000000"/>
          <w:sz w:val="24"/>
          <w:szCs w:val="24"/>
        </w:rPr>
        <w:t>出水水质指标超标的情况，</w:t>
      </w:r>
      <w:r>
        <w:rPr>
          <w:rFonts w:hint="eastAsia" w:hAnsi="宋体" w:cs="宋体"/>
          <w:color w:val="000000"/>
          <w:sz w:val="24"/>
          <w:szCs w:val="24"/>
          <w:lang w:eastAsia="zh-CN"/>
        </w:rPr>
        <w:t>甲方</w:t>
      </w:r>
      <w:r>
        <w:rPr>
          <w:rFonts w:hint="eastAsia" w:hAnsi="宋体" w:cs="宋体"/>
          <w:color w:val="000000"/>
          <w:sz w:val="24"/>
          <w:szCs w:val="24"/>
        </w:rPr>
        <w:t>有权追究</w:t>
      </w:r>
      <w:r>
        <w:rPr>
          <w:rFonts w:hint="eastAsia" w:hAnsi="宋体" w:cs="宋体"/>
          <w:color w:val="000000"/>
          <w:sz w:val="24"/>
          <w:szCs w:val="24"/>
          <w:lang w:eastAsia="zh-CN"/>
        </w:rPr>
        <w:t>乙方</w:t>
      </w:r>
      <w:r>
        <w:rPr>
          <w:rFonts w:hint="eastAsia" w:hAnsi="宋体" w:cs="宋体"/>
          <w:color w:val="000000"/>
          <w:sz w:val="24"/>
          <w:szCs w:val="24"/>
        </w:rPr>
        <w:t>由此造成的损失，并有权单方面中止或解除合同，取消其供货资格。</w:t>
      </w:r>
    </w:p>
    <w:p>
      <w:pPr>
        <w:spacing w:line="360" w:lineRule="auto"/>
        <w:ind w:firstLine="480" w:firstLineChars="200"/>
        <w:rPr>
          <w:rFonts w:hAnsi="宋体" w:cs="宋体"/>
          <w:color w:val="000000"/>
          <w:sz w:val="24"/>
          <w:szCs w:val="24"/>
        </w:rPr>
      </w:pPr>
      <w:bookmarkStart w:id="32" w:name="_Hlk142640720"/>
      <w:r>
        <w:rPr>
          <w:rFonts w:hint="eastAsia" w:hAnsi="宋体" w:cs="宋体"/>
          <w:color w:val="000000"/>
          <w:sz w:val="24"/>
          <w:szCs w:val="24"/>
        </w:rPr>
        <w:t>6、</w:t>
      </w:r>
      <w:r>
        <w:rPr>
          <w:rFonts w:hAnsi="宋体" w:cs="宋体"/>
          <w:color w:val="000000"/>
          <w:sz w:val="24"/>
          <w:szCs w:val="24"/>
        </w:rPr>
        <w:t>对于货物</w:t>
      </w:r>
      <w:r>
        <w:rPr>
          <w:rFonts w:hint="eastAsia" w:hAnsi="宋体" w:cs="宋体"/>
          <w:color w:val="000000"/>
          <w:sz w:val="24"/>
          <w:szCs w:val="24"/>
        </w:rPr>
        <w:t>最终验收</w:t>
      </w:r>
      <w:r>
        <w:rPr>
          <w:rFonts w:hAnsi="宋体" w:cs="宋体"/>
          <w:color w:val="000000"/>
          <w:sz w:val="24"/>
          <w:szCs w:val="24"/>
        </w:rPr>
        <w:t>不合格且</w:t>
      </w:r>
      <w:r>
        <w:rPr>
          <w:rFonts w:hint="eastAsia" w:hAnsi="宋体" w:cs="宋体"/>
          <w:color w:val="000000"/>
          <w:sz w:val="24"/>
          <w:szCs w:val="24"/>
          <w:lang w:eastAsia="zh-CN"/>
        </w:rPr>
        <w:t>甲方</w:t>
      </w:r>
      <w:r>
        <w:rPr>
          <w:rFonts w:hAnsi="宋体" w:cs="宋体"/>
          <w:color w:val="000000"/>
          <w:sz w:val="24"/>
          <w:szCs w:val="24"/>
        </w:rPr>
        <w:t>已经开始使用或者使用完毕无法退换的，货款按照以下方式处理：①若</w:t>
      </w:r>
      <w:r>
        <w:rPr>
          <w:rFonts w:hint="eastAsia" w:hAnsi="宋体" w:cs="宋体"/>
          <w:color w:val="000000"/>
          <w:sz w:val="24"/>
          <w:szCs w:val="24"/>
          <w:lang w:eastAsia="zh-CN"/>
        </w:rPr>
        <w:t>甲方</w:t>
      </w:r>
      <w:r>
        <w:rPr>
          <w:rFonts w:hAnsi="宋体" w:cs="宋体"/>
          <w:color w:val="000000"/>
          <w:sz w:val="24"/>
          <w:szCs w:val="24"/>
        </w:rPr>
        <w:t>已支付货款的，则</w:t>
      </w:r>
      <w:r>
        <w:rPr>
          <w:rFonts w:hint="eastAsia" w:hAnsi="宋体" w:cs="宋体"/>
          <w:color w:val="000000"/>
          <w:sz w:val="24"/>
          <w:szCs w:val="24"/>
          <w:lang w:eastAsia="zh-CN"/>
        </w:rPr>
        <w:t>乙方</w:t>
      </w:r>
      <w:r>
        <w:rPr>
          <w:rFonts w:hAnsi="宋体" w:cs="宋体"/>
          <w:color w:val="000000"/>
          <w:sz w:val="24"/>
          <w:szCs w:val="24"/>
        </w:rPr>
        <w:t>应向</w:t>
      </w:r>
      <w:r>
        <w:rPr>
          <w:rFonts w:hint="eastAsia" w:hAnsi="宋体" w:cs="宋体"/>
          <w:color w:val="000000"/>
          <w:sz w:val="24"/>
          <w:szCs w:val="24"/>
          <w:lang w:eastAsia="zh-CN"/>
        </w:rPr>
        <w:t>甲方</w:t>
      </w:r>
      <w:r>
        <w:rPr>
          <w:rFonts w:hAnsi="宋体" w:cs="宋体"/>
          <w:color w:val="000000"/>
          <w:sz w:val="24"/>
          <w:szCs w:val="24"/>
        </w:rPr>
        <w:t>退还已支付的货款；②若</w:t>
      </w:r>
      <w:r>
        <w:rPr>
          <w:rFonts w:hint="eastAsia" w:hAnsi="宋体" w:cs="宋体"/>
          <w:color w:val="000000"/>
          <w:sz w:val="24"/>
          <w:szCs w:val="24"/>
          <w:lang w:eastAsia="zh-CN"/>
        </w:rPr>
        <w:t>甲方</w:t>
      </w:r>
      <w:r>
        <w:rPr>
          <w:rFonts w:hAnsi="宋体" w:cs="宋体"/>
          <w:color w:val="000000"/>
          <w:sz w:val="24"/>
          <w:szCs w:val="24"/>
        </w:rPr>
        <w:t>未支付货款的，则</w:t>
      </w:r>
      <w:r>
        <w:rPr>
          <w:rFonts w:hint="eastAsia" w:hAnsi="宋体" w:cs="宋体"/>
          <w:color w:val="000000"/>
          <w:sz w:val="24"/>
          <w:szCs w:val="24"/>
          <w:lang w:eastAsia="zh-CN"/>
        </w:rPr>
        <w:t>甲方</w:t>
      </w:r>
      <w:r>
        <w:rPr>
          <w:rFonts w:hAnsi="宋体" w:cs="宋体"/>
          <w:color w:val="000000"/>
          <w:sz w:val="24"/>
          <w:szCs w:val="24"/>
        </w:rPr>
        <w:t>无需支付货款</w:t>
      </w:r>
      <w:bookmarkEnd w:id="32"/>
      <w:r>
        <w:rPr>
          <w:rFonts w:hAnsi="宋体" w:cs="宋体"/>
          <w:color w:val="000000"/>
          <w:sz w:val="24"/>
          <w:szCs w:val="24"/>
        </w:rPr>
        <w:t>。</w:t>
      </w:r>
    </w:p>
    <w:p>
      <w:pPr>
        <w:pStyle w:val="30"/>
        <w:spacing w:line="360" w:lineRule="auto"/>
        <w:ind w:firstLine="324" w:firstLineChars="135"/>
        <w:rPr>
          <w:rFonts w:hAnsi="宋体" w:cs="宋体"/>
          <w:color w:val="000000"/>
          <w:sz w:val="24"/>
          <w:szCs w:val="24"/>
        </w:rPr>
      </w:pPr>
      <w:bookmarkStart w:id="33" w:name="_Hlk142640741"/>
      <w:r>
        <w:rPr>
          <w:rFonts w:hint="eastAsia" w:hAnsi="宋体" w:cs="宋体"/>
          <w:color w:val="000000"/>
          <w:sz w:val="24"/>
          <w:szCs w:val="24"/>
        </w:rPr>
        <w:t>7、若</w:t>
      </w:r>
      <w:r>
        <w:rPr>
          <w:rFonts w:hint="eastAsia" w:hAnsi="宋体" w:cs="宋体"/>
          <w:color w:val="000000"/>
          <w:sz w:val="24"/>
          <w:szCs w:val="24"/>
          <w:lang w:eastAsia="zh-CN"/>
        </w:rPr>
        <w:t>乙方</w:t>
      </w:r>
      <w:r>
        <w:rPr>
          <w:rFonts w:hint="eastAsia" w:hAnsi="宋体" w:cs="宋体"/>
          <w:color w:val="000000"/>
          <w:sz w:val="24"/>
          <w:szCs w:val="24"/>
        </w:rPr>
        <w:t>对</w:t>
      </w:r>
      <w:r>
        <w:rPr>
          <w:rFonts w:hint="eastAsia" w:hAnsi="宋体" w:cs="宋体"/>
          <w:color w:val="000000"/>
          <w:sz w:val="24"/>
          <w:szCs w:val="24"/>
          <w:lang w:eastAsia="zh-CN"/>
        </w:rPr>
        <w:t>甲方</w:t>
      </w:r>
      <w:r>
        <w:rPr>
          <w:rFonts w:hint="eastAsia" w:hAnsi="宋体" w:cs="宋体"/>
          <w:color w:val="000000"/>
          <w:sz w:val="24"/>
          <w:szCs w:val="24"/>
        </w:rPr>
        <w:t>验收结果有异议，</w:t>
      </w:r>
      <w:r>
        <w:rPr>
          <w:rFonts w:hint="eastAsia" w:hAnsi="宋体" w:cs="宋体"/>
          <w:color w:val="000000"/>
          <w:sz w:val="24"/>
          <w:szCs w:val="24"/>
          <w:lang w:eastAsia="zh-CN"/>
        </w:rPr>
        <w:t>乙方</w:t>
      </w:r>
      <w:r>
        <w:rPr>
          <w:rFonts w:hint="eastAsia" w:hAnsi="宋体" w:cs="宋体"/>
          <w:color w:val="000000"/>
          <w:sz w:val="24"/>
          <w:szCs w:val="24"/>
        </w:rPr>
        <w:t>应自</w:t>
      </w:r>
      <w:r>
        <w:rPr>
          <w:rFonts w:hint="eastAsia" w:hAnsi="宋体" w:cs="宋体"/>
          <w:color w:val="000000"/>
          <w:sz w:val="24"/>
          <w:szCs w:val="24"/>
          <w:lang w:eastAsia="zh-CN"/>
        </w:rPr>
        <w:t>甲方</w:t>
      </w:r>
      <w:r>
        <w:rPr>
          <w:rFonts w:hint="eastAsia" w:hAnsi="宋体" w:cs="宋体"/>
          <w:color w:val="000000"/>
          <w:sz w:val="24"/>
          <w:szCs w:val="24"/>
        </w:rPr>
        <w:t>书面告知</w:t>
      </w:r>
      <w:r>
        <w:rPr>
          <w:rFonts w:hint="eastAsia" w:hAnsi="宋体" w:cs="宋体"/>
          <w:color w:val="000000"/>
          <w:sz w:val="24"/>
          <w:szCs w:val="24"/>
          <w:lang w:eastAsia="zh-CN"/>
        </w:rPr>
        <w:t>乙方</w:t>
      </w:r>
      <w:r>
        <w:rPr>
          <w:rFonts w:hint="eastAsia" w:hAnsi="宋体" w:cs="宋体"/>
          <w:color w:val="000000"/>
          <w:sz w:val="24"/>
          <w:szCs w:val="24"/>
        </w:rPr>
        <w:t>检验结果24小时内，书面要求通过</w:t>
      </w:r>
      <w:r>
        <w:rPr>
          <w:rFonts w:hint="eastAsia" w:hAnsi="宋体" w:cs="宋体"/>
          <w:color w:val="000000"/>
          <w:sz w:val="24"/>
          <w:szCs w:val="24"/>
          <w:lang w:eastAsia="zh-CN"/>
        </w:rPr>
        <w:t>乙方</w:t>
      </w:r>
      <w:r>
        <w:rPr>
          <w:rFonts w:hint="eastAsia" w:hAnsi="宋体" w:cs="宋体"/>
          <w:color w:val="000000"/>
          <w:sz w:val="24"/>
          <w:szCs w:val="24"/>
        </w:rPr>
        <w:t>和</w:t>
      </w:r>
      <w:r>
        <w:rPr>
          <w:rFonts w:hint="eastAsia" w:hAnsi="宋体" w:cs="宋体"/>
          <w:color w:val="000000"/>
          <w:sz w:val="24"/>
          <w:szCs w:val="24"/>
          <w:lang w:eastAsia="zh-CN"/>
        </w:rPr>
        <w:t>甲方</w:t>
      </w:r>
      <w:r>
        <w:rPr>
          <w:rFonts w:hint="eastAsia" w:hAnsi="宋体" w:cs="宋体"/>
          <w:color w:val="000000"/>
          <w:sz w:val="24"/>
          <w:szCs w:val="24"/>
        </w:rPr>
        <w:t>双方确认的具有检测产品CMA认证资质的第三方单位对留样货物进行检测，最终供货产品质量判定以</w:t>
      </w:r>
      <w:r>
        <w:rPr>
          <w:rFonts w:hint="eastAsia" w:hAnsi="宋体" w:cs="宋体"/>
          <w:color w:val="000000"/>
          <w:sz w:val="24"/>
          <w:szCs w:val="24"/>
          <w:lang w:eastAsia="zh-CN"/>
        </w:rPr>
        <w:t>乙方</w:t>
      </w:r>
      <w:r>
        <w:rPr>
          <w:rFonts w:hint="eastAsia" w:hAnsi="宋体" w:cs="宋体"/>
          <w:color w:val="000000"/>
          <w:sz w:val="24"/>
          <w:szCs w:val="24"/>
        </w:rPr>
        <w:t>和</w:t>
      </w:r>
      <w:r>
        <w:rPr>
          <w:rFonts w:hint="eastAsia" w:hAnsi="宋体" w:cs="宋体"/>
          <w:color w:val="000000"/>
          <w:sz w:val="24"/>
          <w:szCs w:val="24"/>
          <w:lang w:eastAsia="zh-CN"/>
        </w:rPr>
        <w:t>甲方</w:t>
      </w:r>
      <w:r>
        <w:rPr>
          <w:rFonts w:hint="eastAsia" w:hAnsi="宋体" w:cs="宋体"/>
          <w:color w:val="000000"/>
          <w:sz w:val="24"/>
          <w:szCs w:val="24"/>
        </w:rPr>
        <w:t>双方确认的具有检测产品CMA认证资质的第三方检测机构检验结果为准；因此产生的检测费、运输费等全部费用均由</w:t>
      </w:r>
      <w:r>
        <w:rPr>
          <w:rFonts w:hint="eastAsia" w:hAnsi="宋体" w:cs="宋体"/>
          <w:color w:val="000000"/>
          <w:sz w:val="24"/>
          <w:szCs w:val="24"/>
          <w:lang w:eastAsia="zh-CN"/>
        </w:rPr>
        <w:t>乙方</w:t>
      </w:r>
      <w:r>
        <w:rPr>
          <w:rFonts w:hint="eastAsia" w:hAnsi="宋体" w:cs="宋体"/>
          <w:color w:val="000000"/>
          <w:sz w:val="24"/>
          <w:szCs w:val="24"/>
        </w:rPr>
        <w:t>承担</w:t>
      </w:r>
      <w:bookmarkEnd w:id="33"/>
      <w:r>
        <w:rPr>
          <w:rFonts w:hint="eastAsia" w:hAnsi="宋体" w:cs="宋体"/>
          <w:color w:val="000000"/>
          <w:sz w:val="24"/>
          <w:szCs w:val="24"/>
        </w:rPr>
        <w:t>。</w:t>
      </w:r>
    </w:p>
    <w:p>
      <w:pPr>
        <w:pStyle w:val="30"/>
        <w:spacing w:line="360" w:lineRule="auto"/>
        <w:rPr>
          <w:rFonts w:hAnsi="宋体" w:cs="宋体"/>
          <w:color w:val="000000"/>
          <w:sz w:val="24"/>
          <w:szCs w:val="24"/>
        </w:rPr>
      </w:pPr>
      <w:bookmarkStart w:id="34" w:name="_Hlk142640749"/>
      <w:r>
        <w:rPr>
          <w:rFonts w:hint="eastAsia" w:hAnsi="宋体" w:cs="宋体"/>
          <w:color w:val="000000"/>
          <w:sz w:val="24"/>
          <w:szCs w:val="24"/>
        </w:rPr>
        <w:t>8、</w:t>
      </w:r>
      <w:bookmarkEnd w:id="34"/>
      <w:r>
        <w:rPr>
          <w:rFonts w:hint="eastAsia" w:hAnsi="宋体" w:cs="宋体"/>
          <w:color w:val="000000"/>
          <w:sz w:val="24"/>
          <w:szCs w:val="24"/>
        </w:rPr>
        <w:t>授予合同前或合同履行中，</w:t>
      </w:r>
      <w:r>
        <w:rPr>
          <w:rFonts w:hint="eastAsia" w:hAnsi="宋体" w:cs="宋体"/>
          <w:color w:val="000000"/>
          <w:sz w:val="24"/>
          <w:szCs w:val="24"/>
          <w:lang w:eastAsia="zh-CN"/>
        </w:rPr>
        <w:t>甲方</w:t>
      </w:r>
      <w:r>
        <w:rPr>
          <w:rFonts w:hint="eastAsia" w:hAnsi="宋体" w:cs="宋体"/>
          <w:color w:val="000000"/>
          <w:sz w:val="24"/>
          <w:szCs w:val="24"/>
        </w:rPr>
        <w:t>有权实地核查</w:t>
      </w:r>
      <w:r>
        <w:rPr>
          <w:rFonts w:hint="eastAsia" w:hAnsi="宋体" w:cs="宋体"/>
          <w:color w:val="000000"/>
          <w:sz w:val="24"/>
          <w:szCs w:val="24"/>
          <w:lang w:eastAsia="zh-CN"/>
        </w:rPr>
        <w:t>乙方</w:t>
      </w:r>
      <w:r>
        <w:rPr>
          <w:rFonts w:hint="eastAsia" w:hAnsi="宋体" w:cs="宋体"/>
          <w:color w:val="000000"/>
          <w:sz w:val="24"/>
          <w:szCs w:val="24"/>
        </w:rPr>
        <w:t>在供货时提供的分支机构或服务机构的场地、生产/储存/运输设备设施及能力等材料的符合性，若发现虚假将取消资格，且</w:t>
      </w:r>
      <w:r>
        <w:rPr>
          <w:rFonts w:hint="eastAsia" w:hAnsi="宋体" w:cs="宋体"/>
          <w:color w:val="000000"/>
          <w:sz w:val="24"/>
          <w:szCs w:val="24"/>
          <w:lang w:eastAsia="zh-CN"/>
        </w:rPr>
        <w:t>甲方</w:t>
      </w:r>
      <w:r>
        <w:rPr>
          <w:rFonts w:hint="eastAsia" w:hAnsi="宋体" w:cs="宋体"/>
          <w:color w:val="000000"/>
          <w:sz w:val="24"/>
          <w:szCs w:val="24"/>
        </w:rPr>
        <w:t>有权终止合同。因此给</w:t>
      </w:r>
      <w:r>
        <w:rPr>
          <w:rFonts w:hint="eastAsia" w:hAnsi="宋体" w:cs="宋体"/>
          <w:color w:val="000000"/>
          <w:sz w:val="24"/>
          <w:szCs w:val="24"/>
          <w:lang w:eastAsia="zh-CN"/>
        </w:rPr>
        <w:t>甲方</w:t>
      </w:r>
      <w:r>
        <w:rPr>
          <w:rFonts w:hint="eastAsia" w:hAnsi="宋体" w:cs="宋体"/>
          <w:color w:val="000000"/>
          <w:sz w:val="24"/>
          <w:szCs w:val="24"/>
        </w:rPr>
        <w:t>造成损失的，全部由</w:t>
      </w:r>
      <w:r>
        <w:rPr>
          <w:rFonts w:hint="eastAsia" w:hAnsi="宋体" w:cs="宋体"/>
          <w:color w:val="000000"/>
          <w:sz w:val="24"/>
          <w:szCs w:val="24"/>
          <w:lang w:eastAsia="zh-CN"/>
        </w:rPr>
        <w:t>乙方</w:t>
      </w:r>
      <w:r>
        <w:rPr>
          <w:rFonts w:hint="eastAsia" w:hAnsi="宋体" w:cs="宋体"/>
          <w:color w:val="000000"/>
          <w:sz w:val="24"/>
          <w:szCs w:val="24"/>
        </w:rPr>
        <w:t>承担。</w:t>
      </w:r>
    </w:p>
    <w:p>
      <w:pPr>
        <w:spacing w:line="360" w:lineRule="auto"/>
        <w:ind w:firstLine="480" w:firstLineChars="200"/>
        <w:rPr>
          <w:rFonts w:hAnsi="宋体" w:cs="宋体"/>
          <w:color w:val="000000"/>
          <w:sz w:val="24"/>
          <w:szCs w:val="24"/>
        </w:rPr>
      </w:pPr>
      <w:bookmarkStart w:id="35" w:name="_Hlk142640763"/>
      <w:r>
        <w:rPr>
          <w:rFonts w:hint="eastAsia" w:hAnsi="宋体" w:cs="宋体"/>
          <w:color w:val="000000"/>
          <w:sz w:val="24"/>
          <w:szCs w:val="24"/>
          <w:lang w:val="en-US" w:eastAsia="zh-CN"/>
        </w:rPr>
        <w:t>9</w:t>
      </w:r>
      <w:r>
        <w:rPr>
          <w:rFonts w:hint="eastAsia" w:hAnsi="宋体" w:cs="宋体"/>
          <w:color w:val="000000"/>
          <w:sz w:val="24"/>
          <w:szCs w:val="24"/>
        </w:rPr>
        <w:t>、</w:t>
      </w:r>
      <w:r>
        <w:rPr>
          <w:rFonts w:hint="eastAsia" w:hAnsi="宋体" w:cs="宋体"/>
          <w:color w:val="000000"/>
          <w:sz w:val="24"/>
          <w:szCs w:val="24"/>
          <w:lang w:eastAsia="zh-CN"/>
        </w:rPr>
        <w:t>乙方</w:t>
      </w:r>
      <w:r>
        <w:rPr>
          <w:rFonts w:hint="eastAsia" w:hAnsi="宋体" w:cs="宋体"/>
          <w:color w:val="000000"/>
          <w:sz w:val="24"/>
          <w:szCs w:val="24"/>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hAnsi="宋体" w:cs="宋体"/>
          <w:color w:val="000000"/>
          <w:sz w:val="24"/>
          <w:szCs w:val="24"/>
          <w:lang w:eastAsia="zh-CN"/>
        </w:rPr>
        <w:t>乙方</w:t>
      </w:r>
      <w:r>
        <w:rPr>
          <w:rFonts w:hint="eastAsia" w:hAnsi="宋体" w:cs="宋体"/>
          <w:color w:val="000000"/>
          <w:sz w:val="24"/>
          <w:szCs w:val="24"/>
        </w:rPr>
        <w:t>自行承担。凡由于货物包装不良、运输方式不当或非法运输造成的事故、损失、行政处罚和由此产生的其他全部费用均由</w:t>
      </w:r>
      <w:r>
        <w:rPr>
          <w:rFonts w:hint="eastAsia" w:hAnsi="宋体" w:cs="宋体"/>
          <w:color w:val="000000"/>
          <w:sz w:val="24"/>
          <w:szCs w:val="24"/>
          <w:lang w:eastAsia="zh-CN"/>
        </w:rPr>
        <w:t>乙方</w:t>
      </w:r>
      <w:r>
        <w:rPr>
          <w:rFonts w:hint="eastAsia" w:hAnsi="宋体" w:cs="宋体"/>
          <w:color w:val="000000"/>
          <w:sz w:val="24"/>
          <w:szCs w:val="24"/>
        </w:rPr>
        <w:t>全部承担</w:t>
      </w:r>
      <w:bookmarkEnd w:id="35"/>
      <w:r>
        <w:rPr>
          <w:rFonts w:hint="eastAsia" w:hAnsi="宋体" w:cs="宋体"/>
          <w:color w:val="000000"/>
          <w:sz w:val="24"/>
          <w:szCs w:val="24"/>
        </w:rPr>
        <w:t>。</w:t>
      </w:r>
    </w:p>
    <w:p>
      <w:pPr>
        <w:pStyle w:val="30"/>
        <w:widowControl/>
        <w:spacing w:line="360" w:lineRule="auto"/>
        <w:rPr>
          <w:rFonts w:hAnsi="宋体" w:cs="宋体"/>
          <w:color w:val="000000"/>
          <w:sz w:val="24"/>
          <w:szCs w:val="24"/>
        </w:rPr>
      </w:pPr>
      <w:bookmarkStart w:id="36" w:name="_Hlk142640785"/>
      <w:r>
        <w:rPr>
          <w:rFonts w:hint="eastAsia" w:hAnsi="宋体" w:cs="宋体"/>
          <w:color w:val="000000"/>
          <w:sz w:val="24"/>
          <w:szCs w:val="24"/>
          <w:lang w:bidi="ar"/>
        </w:rPr>
        <w:t>1</w:t>
      </w:r>
      <w:r>
        <w:rPr>
          <w:rFonts w:hint="eastAsia" w:hAnsi="宋体" w:cs="宋体"/>
          <w:color w:val="000000"/>
          <w:sz w:val="24"/>
          <w:szCs w:val="24"/>
          <w:lang w:val="en-US" w:eastAsia="zh-CN" w:bidi="ar"/>
        </w:rPr>
        <w:t>0</w:t>
      </w:r>
      <w:r>
        <w:rPr>
          <w:rFonts w:hint="eastAsia" w:hAnsi="宋体" w:cs="宋体"/>
          <w:color w:val="000000"/>
          <w:sz w:val="24"/>
          <w:szCs w:val="24"/>
          <w:lang w:bidi="ar"/>
        </w:rPr>
        <w:t>、</w:t>
      </w:r>
      <w:r>
        <w:rPr>
          <w:rFonts w:hint="eastAsia" w:hAnsi="宋体" w:cs="宋体"/>
          <w:color w:val="000000"/>
          <w:sz w:val="24"/>
          <w:szCs w:val="24"/>
          <w:lang w:eastAsia="zh-CN" w:bidi="ar"/>
        </w:rPr>
        <w:t>乙方</w:t>
      </w:r>
      <w:r>
        <w:rPr>
          <w:rFonts w:hint="eastAsia" w:hAnsi="宋体" w:cs="宋体"/>
          <w:color w:val="000000"/>
          <w:sz w:val="24"/>
          <w:szCs w:val="24"/>
          <w:lang w:bidi="ar"/>
        </w:rPr>
        <w:t>有义务接受</w:t>
      </w:r>
      <w:r>
        <w:rPr>
          <w:rFonts w:hint="eastAsia" w:hAnsi="宋体" w:cs="宋体"/>
          <w:color w:val="000000"/>
          <w:sz w:val="24"/>
          <w:szCs w:val="24"/>
          <w:lang w:eastAsia="zh-CN" w:bidi="ar"/>
        </w:rPr>
        <w:t>甲方</w:t>
      </w:r>
      <w:r>
        <w:rPr>
          <w:rFonts w:hint="eastAsia" w:hAnsi="宋体" w:cs="宋体"/>
          <w:color w:val="000000"/>
          <w:sz w:val="24"/>
          <w:szCs w:val="24"/>
          <w:lang w:bidi="ar"/>
        </w:rPr>
        <w:t>的监督、评价及考核，且同意</w:t>
      </w:r>
      <w:r>
        <w:rPr>
          <w:rFonts w:hint="eastAsia" w:hAnsi="宋体" w:cs="宋体"/>
          <w:color w:val="000000"/>
          <w:sz w:val="24"/>
          <w:szCs w:val="24"/>
          <w:lang w:eastAsia="zh-CN" w:bidi="ar"/>
        </w:rPr>
        <w:t>甲方</w:t>
      </w:r>
      <w:r>
        <w:rPr>
          <w:rFonts w:hint="eastAsia" w:hAnsi="宋体" w:cs="宋体"/>
          <w:color w:val="000000"/>
          <w:sz w:val="24"/>
          <w:szCs w:val="24"/>
          <w:lang w:bidi="ar"/>
        </w:rPr>
        <w:t>关于供货资格供应商的管理规则及要求。</w:t>
      </w:r>
    </w:p>
    <w:p>
      <w:pPr>
        <w:pStyle w:val="59"/>
        <w:spacing w:line="360" w:lineRule="auto"/>
        <w:rPr>
          <w:rFonts w:hint="eastAsia" w:hAnsi="宋体" w:cs="宋体"/>
          <w:color w:val="000000"/>
          <w:sz w:val="24"/>
          <w:szCs w:val="24"/>
          <w:lang w:bidi="ar"/>
        </w:rPr>
      </w:pPr>
      <w:r>
        <w:rPr>
          <w:rFonts w:hint="eastAsia" w:hAnsi="宋体" w:cs="宋体"/>
          <w:color w:val="000000"/>
          <w:sz w:val="24"/>
          <w:szCs w:val="24"/>
          <w:lang w:bidi="ar"/>
        </w:rPr>
        <w:t>1</w:t>
      </w:r>
      <w:r>
        <w:rPr>
          <w:rFonts w:hint="eastAsia" w:hAnsi="宋体" w:cs="宋体"/>
          <w:color w:val="000000"/>
          <w:sz w:val="24"/>
          <w:szCs w:val="24"/>
          <w:lang w:val="en-US" w:eastAsia="zh-CN" w:bidi="ar"/>
        </w:rPr>
        <w:t>1</w:t>
      </w:r>
      <w:r>
        <w:rPr>
          <w:rFonts w:hint="eastAsia" w:hAnsi="宋体" w:cs="宋体"/>
          <w:color w:val="000000"/>
          <w:sz w:val="24"/>
          <w:szCs w:val="24"/>
          <w:lang w:bidi="ar"/>
        </w:rPr>
        <w:t>、</w:t>
      </w:r>
      <w:bookmarkEnd w:id="36"/>
      <w:r>
        <w:rPr>
          <w:rFonts w:hint="eastAsia" w:hAnsi="宋体" w:cs="宋体"/>
          <w:color w:val="000000"/>
          <w:sz w:val="24"/>
          <w:szCs w:val="24"/>
          <w:lang w:eastAsia="zh-CN" w:bidi="ar"/>
        </w:rPr>
        <w:t>甲方</w:t>
      </w:r>
      <w:r>
        <w:rPr>
          <w:rFonts w:hint="eastAsia" w:hAnsi="宋体" w:cs="宋体"/>
          <w:color w:val="000000"/>
          <w:sz w:val="24"/>
          <w:szCs w:val="24"/>
          <w:lang w:bidi="ar"/>
        </w:rPr>
        <w:t>每月在付款手续前对</w:t>
      </w:r>
      <w:r>
        <w:rPr>
          <w:rFonts w:hint="eastAsia" w:hAnsi="宋体" w:cs="宋体"/>
          <w:color w:val="000000"/>
          <w:sz w:val="24"/>
          <w:szCs w:val="24"/>
          <w:lang w:eastAsia="zh-CN" w:bidi="ar"/>
        </w:rPr>
        <w:t>乙方</w:t>
      </w:r>
      <w:r>
        <w:rPr>
          <w:rFonts w:hint="eastAsia" w:hAnsi="宋体" w:cs="宋体"/>
          <w:color w:val="000000"/>
          <w:sz w:val="24"/>
          <w:szCs w:val="24"/>
          <w:lang w:bidi="ar"/>
        </w:rPr>
        <w:t>的履约情况进行评价，填写《供应商履约评价表》。考核评分满分为100分，考核评分分数低于80分、达到60分时，</w:t>
      </w:r>
      <w:r>
        <w:rPr>
          <w:rFonts w:hint="eastAsia" w:hAnsi="宋体" w:cs="宋体"/>
          <w:color w:val="000000"/>
          <w:sz w:val="24"/>
          <w:szCs w:val="24"/>
          <w:lang w:eastAsia="zh-CN" w:bidi="ar"/>
        </w:rPr>
        <w:t>乙方</w:t>
      </w:r>
      <w:r>
        <w:rPr>
          <w:rFonts w:hint="eastAsia" w:hAnsi="宋体" w:cs="宋体"/>
          <w:color w:val="000000"/>
          <w:sz w:val="24"/>
          <w:szCs w:val="24"/>
          <w:lang w:bidi="ar"/>
        </w:rPr>
        <w:t>应按该月货物含税结算货款的20%向</w:t>
      </w:r>
      <w:r>
        <w:rPr>
          <w:rFonts w:hint="eastAsia" w:hAnsi="宋体" w:cs="宋体"/>
          <w:color w:val="000000"/>
          <w:sz w:val="24"/>
          <w:szCs w:val="24"/>
          <w:lang w:eastAsia="zh-CN" w:bidi="ar"/>
        </w:rPr>
        <w:t>甲方</w:t>
      </w:r>
      <w:r>
        <w:rPr>
          <w:rFonts w:hint="eastAsia" w:hAnsi="宋体" w:cs="宋体"/>
          <w:color w:val="000000"/>
          <w:sz w:val="24"/>
          <w:szCs w:val="24"/>
          <w:lang w:bidi="ar"/>
        </w:rPr>
        <w:t>支付违约金；考核评分分数低于60分时，</w:t>
      </w:r>
      <w:r>
        <w:rPr>
          <w:rFonts w:hint="eastAsia" w:hAnsi="宋体" w:cs="宋体"/>
          <w:color w:val="000000"/>
          <w:sz w:val="24"/>
          <w:szCs w:val="24"/>
          <w:lang w:eastAsia="zh-CN" w:bidi="ar"/>
        </w:rPr>
        <w:t>乙方</w:t>
      </w:r>
      <w:r>
        <w:rPr>
          <w:rFonts w:hint="eastAsia" w:hAnsi="宋体" w:cs="宋体"/>
          <w:color w:val="000000"/>
          <w:sz w:val="24"/>
          <w:szCs w:val="24"/>
          <w:lang w:bidi="ar"/>
        </w:rPr>
        <w:t>应按该月货物含税结算货款的30%向</w:t>
      </w:r>
      <w:r>
        <w:rPr>
          <w:rFonts w:hint="eastAsia" w:hAnsi="宋体" w:cs="宋体"/>
          <w:color w:val="000000"/>
          <w:sz w:val="24"/>
          <w:szCs w:val="24"/>
          <w:lang w:eastAsia="zh-CN" w:bidi="ar"/>
        </w:rPr>
        <w:t>甲方</w:t>
      </w:r>
      <w:r>
        <w:rPr>
          <w:rFonts w:hint="eastAsia" w:hAnsi="宋体" w:cs="宋体"/>
          <w:color w:val="000000"/>
          <w:sz w:val="24"/>
          <w:szCs w:val="24"/>
          <w:lang w:bidi="ar"/>
        </w:rPr>
        <w:t>支付违约金。若供货期内累计出现3次（含）以上评审结论为不合格的，</w:t>
      </w:r>
      <w:r>
        <w:rPr>
          <w:rFonts w:hint="eastAsia" w:hAnsi="宋体" w:cs="宋体"/>
          <w:color w:val="000000"/>
          <w:sz w:val="24"/>
          <w:szCs w:val="24"/>
          <w:lang w:eastAsia="zh-CN" w:bidi="ar"/>
        </w:rPr>
        <w:t>甲方</w:t>
      </w:r>
      <w:r>
        <w:rPr>
          <w:rFonts w:hint="eastAsia" w:hAnsi="宋体" w:cs="宋体"/>
          <w:color w:val="000000"/>
          <w:sz w:val="24"/>
          <w:szCs w:val="24"/>
          <w:lang w:bidi="ar"/>
        </w:rPr>
        <w:t>有权取消</w:t>
      </w:r>
      <w:r>
        <w:rPr>
          <w:rFonts w:hint="eastAsia" w:hAnsi="宋体" w:cs="宋体"/>
          <w:color w:val="000000"/>
          <w:sz w:val="24"/>
          <w:szCs w:val="24"/>
          <w:lang w:eastAsia="zh-CN" w:bidi="ar"/>
        </w:rPr>
        <w:t>乙方</w:t>
      </w:r>
      <w:r>
        <w:rPr>
          <w:rFonts w:hint="eastAsia" w:hAnsi="宋体" w:cs="宋体"/>
          <w:color w:val="000000"/>
          <w:sz w:val="24"/>
          <w:szCs w:val="24"/>
          <w:lang w:bidi="ar"/>
        </w:rPr>
        <w:t>的供货资格并单方解除合同。</w:t>
      </w:r>
    </w:p>
    <w:p>
      <w:pPr>
        <w:pStyle w:val="59"/>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w:t>
      </w:r>
      <w:r>
        <w:rPr>
          <w:rFonts w:hint="eastAsia" w:hAnsi="宋体" w:cs="Times New Roman"/>
          <w:color w:val="000000"/>
          <w:sz w:val="24"/>
          <w:szCs w:val="24"/>
          <w:lang w:val="en-US" w:eastAsia="zh-CN" w:bidi="ar-SA"/>
        </w:rPr>
        <w:t>2</w:t>
      </w:r>
      <w:r>
        <w:rPr>
          <w:rFonts w:hint="default" w:ascii="宋体" w:hAnsi="宋体" w:eastAsia="宋体" w:cs="Times New Roman"/>
          <w:color w:val="000000"/>
          <w:sz w:val="24"/>
          <w:szCs w:val="24"/>
          <w:lang w:val="en-US" w:eastAsia="zh-CN" w:bidi="ar-SA"/>
        </w:rPr>
        <w:t>、乙方未按约定履行培训或售后服务义务的，甲方有权要求乙方支付合同价【</w:t>
      </w:r>
      <w:r>
        <w:rPr>
          <w:rFonts w:hint="eastAsia" w:hAnsi="宋体" w:cs="Times New Roman"/>
          <w:color w:val="000000"/>
          <w:sz w:val="24"/>
          <w:szCs w:val="24"/>
          <w:lang w:val="en-US" w:eastAsia="zh-CN" w:bidi="ar-SA"/>
        </w:rPr>
        <w:t>10</w:t>
      </w:r>
      <w:r>
        <w:rPr>
          <w:rFonts w:hint="default" w:ascii="宋体" w:hAnsi="宋体" w:eastAsia="宋体" w:cs="Times New Roman"/>
          <w:color w:val="000000"/>
          <w:sz w:val="24"/>
          <w:szCs w:val="24"/>
          <w:lang w:val="en-US" w:eastAsia="zh-CN" w:bidi="ar-SA"/>
        </w:rPr>
        <w:t>】%的违约金，且有权委托第三方提供培训或售后服务，所产生的费用甲方有权从未付款项中扣除，如不足扣除的，乙方还应另行向甲方赔偿。</w:t>
      </w:r>
    </w:p>
    <w:p>
      <w:pPr>
        <w:pStyle w:val="59"/>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w:t>
      </w:r>
      <w:r>
        <w:rPr>
          <w:rFonts w:hint="eastAsia" w:hAnsi="宋体" w:cs="Times New Roman"/>
          <w:color w:val="000000"/>
          <w:sz w:val="24"/>
          <w:szCs w:val="24"/>
          <w:lang w:val="en-US" w:eastAsia="zh-CN" w:bidi="ar-SA"/>
        </w:rPr>
        <w:t>3</w:t>
      </w:r>
      <w:r>
        <w:rPr>
          <w:rFonts w:hint="default" w:ascii="宋体" w:hAnsi="宋体" w:eastAsia="宋体" w:cs="Times New Roman"/>
          <w:color w:val="000000"/>
          <w:sz w:val="24"/>
          <w:szCs w:val="24"/>
          <w:lang w:val="en-US" w:eastAsia="zh-CN" w:bidi="ar-SA"/>
        </w:rPr>
        <w:t>、无论是否在质保期内，因货物质量问题发生安全事故或引起其他损失、造成不良后果的，乙方应承担全部责任及损失赔偿，同时甲方有权单方解除本合同且要求乙方一次性支付¥10000元（大写人民币壹万元整）的违约金。</w:t>
      </w:r>
    </w:p>
    <w:p>
      <w:pPr>
        <w:pStyle w:val="59"/>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w:t>
      </w:r>
      <w:r>
        <w:rPr>
          <w:rFonts w:hint="eastAsia" w:hAnsi="宋体" w:cs="Times New Roman"/>
          <w:color w:val="000000"/>
          <w:sz w:val="24"/>
          <w:szCs w:val="24"/>
          <w:lang w:val="en-US" w:eastAsia="zh-CN" w:bidi="ar-SA"/>
        </w:rPr>
        <w:t>4</w:t>
      </w:r>
      <w:r>
        <w:rPr>
          <w:rFonts w:hint="default" w:ascii="宋体" w:hAnsi="宋体" w:eastAsia="宋体" w:cs="Times New Roman"/>
          <w:color w:val="000000"/>
          <w:sz w:val="24"/>
          <w:szCs w:val="24"/>
          <w:lang w:val="en-US" w:eastAsia="zh-CN" w:bidi="ar-SA"/>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¥10000元（大写人民币壹万元整）违约金，且乙方须承担由此给甲方造成的一切损失。乙方及其工作人员的保密义务不因本合同的终止而终止，直至相关保密信息被合法公开时止。</w:t>
      </w:r>
    </w:p>
    <w:p>
      <w:pPr>
        <w:pStyle w:val="59"/>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w:t>
      </w:r>
      <w:r>
        <w:rPr>
          <w:rFonts w:hint="eastAsia" w:hAnsi="宋体" w:cs="Times New Roman"/>
          <w:color w:val="000000"/>
          <w:sz w:val="24"/>
          <w:szCs w:val="24"/>
          <w:lang w:val="en-US" w:eastAsia="zh-CN" w:bidi="ar-SA"/>
        </w:rPr>
        <w:t>5</w:t>
      </w:r>
      <w:r>
        <w:rPr>
          <w:rFonts w:hint="default" w:ascii="宋体" w:hAnsi="宋体" w:eastAsia="宋体" w:cs="Times New Roman"/>
          <w:color w:val="000000"/>
          <w:sz w:val="24"/>
          <w:szCs w:val="24"/>
          <w:lang w:val="en-US" w:eastAsia="zh-CN" w:bidi="ar-SA"/>
        </w:rPr>
        <w:t>、在本合同履行期限内，乙方未经甲方书面同意即将本合同约定项下的全部项目或部分项目转包给第三方的，甲方有权单方解除本合同且要求乙方按暂定合同价的【30】%承担违约责任。</w:t>
      </w:r>
    </w:p>
    <w:p>
      <w:pPr>
        <w:pStyle w:val="59"/>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w:t>
      </w:r>
      <w:r>
        <w:rPr>
          <w:rFonts w:hint="eastAsia" w:hAnsi="宋体" w:cs="Times New Roman"/>
          <w:color w:val="000000"/>
          <w:sz w:val="24"/>
          <w:szCs w:val="24"/>
          <w:lang w:val="en-US" w:eastAsia="zh-CN" w:bidi="ar-SA"/>
        </w:rPr>
        <w:t>6</w:t>
      </w:r>
      <w:r>
        <w:rPr>
          <w:rFonts w:hint="default" w:ascii="宋体" w:hAnsi="宋体" w:eastAsia="宋体" w:cs="Times New Roman"/>
          <w:color w:val="000000"/>
          <w:sz w:val="24"/>
          <w:szCs w:val="24"/>
          <w:lang w:val="en-US" w:eastAsia="zh-CN" w:bidi="ar-SA"/>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w:t>
      </w:r>
      <w:r>
        <w:rPr>
          <w:rFonts w:hint="eastAsia" w:hAnsi="宋体" w:cs="Times New Roman"/>
          <w:color w:val="000000"/>
          <w:sz w:val="24"/>
          <w:szCs w:val="24"/>
          <w:lang w:val="en-US" w:eastAsia="zh-CN" w:bidi="ar-SA"/>
        </w:rPr>
        <w:t>暂定</w:t>
      </w:r>
      <w:r>
        <w:rPr>
          <w:rFonts w:hint="default" w:ascii="宋体" w:hAnsi="宋体" w:eastAsia="宋体" w:cs="Times New Roman"/>
          <w:color w:val="000000"/>
          <w:sz w:val="24"/>
          <w:szCs w:val="24"/>
          <w:lang w:val="en-US" w:eastAsia="zh-CN" w:bidi="ar-SA"/>
        </w:rPr>
        <w:t>合同价</w:t>
      </w:r>
      <w:r>
        <w:rPr>
          <w:rFonts w:hint="eastAsia" w:hAnsi="宋体" w:cs="Times New Roman"/>
          <w:color w:val="000000"/>
          <w:sz w:val="24"/>
          <w:szCs w:val="24"/>
          <w:lang w:val="en-US" w:eastAsia="zh-CN" w:bidi="ar-SA"/>
        </w:rPr>
        <w:t>【20】</w:t>
      </w:r>
      <w:r>
        <w:rPr>
          <w:rFonts w:hint="default" w:ascii="宋体" w:hAnsi="宋体" w:eastAsia="宋体" w:cs="Times New Roman"/>
          <w:color w:val="000000"/>
          <w:sz w:val="24"/>
          <w:szCs w:val="24"/>
          <w:lang w:val="en-US" w:eastAsia="zh-CN" w:bidi="ar-SA"/>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pPr>
        <w:pStyle w:val="59"/>
        <w:spacing w:line="360" w:lineRule="auto"/>
        <w:rPr>
          <w:rFonts w:hint="default" w:ascii="宋体" w:hAnsi="宋体" w:eastAsia="宋体" w:cs="Times New Roman"/>
          <w:color w:val="000000"/>
          <w:sz w:val="24"/>
          <w:szCs w:val="24"/>
          <w:lang w:val="en-US" w:eastAsia="zh-CN" w:bidi="ar-SA"/>
        </w:rPr>
      </w:pPr>
      <w:r>
        <w:rPr>
          <w:rFonts w:hint="eastAsia" w:hAnsi="宋体" w:cs="Times New Roman"/>
          <w:color w:val="000000"/>
          <w:sz w:val="24"/>
          <w:szCs w:val="24"/>
          <w:lang w:val="en-US" w:eastAsia="zh-CN" w:bidi="ar-SA"/>
        </w:rPr>
        <w:t>17、</w:t>
      </w:r>
      <w:r>
        <w:rPr>
          <w:rFonts w:hint="default" w:ascii="宋体" w:hAnsi="宋体" w:eastAsia="宋体" w:cs="Times New Roman"/>
          <w:color w:val="000000"/>
          <w:sz w:val="24"/>
          <w:szCs w:val="24"/>
          <w:lang w:val="en-US" w:eastAsia="zh-CN" w:bidi="ar-SA"/>
        </w:rPr>
        <w:t>乙方违反本合同约定，合同对违约责任有特别约定的，适用该特别约定；无特别约定的，甲方有权</w:t>
      </w:r>
      <w:r>
        <w:rPr>
          <w:rFonts w:hint="eastAsia" w:hAnsi="宋体" w:cs="Times New Roman"/>
          <w:color w:val="000000"/>
          <w:sz w:val="24"/>
          <w:szCs w:val="24"/>
          <w:lang w:val="en-US" w:eastAsia="zh-CN" w:bidi="ar-SA"/>
        </w:rPr>
        <w:t>要求</w:t>
      </w:r>
      <w:r>
        <w:rPr>
          <w:rFonts w:hint="default" w:ascii="宋体" w:hAnsi="宋体" w:eastAsia="宋体" w:cs="Times New Roman"/>
          <w:color w:val="000000"/>
          <w:sz w:val="24"/>
          <w:szCs w:val="24"/>
          <w:lang w:val="en-US" w:eastAsia="zh-CN" w:bidi="ar-SA"/>
        </w:rPr>
        <w:t>乙方</w:t>
      </w:r>
      <w:r>
        <w:rPr>
          <w:rFonts w:hint="eastAsia" w:hAnsi="宋体" w:cs="Times New Roman"/>
          <w:color w:val="000000"/>
          <w:sz w:val="24"/>
          <w:szCs w:val="24"/>
          <w:lang w:val="en-US" w:eastAsia="zh-CN" w:bidi="ar-SA"/>
        </w:rPr>
        <w:t>支付暂定</w:t>
      </w:r>
      <w:r>
        <w:rPr>
          <w:rFonts w:hint="default" w:ascii="宋体" w:hAnsi="宋体" w:eastAsia="宋体" w:cs="Times New Roman"/>
          <w:color w:val="000000"/>
          <w:sz w:val="24"/>
          <w:szCs w:val="24"/>
          <w:lang w:val="en-US" w:eastAsia="zh-CN" w:bidi="ar-SA"/>
        </w:rPr>
        <w:t>合同价</w:t>
      </w:r>
      <w:r>
        <w:rPr>
          <w:rFonts w:hint="eastAsia" w:hAnsi="宋体" w:cs="Times New Roman"/>
          <w:color w:val="000000"/>
          <w:sz w:val="24"/>
          <w:szCs w:val="24"/>
          <w:lang w:val="en-US" w:eastAsia="zh-CN" w:bidi="ar-SA"/>
        </w:rPr>
        <w:t>【20】</w:t>
      </w:r>
      <w:r>
        <w:rPr>
          <w:rFonts w:hint="default" w:ascii="宋体" w:hAnsi="宋体" w:eastAsia="宋体" w:cs="Times New Roman"/>
          <w:color w:val="000000"/>
          <w:sz w:val="24"/>
          <w:szCs w:val="24"/>
          <w:lang w:val="en-US" w:eastAsia="zh-CN" w:bidi="ar-SA"/>
        </w:rPr>
        <w:t>%作为违约金。违约金不足以弥补甲方因此所受损失的，乙方应予以补足。</w:t>
      </w:r>
    </w:p>
    <w:p>
      <w:pPr>
        <w:pStyle w:val="59"/>
        <w:spacing w:line="360" w:lineRule="auto"/>
        <w:rPr>
          <w:rFonts w:hint="default" w:ascii="宋体" w:hAnsi="宋体" w:eastAsia="宋体" w:cs="Times New Roman"/>
          <w:color w:val="000000"/>
          <w:sz w:val="24"/>
          <w:szCs w:val="24"/>
          <w:lang w:val="en-US" w:eastAsia="zh-CN" w:bidi="ar-SA"/>
        </w:rPr>
      </w:pPr>
    </w:p>
    <w:p>
      <w:pPr>
        <w:pStyle w:val="30"/>
        <w:numPr>
          <w:ilvl w:val="0"/>
          <w:numId w:val="5"/>
        </w:numPr>
        <w:spacing w:line="360" w:lineRule="auto"/>
        <w:ind w:firstLineChars="0"/>
        <w:outlineLvl w:val="1"/>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不可抗力</w:t>
      </w:r>
    </w:p>
    <w:p>
      <w:pPr>
        <w:spacing w:line="360" w:lineRule="auto"/>
        <w:ind w:firstLine="480" w:firstLineChars="200"/>
        <w:rPr>
          <w:rFonts w:hint="eastAsia"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pStyle w:val="59"/>
        <w:rPr>
          <w:rFonts w:hint="eastAsia"/>
        </w:rPr>
      </w:pPr>
    </w:p>
    <w:p>
      <w:pPr>
        <w:pStyle w:val="30"/>
        <w:numPr>
          <w:ilvl w:val="0"/>
          <w:numId w:val="5"/>
        </w:numPr>
        <w:spacing w:line="360" w:lineRule="auto"/>
        <w:ind w:firstLineChars="0"/>
        <w:outlineLvl w:val="1"/>
        <w:rPr>
          <w:rFonts w:hint="eastAsia" w:ascii="Times New Roman" w:hAnsi="Times New Roman" w:eastAsia="宋体" w:cs="Times New Roman"/>
          <w:b/>
          <w:sz w:val="24"/>
          <w:szCs w:val="24"/>
          <w:lang w:val="en-US" w:eastAsia="zh-CN"/>
        </w:rPr>
      </w:pPr>
      <w:bookmarkStart w:id="37" w:name="_Toc27990842"/>
      <w:r>
        <w:rPr>
          <w:rFonts w:hint="eastAsia" w:ascii="Times New Roman" w:hAnsi="Times New Roman" w:eastAsia="宋体" w:cs="Times New Roman"/>
          <w:b/>
          <w:sz w:val="24"/>
          <w:szCs w:val="24"/>
          <w:lang w:val="en-US" w:eastAsia="zh-CN"/>
        </w:rPr>
        <w:t>承诺与保证</w:t>
      </w:r>
      <w:bookmarkEnd w:id="37"/>
    </w:p>
    <w:p>
      <w:pPr>
        <w:spacing w:line="360" w:lineRule="auto"/>
        <w:ind w:firstLine="480" w:firstLineChars="200"/>
        <w:rPr>
          <w:rFonts w:hint="eastAsia" w:ascii="Times New Roman"/>
        </w:rPr>
      </w:pPr>
      <w:r>
        <w:rPr>
          <w:rFonts w:hint="eastAsia" w:ascii="Times New Roman"/>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pPr>
        <w:pStyle w:val="59"/>
        <w:rPr>
          <w:rFonts w:hint="eastAsia"/>
        </w:rPr>
      </w:pPr>
    </w:p>
    <w:p>
      <w:pPr>
        <w:pStyle w:val="30"/>
        <w:numPr>
          <w:ilvl w:val="0"/>
          <w:numId w:val="5"/>
        </w:numPr>
        <w:spacing w:line="360" w:lineRule="auto"/>
        <w:ind w:firstLineChars="0"/>
        <w:outlineLvl w:val="1"/>
        <w:rPr>
          <w:rFonts w:hint="eastAsia" w:ascii="Times New Roman" w:hAnsi="Times New Roman" w:eastAsia="宋体" w:cs="Times New Roman"/>
          <w:b/>
          <w:sz w:val="24"/>
          <w:szCs w:val="24"/>
          <w:lang w:val="en-US" w:eastAsia="zh-CN"/>
        </w:rPr>
      </w:pPr>
      <w:bookmarkStart w:id="38" w:name="_Toc27990843"/>
      <w:r>
        <w:rPr>
          <w:rFonts w:hint="eastAsia" w:ascii="Times New Roman" w:hAnsi="Times New Roman" w:eastAsia="宋体" w:cs="Times New Roman"/>
          <w:b/>
          <w:sz w:val="24"/>
          <w:szCs w:val="24"/>
          <w:lang w:val="en-US" w:eastAsia="zh-CN"/>
        </w:rPr>
        <w:t>合同争议的解决办法</w:t>
      </w:r>
      <w:bookmarkEnd w:id="38"/>
    </w:p>
    <w:p>
      <w:pPr>
        <w:numPr>
          <w:ilvl w:val="0"/>
          <w:numId w:val="6"/>
        </w:numPr>
        <w:spacing w:line="360" w:lineRule="auto"/>
        <w:ind w:firstLine="403"/>
        <w:rPr>
          <w:rFonts w:hint="eastAsia" w:ascii="Times New Roman"/>
        </w:rPr>
      </w:pPr>
      <w:r>
        <w:rPr>
          <w:rFonts w:hint="eastAsia" w:ascii="Times New Roman"/>
        </w:rPr>
        <w:t>双方因本合同发生争议的，可协商解决。协商不成的，任何一方可向甲方住所地有管辖权的人民法院提起诉讼。</w:t>
      </w:r>
    </w:p>
    <w:p>
      <w:pPr>
        <w:numPr>
          <w:ilvl w:val="0"/>
          <w:numId w:val="6"/>
        </w:numPr>
        <w:spacing w:line="360" w:lineRule="auto"/>
        <w:ind w:left="0" w:leftChars="0" w:firstLine="403" w:firstLineChars="0"/>
        <w:rPr>
          <w:rFonts w:hint="eastAsia" w:ascii="Times New Roman"/>
          <w:lang w:val="en-US" w:eastAsia="zh-CN"/>
        </w:rPr>
      </w:pPr>
      <w:r>
        <w:rPr>
          <w:rFonts w:hint="eastAsia" w:ascii="Times New Roman"/>
          <w:lang w:val="en-US" w:eastAsia="zh-CN"/>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pPr>
        <w:pStyle w:val="59"/>
        <w:rPr>
          <w:rFonts w:hint="eastAsia"/>
          <w:lang w:val="en-US" w:eastAsia="zh-CN"/>
        </w:rPr>
      </w:pPr>
    </w:p>
    <w:p>
      <w:pPr>
        <w:pStyle w:val="30"/>
        <w:numPr>
          <w:ilvl w:val="0"/>
          <w:numId w:val="5"/>
        </w:numPr>
        <w:spacing w:line="360" w:lineRule="auto"/>
        <w:ind w:firstLineChars="0"/>
        <w:outlineLvl w:val="1"/>
        <w:rPr>
          <w:rFonts w:hint="eastAsia" w:ascii="Times New Roman" w:hAnsi="Times New Roman" w:eastAsia="宋体" w:cs="Times New Roman"/>
          <w:b/>
          <w:sz w:val="24"/>
          <w:szCs w:val="24"/>
          <w:lang w:val="en-US" w:eastAsia="zh-CN"/>
        </w:rPr>
      </w:pPr>
      <w:bookmarkStart w:id="39" w:name="_Toc27990844"/>
      <w:r>
        <w:rPr>
          <w:rFonts w:hint="eastAsia" w:ascii="Times New Roman" w:hAnsi="Times New Roman" w:eastAsia="宋体" w:cs="Times New Roman"/>
          <w:b/>
          <w:sz w:val="24"/>
          <w:szCs w:val="24"/>
          <w:lang w:val="en-US" w:eastAsia="zh-CN"/>
        </w:rPr>
        <w:t>其他</w:t>
      </w:r>
      <w:bookmarkEnd w:id="39"/>
    </w:p>
    <w:p>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lang w:eastAsia="zh-CN"/>
        </w:rPr>
        <w:t>日</w:t>
      </w:r>
      <w:r>
        <w:rPr>
          <w:rFonts w:hint="eastAsia" w:ascii="Times New Roman"/>
        </w:rPr>
        <w:t>后，即视为有效送达。乙方更换地址的，应该</w:t>
      </w:r>
      <w:r>
        <w:rPr>
          <w:rFonts w:ascii="Times New Roman"/>
        </w:rPr>
        <w:t>3</w:t>
      </w:r>
      <w:r>
        <w:rPr>
          <w:rFonts w:hint="eastAsia" w:ascii="Times New Roman"/>
          <w:lang w:eastAsia="zh-CN"/>
        </w:rPr>
        <w:t>日</w:t>
      </w:r>
      <w:r>
        <w:rPr>
          <w:rFonts w:hint="eastAsia" w:ascii="Times New Roman"/>
        </w:rPr>
        <w:t>内书面告知甲方。</w:t>
      </w:r>
    </w:p>
    <w:p>
      <w:pPr>
        <w:spacing w:line="360" w:lineRule="auto"/>
        <w:ind w:firstLine="480" w:firstLineChars="200"/>
        <w:rPr>
          <w:rFonts w:hint="eastAsia" w:ascii="Times New Roman"/>
        </w:rPr>
      </w:pPr>
      <w:r>
        <w:rPr>
          <w:rFonts w:hint="eastAsia" w:ascii="Times New Roman"/>
          <w:lang w:val="en-US" w:eastAsia="zh-CN"/>
        </w:rPr>
        <w:t>2</w:t>
      </w:r>
      <w:r>
        <w:rPr>
          <w:rFonts w:hint="eastAsia" w:ascii="Times New Roman"/>
        </w:rPr>
        <w:t>、乙方在签订本合同时，须与甲方签订《安全生产管理协议》。乙方人员在甲方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spacing w:line="360" w:lineRule="auto"/>
        <w:ind w:firstLine="480" w:firstLineChars="200"/>
        <w:rPr>
          <w:rFonts w:ascii="Times New Roman"/>
        </w:rPr>
      </w:pPr>
      <w:r>
        <w:rPr>
          <w:rFonts w:hint="eastAsia" w:ascii="Times New Roman"/>
          <w:lang w:val="en-US" w:eastAsia="zh-CN"/>
        </w:rPr>
        <w:t>3</w:t>
      </w:r>
      <w:r>
        <w:rPr>
          <w:rFonts w:hint="eastAsia" w:ascii="Times New Roman"/>
        </w:rPr>
        <w:t>、本合同一式</w:t>
      </w:r>
      <w:r>
        <w:rPr>
          <w:rFonts w:hint="eastAsia" w:ascii="Times New Roman"/>
          <w:u w:val="single"/>
          <w:lang w:val="en-US" w:eastAsia="zh-CN"/>
        </w:rPr>
        <w:t xml:space="preserve"> 叁 </w:t>
      </w:r>
      <w:r>
        <w:rPr>
          <w:rFonts w:hint="eastAsia" w:ascii="Times New Roman"/>
        </w:rPr>
        <w:t>份，其中甲方执</w:t>
      </w:r>
      <w:r>
        <w:rPr>
          <w:rFonts w:ascii="Times New Roman"/>
          <w:u w:val="single"/>
        </w:rPr>
        <w:t xml:space="preserve"> </w:t>
      </w:r>
      <w:r>
        <w:rPr>
          <w:rFonts w:hint="eastAsia" w:ascii="Times New Roman"/>
          <w:u w:val="single"/>
          <w:lang w:val="en-US" w:eastAsia="zh-CN"/>
        </w:rPr>
        <w:t>贰</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lang w:val="en-US" w:eastAsia="zh-CN"/>
        </w:rPr>
        <w:t>壹</w:t>
      </w:r>
      <w:r>
        <w:rPr>
          <w:rFonts w:ascii="Times New Roman"/>
          <w:u w:val="single"/>
        </w:rPr>
        <w:t xml:space="preserve"> </w:t>
      </w:r>
      <w:r>
        <w:rPr>
          <w:rFonts w:hint="eastAsia" w:ascii="Times New Roman"/>
        </w:rPr>
        <w:t>份，每份均具有同等法律效力。</w:t>
      </w:r>
    </w:p>
    <w:p>
      <w:pPr>
        <w:spacing w:line="360" w:lineRule="auto"/>
        <w:ind w:firstLine="480" w:firstLineChars="200"/>
        <w:rPr>
          <w:rFonts w:ascii="Times New Roman"/>
        </w:rPr>
      </w:pPr>
      <w:r>
        <w:rPr>
          <w:rFonts w:hint="eastAsia" w:ascii="Times New Roman"/>
          <w:lang w:val="en-US" w:eastAsia="zh-CN"/>
        </w:rPr>
        <w:t>4</w:t>
      </w:r>
      <w:r>
        <w:rPr>
          <w:rFonts w:hint="eastAsia" w:ascii="Times New Roman"/>
        </w:rPr>
        <w:t>、本合同经双方盖章、并由双方法定代表人签字后生效。</w:t>
      </w:r>
    </w:p>
    <w:p>
      <w:pPr>
        <w:spacing w:line="360" w:lineRule="auto"/>
        <w:ind w:firstLine="480" w:firstLineChars="200"/>
        <w:rPr>
          <w:rFonts w:hint="eastAsia" w:ascii="Times New Roman"/>
          <w:lang w:eastAsia="zh-CN"/>
        </w:rPr>
      </w:pPr>
      <w:r>
        <w:rPr>
          <w:rFonts w:hint="eastAsia" w:ascii="Times New Roman"/>
          <w:lang w:val="en-US" w:eastAsia="zh-CN"/>
        </w:rPr>
        <w:t>5</w:t>
      </w:r>
      <w:r>
        <w:rPr>
          <w:rFonts w:hint="eastAsia" w:ascii="Times New Roman"/>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pPr>
        <w:spacing w:line="360" w:lineRule="auto"/>
        <w:ind w:firstLine="480" w:firstLineChars="200"/>
        <w:rPr>
          <w:rFonts w:hint="eastAsia" w:ascii="Times New Roman"/>
        </w:rPr>
      </w:pPr>
    </w:p>
    <w:p>
      <w:pPr>
        <w:spacing w:line="360" w:lineRule="auto"/>
        <w:ind w:firstLine="480" w:firstLineChars="200"/>
        <w:rPr>
          <w:rFonts w:hint="eastAsia" w:ascii="Times New Roman"/>
          <w:lang w:val="en-US" w:eastAsia="zh-CN"/>
        </w:rPr>
      </w:pPr>
      <w:r>
        <w:rPr>
          <w:rFonts w:hint="eastAsia" w:ascii="Times New Roman"/>
        </w:rPr>
        <w:t>附件：</w:t>
      </w:r>
      <w:r>
        <w:rPr>
          <w:rFonts w:hint="eastAsia" w:ascii="Times New Roman"/>
          <w:lang w:val="en-US" w:eastAsia="zh-CN"/>
        </w:rPr>
        <w:t>附件一：安全生产管理协议；附件二：</w:t>
      </w:r>
      <w:r>
        <w:rPr>
          <w:rFonts w:hint="eastAsia" w:ascii="Times New Roman"/>
        </w:rPr>
        <w:t>用户需求书</w:t>
      </w:r>
      <w:r>
        <w:rPr>
          <w:rFonts w:hint="eastAsia" w:ascii="Times New Roman"/>
          <w:lang w:eastAsia="zh-CN"/>
        </w:rPr>
        <w:t>；</w:t>
      </w:r>
      <w:r>
        <w:rPr>
          <w:rFonts w:hint="eastAsia" w:ascii="Times New Roman"/>
          <w:lang w:val="en-US" w:eastAsia="zh-CN"/>
        </w:rPr>
        <w:t>附件三：阳光合作告知函。</w:t>
      </w:r>
    </w:p>
    <w:p>
      <w:pPr>
        <w:pStyle w:val="59"/>
        <w:rPr>
          <w:rFonts w:hint="eastAsia" w:ascii="Times New Roman"/>
          <w:lang w:val="en-US" w:eastAsia="zh-CN"/>
        </w:rPr>
      </w:pPr>
    </w:p>
    <w:tbl>
      <w:tblPr>
        <w:tblStyle w:val="24"/>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r>
              <w:rPr>
                <w:rFonts w:hint="eastAsia" w:ascii="Times New Roman"/>
                <w:vertAlign w:val="baseline"/>
              </w:rPr>
              <w:t>甲方（盖章）</w:t>
            </w:r>
            <w:r>
              <w:rPr>
                <w:rFonts w:hint="eastAsia" w:ascii="Times New Roman"/>
                <w:vertAlign w:val="baseline"/>
                <w:lang w:eastAsia="zh-CN"/>
              </w:rPr>
              <w:t>：东莞市尚源环能科技有限公司</w:t>
            </w:r>
          </w:p>
        </w:tc>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r>
              <w:rPr>
                <w:rFonts w:hint="eastAsia" w:ascii="Times New Roman"/>
                <w:vertAlign w:val="baseli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r>
              <w:rPr>
                <w:rFonts w:hint="eastAsia" w:ascii="Times New Roman"/>
                <w:vertAlign w:val="baseline"/>
              </w:rPr>
              <w:t>法定代表人：</w:t>
            </w:r>
          </w:p>
        </w:tc>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r>
              <w:rPr>
                <w:rFonts w:hint="eastAsia" w:ascii="Times New Roman"/>
                <w:vertAlign w:val="baseli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r>
              <w:rPr>
                <w:rFonts w:hint="eastAsia" w:ascii="Times New Roman"/>
                <w:vertAlign w:val="baseline"/>
              </w:rPr>
              <w:t>地址：广东省东莞市沙田镇立沙中路76号</w:t>
            </w:r>
          </w:p>
        </w:tc>
        <w:tc>
          <w:tcPr>
            <w:tcW w:w="5102" w:type="dxa"/>
            <w:tcBorders>
              <w:tl2br w:val="nil"/>
              <w:tr2bl w:val="nil"/>
            </w:tcBorders>
            <w:tcMar>
              <w:top w:w="0" w:type="dxa"/>
              <w:left w:w="57" w:type="dxa"/>
              <w:bottom w:w="0" w:type="dxa"/>
              <w:right w:w="57" w:type="dxa"/>
            </w:tcMar>
            <w:vAlign w:val="top"/>
          </w:tcPr>
          <w:p>
            <w:pPr>
              <w:spacing w:line="360" w:lineRule="auto"/>
              <w:ind w:left="720" w:hanging="720" w:hangingChars="300"/>
              <w:jc w:val="both"/>
              <w:rPr>
                <w:rFonts w:hint="eastAsia" w:ascii="Times New Roman"/>
                <w:vertAlign w:val="baseline"/>
              </w:rPr>
            </w:pPr>
            <w:r>
              <w:rPr>
                <w:rFonts w:hint="eastAsia" w:ascii="Times New Roman"/>
                <w:vertAlign w:val="baseli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r>
              <w:rPr>
                <w:rFonts w:hint="eastAsia" w:ascii="Times New Roman"/>
                <w:vertAlign w:val="baseli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r>
              <w:rPr>
                <w:rFonts w:hint="eastAsia" w:ascii="Times New Roman"/>
                <w:vertAlign w:val="baseline"/>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r>
              <w:rPr>
                <w:rFonts w:hint="eastAsia" w:ascii="Times New Roman"/>
                <w:vertAlign w:val="baseli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r>
              <w:rPr>
                <w:rFonts w:hint="eastAsia" w:ascii="Times New Roman"/>
                <w:vertAlign w:val="baseline"/>
              </w:rPr>
              <w:t>银行账号：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pPr>
              <w:spacing w:line="360" w:lineRule="auto"/>
              <w:jc w:val="both"/>
              <w:rPr>
                <w:rFonts w:hint="eastAsia" w:ascii="Times New Roman"/>
                <w:vertAlign w:val="baseline"/>
              </w:rPr>
            </w:pPr>
            <w:r>
              <w:rPr>
                <w:rFonts w:hint="eastAsia" w:ascii="Times New Roman"/>
                <w:vertAlign w:val="baseline"/>
              </w:rPr>
              <w:t>税号：</w:t>
            </w:r>
          </w:p>
        </w:tc>
      </w:tr>
    </w:tbl>
    <w:p>
      <w:pPr>
        <w:spacing w:line="360" w:lineRule="auto"/>
        <w:rPr>
          <w:rFonts w:hint="eastAsia"/>
        </w:rPr>
      </w:pPr>
    </w:p>
    <w:p>
      <w:pPr>
        <w:spacing w:line="360" w:lineRule="auto"/>
        <w:rPr>
          <w:rFonts w:hint="eastAsia"/>
        </w:rPr>
      </w:pPr>
      <w:r>
        <w:rPr>
          <w:rFonts w:hint="eastAsia"/>
        </w:rPr>
        <w:t>签订</w:t>
      </w:r>
      <w:r>
        <w:rPr>
          <w:rFonts w:hint="eastAsia"/>
          <w:lang w:val="en-US" w:eastAsia="zh-CN"/>
        </w:rPr>
        <w:t>日期</w:t>
      </w:r>
      <w:r>
        <w:rPr>
          <w:rFonts w:hint="eastAsia"/>
        </w:rPr>
        <w:t>：</w:t>
      </w:r>
      <w:r>
        <w:rPr>
          <w:rFonts w:hint="eastAsia"/>
          <w:lang w:val="en-US" w:eastAsia="zh-CN"/>
        </w:rPr>
        <w:t xml:space="preserve">   </w:t>
      </w:r>
    </w:p>
    <w:p>
      <w:pPr>
        <w:spacing w:line="360" w:lineRule="auto"/>
        <w:rPr>
          <w:rFonts w:hint="eastAsia"/>
        </w:rPr>
      </w:pPr>
      <w:r>
        <w:rPr>
          <w:rFonts w:hint="eastAsia"/>
        </w:rPr>
        <w:t>签订地点：广东省东莞市</w:t>
      </w:r>
    </w:p>
    <w:p>
      <w:pPr>
        <w:pStyle w:val="59"/>
        <w:spacing w:line="360" w:lineRule="auto"/>
        <w:rPr>
          <w:rFonts w:hint="default" w:ascii="宋体" w:hAnsi="宋体" w:eastAsia="宋体" w:cs="Times New Roman"/>
          <w:color w:val="000000"/>
          <w:sz w:val="24"/>
          <w:szCs w:val="24"/>
          <w:lang w:val="en-US" w:eastAsia="zh-CN" w:bidi="ar-SA"/>
        </w:rPr>
        <w:sectPr>
          <w:pgSz w:w="11906" w:h="16838"/>
          <w:pgMar w:top="1327" w:right="1259" w:bottom="1383" w:left="1423" w:header="851" w:footer="992" w:gutter="0"/>
          <w:cols w:space="0" w:num="1"/>
          <w:docGrid w:type="lines" w:linePitch="312" w:charSpace="0"/>
        </w:sectPr>
      </w:pPr>
    </w:p>
    <w:p>
      <w:pPr>
        <w:spacing w:line="600" w:lineRule="exact"/>
        <w:outlineLvl w:val="1"/>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附件一：</w:t>
      </w:r>
    </w:p>
    <w:p>
      <w:pPr>
        <w:spacing w:line="600" w:lineRule="exact"/>
        <w:jc w:val="center"/>
        <w:rPr>
          <w:rFonts w:hint="default" w:ascii="仿宋_GB2312" w:hAnsi="仿宋" w:eastAsia="仿宋_GB2312" w:cs="仿宋"/>
          <w:b/>
          <w:bCs/>
          <w:color w:val="000000" w:themeColor="text1"/>
          <w:sz w:val="36"/>
          <w:szCs w:val="36"/>
          <w:lang w:val="en-US"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pPr>
        <w:spacing w:line="60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东莞市尚源环能科技有限公司</w:t>
      </w:r>
    </w:p>
    <w:p>
      <w:pPr>
        <w:spacing w:line="60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地址: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广东省东莞市沙田镇立沙中路76号</w:t>
      </w:r>
    </w:p>
    <w:p>
      <w:pPr>
        <w:spacing w:line="60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spacing w:line="60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p>
    <w:p>
      <w:pPr>
        <w:spacing w:line="60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spacing w:line="60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spacing w:line="6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spacing w:line="600" w:lineRule="exact"/>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0"/>
        <w:spacing w:line="600" w:lineRule="exact"/>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pPr>
        <w:autoSpaceDE/>
        <w:autoSpaceDN/>
        <w:adjustRightInd/>
        <w:spacing w:line="6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ascii="仿宋" w:hAnsi="仿宋" w:eastAsia="仿宋" w:cs="仿宋"/>
          <w:color w:val="000000" w:themeColor="text1"/>
          <w:sz w:val="28"/>
          <w:szCs w:val="28"/>
          <w:u w:val="single"/>
          <w14:textFill>
            <w14:solidFill>
              <w14:schemeClr w14:val="tx1"/>
            </w14:solidFill>
          </w14:textFill>
        </w:rPr>
        <w:t xml:space="preserve">                                   </w:t>
      </w:r>
    </w:p>
    <w:p>
      <w:pPr>
        <w:autoSpaceDE/>
        <w:autoSpaceDN/>
        <w:adjustRightInd/>
        <w:spacing w:line="600" w:lineRule="exact"/>
        <w:ind w:firstLine="560" w:firstLineChars="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项目地点：</w:t>
      </w:r>
      <w:r>
        <w:rPr>
          <w:rFonts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p>
    <w:p>
      <w:pPr>
        <w:autoSpaceDE/>
        <w:autoSpaceDN/>
        <w:adjustRightInd/>
        <w:spacing w:line="6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r>
        <w:rPr>
          <w:rFonts w:ascii="仿宋" w:hAnsi="仿宋" w:eastAsia="仿宋" w:cs="仿宋"/>
          <w:color w:val="000000" w:themeColor="text1"/>
          <w:sz w:val="28"/>
          <w:szCs w:val="28"/>
          <w14:textFill>
            <w14:solidFill>
              <w14:schemeClr w14:val="tx1"/>
            </w14:solidFill>
          </w14:textFill>
        </w:rPr>
        <w:t xml:space="preserve">  至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pPr>
        <w:autoSpaceDE/>
        <w:autoSpaceDN/>
        <w:adjustRightInd/>
        <w:spacing w:line="600" w:lineRule="exact"/>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pPr>
        <w:spacing w:before="181" w:line="600" w:lineRule="exact"/>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pPr>
        <w:spacing w:before="181" w:line="600" w:lineRule="exact"/>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pPr>
        <w:spacing w:before="44" w:line="600" w:lineRule="exact"/>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pPr>
        <w:autoSpaceDE/>
        <w:autoSpaceDN/>
        <w:adjustRightInd/>
        <w:spacing w:line="600" w:lineRule="exact"/>
        <w:ind w:firstLine="600" w:firstLineChars="200"/>
        <w:jc w:val="both"/>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255"/>
          <w:numId w:val="0"/>
        </w:numPr>
        <w:autoSpaceDE/>
        <w:autoSpaceDN/>
        <w:adjustRightInd/>
        <w:spacing w:line="6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pPr>
        <w:numPr>
          <w:ilvl w:val="0"/>
          <w:numId w:val="7"/>
        </w:numPr>
        <w:spacing w:line="600" w:lineRule="exact"/>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以下简称“相关方”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。主要包括： </w:t>
      </w:r>
    </w:p>
    <w:p>
      <w:pPr>
        <w:numPr>
          <w:ilvl w:val="-1"/>
          <w:numId w:val="0"/>
        </w:numPr>
        <w:spacing w:line="600" w:lineRule="exact"/>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（1）依照与公司订立的有关合同，在公司内从事基建、设</w:t>
      </w:r>
    </w:p>
    <w:p>
      <w:pPr>
        <w:numPr>
          <w:ilvl w:val="-1"/>
          <w:numId w:val="0"/>
        </w:numPr>
        <w:spacing w:line="600" w:lineRule="exact"/>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备安装、维修保养、运输、后勤服务、劳务输出以及其他承包各种项目的外来单位或个人。 </w:t>
      </w:r>
    </w:p>
    <w:p>
      <w:pPr>
        <w:numPr>
          <w:ilvl w:val="0"/>
          <w:numId w:val="8"/>
        </w:numPr>
        <w:autoSpaceDE/>
        <w:autoSpaceDN/>
        <w:adjustRightInd/>
        <w:spacing w:line="60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pPr>
        <w:numPr>
          <w:ilvl w:val="0"/>
          <w:numId w:val="8"/>
        </w:numPr>
        <w:autoSpaceDE/>
        <w:autoSpaceDN/>
        <w:adjustRightInd/>
        <w:spacing w:line="60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w:t>
      </w:r>
      <w:r>
        <w:rPr>
          <w:rFonts w:hint="eastAsia" w:ascii="仿宋" w:hAnsi="仿宋" w:eastAsia="仿宋" w:cs="仿宋"/>
          <w:color w:val="000000" w:themeColor="text1"/>
          <w:sz w:val="30"/>
          <w:szCs w:val="30"/>
          <w:lang w:val="en-US" w:eastAsia="zh-CN"/>
          <w14:textFill>
            <w14:solidFill>
              <w14:schemeClr w14:val="tx1"/>
            </w14:solidFill>
          </w14:textFill>
        </w:rPr>
        <w:t>相关方的的日常考勤管理，严格遵守厂区对进出人员的管理要求。</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作业场所配备</w:t>
      </w:r>
      <w:r>
        <w:rPr>
          <w:rFonts w:hint="eastAsia" w:ascii="仿宋" w:hAnsi="仿宋" w:eastAsia="仿宋" w:cs="仿宋"/>
          <w:color w:val="000000" w:themeColor="text1"/>
          <w:sz w:val="30"/>
          <w:szCs w:val="30"/>
          <w:lang w:val="en-US" w:eastAsia="zh-CN"/>
          <w14:textFill>
            <w14:solidFill>
              <w14:schemeClr w14:val="tx1"/>
            </w14:solidFill>
          </w14:textFill>
        </w:rPr>
        <w:t>专职或兼职</w:t>
      </w:r>
      <w:r>
        <w:rPr>
          <w:rFonts w:hint="eastAsia" w:ascii="仿宋" w:hAnsi="仿宋" w:eastAsia="仿宋" w:cs="仿宋"/>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30"/>
          <w:szCs w:val="30"/>
          <w:lang w:val="en-US" w:eastAsia="zh-CN"/>
          <w14:textFill>
            <w14:solidFill>
              <w14:schemeClr w14:val="tx1"/>
            </w14:solidFill>
          </w14:textFill>
        </w:rPr>
        <w:t>进行维修作业</w:t>
      </w:r>
      <w:r>
        <w:rPr>
          <w:rFonts w:hint="eastAsia" w:ascii="仿宋" w:hAnsi="仿宋" w:eastAsia="仿宋" w:cs="仿宋"/>
          <w:color w:val="000000" w:themeColor="text1"/>
          <w:sz w:val="30"/>
          <w:szCs w:val="30"/>
          <w14:textFill>
            <w14:solidFill>
              <w14:schemeClr w14:val="tx1"/>
            </w14:solidFill>
          </w14:textFill>
        </w:rPr>
        <w:t>等其他可能存在危险的作业前需由</w:t>
      </w:r>
      <w:r>
        <w:rPr>
          <w:rFonts w:hint="eastAsia" w:ascii="仿宋" w:hAnsi="仿宋" w:eastAsia="仿宋" w:cs="仿宋"/>
          <w:color w:val="000000" w:themeColor="text1"/>
          <w:sz w:val="30"/>
          <w:szCs w:val="30"/>
          <w:lang w:val="en-US" w:eastAsia="zh-CN"/>
          <w14:textFill>
            <w14:solidFill>
              <w14:schemeClr w14:val="tx1"/>
            </w14:solidFill>
          </w14:textFill>
        </w:rPr>
        <w:t>乙方的</w:t>
      </w:r>
      <w:r>
        <w:rPr>
          <w:rFonts w:hint="eastAsia" w:ascii="仿宋" w:hAnsi="仿宋" w:eastAsia="仿宋" w:cs="仿宋"/>
          <w:color w:val="000000" w:themeColor="text1"/>
          <w:sz w:val="30"/>
          <w:szCs w:val="30"/>
          <w14:textFill>
            <w14:solidFill>
              <w14:schemeClr w14:val="tx1"/>
            </w14:solidFill>
          </w14:textFill>
        </w:rPr>
        <w:t>带班</w:t>
      </w:r>
      <w:r>
        <w:rPr>
          <w:rFonts w:hint="eastAsia" w:ascii="仿宋" w:hAnsi="仿宋" w:eastAsia="仿宋" w:cs="仿宋"/>
          <w:color w:val="000000" w:themeColor="text1"/>
          <w:sz w:val="30"/>
          <w:szCs w:val="30"/>
          <w:lang w:val="en-US" w:eastAsia="zh-CN"/>
          <w14:textFill>
            <w14:solidFill>
              <w14:schemeClr w14:val="tx1"/>
            </w14:solidFill>
          </w14:textFill>
        </w:rPr>
        <w:t>人员</w:t>
      </w:r>
      <w:r>
        <w:rPr>
          <w:rFonts w:hint="eastAsia" w:ascii="仿宋" w:hAnsi="仿宋" w:eastAsia="仿宋" w:cs="仿宋"/>
          <w:color w:val="000000" w:themeColor="text1"/>
          <w:sz w:val="30"/>
          <w:szCs w:val="30"/>
          <w14:textFill>
            <w14:solidFill>
              <w14:schemeClr w14:val="tx1"/>
            </w14:solidFill>
          </w14:textFill>
        </w:rPr>
        <w:t>对作业人员进行安全交底。</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pPr>
        <w:numPr>
          <w:ilvl w:val="0"/>
          <w:numId w:val="7"/>
        </w:numPr>
        <w:spacing w:line="600" w:lineRule="exact"/>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pPr>
        <w:numPr>
          <w:ilvl w:val="0"/>
          <w:numId w:val="7"/>
        </w:numPr>
        <w:spacing w:line="600" w:lineRule="exact"/>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30"/>
          <w:szCs w:val="30"/>
          <w:lang w:val="en-US" w:eastAsia="zh-CN"/>
          <w14:textFill>
            <w14:solidFill>
              <w14:schemeClr w14:val="tx1"/>
            </w14:solidFill>
          </w14:textFill>
        </w:rPr>
        <w:t>单方</w:t>
      </w:r>
      <w:r>
        <w:rPr>
          <w:rFonts w:hint="eastAsia" w:ascii="仿宋" w:hAnsi="仿宋" w:eastAsia="仿宋" w:cs="仿宋"/>
          <w:color w:val="000000" w:themeColor="text1"/>
          <w:sz w:val="30"/>
          <w:szCs w:val="30"/>
          <w14:textFill>
            <w14:solidFill>
              <w14:schemeClr w14:val="tx1"/>
            </w14:solidFill>
          </w14:textFill>
        </w:rPr>
        <w:t>解除合同，并要求乙方清退出场。</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w:t>
      </w:r>
      <w:r>
        <w:rPr>
          <w:rFonts w:hint="eastAsia" w:ascii="仿宋" w:hAnsi="仿宋" w:eastAsia="仿宋" w:cs="仿宋"/>
          <w:color w:val="000000" w:themeColor="text1"/>
          <w:sz w:val="30"/>
          <w:szCs w:val="30"/>
          <w:lang w:val="en-US" w:eastAsia="zh-CN"/>
          <w14:textFill>
            <w14:solidFill>
              <w14:schemeClr w14:val="tx1"/>
            </w14:solidFill>
          </w14:textFill>
        </w:rPr>
        <w:t>作业人员在甲方区域内</w:t>
      </w:r>
      <w:r>
        <w:rPr>
          <w:rFonts w:hint="eastAsia" w:ascii="仿宋" w:hAnsi="仿宋" w:eastAsia="仿宋" w:cs="仿宋"/>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pPr>
        <w:spacing w:line="600" w:lineRule="exact"/>
        <w:ind w:left="600" w:leftChars="250" w:firstLine="0"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hint="default" w:ascii="仿宋" w:hAnsi="仿宋" w:eastAsia="仿宋" w:cs="仿宋"/>
          <w:color w:val="000000" w:themeColor="text1"/>
          <w:sz w:val="30"/>
          <w:szCs w:val="30"/>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lang w:val="en-US" w:eastAsia="zh-CN"/>
          <w14:textFill>
            <w14:solidFill>
              <w14:schemeClr w14:val="tx1"/>
            </w14:solidFill>
          </w14:textFill>
        </w:rPr>
        <w:t>；</w:t>
      </w:r>
    </w:p>
    <w:p>
      <w:pPr>
        <w:spacing w:line="600" w:lineRule="exact"/>
        <w:ind w:left="0" w:leftChars="0" w:firstLine="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严禁</w:t>
      </w:r>
      <w:r>
        <w:rPr>
          <w:rFonts w:hint="eastAsia" w:ascii="仿宋" w:hAnsi="仿宋" w:eastAsia="仿宋" w:cs="仿宋"/>
          <w:color w:val="000000" w:themeColor="text1"/>
          <w:sz w:val="30"/>
          <w:szCs w:val="30"/>
          <w14:textFill>
            <w14:solidFill>
              <w14:schemeClr w14:val="tx1"/>
            </w14:solidFill>
          </w14:textFill>
        </w:rPr>
        <w:t>占用、堵塞、遮掩、挪用、损毁、破坏</w:t>
      </w:r>
      <w:r>
        <w:rPr>
          <w:rFonts w:hint="eastAsia" w:ascii="仿宋" w:hAnsi="仿宋" w:eastAsia="仿宋" w:cs="仿宋"/>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30"/>
          <w:szCs w:val="30"/>
          <w14:textFill>
            <w14:solidFill>
              <w14:schemeClr w14:val="tx1"/>
            </w14:solidFill>
          </w14:textFill>
        </w:rPr>
        <w:t>。</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第三条，</w:t>
      </w:r>
      <w:r>
        <w:rPr>
          <w:rFonts w:hint="eastAsia" w:ascii="仿宋" w:hAnsi="仿宋" w:eastAsia="仿宋" w:cs="仿宋"/>
          <w:color w:val="000000" w:themeColor="text1"/>
          <w:sz w:val="30"/>
          <w:szCs w:val="30"/>
          <w14:textFill>
            <w14:solidFill>
              <w14:schemeClr w14:val="tx1"/>
            </w14:solidFill>
          </w14:textFill>
        </w:rPr>
        <w:t>协议实施条款</w:t>
      </w:r>
      <w:r>
        <w:rPr>
          <w:rFonts w:hint="eastAsia" w:ascii="仿宋" w:hAnsi="仿宋" w:eastAsia="仿宋" w:cs="仿宋"/>
          <w:color w:val="000000" w:themeColor="text1"/>
          <w:sz w:val="30"/>
          <w:szCs w:val="30"/>
          <w:lang w:eastAsia="zh-CN"/>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30"/>
          <w:szCs w:val="30"/>
          <w:lang w:val="en-US" w:eastAsia="zh-CN"/>
          <w14:textFill>
            <w14:solidFill>
              <w14:schemeClr w14:val="tx1"/>
            </w14:solidFill>
          </w14:textFill>
        </w:rPr>
        <w:t>甲方有权要求</w:t>
      </w:r>
      <w:r>
        <w:rPr>
          <w:rFonts w:hint="eastAsia" w:ascii="仿宋" w:hAnsi="仿宋" w:eastAsia="仿宋" w:cs="仿宋"/>
          <w:color w:val="000000" w:themeColor="text1"/>
          <w:sz w:val="30"/>
          <w:szCs w:val="30"/>
          <w14:textFill>
            <w14:solidFill>
              <w14:schemeClr w14:val="tx1"/>
            </w14:solidFill>
          </w14:textFill>
        </w:rPr>
        <w:t>乙方向甲方支付</w:t>
      </w:r>
      <w:r>
        <w:rPr>
          <w:rFonts w:hint="eastAsia" w:ascii="仿宋" w:hAnsi="仿宋" w:eastAsia="仿宋" w:cs="仿宋"/>
          <w:color w:val="000000" w:themeColor="text1"/>
          <w:sz w:val="30"/>
          <w:szCs w:val="30"/>
          <w:lang w:val="en-US" w:eastAsia="zh-CN"/>
          <w14:textFill>
            <w14:solidFill>
              <w14:schemeClr w14:val="tx1"/>
            </w14:solidFill>
          </w14:textFill>
        </w:rPr>
        <w:t>本合同总金额的10%</w:t>
      </w:r>
      <w:r>
        <w:rPr>
          <w:rFonts w:hint="eastAsia" w:ascii="仿宋" w:hAnsi="仿宋" w:eastAsia="仿宋" w:cs="仿宋"/>
          <w:color w:val="000000" w:themeColor="text1"/>
          <w:sz w:val="30"/>
          <w:szCs w:val="30"/>
          <w14:textFill>
            <w14:solidFill>
              <w14:schemeClr w14:val="tx1"/>
            </w14:solidFill>
          </w14:textFill>
        </w:rPr>
        <w:t>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乙方需</w:t>
      </w:r>
      <w:r>
        <w:rPr>
          <w:rFonts w:hint="eastAsia" w:ascii="仿宋" w:hAnsi="仿宋" w:eastAsia="仿宋" w:cs="仿宋"/>
          <w:color w:val="000000" w:themeColor="text1"/>
          <w:sz w:val="30"/>
          <w:szCs w:val="30"/>
          <w14:textFill>
            <w14:solidFill>
              <w14:schemeClr w14:val="tx1"/>
            </w14:solidFill>
          </w14:textFill>
        </w:rPr>
        <w:t>做好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作业安全保障工作，</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pPr>
        <w:numPr>
          <w:ilvl w:val="0"/>
          <w:numId w:val="9"/>
        </w:num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作业时，需设一名或以上监护人员</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作业</w:t>
      </w:r>
      <w:r>
        <w:rPr>
          <w:rFonts w:hint="eastAsia" w:ascii="仿宋" w:hAnsi="仿宋" w:eastAsia="仿宋" w:cs="仿宋"/>
          <w:color w:val="000000" w:themeColor="text1"/>
          <w:sz w:val="30"/>
          <w:szCs w:val="30"/>
          <w14:textFill>
            <w14:solidFill>
              <w14:schemeClr w14:val="tx1"/>
            </w14:solidFill>
          </w14:textFill>
        </w:rPr>
        <w:t>存在</w:t>
      </w:r>
      <w:r>
        <w:rPr>
          <w:rFonts w:hint="eastAsia" w:ascii="仿宋" w:hAnsi="仿宋" w:eastAsia="仿宋" w:cs="仿宋"/>
          <w:color w:val="000000" w:themeColor="text1"/>
          <w:sz w:val="30"/>
          <w:szCs w:val="30"/>
          <w:lang w:val="en-US" w:eastAsia="zh-CN"/>
          <w14:textFill>
            <w14:solidFill>
              <w14:schemeClr w14:val="tx1"/>
            </w14:solidFill>
          </w14:textFill>
        </w:rPr>
        <w:t>多种</w:t>
      </w:r>
      <w:r>
        <w:rPr>
          <w:rFonts w:hint="eastAsia" w:ascii="仿宋" w:hAnsi="仿宋" w:eastAsia="仿宋" w:cs="仿宋"/>
          <w:color w:val="000000" w:themeColor="text1"/>
          <w:sz w:val="30"/>
          <w:szCs w:val="30"/>
          <w14:textFill>
            <w14:solidFill>
              <w14:schemeClr w14:val="tx1"/>
            </w14:solidFill>
          </w14:textFill>
        </w:rPr>
        <w:t>危险作业</w:t>
      </w:r>
      <w:r>
        <w:rPr>
          <w:rFonts w:hint="eastAsia" w:ascii="仿宋" w:hAnsi="仿宋" w:eastAsia="仿宋" w:cs="仿宋"/>
          <w:color w:val="000000" w:themeColor="text1"/>
          <w:sz w:val="30"/>
          <w:szCs w:val="30"/>
          <w:lang w:val="en-US" w:eastAsia="zh-CN"/>
          <w14:textFill>
            <w14:solidFill>
              <w14:schemeClr w14:val="tx1"/>
            </w14:solidFill>
          </w14:textFill>
        </w:rPr>
        <w:t>情况下，</w:t>
      </w:r>
      <w:r>
        <w:rPr>
          <w:rFonts w:hint="eastAsia" w:ascii="仿宋" w:hAnsi="仿宋" w:eastAsia="仿宋" w:cs="仿宋"/>
          <w:color w:val="000000" w:themeColor="text1"/>
          <w:sz w:val="30"/>
          <w:szCs w:val="30"/>
          <w14:textFill>
            <w14:solidFill>
              <w14:schemeClr w14:val="tx1"/>
            </w14:solidFill>
          </w14:textFill>
        </w:rPr>
        <w:t>需严格落实2人或2人以上为一组协同作业</w:t>
      </w:r>
      <w:r>
        <w:rPr>
          <w:rFonts w:hint="eastAsia" w:ascii="仿宋" w:hAnsi="仿宋" w:eastAsia="仿宋" w:cs="仿宋"/>
          <w:color w:val="000000" w:themeColor="text1"/>
          <w:sz w:val="30"/>
          <w:szCs w:val="30"/>
          <w:lang w:val="en-US" w:eastAsia="zh-CN"/>
          <w14:textFill>
            <w14:solidFill>
              <w14:schemeClr w14:val="tx1"/>
            </w14:solidFill>
          </w14:textFill>
        </w:rPr>
        <w:t>或交替作业</w:t>
      </w:r>
      <w:r>
        <w:rPr>
          <w:rFonts w:hint="eastAsia" w:ascii="仿宋" w:hAnsi="仿宋" w:eastAsia="仿宋" w:cs="仿宋"/>
          <w:color w:val="000000" w:themeColor="text1"/>
          <w:sz w:val="30"/>
          <w:szCs w:val="30"/>
          <w14:textFill>
            <w14:solidFill>
              <w14:schemeClr w14:val="tx1"/>
            </w14:solidFill>
          </w14:textFill>
        </w:rPr>
        <w:t>，不能单独作业。</w:t>
      </w:r>
    </w:p>
    <w:p>
      <w:pPr>
        <w:numPr>
          <w:ilvl w:val="0"/>
          <w:numId w:val="9"/>
        </w:num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）如遇阴雨及大雾、雷暴雨、台风等恶劣天气，禁止危险作业。</w:t>
      </w:r>
    </w:p>
    <w:p>
      <w:pPr>
        <w:numPr>
          <w:ilvl w:val="0"/>
          <w:numId w:val="7"/>
        </w:numPr>
        <w:spacing w:line="600" w:lineRule="exact"/>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pPr>
        <w:numPr>
          <w:ilvl w:val="0"/>
          <w:numId w:val="7"/>
        </w:numPr>
        <w:spacing w:line="600" w:lineRule="exact"/>
        <w:ind w:firstLine="400" w:firstLineChars="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w:t>
      </w:r>
      <w:r>
        <w:rPr>
          <w:rFonts w:hint="default" w:ascii="Times New Roman" w:hAnsi="Times New Roman" w:eastAsia="仿宋" w:cs="Times New Roman"/>
          <w:sz w:val="28"/>
          <w:szCs w:val="28"/>
        </w:rPr>
        <w:t>甲方执</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份，乙方执</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份</w:t>
      </w:r>
      <w:r>
        <w:rPr>
          <w:rFonts w:hint="eastAsia" w:ascii="仿宋" w:hAnsi="仿宋" w:eastAsia="仿宋" w:cs="仿宋"/>
          <w:color w:val="000000" w:themeColor="text1"/>
          <w:sz w:val="30"/>
          <w:szCs w:val="30"/>
          <w14:textFill>
            <w14:solidFill>
              <w14:schemeClr w14:val="tx1"/>
            </w14:solidFill>
          </w14:textFill>
        </w:rPr>
        <w:t>，自双方</w:t>
      </w:r>
      <w:r>
        <w:rPr>
          <w:rFonts w:hint="eastAsia" w:ascii="仿宋" w:hAnsi="仿宋" w:eastAsia="仿宋" w:cs="仿宋"/>
          <w:color w:val="000000" w:themeColor="text1"/>
          <w:sz w:val="30"/>
          <w:szCs w:val="30"/>
          <w:lang w:val="en-US" w:eastAsia="zh-CN"/>
          <w14:textFill>
            <w14:solidFill>
              <w14:schemeClr w14:val="tx1"/>
            </w14:solidFill>
          </w14:textFill>
        </w:rPr>
        <w:t>盖章并由</w:t>
      </w:r>
      <w:r>
        <w:rPr>
          <w:rFonts w:hint="eastAsia" w:ascii="仿宋" w:hAnsi="仿宋" w:eastAsia="仿宋" w:cs="仿宋"/>
          <w:color w:val="000000" w:themeColor="text1"/>
          <w:sz w:val="30"/>
          <w:szCs w:val="30"/>
          <w14:textFill>
            <w14:solidFill>
              <w14:schemeClr w14:val="tx1"/>
            </w14:solidFill>
          </w14:textFill>
        </w:rPr>
        <w:t>法定代表人签字后生效。</w:t>
      </w:r>
    </w:p>
    <w:p>
      <w:pPr>
        <w:spacing w:line="600" w:lineRule="exact"/>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pPr>
        <w:spacing w:line="600" w:lineRule="exact"/>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pPr>
        <w:spacing w:line="60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pPr>
        <w:spacing w:line="600" w:lineRule="exact"/>
        <w:ind w:firstLine="560" w:firstLineChars="200"/>
        <w:rPr>
          <w:rFonts w:ascii="仿宋_GB2312" w:hAnsi="仿宋" w:eastAsia="仿宋_GB2312" w:cs="仿宋"/>
          <w:color w:val="000000" w:themeColor="text1"/>
          <w:sz w:val="28"/>
          <w:szCs w:val="28"/>
          <w14:textFill>
            <w14:solidFill>
              <w14:schemeClr w14:val="tx1"/>
            </w14:solidFill>
          </w14:textFill>
        </w:rPr>
      </w:pPr>
    </w:p>
    <w:p>
      <w:pPr>
        <w:spacing w:line="6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pPr>
        <w:spacing w:line="6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法定代表人</w:t>
      </w:r>
      <w:r>
        <w:rPr>
          <w:rFonts w:hint="eastAsia" w:ascii="仿宋" w:hAnsi="仿宋" w:eastAsia="仿宋" w:cs="仿宋"/>
          <w:color w:val="000000" w:themeColor="text1"/>
          <w:sz w:val="28"/>
          <w:szCs w:val="28"/>
          <w14:textFill>
            <w14:solidFill>
              <w14:schemeClr w14:val="tx1"/>
            </w14:solidFill>
          </w14:textFill>
        </w:rPr>
        <w:t>：</w:t>
      </w:r>
    </w:p>
    <w:p>
      <w:pPr>
        <w:spacing w:line="600" w:lineRule="exact"/>
        <w:rPr>
          <w:rFonts w:hint="eastAsia" w:ascii="仿宋" w:hAnsi="仿宋" w:eastAsia="仿宋" w:cs="仿宋"/>
          <w:color w:val="000000" w:themeColor="text1"/>
          <w:sz w:val="28"/>
          <w:szCs w:val="28"/>
          <w14:textFill>
            <w14:solidFill>
              <w14:schemeClr w14:val="tx1"/>
            </w14:solidFill>
          </w14:textFill>
        </w:rPr>
      </w:pPr>
    </w:p>
    <w:p>
      <w:pPr>
        <w:spacing w:line="6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w:t>
      </w:r>
      <w:r>
        <w:rPr>
          <w:rFonts w:hint="eastAsia" w:ascii="仿宋" w:hAnsi="仿宋" w:eastAsia="仿宋" w:cs="仿宋"/>
          <w:color w:val="000000" w:themeColor="text1"/>
          <w:sz w:val="28"/>
          <w:szCs w:val="28"/>
          <w14:textFill>
            <w14:solidFill>
              <w14:schemeClr w14:val="tx1"/>
            </w14:solidFill>
          </w14:textFill>
        </w:rPr>
        <w:t>日期：</w:t>
      </w:r>
    </w:p>
    <w:p>
      <w:pPr>
        <w:spacing w:line="6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签订地点：广东省东莞市</w:t>
      </w:r>
      <w:r>
        <w:rPr>
          <w:rFonts w:ascii="仿宋" w:hAnsi="仿宋" w:eastAsia="仿宋" w:cs="仿宋"/>
          <w:color w:val="000000" w:themeColor="text1"/>
          <w:sz w:val="28"/>
          <w:szCs w:val="28"/>
          <w14:textFill>
            <w14:solidFill>
              <w14:schemeClr w14:val="tx1"/>
            </w14:solidFill>
          </w14:textFill>
        </w:rPr>
        <w:t xml:space="preserve">                              </w:t>
      </w:r>
    </w:p>
    <w:p>
      <w:pPr>
        <w:spacing w:line="600" w:lineRule="exact"/>
        <w:outlineLvl w:val="1"/>
        <w:rPr>
          <w:rFonts w:hint="eastAsia" w:ascii="仿宋_GB2312" w:hAnsi="仿宋_GB2312" w:eastAsia="仿宋_GB2312" w:cs="仿宋_GB2312"/>
          <w:b/>
          <w:bCs/>
          <w:sz w:val="28"/>
          <w:szCs w:val="28"/>
          <w:lang w:val="en-US" w:eastAsia="zh-CN"/>
        </w:rPr>
      </w:pPr>
    </w:p>
    <w:p>
      <w:pPr>
        <w:spacing w:line="600" w:lineRule="exact"/>
        <w:outlineLvl w:val="1"/>
        <w:rPr>
          <w:rFonts w:ascii="Times New Roman" w:hAnsi="Times New Roman" w:eastAsia="黑体" w:cs="Times New Roman"/>
          <w:sz w:val="32"/>
          <w:szCs w:val="32"/>
        </w:rPr>
      </w:pPr>
      <w:r>
        <w:rPr>
          <w:rFonts w:hint="eastAsia" w:ascii="仿宋_GB2312" w:hAnsi="仿宋_GB2312" w:eastAsia="仿宋_GB2312" w:cs="仿宋_GB2312"/>
          <w:b/>
          <w:bCs/>
          <w:sz w:val="28"/>
          <w:szCs w:val="28"/>
          <w:lang w:val="en-US" w:eastAsia="zh-CN"/>
        </w:rPr>
        <w:t>附件二</w:t>
      </w:r>
      <w:r>
        <w:rPr>
          <w:rFonts w:hint="eastAsia" w:hAnsi="宋体"/>
          <w:b/>
          <w:lang w:val="en-US" w:eastAsia="zh-CN"/>
        </w:rPr>
        <w:t>：</w:t>
      </w:r>
    </w:p>
    <w:p>
      <w:pPr>
        <w:pStyle w:val="59"/>
        <w:jc w:val="center"/>
        <w:rPr>
          <w:rFonts w:hint="eastAsia" w:ascii="方正仿宋_GB2312" w:hAnsi="方正仿宋_GB2312" w:eastAsia="方正仿宋_GB2312" w:cs="方正仿宋_GB2312"/>
          <w:b w:val="0"/>
          <w:bCs w:val="0"/>
          <w:sz w:val="36"/>
          <w:szCs w:val="36"/>
        </w:rPr>
      </w:pPr>
      <w:r>
        <w:rPr>
          <w:rFonts w:hint="eastAsia" w:ascii="方正小标宋简体" w:hAnsi="方正小标宋简体" w:eastAsia="方正小标宋简体" w:cs="方正小标宋简体"/>
          <w:b w:val="0"/>
          <w:bCs w:val="0"/>
          <w:sz w:val="36"/>
          <w:szCs w:val="36"/>
        </w:rPr>
        <w:t>用户需求书</w:t>
      </w:r>
    </w:p>
    <w:p>
      <w:pPr>
        <w:spacing w:line="360" w:lineRule="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一、总体要</w:t>
      </w:r>
      <w:r>
        <w:rPr>
          <w:rFonts w:hint="eastAsia" w:hAnsi="宋体" w:cs="宋体"/>
          <w:b/>
          <w:color w:val="000000"/>
          <w:sz w:val="21"/>
          <w:szCs w:val="21"/>
          <w:lang w:val="en-US" w:eastAsia="zh-CN"/>
        </w:rPr>
        <w:t>求</w:t>
      </w:r>
    </w:p>
    <w:p>
      <w:pPr>
        <w:pStyle w:val="30"/>
        <w:numPr>
          <w:ilvl w:val="0"/>
          <w:numId w:val="2"/>
        </w:numPr>
        <w:spacing w:line="360" w:lineRule="auto"/>
        <w:ind w:firstLineChars="0"/>
        <w:rPr>
          <w:rFonts w:ascii="宋体" w:hAnsi="宋体" w:eastAsia="宋体" w:cs="宋体"/>
          <w:szCs w:val="21"/>
        </w:rPr>
      </w:pPr>
      <w:r>
        <w:rPr>
          <w:rFonts w:hint="eastAsia" w:ascii="宋体" w:hAnsi="宋体" w:eastAsia="宋体" w:cs="宋体"/>
          <w:szCs w:val="21"/>
        </w:rPr>
        <w:t>本项目采购浓度≥50%硫酸溶液、浓度≥31%盐酸溶液，其中硫酸溶液用于调节循环冷却水系统、废水系统脱硫废水的PH值，盐酸溶液调节除盐水系统的PH值、膜系统清洗。</w:t>
      </w:r>
    </w:p>
    <w:p>
      <w:pPr>
        <w:pStyle w:val="30"/>
        <w:numPr>
          <w:ilvl w:val="0"/>
          <w:numId w:val="2"/>
        </w:numPr>
        <w:spacing w:line="360" w:lineRule="auto"/>
        <w:ind w:firstLineChars="0"/>
        <w:rPr>
          <w:rFonts w:ascii="宋体" w:hAnsi="宋体" w:eastAsia="宋体" w:cs="宋体"/>
          <w:szCs w:val="21"/>
        </w:rPr>
      </w:pPr>
      <w:r>
        <w:rPr>
          <w:rFonts w:hint="eastAsia" w:ascii="宋体" w:hAnsi="宋体" w:eastAsia="宋体" w:cs="宋体"/>
          <w:szCs w:val="21"/>
        </w:rPr>
        <w:t>具体供货量根据实际运营需求，并结合实际使用后的情况选用。</w:t>
      </w:r>
    </w:p>
    <w:p>
      <w:pPr>
        <w:pStyle w:val="30"/>
        <w:numPr>
          <w:ilvl w:val="0"/>
          <w:numId w:val="2"/>
        </w:numPr>
        <w:spacing w:line="360" w:lineRule="auto"/>
        <w:ind w:firstLineChars="0"/>
        <w:rPr>
          <w:rFonts w:ascii="宋体" w:hAnsi="宋体" w:eastAsia="宋体" w:cs="宋体"/>
          <w:szCs w:val="21"/>
        </w:rPr>
      </w:pPr>
      <w:r>
        <w:rPr>
          <w:rFonts w:hint="eastAsia" w:ascii="宋体" w:hAnsi="宋体" w:eastAsia="宋体" w:cs="宋体"/>
          <w:szCs w:val="21"/>
        </w:rPr>
        <w:t>供货期：供货期从合同签订之日至2026年12月31日，具体供货起始日期以采购人书面通知为准，供货单位收到采购人通知后必须无条件按照采购人的要求开始供货。</w:t>
      </w:r>
    </w:p>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二、药剂要求</w:t>
      </w:r>
    </w:p>
    <w:p>
      <w:pPr>
        <w:pStyle w:val="30"/>
        <w:numPr>
          <w:ilvl w:val="0"/>
          <w:numId w:val="3"/>
        </w:numPr>
        <w:spacing w:line="360" w:lineRule="auto"/>
        <w:ind w:firstLineChars="0"/>
        <w:rPr>
          <w:rFonts w:ascii="宋体" w:hAnsi="宋体" w:eastAsia="宋体" w:cs="宋体"/>
          <w:szCs w:val="21"/>
        </w:rPr>
      </w:pPr>
      <w:r>
        <w:rPr>
          <w:rFonts w:hint="eastAsia" w:ascii="宋体" w:hAnsi="宋体" w:eastAsia="宋体" w:cs="宋体"/>
          <w:szCs w:val="21"/>
        </w:rPr>
        <w:t>产品名称：硫酸溶液浓度≥50%，盐酸溶液浓度≥31%</w:t>
      </w:r>
    </w:p>
    <w:p>
      <w:pPr>
        <w:pStyle w:val="30"/>
        <w:numPr>
          <w:ilvl w:val="0"/>
          <w:numId w:val="3"/>
        </w:numPr>
        <w:spacing w:line="360" w:lineRule="auto"/>
        <w:ind w:firstLineChars="0"/>
        <w:rPr>
          <w:rFonts w:hint="eastAsia" w:ascii="宋体" w:hAnsi="宋体" w:eastAsia="宋体" w:cs="宋体"/>
          <w:szCs w:val="21"/>
        </w:rPr>
      </w:pPr>
      <w:r>
        <w:rPr>
          <w:rFonts w:hint="eastAsia" w:ascii="宋体" w:hAnsi="宋体" w:eastAsia="宋体" w:cs="宋体"/>
          <w:szCs w:val="21"/>
        </w:rPr>
        <w:t>分子式：H</w:t>
      </w:r>
      <w:r>
        <w:rPr>
          <w:rFonts w:hint="eastAsia" w:ascii="宋体" w:hAnsi="宋体" w:eastAsia="宋体" w:cs="宋体"/>
          <w:szCs w:val="21"/>
          <w:vertAlign w:val="subscript"/>
        </w:rPr>
        <w:t>2</w:t>
      </w:r>
      <w:r>
        <w:rPr>
          <w:rFonts w:hint="eastAsia" w:ascii="宋体" w:hAnsi="宋体" w:eastAsia="宋体" w:cs="宋体"/>
          <w:szCs w:val="21"/>
        </w:rPr>
        <w:t>SO</w:t>
      </w:r>
      <w:r>
        <w:rPr>
          <w:rFonts w:hint="eastAsia" w:ascii="宋体" w:hAnsi="宋体" w:eastAsia="宋体" w:cs="宋体"/>
          <w:szCs w:val="21"/>
          <w:vertAlign w:val="subscript"/>
        </w:rPr>
        <w:t>4</w:t>
      </w:r>
      <w:r>
        <w:rPr>
          <w:rFonts w:hint="eastAsia" w:ascii="宋体" w:hAnsi="宋体" w:eastAsia="宋体" w:cs="宋体"/>
          <w:szCs w:val="21"/>
        </w:rPr>
        <w:t>、HCl</w:t>
      </w:r>
    </w:p>
    <w:p>
      <w:pPr>
        <w:pStyle w:val="30"/>
        <w:numPr>
          <w:ilvl w:val="0"/>
          <w:numId w:val="3"/>
        </w:numPr>
        <w:spacing w:line="360" w:lineRule="auto"/>
        <w:ind w:firstLineChars="0"/>
        <w:rPr>
          <w:rFonts w:ascii="宋体" w:hAnsi="宋体" w:eastAsia="宋体" w:cs="宋体"/>
          <w:szCs w:val="21"/>
        </w:rPr>
      </w:pPr>
      <w:r>
        <w:rPr>
          <w:rFonts w:hint="eastAsia" w:ascii="宋体" w:hAnsi="宋体" w:eastAsia="宋体" w:cs="宋体"/>
          <w:szCs w:val="21"/>
        </w:rPr>
        <w:t>本项目暂定采购数量：硫酸溶液74吨，盐酸溶液2吨。</w:t>
      </w:r>
    </w:p>
    <w:p>
      <w:pPr>
        <w:pStyle w:val="30"/>
        <w:numPr>
          <w:ilvl w:val="0"/>
          <w:numId w:val="3"/>
        </w:numPr>
        <w:spacing w:line="360" w:lineRule="auto"/>
        <w:ind w:firstLineChars="0"/>
        <w:rPr>
          <w:rFonts w:ascii="宋体" w:hAnsi="宋体" w:eastAsia="宋体" w:cs="宋体"/>
          <w:szCs w:val="21"/>
        </w:rPr>
      </w:pPr>
      <w:r>
        <w:rPr>
          <w:rFonts w:hint="eastAsia" w:ascii="宋体" w:hAnsi="宋体" w:eastAsia="宋体" w:cs="宋体"/>
          <w:szCs w:val="21"/>
        </w:rPr>
        <w:t>主要技术指标</w:t>
      </w:r>
    </w:p>
    <w:p>
      <w:pPr>
        <w:pStyle w:val="30"/>
        <w:spacing w:line="360" w:lineRule="auto"/>
        <w:ind w:left="860" w:hanging="440" w:firstLineChars="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w:t>
      </w:r>
      <w:r>
        <w:rPr>
          <w:rFonts w:hint="eastAsia" w:ascii="宋体" w:hAnsi="宋体" w:eastAsia="宋体" w:cs="宋体"/>
          <w:szCs w:val="21"/>
        </w:rPr>
        <w:t>硫酸溶液</w:t>
      </w:r>
    </w:p>
    <w:p>
      <w:pPr>
        <w:pStyle w:val="30"/>
        <w:spacing w:line="360" w:lineRule="auto"/>
        <w:ind w:left="860" w:hanging="440" w:firstLineChars="0"/>
        <w:rPr>
          <w:rFonts w:ascii="宋体" w:hAnsi="宋体" w:eastAsia="宋体" w:cs="宋体"/>
          <w:szCs w:val="21"/>
        </w:rPr>
      </w:pPr>
      <w:r>
        <w:rPr>
          <w:rFonts w:hint="eastAsia" w:ascii="宋体" w:hAnsi="宋体" w:eastAsia="宋体" w:cs="宋体"/>
          <w:szCs w:val="21"/>
        </w:rPr>
        <w:t>1）液态硫酸产品外观为无色透明液体，无沉淀，无悬浮异物。</w:t>
      </w:r>
    </w:p>
    <w:p>
      <w:pPr>
        <w:pStyle w:val="30"/>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除硫酸质量分数外硫酸必须符合《工业硫酸》（GB 534—2024）一等品产品质量及检测标准，包括下表技术指标：</w:t>
      </w:r>
    </w:p>
    <w:p>
      <w:pPr>
        <w:spacing w:line="360" w:lineRule="auto"/>
        <w:ind w:firstLine="420" w:firstLineChars="200"/>
        <w:jc w:val="center"/>
        <w:rPr>
          <w:rFonts w:ascii="宋体" w:hAnsi="宋体" w:eastAsia="宋体" w:cs="宋体"/>
          <w:sz w:val="21"/>
          <w:szCs w:val="21"/>
        </w:rPr>
      </w:pPr>
      <w:r>
        <w:rPr>
          <w:rFonts w:hint="eastAsia" w:ascii="宋体" w:hAnsi="宋体" w:eastAsia="宋体" w:cs="宋体"/>
          <w:sz w:val="21"/>
          <w:szCs w:val="21"/>
        </w:rPr>
        <w:t>表1  硫酸主要技术指标</w:t>
      </w:r>
    </w:p>
    <w:p>
      <w:pPr>
        <w:pStyle w:val="2"/>
        <w:rPr>
          <w:rFonts w:hint="eastAsia" w:hAnsi="宋体" w:cs="宋体"/>
          <w:sz w:val="21"/>
          <w:szCs w:val="21"/>
          <w:highlight w:val="yellow"/>
          <w:lang w:val="en-US"/>
        </w:rPr>
      </w:pPr>
      <w:r>
        <w:rPr>
          <w:rFonts w:hint="eastAsia" w:hAnsi="宋体" w:cs="宋体"/>
          <w:sz w:val="21"/>
          <w:szCs w:val="21"/>
          <w:lang w:val="en-US"/>
        </w:rPr>
        <w:drawing>
          <wp:anchor distT="0" distB="0" distL="0" distR="0" simplePos="0" relativeHeight="251662336" behindDoc="0" locked="0" layoutInCell="1" allowOverlap="1">
            <wp:simplePos x="0" y="0"/>
            <wp:positionH relativeFrom="column">
              <wp:posOffset>454025</wp:posOffset>
            </wp:positionH>
            <wp:positionV relativeFrom="paragraph">
              <wp:posOffset>4445</wp:posOffset>
            </wp:positionV>
            <wp:extent cx="5340985" cy="3349625"/>
            <wp:effectExtent l="0" t="0" r="12065" b="317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6"/>
                    <a:stretch>
                      <a:fillRect/>
                    </a:stretch>
                  </pic:blipFill>
                  <pic:spPr>
                    <a:xfrm>
                      <a:off x="0" y="0"/>
                      <a:ext cx="5340985" cy="3349625"/>
                    </a:xfrm>
                    <a:prstGeom prst="rect">
                      <a:avLst/>
                    </a:prstGeom>
                  </pic:spPr>
                </pic:pic>
              </a:graphicData>
            </a:graphic>
          </wp:anchor>
        </w:drawing>
      </w:r>
    </w:p>
    <w:p>
      <w:pPr>
        <w:pStyle w:val="2"/>
        <w:rPr>
          <w:rFonts w:hint="eastAsia" w:hAnsi="宋体" w:cs="宋体"/>
          <w:sz w:val="21"/>
          <w:szCs w:val="21"/>
          <w:highlight w:val="yellow"/>
          <w:lang w:val="en-US"/>
        </w:rPr>
      </w:pPr>
    </w:p>
    <w:p>
      <w:pPr>
        <w:pStyle w:val="2"/>
        <w:rPr>
          <w:rFonts w:hint="eastAsia" w:hAnsi="宋体" w:cs="宋体"/>
          <w:sz w:val="21"/>
          <w:szCs w:val="21"/>
          <w:highlight w:val="yellow"/>
          <w:lang w:val="en-US"/>
        </w:rPr>
      </w:pPr>
    </w:p>
    <w:p>
      <w:pPr>
        <w:pStyle w:val="2"/>
        <w:rPr>
          <w:rFonts w:hint="eastAsia" w:hAnsi="宋体" w:cs="宋体"/>
          <w:sz w:val="21"/>
          <w:szCs w:val="21"/>
          <w:highlight w:val="yellow"/>
          <w:lang w:val="en-US"/>
        </w:rPr>
      </w:pPr>
    </w:p>
    <w:p>
      <w:pPr>
        <w:pStyle w:val="2"/>
        <w:rPr>
          <w:rFonts w:hint="eastAsia" w:hAnsi="宋体" w:cs="宋体"/>
          <w:sz w:val="21"/>
          <w:szCs w:val="21"/>
          <w:highlight w:val="yellow"/>
          <w:lang w:val="en-US"/>
        </w:rPr>
      </w:pPr>
    </w:p>
    <w:p>
      <w:pPr>
        <w:pStyle w:val="30"/>
        <w:spacing w:line="360" w:lineRule="auto"/>
        <w:ind w:left="840" w:firstLine="0" w:firstLineChars="0"/>
        <w:rPr>
          <w:rFonts w:ascii="宋体" w:hAnsi="宋体" w:eastAsia="宋体" w:cs="宋体"/>
          <w:szCs w:val="21"/>
        </w:rPr>
      </w:pPr>
      <w:r>
        <w:rPr>
          <w:rFonts w:hint="eastAsia" w:ascii="宋体" w:hAnsi="宋体" w:eastAsia="宋体" w:cs="宋体"/>
          <w:szCs w:val="21"/>
        </w:rPr>
        <w:t>备注：所供货物浓度按50%，其它技术参数按上表执行。</w:t>
      </w:r>
    </w:p>
    <w:p>
      <w:pPr>
        <w:pStyle w:val="30"/>
        <w:spacing w:line="360" w:lineRule="auto"/>
        <w:ind w:left="840" w:firstLine="0" w:firstLineChars="0"/>
        <w:rPr>
          <w:rFonts w:ascii="宋体" w:hAnsi="宋体" w:eastAsia="宋体" w:cs="宋体"/>
          <w:szCs w:val="21"/>
        </w:rPr>
      </w:pPr>
      <w:r>
        <w:rPr>
          <w:rFonts w:hint="eastAsia" w:ascii="宋体" w:hAnsi="宋体" w:eastAsia="宋体" w:cs="宋体"/>
          <w:szCs w:val="21"/>
        </w:rPr>
        <w:t>（2）盐酸溶液</w:t>
      </w:r>
    </w:p>
    <w:p>
      <w:pPr>
        <w:spacing w:line="360" w:lineRule="auto"/>
        <w:ind w:firstLine="896" w:firstLineChars="427"/>
        <w:rPr>
          <w:rFonts w:ascii="宋体" w:hAnsi="宋体" w:eastAsia="宋体" w:cs="宋体"/>
          <w:sz w:val="21"/>
          <w:szCs w:val="21"/>
        </w:rPr>
      </w:pPr>
      <w:r>
        <w:rPr>
          <w:rFonts w:hint="eastAsia" w:ascii="宋体" w:hAnsi="宋体" w:eastAsia="宋体" w:cs="宋体"/>
          <w:sz w:val="21"/>
          <w:szCs w:val="21"/>
        </w:rPr>
        <w:t>产品必须符合《工业用合成盐酸》（GB/T 320-2025）产品质量及检测标准，其中主要技术指标要求如下：</w:t>
      </w:r>
    </w:p>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表</w:t>
      </w:r>
      <w:r>
        <w:rPr>
          <w:rFonts w:hint="eastAsia" w:hAnsi="宋体" w:cs="宋体"/>
          <w:sz w:val="21"/>
          <w:szCs w:val="21"/>
          <w:lang w:val="en-US" w:eastAsia="zh-CN"/>
        </w:rPr>
        <w:t>2</w:t>
      </w:r>
      <w:r>
        <w:rPr>
          <w:rFonts w:hint="eastAsia" w:ascii="宋体" w:hAnsi="宋体" w:eastAsia="宋体" w:cs="宋体"/>
          <w:sz w:val="21"/>
          <w:szCs w:val="21"/>
        </w:rPr>
        <w:t xml:space="preserve">  盐酸主要技术指标</w:t>
      </w:r>
    </w:p>
    <w:tbl>
      <w:tblPr>
        <w:tblStyle w:val="24"/>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7"/>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647" w:type="dxa"/>
            <w:vAlign w:val="center"/>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指标项目</w:t>
            </w:r>
          </w:p>
        </w:tc>
        <w:tc>
          <w:tcPr>
            <w:tcW w:w="4013" w:type="dxa"/>
            <w:vAlign w:val="center"/>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总酸度（以HCl计），%≥</w:t>
            </w:r>
          </w:p>
        </w:tc>
        <w:tc>
          <w:tcPr>
            <w:tcW w:w="4013" w:type="dxa"/>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铁（以Fe计），% ≤</w:t>
            </w:r>
          </w:p>
        </w:tc>
        <w:tc>
          <w:tcPr>
            <w:tcW w:w="4013" w:type="dxa"/>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灼烧残渣，% ≤</w:t>
            </w:r>
          </w:p>
        </w:tc>
        <w:tc>
          <w:tcPr>
            <w:tcW w:w="4013" w:type="dxa"/>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游离氯（以Cl计），% ≤</w:t>
            </w:r>
          </w:p>
        </w:tc>
        <w:tc>
          <w:tcPr>
            <w:tcW w:w="4013" w:type="dxa"/>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硫酸盐（以SO</w:t>
            </w:r>
            <w:r>
              <w:rPr>
                <w:rFonts w:hint="eastAsia" w:ascii="宋体" w:hAnsi="宋体" w:eastAsia="宋体" w:cs="宋体"/>
                <w:sz w:val="21"/>
                <w:szCs w:val="21"/>
                <w:vertAlign w:val="subscript"/>
              </w:rPr>
              <w:t>4</w:t>
            </w:r>
            <w:r>
              <w:rPr>
                <w:rFonts w:hint="eastAsia" w:ascii="宋体" w:hAnsi="宋体" w:eastAsia="宋体" w:cs="宋体"/>
                <w:sz w:val="21"/>
                <w:szCs w:val="21"/>
                <w:vertAlign w:val="superscript"/>
              </w:rPr>
              <w:t>2-</w:t>
            </w:r>
            <w:r>
              <w:rPr>
                <w:rFonts w:hint="eastAsia" w:ascii="宋体" w:hAnsi="宋体" w:eastAsia="宋体" w:cs="宋体"/>
                <w:sz w:val="21"/>
                <w:szCs w:val="21"/>
              </w:rPr>
              <w:t>计），% ≤</w:t>
            </w:r>
          </w:p>
        </w:tc>
        <w:tc>
          <w:tcPr>
            <w:tcW w:w="4013" w:type="dxa"/>
          </w:tcPr>
          <w:p>
            <w:pPr>
              <w:spacing w:line="360" w:lineRule="auto"/>
              <w:ind w:firstLine="275" w:firstLineChars="131"/>
              <w:jc w:val="center"/>
              <w:rPr>
                <w:rFonts w:ascii="宋体" w:hAnsi="宋体" w:eastAsia="宋体" w:cs="宋体"/>
                <w:sz w:val="21"/>
                <w:szCs w:val="21"/>
              </w:rPr>
            </w:pPr>
            <w:r>
              <w:rPr>
                <w:rFonts w:hint="eastAsia" w:ascii="宋体" w:hAnsi="宋体" w:eastAsia="宋体" w:cs="宋体"/>
                <w:sz w:val="21"/>
                <w:szCs w:val="21"/>
              </w:rPr>
              <w:t>0.03</w:t>
            </w:r>
          </w:p>
        </w:tc>
      </w:tr>
    </w:tbl>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备注：供货单位在供货时，需注明所供盐酸型号规格、总酸度的质量分数。</w:t>
      </w:r>
    </w:p>
    <w:p>
      <w:pPr>
        <w:pStyle w:val="30"/>
        <w:spacing w:line="360" w:lineRule="auto"/>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w:t>
      </w:r>
      <w:r>
        <w:rPr>
          <w:rFonts w:hint="eastAsia" w:ascii="宋体" w:hAnsi="宋体" w:eastAsia="宋体" w:cs="宋体"/>
          <w:szCs w:val="21"/>
        </w:rPr>
        <w:t>供货期间，如有发布最新的行业标准或国家标准，采购人有权根据项目实际情况及有关行业标准或国家标准对合同的主要技术指标进行变更调整，供货单位应无条件接受。</w:t>
      </w:r>
    </w:p>
    <w:p>
      <w:pPr>
        <w:pStyle w:val="30"/>
        <w:spacing w:line="360" w:lineRule="auto"/>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供货单位所供产品的真实质量，必须满足本用户需求书的所有技术指标。</w:t>
      </w:r>
    </w:p>
    <w:p>
      <w:pPr>
        <w:pStyle w:val="30"/>
        <w:spacing w:line="360" w:lineRule="auto"/>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w:t>
      </w:r>
      <w:r>
        <w:rPr>
          <w:rFonts w:hint="eastAsia" w:ascii="宋体" w:hAnsi="宋体" w:eastAsia="宋体" w:cs="宋体"/>
          <w:szCs w:val="21"/>
        </w:rPr>
        <w:t>供货单位须根据采购人的情况，提供满足厂区正常生产运营的产品。</w:t>
      </w:r>
    </w:p>
    <w:p>
      <w:pPr>
        <w:numPr>
          <w:ilvl w:val="255"/>
          <w:numId w:val="0"/>
        </w:numPr>
        <w:spacing w:line="360" w:lineRule="auto"/>
        <w:rPr>
          <w:rFonts w:ascii="宋体" w:hAnsi="宋体" w:eastAsia="宋体" w:cs="宋体"/>
          <w:b/>
          <w:sz w:val="21"/>
          <w:szCs w:val="21"/>
        </w:rPr>
      </w:pPr>
      <w:r>
        <w:rPr>
          <w:rFonts w:hint="eastAsia" w:ascii="宋体" w:hAnsi="宋体" w:eastAsia="宋体" w:cs="宋体"/>
          <w:b/>
          <w:sz w:val="21"/>
          <w:szCs w:val="21"/>
        </w:rPr>
        <w:t>三、交货要求</w:t>
      </w:r>
    </w:p>
    <w:p>
      <w:pPr>
        <w:pStyle w:val="30"/>
        <w:numPr>
          <w:ilvl w:val="0"/>
          <w:numId w:val="4"/>
        </w:numPr>
        <w:spacing w:line="360" w:lineRule="auto"/>
        <w:ind w:left="420" w:firstLine="420"/>
        <w:rPr>
          <w:rFonts w:ascii="宋体" w:hAnsi="宋体" w:eastAsia="宋体" w:cs="宋体"/>
          <w:szCs w:val="21"/>
        </w:rPr>
      </w:pPr>
      <w:r>
        <w:rPr>
          <w:rFonts w:hint="eastAsia" w:ascii="宋体" w:hAnsi="宋体" w:eastAsia="宋体" w:cs="宋体"/>
          <w:szCs w:val="21"/>
        </w:rPr>
        <w:t>服务期：具体供货日期以采购人书面通知为准，供货单位收到采购人通知后必须无条件按照采购人的要求开始供货。</w:t>
      </w:r>
    </w:p>
    <w:p>
      <w:pPr>
        <w:pStyle w:val="30"/>
        <w:spacing w:line="360" w:lineRule="auto"/>
        <w:ind w:left="480" w:leftChars="200"/>
        <w:rPr>
          <w:rFonts w:ascii="宋体" w:hAnsi="宋体" w:eastAsia="宋体" w:cs="宋体"/>
          <w:szCs w:val="21"/>
        </w:rPr>
      </w:pPr>
      <w:r>
        <w:rPr>
          <w:rFonts w:hint="eastAsia" w:ascii="宋体" w:hAnsi="宋体" w:eastAsia="宋体" w:cs="宋体"/>
          <w:szCs w:val="21"/>
        </w:rPr>
        <w:t>交货地点：东莞市污泥集中处理处置项目现场（广东省东莞市沙田镇立沙中路76号）。</w:t>
      </w:r>
    </w:p>
    <w:p>
      <w:pPr>
        <w:pStyle w:val="30"/>
        <w:numPr>
          <w:ilvl w:val="0"/>
          <w:numId w:val="4"/>
        </w:numPr>
        <w:spacing w:line="360" w:lineRule="auto"/>
        <w:ind w:left="420" w:firstLine="420"/>
        <w:rPr>
          <w:rFonts w:hint="eastAsia" w:ascii="宋体" w:hAnsi="宋体" w:eastAsia="宋体" w:cs="宋体"/>
          <w:szCs w:val="21"/>
        </w:rPr>
      </w:pPr>
      <w:r>
        <w:rPr>
          <w:rFonts w:hint="eastAsia" w:ascii="宋体" w:hAnsi="宋体" w:eastAsia="宋体" w:cs="宋体"/>
          <w:szCs w:val="21"/>
        </w:rPr>
        <w:t>交货时间：日常供货（非加急供货)为接到供货通知72小时内，加急供货为接到供货通知24小时内，具体交货时间以采购人供货通知为准。采购人无需因加急供货而额外支付任何费用。</w:t>
      </w:r>
    </w:p>
    <w:p>
      <w:pPr>
        <w:pStyle w:val="30"/>
        <w:numPr>
          <w:ilvl w:val="0"/>
          <w:numId w:val="4"/>
        </w:numPr>
        <w:spacing w:line="360" w:lineRule="auto"/>
        <w:ind w:left="420" w:firstLine="420"/>
        <w:rPr>
          <w:rFonts w:ascii="宋体" w:hAnsi="宋体" w:eastAsia="宋体" w:cs="宋体"/>
          <w:szCs w:val="21"/>
        </w:rPr>
      </w:pPr>
      <w:r>
        <w:rPr>
          <w:rFonts w:hint="eastAsia" w:ascii="宋体" w:hAnsi="宋体" w:eastAsia="宋体" w:cs="宋体"/>
          <w:szCs w:val="21"/>
        </w:rPr>
        <w:t>产品运输、装卸的要求：可以用槽罐车或桶装运输，具体运输方式以实际供货通知确认为准。</w:t>
      </w:r>
    </w:p>
    <w:p>
      <w:pPr>
        <w:pStyle w:val="30"/>
        <w:numPr>
          <w:ilvl w:val="0"/>
          <w:numId w:val="4"/>
        </w:numPr>
        <w:spacing w:line="360" w:lineRule="auto"/>
        <w:ind w:left="420" w:firstLine="420"/>
        <w:rPr>
          <w:rFonts w:ascii="宋体" w:hAnsi="宋体" w:eastAsia="宋体" w:cs="宋体"/>
          <w:szCs w:val="21"/>
        </w:rPr>
      </w:pPr>
      <w:r>
        <w:rPr>
          <w:rFonts w:hint="eastAsia" w:ascii="宋体" w:hAnsi="宋体" w:eastAsia="宋体" w:cs="宋体"/>
          <w:szCs w:val="21"/>
        </w:rPr>
        <w:t>供货单位自行负责将生产药剂运送至采购人指定位置（生产药剂储存罐），未经采购人书面同意，供货单位不得私自将本合同项下的货物运输义务委托第三方个人或企业。供货单位承担相应的运输、装卸、二次搬运等费用，运输人员应配备足够防护器具。如在运输及装卸过程中，生产药剂发生泄漏，应由供货单位负责清理收集，避免造成人员伤害或环境污染；本项目厂内硫酸溶液设置2个5m</w:t>
      </w:r>
      <w:r>
        <w:rPr>
          <w:rFonts w:hint="eastAsia" w:ascii="宋体" w:hAnsi="宋体" w:eastAsia="宋体" w:cs="宋体"/>
          <w:szCs w:val="21"/>
          <w:vertAlign w:val="superscript"/>
        </w:rPr>
        <w:t>3</w:t>
      </w:r>
      <w:r>
        <w:rPr>
          <w:rFonts w:hint="eastAsia" w:ascii="宋体" w:hAnsi="宋体" w:eastAsia="宋体" w:cs="宋体"/>
          <w:szCs w:val="21"/>
        </w:rPr>
        <w:t>储罐、盐酸药剂设置1个2m³的储罐，用于储存该药剂。</w:t>
      </w:r>
    </w:p>
    <w:p>
      <w:pPr>
        <w:pStyle w:val="8"/>
        <w:numPr>
          <w:ilvl w:val="0"/>
          <w:numId w:val="4"/>
        </w:numPr>
        <w:ind w:left="420" w:firstLine="420" w:firstLineChars="200"/>
        <w:rPr>
          <w:rFonts w:ascii="宋体" w:hAnsi="宋体" w:eastAsia="宋体" w:cs="宋体"/>
          <w:snapToGrid/>
          <w:color w:val="auto"/>
          <w:kern w:val="2"/>
          <w:sz w:val="21"/>
          <w:szCs w:val="21"/>
        </w:rPr>
      </w:pPr>
      <w:r>
        <w:rPr>
          <w:rFonts w:hint="eastAsia" w:ascii="宋体" w:hAnsi="宋体" w:eastAsia="宋体" w:cs="宋体"/>
          <w:snapToGrid/>
          <w:color w:val="auto"/>
          <w:kern w:val="2"/>
          <w:sz w:val="21"/>
          <w:szCs w:val="21"/>
        </w:rPr>
        <w:t>每次送货到交货地方和卸货离开后，须经过污泥项目厂内的电子地磅进行称重，实际供货数量以污泥项目电子地磅出具的称重单为准。</w:t>
      </w:r>
    </w:p>
    <w:p>
      <w:pPr>
        <w:pStyle w:val="8"/>
        <w:numPr>
          <w:ilvl w:val="0"/>
          <w:numId w:val="4"/>
        </w:numPr>
        <w:ind w:left="420" w:firstLine="420" w:firstLineChars="200"/>
        <w:rPr>
          <w:rFonts w:ascii="宋体" w:hAnsi="宋体" w:eastAsia="宋体" w:cs="宋体"/>
          <w:snapToGrid/>
          <w:color w:val="auto"/>
          <w:kern w:val="2"/>
          <w:sz w:val="21"/>
          <w:szCs w:val="21"/>
        </w:rPr>
      </w:pPr>
      <w:r>
        <w:rPr>
          <w:rFonts w:hint="eastAsia" w:ascii="宋体" w:hAnsi="宋体" w:eastAsia="宋体" w:cs="宋体"/>
          <w:snapToGrid/>
          <w:color w:val="auto"/>
          <w:kern w:val="2"/>
          <w:sz w:val="21"/>
          <w:szCs w:val="21"/>
        </w:rPr>
        <w:t>每次送货，供货单位须随货提供生产厂家出具的具有生产厂家、产品名称、规格型号、出厂批号、药剂质量分数、执行标准等主要信息的产品质量检验报告（如出厂检验报告、质量检验报告等）、供货单据等资料，供货单位提供的检验报告只作为采购人参考。</w:t>
      </w:r>
    </w:p>
    <w:p>
      <w:pPr>
        <w:pStyle w:val="8"/>
        <w:numPr>
          <w:ilvl w:val="0"/>
          <w:numId w:val="4"/>
        </w:numPr>
        <w:ind w:left="420" w:firstLine="420" w:firstLineChars="200"/>
        <w:rPr>
          <w:rFonts w:ascii="宋体" w:hAnsi="宋体" w:eastAsia="宋体" w:cs="宋体"/>
          <w:snapToGrid/>
          <w:color w:val="auto"/>
          <w:kern w:val="2"/>
          <w:sz w:val="21"/>
          <w:szCs w:val="21"/>
        </w:rPr>
      </w:pPr>
      <w:r>
        <w:rPr>
          <w:rFonts w:hint="eastAsia" w:ascii="宋体" w:hAnsi="宋体" w:eastAsia="宋体" w:cs="宋体"/>
          <w:snapToGrid/>
          <w:color w:val="auto"/>
          <w:kern w:val="2"/>
          <w:sz w:val="21"/>
          <w:szCs w:val="21"/>
        </w:rPr>
        <w:t>供货期间，在收到采购人供货通知前，供货单位无需为合同履行做准备工作。</w:t>
      </w:r>
    </w:p>
    <w:p>
      <w:pPr>
        <w:pStyle w:val="8"/>
        <w:numPr>
          <w:ilvl w:val="0"/>
          <w:numId w:val="4"/>
        </w:numPr>
        <w:ind w:left="420" w:firstLine="420" w:firstLineChars="200"/>
        <w:rPr>
          <w:rFonts w:ascii="宋体" w:hAnsi="宋体" w:eastAsia="宋体" w:cs="宋体"/>
          <w:snapToGrid/>
          <w:color w:val="auto"/>
          <w:kern w:val="2"/>
          <w:sz w:val="21"/>
          <w:szCs w:val="21"/>
        </w:rPr>
      </w:pPr>
      <w:r>
        <w:rPr>
          <w:rFonts w:hint="eastAsia" w:ascii="宋体" w:hAnsi="宋体" w:eastAsia="宋体" w:cs="宋体"/>
          <w:snapToGrid/>
          <w:color w:val="auto"/>
          <w:kern w:val="2"/>
          <w:sz w:val="21"/>
          <w:szCs w:val="21"/>
        </w:rPr>
        <w:t>生产药剂的运送及输送方式应符合国家或行业规范标准。</w:t>
      </w:r>
    </w:p>
    <w:p>
      <w:pPr>
        <w:pStyle w:val="8"/>
        <w:numPr>
          <w:ilvl w:val="0"/>
          <w:numId w:val="4"/>
        </w:numPr>
        <w:ind w:left="420" w:firstLine="420" w:firstLineChars="200"/>
        <w:rPr>
          <w:rFonts w:ascii="宋体" w:hAnsi="宋体" w:eastAsia="宋体" w:cs="宋体"/>
          <w:snapToGrid/>
          <w:color w:val="auto"/>
          <w:kern w:val="2"/>
          <w:sz w:val="21"/>
          <w:szCs w:val="21"/>
        </w:rPr>
      </w:pPr>
      <w:r>
        <w:rPr>
          <w:rFonts w:hint="eastAsia" w:ascii="宋体" w:hAnsi="宋体" w:eastAsia="宋体" w:cs="宋体"/>
          <w:snapToGrid/>
          <w:color w:val="auto"/>
          <w:kern w:val="2"/>
          <w:sz w:val="21"/>
          <w:szCs w:val="21"/>
        </w:rPr>
        <w:t>生产药剂的贮存装置、贮存条件等信息，供货单位应以书面形式详细告知采购人。</w:t>
      </w:r>
    </w:p>
    <w:p>
      <w:pPr>
        <w:pStyle w:val="8"/>
        <w:numPr>
          <w:ilvl w:val="0"/>
          <w:numId w:val="4"/>
        </w:numPr>
        <w:ind w:left="420" w:firstLine="420" w:firstLineChars="200"/>
        <w:rPr>
          <w:rFonts w:ascii="宋体" w:hAnsi="宋体" w:eastAsia="宋体" w:cs="宋体"/>
          <w:sz w:val="21"/>
          <w:szCs w:val="21"/>
        </w:rPr>
      </w:pPr>
      <w:r>
        <w:rPr>
          <w:rFonts w:hint="eastAsia" w:ascii="宋体" w:hAnsi="宋体" w:eastAsia="宋体" w:cs="宋体"/>
          <w:snapToGrid/>
          <w:color w:val="auto"/>
          <w:kern w:val="2"/>
          <w:sz w:val="21"/>
          <w:szCs w:val="21"/>
        </w:rPr>
        <w:t>该产品的标志、包装要求必须符合</w:t>
      </w:r>
      <w:r>
        <w:rPr>
          <w:rFonts w:hint="eastAsia" w:ascii="宋体" w:hAnsi="宋体" w:eastAsia="宋体" w:cs="宋体"/>
          <w:sz w:val="21"/>
          <w:szCs w:val="21"/>
        </w:rPr>
        <w:t>国家相关规范</w:t>
      </w:r>
      <w:r>
        <w:rPr>
          <w:rFonts w:hint="eastAsia" w:ascii="宋体" w:hAnsi="宋体" w:eastAsia="宋体" w:cs="宋体"/>
          <w:snapToGrid/>
          <w:color w:val="auto"/>
          <w:kern w:val="2"/>
          <w:sz w:val="21"/>
          <w:szCs w:val="21"/>
        </w:rPr>
        <w:t>。</w:t>
      </w:r>
    </w:p>
    <w:p>
      <w:pPr>
        <w:numPr>
          <w:ilvl w:val="255"/>
          <w:numId w:val="0"/>
        </w:numPr>
        <w:spacing w:line="360" w:lineRule="auto"/>
        <w:ind w:firstLine="422" w:firstLineChars="200"/>
        <w:rPr>
          <w:rFonts w:ascii="宋体" w:hAnsi="宋体" w:eastAsia="宋体" w:cs="宋体"/>
          <w:b/>
          <w:sz w:val="21"/>
          <w:szCs w:val="21"/>
        </w:rPr>
      </w:pPr>
      <w:r>
        <w:rPr>
          <w:rFonts w:hint="eastAsia" w:ascii="宋体" w:hAnsi="宋体" w:eastAsia="宋体" w:cs="宋体"/>
          <w:b/>
          <w:sz w:val="21"/>
          <w:szCs w:val="21"/>
        </w:rPr>
        <w:t>四、验收要求</w:t>
      </w:r>
    </w:p>
    <w:p>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1.验收分为货到交货地点的初步验收和货物检验合格后的最终验收。</w:t>
      </w:r>
    </w:p>
    <w:p>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（1）初步验收：</w:t>
      </w:r>
    </w:p>
    <w:p>
      <w:pPr>
        <w:spacing w:line="360" w:lineRule="auto"/>
        <w:ind w:firstLine="420" w:firstLineChars="200"/>
        <w:rPr>
          <w:rFonts w:ascii="宋体" w:hAnsi="宋体" w:eastAsia="宋体" w:cs="宋体"/>
          <w:sz w:val="21"/>
          <w:szCs w:val="21"/>
        </w:rPr>
      </w:pPr>
      <w:r>
        <w:rPr>
          <w:rFonts w:hint="eastAsia" w:ascii="宋体" w:hAnsi="宋体" w:eastAsia="宋体" w:cs="宋体"/>
          <w:color w:val="000000"/>
          <w:sz w:val="21"/>
          <w:szCs w:val="21"/>
        </w:rPr>
        <w:t>1）货物运抵</w:t>
      </w:r>
      <w:r>
        <w:rPr>
          <w:rFonts w:hint="eastAsia" w:ascii="宋体" w:hAnsi="宋体" w:eastAsia="宋体" w:cs="宋体"/>
          <w:sz w:val="21"/>
          <w:szCs w:val="21"/>
        </w:rPr>
        <w:t>交货地点，采购人、供货单位共同验货。采购人按照本项目合同及用户需求书，对货物的数量、品种、随车产品质量检验报告、产品合格证、供货单据等进行核对。</w:t>
      </w:r>
    </w:p>
    <w:p>
      <w:pPr>
        <w:pStyle w:val="30"/>
        <w:spacing w:line="360" w:lineRule="auto"/>
        <w:ind w:firstLineChars="200"/>
        <w:rPr>
          <w:rFonts w:hint="eastAsia" w:ascii="宋体" w:hAnsi="宋体" w:eastAsia="宋体" w:cs="宋体"/>
          <w:sz w:val="21"/>
          <w:szCs w:val="21"/>
        </w:rPr>
      </w:pPr>
      <w:r>
        <w:rPr>
          <w:rFonts w:hint="eastAsia" w:ascii="宋体" w:hAnsi="宋体" w:eastAsia="宋体" w:cs="宋体"/>
          <w:sz w:val="21"/>
          <w:szCs w:val="21"/>
        </w:rPr>
        <w:t>2）初步验收合格后，</w:t>
      </w:r>
      <w:r>
        <w:rPr>
          <w:rFonts w:hint="eastAsia" w:hAnsi="宋体" w:cs="宋体"/>
          <w:color w:val="000000"/>
          <w:sz w:val="24"/>
          <w:szCs w:val="24"/>
          <w:lang w:val="en-US" w:eastAsia="zh-CN"/>
        </w:rPr>
        <w:t>核对完成</w:t>
      </w:r>
      <w:r>
        <w:rPr>
          <w:rFonts w:hint="eastAsia" w:hAnsi="宋体" w:cs="宋体"/>
          <w:color w:val="000000"/>
          <w:sz w:val="24"/>
          <w:szCs w:val="24"/>
        </w:rPr>
        <w:t>后，双方</w:t>
      </w:r>
      <w:r>
        <w:rPr>
          <w:rFonts w:hint="eastAsia" w:hAnsi="宋体" w:cs="宋体"/>
          <w:color w:val="000000"/>
          <w:sz w:val="24"/>
          <w:szCs w:val="24"/>
          <w:lang w:val="en-US" w:eastAsia="zh-CN"/>
        </w:rPr>
        <w:t>对</w:t>
      </w:r>
      <w:r>
        <w:rPr>
          <w:rFonts w:hint="eastAsia" w:hAnsi="宋体" w:cs="宋体"/>
          <w:color w:val="000000"/>
          <w:sz w:val="24"/>
          <w:szCs w:val="24"/>
        </w:rPr>
        <w:t>随车产品质量检验报告、供货单据进行签收手续</w:t>
      </w:r>
      <w:r>
        <w:rPr>
          <w:rFonts w:hint="eastAsia" w:hAnsi="宋体" w:cs="宋体"/>
          <w:color w:val="000000"/>
          <w:sz w:val="24"/>
          <w:szCs w:val="24"/>
          <w:lang w:val="en-US" w:eastAsia="zh-CN"/>
        </w:rPr>
        <w:t>视为完成初步验收，初步验收仅限于</w:t>
      </w:r>
      <w:r>
        <w:rPr>
          <w:rFonts w:hint="eastAsia" w:hAnsi="宋体" w:cs="宋体"/>
          <w:color w:val="000000"/>
          <w:sz w:val="24"/>
          <w:szCs w:val="24"/>
        </w:rPr>
        <w:t>双方共同</w:t>
      </w:r>
      <w:r>
        <w:rPr>
          <w:rFonts w:hint="eastAsia" w:hAnsi="宋体" w:cs="宋体"/>
          <w:color w:val="000000"/>
          <w:sz w:val="24"/>
          <w:szCs w:val="24"/>
          <w:lang w:val="en-US" w:eastAsia="zh-CN"/>
        </w:rPr>
        <w:t>对中标人所供货物数量、品种、</w:t>
      </w:r>
      <w:r>
        <w:rPr>
          <w:rFonts w:hint="eastAsia" w:hAnsi="宋体" w:cs="宋体"/>
          <w:color w:val="000000"/>
          <w:sz w:val="24"/>
          <w:szCs w:val="24"/>
        </w:rPr>
        <w:t>随车产品质量检验报告</w:t>
      </w:r>
      <w:r>
        <w:rPr>
          <w:rFonts w:hint="eastAsia" w:hAnsi="宋体" w:cs="宋体"/>
          <w:color w:val="000000"/>
          <w:sz w:val="24"/>
          <w:szCs w:val="24"/>
          <w:lang w:eastAsia="zh-CN"/>
        </w:rPr>
        <w:t>、供货单据</w:t>
      </w:r>
      <w:r>
        <w:rPr>
          <w:rFonts w:hint="eastAsia" w:hAnsi="宋体" w:cs="宋体"/>
          <w:color w:val="000000"/>
          <w:sz w:val="24"/>
          <w:szCs w:val="24"/>
          <w:lang w:val="en-US" w:eastAsia="zh-CN"/>
        </w:rPr>
        <w:t>等符合合同技术指标要求的</w:t>
      </w:r>
      <w:r>
        <w:rPr>
          <w:rFonts w:hint="eastAsia" w:hAnsi="宋体" w:cs="宋体"/>
          <w:color w:val="000000"/>
          <w:sz w:val="24"/>
          <w:szCs w:val="24"/>
        </w:rPr>
        <w:t>书面确认。</w:t>
      </w:r>
    </w:p>
    <w:p>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（2）最终验收</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采购人对每次供货货物检验，检验指标由采购人在根据需要选择，货物批按需检验指标由采购人根据采购人关于药剂的管理制度及要求适时调整。采购人对每次供货货物检验，每次货到现场时可由双方共同取样，供货货物合格判定以采购人实验室检验结果为准</w:t>
      </w:r>
      <w:r>
        <w:rPr>
          <w:rFonts w:hint="eastAsia" w:ascii="宋体" w:hAnsi="宋体" w:eastAsia="宋体" w:cs="宋体"/>
          <w:color w:val="000000"/>
          <w:sz w:val="21"/>
          <w:szCs w:val="21"/>
          <w:lang w:eastAsia="zh-CN"/>
        </w:rPr>
        <w:t>。</w:t>
      </w:r>
      <w:r>
        <w:rPr>
          <w:rFonts w:hint="eastAsia" w:hAnsi="宋体" w:cs="宋体"/>
          <w:color w:val="000000"/>
          <w:sz w:val="21"/>
          <w:szCs w:val="21"/>
          <w:lang w:val="en-US" w:eastAsia="zh-CN"/>
        </w:rPr>
        <w:t>采购人</w:t>
      </w:r>
      <w:r>
        <w:rPr>
          <w:rFonts w:hint="eastAsia" w:ascii="宋体" w:hAnsi="宋体" w:eastAsia="宋体" w:cs="宋体"/>
          <w:color w:val="000000"/>
          <w:sz w:val="21"/>
          <w:szCs w:val="21"/>
          <w:lang w:eastAsia="zh-CN"/>
        </w:rPr>
        <w:t>根据需要可委托具有检测产品CMA认证资质的第三方检测机构检测，</w:t>
      </w:r>
      <w:r>
        <w:rPr>
          <w:rFonts w:hint="eastAsia" w:hAnsi="宋体" w:cs="宋体"/>
          <w:color w:val="000000"/>
          <w:sz w:val="21"/>
          <w:szCs w:val="21"/>
          <w:lang w:val="en-US" w:eastAsia="zh-CN"/>
        </w:rPr>
        <w:t>采购人</w:t>
      </w:r>
      <w:r>
        <w:rPr>
          <w:rFonts w:hint="eastAsia" w:ascii="宋体" w:hAnsi="宋体" w:eastAsia="宋体" w:cs="宋体"/>
          <w:color w:val="000000"/>
          <w:sz w:val="21"/>
          <w:szCs w:val="21"/>
          <w:lang w:eastAsia="zh-CN"/>
        </w:rPr>
        <w:t>委托的具有检测产品CMA认证资质的第三方检测机构的检验结果与</w:t>
      </w:r>
      <w:r>
        <w:rPr>
          <w:rFonts w:hint="eastAsia" w:hAnsi="宋体" w:cs="宋体"/>
          <w:color w:val="000000"/>
          <w:sz w:val="21"/>
          <w:szCs w:val="21"/>
          <w:lang w:val="en-US" w:eastAsia="zh-CN"/>
        </w:rPr>
        <w:t>采购人</w:t>
      </w:r>
      <w:r>
        <w:rPr>
          <w:rFonts w:hint="eastAsia" w:ascii="宋体" w:hAnsi="宋体" w:eastAsia="宋体" w:cs="宋体"/>
          <w:color w:val="000000"/>
          <w:sz w:val="21"/>
          <w:szCs w:val="21"/>
          <w:lang w:eastAsia="zh-CN"/>
        </w:rPr>
        <w:t>实验室不一致的，该次的供货货物质量判定以</w:t>
      </w:r>
      <w:r>
        <w:rPr>
          <w:rFonts w:hint="eastAsia" w:hAnsi="宋体" w:cs="宋体"/>
          <w:color w:val="000000"/>
          <w:sz w:val="21"/>
          <w:szCs w:val="21"/>
          <w:lang w:val="en-US" w:eastAsia="zh-CN"/>
        </w:rPr>
        <w:t>采购人</w:t>
      </w:r>
      <w:r>
        <w:rPr>
          <w:rFonts w:hint="eastAsia" w:ascii="宋体" w:hAnsi="宋体" w:eastAsia="宋体" w:cs="宋体"/>
          <w:color w:val="000000"/>
          <w:sz w:val="21"/>
          <w:szCs w:val="21"/>
          <w:lang w:eastAsia="zh-CN"/>
        </w:rPr>
        <w:t>委托的具有检测产品CMA认证资质的第三方检测机构的检验结果为准。</w:t>
      </w:r>
    </w:p>
    <w:p>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2)供货期间，如有发布最新的行业标准或国家标准，货物检验方法按发布的最新行业标准或国家标准执行。</w:t>
      </w:r>
    </w:p>
    <w:p>
      <w:pPr>
        <w:pStyle w:val="30"/>
        <w:spacing w:line="360" w:lineRule="auto"/>
        <w:rPr>
          <w:rFonts w:hint="eastAsia" w:hAnsi="宋体" w:cs="宋体"/>
          <w:color w:val="000000"/>
          <w:sz w:val="24"/>
          <w:szCs w:val="24"/>
          <w:lang w:val="en-US" w:eastAsia="zh-CN"/>
        </w:rPr>
      </w:pPr>
      <w:r>
        <w:rPr>
          <w:rFonts w:hint="eastAsia" w:ascii="宋体" w:hAnsi="宋体" w:eastAsia="宋体" w:cs="宋体"/>
          <w:color w:val="000000"/>
          <w:sz w:val="21"/>
          <w:szCs w:val="21"/>
        </w:rPr>
        <w:t>2.</w:t>
      </w:r>
      <w:r>
        <w:rPr>
          <w:rFonts w:hint="eastAsia" w:hAnsi="宋体" w:cs="宋体"/>
          <w:color w:val="000000"/>
          <w:sz w:val="24"/>
          <w:szCs w:val="24"/>
          <w:lang w:val="en-US" w:eastAsia="zh-CN"/>
        </w:rPr>
        <w:t>货物按上述程序验收后，采购人向供货单位出具书面的验收报告并由双方对验收报告共同签字确认，且供货单位需对验收报告加盖公章或业务章确认，验收报告(模板)见用户需求书附件。验收报告作为对货物供货数量及主要技术指标验收的证明，不代表对货物使用效果的认可。</w:t>
      </w:r>
    </w:p>
    <w:p>
      <w:pPr>
        <w:spacing w:line="360" w:lineRule="auto"/>
        <w:ind w:firstLine="420" w:firstLineChars="200"/>
        <w:rPr>
          <w:rFonts w:hint="eastAsia" w:ascii="宋体" w:hAnsi="宋体" w:eastAsia="宋体" w:cs="宋体"/>
          <w:color w:val="000000"/>
          <w:sz w:val="21"/>
          <w:szCs w:val="21"/>
        </w:rPr>
      </w:pPr>
    </w:p>
    <w:p>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3.采购人根据本条规定对货物所做出的验收，仅作为起算付款及质保期之用，不视为双方对于货物质量的最终认可，供货单位仍应在质保期内对产品质量承担保证责任。</w:t>
      </w:r>
    </w:p>
    <w:p>
      <w:pPr>
        <w:spacing w:line="360" w:lineRule="auto"/>
        <w:ind w:firstLine="420" w:firstLineChars="200"/>
        <w:rPr>
          <w:rFonts w:ascii="宋体" w:hAnsi="宋体" w:eastAsia="宋体" w:cs="宋体"/>
          <w:b/>
          <w:bCs/>
          <w:sz w:val="21"/>
          <w:szCs w:val="21"/>
        </w:rPr>
      </w:pPr>
      <w:r>
        <w:rPr>
          <w:rFonts w:hint="eastAsia" w:ascii="宋体" w:hAnsi="宋体" w:eastAsia="宋体" w:cs="宋体"/>
          <w:color w:val="000000"/>
          <w:sz w:val="21"/>
          <w:szCs w:val="21"/>
        </w:rPr>
        <w:t>4.货物在经最终验收合格前，其损耗、毁损、灭失等风险及责任由供货单位承担，如因发生前述情形，导致供货单位所提供的货物不能通过采购人验收的，供货单位应按采购人要求无条件予以退换货，给采购人造成损失的供货单位须承担全部的赔偿责任。</w:t>
      </w:r>
    </w:p>
    <w:p>
      <w:pPr>
        <w:numPr>
          <w:ilvl w:val="255"/>
          <w:numId w:val="0"/>
        </w:numPr>
        <w:spacing w:line="360" w:lineRule="auto"/>
        <w:rPr>
          <w:rFonts w:ascii="宋体" w:hAnsi="宋体" w:eastAsia="宋体" w:cs="宋体"/>
          <w:b/>
          <w:sz w:val="21"/>
          <w:szCs w:val="21"/>
        </w:rPr>
      </w:pPr>
      <w:r>
        <w:rPr>
          <w:rFonts w:hint="eastAsia" w:ascii="宋体" w:hAnsi="宋体" w:eastAsia="宋体" w:cs="宋体"/>
          <w:b/>
          <w:sz w:val="21"/>
          <w:szCs w:val="21"/>
        </w:rPr>
        <w:t>五、</w:t>
      </w:r>
      <w:r>
        <w:rPr>
          <w:rFonts w:hint="eastAsia" w:hAnsi="宋体" w:cs="宋体"/>
          <w:b/>
          <w:sz w:val="21"/>
          <w:szCs w:val="21"/>
          <w:lang w:val="en-US" w:eastAsia="zh-CN"/>
        </w:rPr>
        <w:t>质量保证及售后</w:t>
      </w:r>
      <w:r>
        <w:rPr>
          <w:rFonts w:hint="eastAsia" w:ascii="宋体" w:hAnsi="宋体" w:eastAsia="宋体" w:cs="宋体"/>
          <w:b/>
          <w:sz w:val="21"/>
          <w:szCs w:val="21"/>
        </w:rPr>
        <w:t>要求</w:t>
      </w:r>
    </w:p>
    <w:p>
      <w:pPr>
        <w:spacing w:line="360" w:lineRule="auto"/>
        <w:ind w:firstLine="420" w:firstLineChars="200"/>
        <w:rPr>
          <w:rFonts w:hint="eastAsia" w:ascii="宋体" w:hAnsi="宋体" w:eastAsia="宋体" w:cs="宋体"/>
          <w:bCs/>
          <w:sz w:val="21"/>
          <w:szCs w:val="21"/>
        </w:rPr>
      </w:pPr>
      <w:r>
        <w:rPr>
          <w:rFonts w:hint="eastAsia" w:hAnsi="宋体" w:cs="宋体"/>
          <w:bCs/>
          <w:sz w:val="21"/>
          <w:szCs w:val="21"/>
          <w:lang w:val="en-US" w:eastAsia="zh-CN"/>
        </w:rPr>
        <w:t>1.</w:t>
      </w:r>
      <w:r>
        <w:rPr>
          <w:rFonts w:hint="eastAsia" w:hAnsi="宋体" w:cs="宋体"/>
          <w:color w:val="000000"/>
          <w:szCs w:val="21"/>
        </w:rPr>
        <w:t>保质期：</w:t>
      </w:r>
      <w:r>
        <w:rPr>
          <w:rFonts w:hint="eastAsia" w:hAnsi="宋体" w:cs="宋体"/>
          <w:b/>
          <w:bCs/>
          <w:color w:val="000000"/>
          <w:szCs w:val="21"/>
        </w:rPr>
        <w:t>以货到现场之日起计不少于三个月</w:t>
      </w:r>
      <w:r>
        <w:rPr>
          <w:rFonts w:hint="eastAsia" w:hAnsi="宋体" w:cs="宋体"/>
          <w:color w:val="000000"/>
          <w:szCs w:val="21"/>
        </w:rPr>
        <w:t>，保质期内产品质量须达到</w:t>
      </w:r>
      <w:r>
        <w:rPr>
          <w:rFonts w:hint="eastAsia" w:hAnsi="宋体" w:cs="宋体"/>
          <w:color w:val="000000"/>
          <w:szCs w:val="21"/>
          <w:lang w:val="en-US" w:eastAsia="zh-CN"/>
        </w:rPr>
        <w:t>用户需求书</w:t>
      </w:r>
      <w:r>
        <w:rPr>
          <w:rFonts w:hint="eastAsia" w:hAnsi="宋体" w:cs="宋体"/>
          <w:color w:val="000000"/>
          <w:szCs w:val="21"/>
        </w:rPr>
        <w:t>所有技术指标要求。</w:t>
      </w:r>
    </w:p>
    <w:p>
      <w:pPr>
        <w:spacing w:line="360" w:lineRule="auto"/>
        <w:ind w:firstLine="420" w:firstLineChars="200"/>
        <w:rPr>
          <w:rFonts w:ascii="宋体" w:hAnsi="宋体" w:eastAsia="宋体" w:cs="宋体"/>
          <w:bCs/>
          <w:sz w:val="21"/>
          <w:szCs w:val="21"/>
        </w:rPr>
      </w:pPr>
      <w:r>
        <w:rPr>
          <w:rFonts w:hint="eastAsia" w:hAnsi="宋体" w:cs="宋体"/>
          <w:bCs/>
          <w:sz w:val="21"/>
          <w:szCs w:val="21"/>
          <w:lang w:val="en-US" w:eastAsia="zh-CN"/>
        </w:rPr>
        <w:t>2.</w:t>
      </w:r>
      <w:r>
        <w:rPr>
          <w:rFonts w:hint="eastAsia" w:ascii="宋体" w:hAnsi="宋体" w:eastAsia="宋体" w:cs="宋体"/>
          <w:bCs/>
          <w:sz w:val="21"/>
          <w:szCs w:val="21"/>
        </w:rPr>
        <w:t>供货单位应具有相应的技术人员，具备供货及售前售后的服务能力。</w:t>
      </w:r>
    </w:p>
    <w:p>
      <w:pPr>
        <w:spacing w:line="360" w:lineRule="auto"/>
        <w:ind w:firstLine="420" w:firstLineChars="200"/>
        <w:rPr>
          <w:rFonts w:ascii="宋体" w:hAnsi="宋体" w:eastAsia="宋体" w:cs="宋体"/>
          <w:bCs/>
          <w:sz w:val="21"/>
          <w:szCs w:val="21"/>
        </w:rPr>
      </w:pPr>
      <w:r>
        <w:rPr>
          <w:rFonts w:hint="eastAsia" w:hAnsi="宋体" w:cs="宋体"/>
          <w:bCs/>
          <w:sz w:val="21"/>
          <w:szCs w:val="21"/>
          <w:lang w:val="en-US" w:eastAsia="zh-CN"/>
        </w:rPr>
        <w:t>3</w:t>
      </w:r>
      <w:r>
        <w:rPr>
          <w:rFonts w:hint="eastAsia" w:ascii="宋体" w:hAnsi="宋体" w:eastAsia="宋体" w:cs="宋体"/>
          <w:bCs/>
          <w:sz w:val="21"/>
          <w:szCs w:val="21"/>
        </w:rPr>
        <w:t>.供货单位在接到质量问题通知后24小时内自费派工程师到达现场对问题进行处理。</w:t>
      </w:r>
    </w:p>
    <w:p>
      <w:pPr>
        <w:spacing w:line="360" w:lineRule="auto"/>
        <w:ind w:firstLine="420" w:firstLineChars="200"/>
        <w:rPr>
          <w:rFonts w:ascii="宋体" w:hAnsi="宋体" w:eastAsia="宋体" w:cs="宋体"/>
          <w:bCs/>
          <w:sz w:val="21"/>
          <w:szCs w:val="21"/>
        </w:rPr>
      </w:pPr>
      <w:r>
        <w:rPr>
          <w:rFonts w:hint="eastAsia" w:hAnsi="宋体" w:cs="宋体"/>
          <w:bCs/>
          <w:sz w:val="21"/>
          <w:szCs w:val="21"/>
          <w:lang w:val="en-US" w:eastAsia="zh-CN"/>
        </w:rPr>
        <w:t>4</w:t>
      </w:r>
      <w:r>
        <w:rPr>
          <w:rFonts w:hint="eastAsia" w:ascii="宋体" w:hAnsi="宋体" w:eastAsia="宋体" w:cs="宋体"/>
          <w:bCs/>
          <w:sz w:val="21"/>
          <w:szCs w:val="21"/>
        </w:rPr>
        <w:t>.在交货或合同履行过程中，若因所交货物（包括但不限于品种、型号、规格、质量）不符合采购人要求、或货物使用过程中出现质量问题，导致供货单位提供的生产药剂不能通过采购人验收的，采购人可拒绝收货或要求供货单位承担退换货责任。原则上供货单位应该在不影响采购人正常生产的情况下，自采购人通知后24小时内无条件予以退换货，采购人不承担因验收造成的货物损耗及运输等一切费用且不对货物承担保管责任，因此产生的费用及风险由供货单位承担。</w:t>
      </w:r>
    </w:p>
    <w:p>
      <w:pPr>
        <w:spacing w:line="360" w:lineRule="auto"/>
        <w:ind w:firstLine="420" w:firstLineChars="200"/>
        <w:rPr>
          <w:rFonts w:ascii="宋体" w:hAnsi="宋体" w:eastAsia="宋体" w:cs="宋体"/>
          <w:bCs/>
          <w:sz w:val="21"/>
          <w:szCs w:val="21"/>
        </w:rPr>
      </w:pPr>
      <w:r>
        <w:rPr>
          <w:rFonts w:hint="eastAsia" w:hAnsi="宋体" w:cs="宋体"/>
          <w:bCs/>
          <w:sz w:val="21"/>
          <w:szCs w:val="21"/>
          <w:lang w:val="en-US" w:eastAsia="zh-CN"/>
        </w:rPr>
        <w:t>5</w:t>
      </w:r>
      <w:r>
        <w:rPr>
          <w:rFonts w:hint="eastAsia" w:ascii="宋体" w:hAnsi="宋体" w:eastAsia="宋体" w:cs="宋体"/>
          <w:bCs/>
          <w:sz w:val="21"/>
          <w:szCs w:val="21"/>
        </w:rPr>
        <w:t>.自采购人通知货物检验不合格或货物使用过程中出现质量问题而要求供货单位按照前述条款进行退换货后24小时内供货单位未将不合格货物运离采购人仓库，采购人可自行或委托第三方对不合格货物进行处置，供货单位须承担采购人处置该次不合格货物所需的全部费用，以及给采购人造成的一切损失。</w:t>
      </w:r>
    </w:p>
    <w:p>
      <w:pPr>
        <w:spacing w:line="360" w:lineRule="auto"/>
        <w:ind w:firstLine="420" w:firstLineChars="200"/>
        <w:rPr>
          <w:rFonts w:ascii="宋体" w:hAnsi="宋体" w:eastAsia="宋体" w:cs="宋体"/>
          <w:b/>
          <w:sz w:val="21"/>
          <w:szCs w:val="21"/>
        </w:rPr>
      </w:pPr>
      <w:r>
        <w:rPr>
          <w:rFonts w:hint="eastAsia" w:hAnsi="宋体" w:cs="宋体"/>
          <w:bCs/>
          <w:sz w:val="21"/>
          <w:szCs w:val="21"/>
          <w:lang w:val="en-US" w:eastAsia="zh-CN"/>
        </w:rPr>
        <w:t>6</w:t>
      </w:r>
      <w:r>
        <w:rPr>
          <w:rFonts w:hint="eastAsia" w:ascii="宋体" w:hAnsi="宋体" w:eastAsia="宋体" w:cs="宋体"/>
          <w:bCs/>
          <w:sz w:val="21"/>
          <w:szCs w:val="21"/>
        </w:rPr>
        <w:t>.自采购人通知供货单位货物检验不合格或货物使用过程中出现质量问题后，采购人有权要求供货单位按照加急供货的规定，将等量的合格货物送交采购人，否则按加急供货的违约规定进行处理。</w:t>
      </w:r>
    </w:p>
    <w:p>
      <w:pPr>
        <w:spacing w:line="360" w:lineRule="auto"/>
        <w:rPr>
          <w:rFonts w:ascii="宋体" w:hAnsi="宋体" w:eastAsia="宋体" w:cs="宋体"/>
          <w:b/>
          <w:sz w:val="21"/>
          <w:szCs w:val="21"/>
        </w:rPr>
      </w:pPr>
      <w:r>
        <w:rPr>
          <w:rFonts w:hint="eastAsia" w:ascii="宋体" w:hAnsi="宋体" w:eastAsia="宋体" w:cs="宋体"/>
          <w:b/>
          <w:sz w:val="21"/>
          <w:szCs w:val="21"/>
        </w:rPr>
        <w:t>六、付款方式</w:t>
      </w:r>
    </w:p>
    <w:p>
      <w:pPr>
        <w:spacing w:line="360" w:lineRule="auto"/>
        <w:ind w:firstLine="420" w:firstLineChars="200"/>
        <w:rPr>
          <w:rFonts w:ascii="宋体" w:hAnsi="宋体" w:eastAsia="宋体" w:cs="宋体"/>
          <w:bCs/>
          <w:sz w:val="21"/>
          <w:szCs w:val="21"/>
        </w:rPr>
      </w:pPr>
      <w:r>
        <w:rPr>
          <w:rFonts w:hint="eastAsia" w:ascii="宋体" w:hAnsi="宋体" w:eastAsia="宋体" w:cs="宋体"/>
          <w:bCs/>
          <w:sz w:val="21"/>
          <w:szCs w:val="21"/>
        </w:rPr>
        <w:t>1.货物的款项按月支付，在收到货物并最终验收合格后，每月中旬办理支付上月实际供货量的100%货款。</w:t>
      </w:r>
    </w:p>
    <w:p>
      <w:pPr>
        <w:spacing w:line="360" w:lineRule="auto"/>
        <w:ind w:firstLine="420" w:firstLineChars="200"/>
        <w:rPr>
          <w:rFonts w:ascii="宋体" w:hAnsi="宋体" w:eastAsia="宋体" w:cs="宋体"/>
          <w:b/>
          <w:sz w:val="21"/>
          <w:szCs w:val="21"/>
        </w:rPr>
      </w:pPr>
      <w:r>
        <w:rPr>
          <w:rFonts w:hint="eastAsia" w:ascii="宋体" w:hAnsi="宋体" w:eastAsia="宋体" w:cs="宋体"/>
          <w:bCs/>
          <w:sz w:val="21"/>
          <w:szCs w:val="21"/>
        </w:rPr>
        <w:t>2.每次付款前，供货单位需提交请款报告和增值税专用发票，采购人在收到请款报告和增值税专用发票后30 个工作日内支付货款。</w:t>
      </w:r>
    </w:p>
    <w:p>
      <w:pPr>
        <w:spacing w:line="360" w:lineRule="auto"/>
        <w:rPr>
          <w:rFonts w:ascii="宋体" w:hAnsi="宋体" w:eastAsia="宋体" w:cs="宋体"/>
          <w:b/>
          <w:sz w:val="21"/>
          <w:szCs w:val="21"/>
        </w:rPr>
      </w:pPr>
      <w:r>
        <w:rPr>
          <w:rFonts w:hint="eastAsia" w:ascii="宋体" w:hAnsi="宋体" w:eastAsia="宋体" w:cs="宋体"/>
          <w:b/>
          <w:sz w:val="21"/>
          <w:szCs w:val="21"/>
        </w:rPr>
        <w:t>七、其他要求</w:t>
      </w:r>
    </w:p>
    <w:p>
      <w:pPr>
        <w:spacing w:line="360" w:lineRule="auto"/>
        <w:ind w:firstLine="420" w:firstLineChars="200"/>
        <w:rPr>
          <w:rFonts w:hint="eastAsia" w:ascii="宋体" w:hAnsi="宋体" w:eastAsia="宋体" w:cs="宋体"/>
          <w:color w:val="000000"/>
          <w:sz w:val="21"/>
          <w:szCs w:val="21"/>
          <w:lang w:eastAsia="zh-CN"/>
        </w:rPr>
        <w:sectPr>
          <w:pgSz w:w="11906" w:h="16838"/>
          <w:pgMar w:top="1327" w:right="1259" w:bottom="1383" w:left="1423" w:header="851" w:footer="992" w:gutter="0"/>
          <w:cols w:space="0" w:num="1"/>
          <w:docGrid w:type="lines" w:linePitch="312" w:charSpace="0"/>
        </w:sectPr>
      </w:pPr>
      <w:r>
        <w:rPr>
          <w:rFonts w:ascii="宋体" w:hAnsi="宋体" w:eastAsia="宋体" w:cs="宋体"/>
          <w:bCs/>
          <w:sz w:val="21"/>
          <w:szCs w:val="21"/>
        </w:rPr>
        <w:t>1</w:t>
      </w:r>
      <w:r>
        <w:rPr>
          <w:rFonts w:hint="eastAsia" w:ascii="宋体" w:hAnsi="宋体" w:eastAsia="宋体" w:cs="宋体"/>
          <w:bCs/>
          <w:sz w:val="21"/>
          <w:szCs w:val="21"/>
        </w:rPr>
        <w:t>.</w:t>
      </w:r>
      <w:r>
        <w:rPr>
          <w:rFonts w:hint="eastAsia" w:ascii="宋体" w:hAnsi="宋体" w:eastAsia="宋体" w:cs="宋体"/>
          <w:color w:val="000000"/>
          <w:sz w:val="21"/>
          <w:szCs w:val="21"/>
        </w:rPr>
        <w:t>采购人每月在付款手续前对供货单位的履约情况进行评价，填写《供应商履约评价表》。考核评分满分为100分，考核评分分数低于80分、达到60分时，供货单位应按该月货物含税结算货款的20%向采购人支付违约金；考核评分分数低于60分时，供货单位应按该月货物含税结算货款的30%向采购人支付违约金。若供货期内累计出现3次（含）以上评审结论为不合格的，采购人有权取消供货单位的供货资格并单方解除合同</w:t>
      </w:r>
      <w:r>
        <w:rPr>
          <w:rFonts w:hint="eastAsia" w:hAnsi="宋体" w:cs="宋体"/>
          <w:color w:val="000000"/>
          <w:sz w:val="21"/>
          <w:szCs w:val="21"/>
          <w:lang w:eastAsia="zh-CN"/>
        </w:rPr>
        <w:t>。</w:t>
      </w:r>
    </w:p>
    <w:p>
      <w:pPr>
        <w:pStyle w:val="6"/>
        <w:numPr>
          <w:ilvl w:val="-1"/>
          <w:numId w:val="0"/>
        </w:numPr>
        <w:ind w:left="0" w:firstLine="0"/>
        <w:rPr>
          <w:lang w:val="zh-CN"/>
        </w:rPr>
      </w:pPr>
    </w:p>
    <w:p>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23"/>
        <w:tblpPr w:leftFromText="180" w:rightFromText="180" w:vertAnchor="text" w:horzAnchor="page" w:tblpX="1146" w:tblpY="296"/>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1" w:hRule="atLeast"/>
          <w:jc w:val="center"/>
        </w:trPr>
        <w:tc>
          <w:tcPr>
            <w:tcW w:w="5287" w:type="dxa"/>
            <w:gridSpan w:val="4"/>
            <w:shd w:val="clear" w:color="auto" w:fill="auto"/>
            <w:noWrap/>
            <w:tcMar>
              <w:top w:w="15" w:type="dxa"/>
              <w:left w:w="15" w:type="dxa"/>
              <w:right w:w="15" w:type="dxa"/>
            </w:tcMar>
          </w:tcPr>
          <w:p>
            <w:pPr>
              <w:jc w:val="center"/>
              <w:rPr>
                <w:b/>
                <w:bCs/>
              </w:rPr>
            </w:pPr>
          </w:p>
          <w:p>
            <w:pPr>
              <w:widowControl/>
              <w:ind w:firstLine="241" w:firstLineChars="100"/>
              <w:jc w:val="left"/>
              <w:textAlignment w:val="center"/>
              <w:rPr>
                <w:rFonts w:hint="eastAsia" w:ascii="宋体" w:hAnsi="宋体" w:eastAsia="宋体" w:cs="宋体"/>
                <w:b/>
                <w:bCs w:val="0"/>
                <w:color w:val="000000"/>
                <w:szCs w:val="21"/>
              </w:rPr>
            </w:pPr>
            <w:r>
              <w:rPr>
                <w:rFonts w:hint="eastAsia" w:ascii="宋体" w:hAnsi="宋体" w:eastAsia="宋体" w:cs="宋体"/>
                <w:b/>
                <w:bCs w:val="0"/>
                <w:color w:val="000000"/>
                <w:szCs w:val="21"/>
              </w:rPr>
              <w:t>验收单位：</w:t>
            </w:r>
          </w:p>
          <w:p>
            <w:pPr>
              <w:widowControl/>
              <w:ind w:firstLine="0" w:firstLineChars="0"/>
              <w:jc w:val="left"/>
              <w:textAlignment w:val="center"/>
              <w:rPr>
                <w:rFonts w:hint="eastAsia" w:ascii="宋体" w:hAnsi="宋体" w:eastAsia="宋体" w:cs="宋体"/>
                <w:b/>
                <w:bCs w:val="0"/>
                <w:color w:val="000000"/>
                <w:szCs w:val="21"/>
              </w:rPr>
            </w:pPr>
          </w:p>
          <w:p>
            <w:pPr>
              <w:widowControl/>
              <w:ind w:firstLine="241" w:firstLineChars="100"/>
              <w:jc w:val="left"/>
              <w:textAlignment w:val="center"/>
              <w:rPr>
                <w:rFonts w:hint="eastAsia"/>
                <w:b/>
                <w:bCs/>
              </w:rPr>
            </w:pPr>
            <w:r>
              <w:rPr>
                <w:rFonts w:hint="eastAsia"/>
                <w:b/>
                <w:bCs/>
                <w:lang w:val="en-US" w:eastAsia="zh-CN"/>
              </w:rPr>
              <w:t>验收人1</w:t>
            </w:r>
            <w:r>
              <w:rPr>
                <w:rFonts w:hint="eastAsia"/>
                <w:b/>
                <w:bCs/>
              </w:rPr>
              <w:t>（签名）：</w:t>
            </w:r>
          </w:p>
          <w:p>
            <w:pPr>
              <w:widowControl/>
              <w:jc w:val="left"/>
              <w:textAlignment w:val="center"/>
              <w:rPr>
                <w:rFonts w:hint="eastAsia"/>
                <w:b/>
                <w:bCs/>
              </w:rPr>
            </w:pPr>
          </w:p>
          <w:p>
            <w:pPr>
              <w:widowControl/>
              <w:jc w:val="left"/>
              <w:textAlignment w:val="center"/>
              <w:rPr>
                <w:b/>
                <w:bCs/>
              </w:rPr>
            </w:pPr>
            <w:r>
              <w:rPr>
                <w:rFonts w:hint="eastAsia"/>
                <w:b/>
                <w:bCs/>
              </w:rPr>
              <w:t xml:space="preserve">  </w:t>
            </w:r>
            <w:r>
              <w:rPr>
                <w:rFonts w:hint="eastAsia"/>
                <w:b/>
                <w:bCs/>
                <w:lang w:val="en-US" w:eastAsia="zh-CN"/>
              </w:rPr>
              <w:t>验收人2</w:t>
            </w:r>
            <w:r>
              <w:rPr>
                <w:rFonts w:hint="eastAsia"/>
                <w:b/>
                <w:bCs/>
              </w:rPr>
              <w:t xml:space="preserve">（签名）： </w:t>
            </w:r>
          </w:p>
        </w:tc>
        <w:tc>
          <w:tcPr>
            <w:tcW w:w="4720" w:type="dxa"/>
            <w:gridSpan w:val="4"/>
            <w:shd w:val="clear" w:color="auto" w:fill="auto"/>
            <w:noWrap/>
            <w:tcMar>
              <w:top w:w="15" w:type="dxa"/>
              <w:left w:w="15" w:type="dxa"/>
              <w:right w:w="15" w:type="dxa"/>
            </w:tcMar>
          </w:tcPr>
          <w:p>
            <w:pPr>
              <w:jc w:val="center"/>
              <w:rPr>
                <w:b/>
                <w:bCs/>
              </w:rPr>
            </w:pPr>
          </w:p>
          <w:p>
            <w:pPr>
              <w:ind w:firstLine="24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pPr>
              <w:ind w:firstLine="241" w:firstLineChars="100"/>
              <w:jc w:val="left"/>
              <w:rPr>
                <w:rFonts w:hint="eastAsia" w:ascii="宋体" w:hAnsi="宋体" w:eastAsia="宋体" w:cs="宋体"/>
                <w:b/>
                <w:bCs w:val="0"/>
                <w:color w:val="000000"/>
                <w:szCs w:val="21"/>
                <w:lang w:val="en-US" w:eastAsia="zh-CN"/>
              </w:rPr>
            </w:pPr>
          </w:p>
          <w:p>
            <w:pPr>
              <w:ind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 w:val="21"/>
                <w:szCs w:val="21"/>
                <w:lang w:val="en-US" w:eastAsia="zh-CN"/>
              </w:rPr>
              <w:t>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pPr>
              <w:ind w:firstLine="48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shd w:val="clear" w:color="auto" w:fill="auto"/>
            <w:noWrap/>
            <w:tcMar>
              <w:top w:w="15" w:type="dxa"/>
              <w:left w:w="15" w:type="dxa"/>
              <w:right w:w="15" w:type="dxa"/>
            </w:tcMar>
            <w:vAlign w:val="center"/>
          </w:tcPr>
          <w:p>
            <w:pPr>
              <w:ind w:firstLine="48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pPr>
        <w:spacing w:line="360" w:lineRule="auto"/>
        <w:jc w:val="center"/>
        <w:rPr>
          <w:rFonts w:hint="eastAsia" w:hAnsi="宋体" w:cs="宋体"/>
          <w:b/>
          <w:color w:val="000000"/>
          <w:sz w:val="32"/>
          <w:szCs w:val="21"/>
        </w:rPr>
      </w:pPr>
    </w:p>
    <w:p>
      <w:pPr>
        <w:spacing w:line="360" w:lineRule="auto"/>
        <w:jc w:val="center"/>
        <w:rPr>
          <w:rFonts w:hint="eastAsia" w:hAnsi="宋体" w:cs="宋体"/>
          <w:b/>
          <w:color w:val="000000"/>
          <w:sz w:val="32"/>
          <w:szCs w:val="21"/>
        </w:rPr>
      </w:pPr>
      <w:r>
        <w:rPr>
          <w:rFonts w:hint="eastAsia" w:hAnsi="宋体" w:cs="宋体"/>
          <w:b/>
          <w:color w:val="000000"/>
          <w:sz w:val="32"/>
          <w:szCs w:val="21"/>
        </w:rPr>
        <w:t>供应商履约评价表</w:t>
      </w:r>
    </w:p>
    <w:p>
      <w:pPr>
        <w:pStyle w:val="59"/>
        <w:rPr>
          <w:rFonts w:hint="default"/>
          <w:lang w:val="en-US" w:eastAsia="zh-CN"/>
        </w:rPr>
      </w:pPr>
    </w:p>
    <w:tbl>
      <w:tblPr>
        <w:tblStyle w:val="23"/>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672"/>
        <w:gridCol w:w="3819"/>
        <w:gridCol w:w="84"/>
        <w:gridCol w:w="1824"/>
        <w:gridCol w:w="733"/>
        <w:gridCol w:w="705"/>
        <w:gridCol w:w="71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pPr>
              <w:widowControl/>
              <w:snapToGrid w:val="0"/>
              <w:jc w:val="center"/>
              <w:rPr>
                <w:color w:val="000000"/>
              </w:rPr>
            </w:pPr>
            <w:r>
              <w:rPr>
                <w:rFonts w:hint="eastAsia"/>
                <w:bCs/>
                <w:color w:val="000000"/>
              </w:rPr>
              <w:t>合同名称</w:t>
            </w:r>
          </w:p>
        </w:tc>
        <w:tc>
          <w:tcPr>
            <w:tcW w:w="7884" w:type="dxa"/>
            <w:gridSpan w:val="6"/>
            <w:noWrap w:val="0"/>
            <w:vAlign w:val="center"/>
          </w:tcPr>
          <w:p>
            <w:pPr>
              <w:widowControl/>
              <w:snapToGrid w:val="0"/>
              <w:jc w:val="center"/>
              <w:rPr>
                <w:rFonts w:hint="eastAsia" w:eastAsia="宋体"/>
                <w:color w:val="000000"/>
                <w:lang w:val="en-US" w:eastAsia="zh-CN"/>
              </w:rPr>
            </w:pPr>
            <w:r>
              <w:rPr>
                <w:rFonts w:hint="eastAsia" w:eastAsia="宋体"/>
                <w:color w:val="000000"/>
                <w:lang w:val="en-US" w:eastAsia="zh-CN"/>
              </w:rPr>
              <w:t xml:space="preserve">东莞市污泥集中处理处置项目硫酸和盐酸溶液采购项目合同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pPr>
              <w:widowControl/>
              <w:snapToGrid w:val="0"/>
              <w:jc w:val="center"/>
              <w:rPr>
                <w:color w:val="000000"/>
              </w:rPr>
            </w:pPr>
            <w:r>
              <w:rPr>
                <w:rFonts w:hint="eastAsia"/>
                <w:bCs/>
                <w:color w:val="000000"/>
              </w:rPr>
              <w:t>合同编号</w:t>
            </w:r>
          </w:p>
        </w:tc>
        <w:tc>
          <w:tcPr>
            <w:tcW w:w="7884" w:type="dxa"/>
            <w:gridSpan w:val="6"/>
            <w:noWrap w:val="0"/>
            <w:vAlign w:val="center"/>
          </w:tcPr>
          <w:p>
            <w:pPr>
              <w:widowControl/>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pPr>
              <w:widowControl/>
              <w:snapToGrid w:val="0"/>
              <w:jc w:val="center"/>
              <w:rPr>
                <w:bCs/>
                <w:color w:val="000000"/>
              </w:rPr>
            </w:pPr>
            <w:r>
              <w:rPr>
                <w:rFonts w:hint="eastAsia"/>
                <w:bCs/>
                <w:color w:val="000000"/>
              </w:rPr>
              <w:t>甲方名称</w:t>
            </w:r>
          </w:p>
        </w:tc>
        <w:tc>
          <w:tcPr>
            <w:tcW w:w="7884" w:type="dxa"/>
            <w:gridSpan w:val="6"/>
            <w:noWrap w:val="0"/>
            <w:vAlign w:val="center"/>
          </w:tcPr>
          <w:p>
            <w:pPr>
              <w:widowControl/>
              <w:snapToGrid w:val="0"/>
              <w:jc w:val="center"/>
              <w:rPr>
                <w:color w:val="000000"/>
              </w:rPr>
            </w:pPr>
            <w:r>
              <w:rPr>
                <w:rFonts w:hint="eastAsia"/>
                <w:color w:val="000000"/>
              </w:rPr>
              <w:t>东莞市尚源环能科技有限公司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pPr>
              <w:widowControl/>
              <w:snapToGrid w:val="0"/>
              <w:jc w:val="center"/>
              <w:rPr>
                <w:color w:val="000000"/>
              </w:rPr>
            </w:pPr>
            <w:r>
              <w:rPr>
                <w:rFonts w:hint="eastAsia"/>
                <w:bCs/>
                <w:color w:val="000000"/>
              </w:rPr>
              <w:t>供应商</w:t>
            </w:r>
            <w:r>
              <w:rPr>
                <w:rFonts w:hint="eastAsia"/>
                <w:color w:val="000000"/>
              </w:rPr>
              <w:t>名称</w:t>
            </w:r>
          </w:p>
        </w:tc>
        <w:tc>
          <w:tcPr>
            <w:tcW w:w="7884" w:type="dxa"/>
            <w:gridSpan w:val="6"/>
            <w:noWrap w:val="0"/>
            <w:vAlign w:val="center"/>
          </w:tcPr>
          <w:p>
            <w:pPr>
              <w:widowControl/>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jc w:val="center"/>
        </w:trPr>
        <w:tc>
          <w:tcPr>
            <w:tcW w:w="2097" w:type="dxa"/>
            <w:gridSpan w:val="2"/>
            <w:noWrap w:val="0"/>
            <w:vAlign w:val="center"/>
          </w:tcPr>
          <w:p>
            <w:pPr>
              <w:widowControl/>
              <w:snapToGrid w:val="0"/>
              <w:jc w:val="center"/>
              <w:rPr>
                <w:bCs/>
                <w:color w:val="000000"/>
              </w:rPr>
            </w:pPr>
            <w:r>
              <w:rPr>
                <w:rFonts w:hint="eastAsia"/>
                <w:bCs/>
                <w:color w:val="000000"/>
              </w:rPr>
              <w:t>供应货物名称</w:t>
            </w:r>
          </w:p>
        </w:tc>
        <w:tc>
          <w:tcPr>
            <w:tcW w:w="7884" w:type="dxa"/>
            <w:gridSpan w:val="6"/>
            <w:noWrap w:val="0"/>
            <w:vAlign w:val="center"/>
          </w:tcPr>
          <w:p>
            <w:pPr>
              <w:widowControl/>
              <w:snapToGrid w:val="0"/>
              <w:jc w:val="center"/>
              <w:rPr>
                <w:rFonts w:hint="eastAsia" w:eastAsia="宋体"/>
                <w:bCs/>
                <w:color w:val="000000"/>
                <w:lang w:eastAsia="zh-CN"/>
              </w:rPr>
            </w:pPr>
            <w:r>
              <w:rPr>
                <w:rFonts w:hint="eastAsia"/>
                <w:bCs/>
                <w:color w:val="000000"/>
                <w:lang w:val="en-US" w:eastAsia="zh-CN"/>
              </w:rPr>
              <w:t>硫酸溶液和盐酸溶液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序号</w:t>
            </w:r>
          </w:p>
        </w:tc>
        <w:tc>
          <w:tcPr>
            <w:tcW w:w="1672" w:type="dxa"/>
            <w:noWrap w:val="0"/>
            <w:vAlign w:val="center"/>
          </w:tcPr>
          <w:p>
            <w:pPr>
              <w:widowControl/>
              <w:snapToGrid w:val="0"/>
              <w:jc w:val="center"/>
              <w:rPr>
                <w:bCs/>
                <w:color w:val="000000"/>
              </w:rPr>
            </w:pPr>
            <w:r>
              <w:rPr>
                <w:rFonts w:hint="eastAsia"/>
                <w:bCs/>
                <w:color w:val="000000"/>
              </w:rPr>
              <w:t>履约评价项目</w:t>
            </w:r>
          </w:p>
        </w:tc>
        <w:tc>
          <w:tcPr>
            <w:tcW w:w="3819" w:type="dxa"/>
            <w:noWrap w:val="0"/>
            <w:vAlign w:val="center"/>
          </w:tcPr>
          <w:p>
            <w:pPr>
              <w:widowControl/>
              <w:snapToGrid w:val="0"/>
              <w:jc w:val="center"/>
              <w:rPr>
                <w:bCs/>
                <w:color w:val="000000"/>
              </w:rPr>
            </w:pPr>
            <w:r>
              <w:rPr>
                <w:rFonts w:hint="eastAsia"/>
                <w:bCs/>
                <w:color w:val="000000"/>
              </w:rPr>
              <w:t>评价标准</w:t>
            </w:r>
          </w:p>
        </w:tc>
        <w:tc>
          <w:tcPr>
            <w:tcW w:w="1908" w:type="dxa"/>
            <w:gridSpan w:val="2"/>
            <w:noWrap w:val="0"/>
            <w:vAlign w:val="center"/>
          </w:tcPr>
          <w:p>
            <w:pPr>
              <w:widowControl/>
              <w:snapToGrid w:val="0"/>
              <w:jc w:val="center"/>
              <w:rPr>
                <w:bCs/>
                <w:color w:val="000000"/>
              </w:rPr>
            </w:pPr>
            <w:r>
              <w:rPr>
                <w:rFonts w:hint="eastAsia"/>
                <w:bCs/>
                <w:color w:val="000000"/>
              </w:rPr>
              <w:t>评分说明</w:t>
            </w:r>
          </w:p>
        </w:tc>
        <w:tc>
          <w:tcPr>
            <w:tcW w:w="733" w:type="dxa"/>
            <w:noWrap w:val="0"/>
            <w:vAlign w:val="center"/>
          </w:tcPr>
          <w:p>
            <w:pPr>
              <w:widowControl/>
              <w:snapToGrid w:val="0"/>
              <w:jc w:val="center"/>
              <w:rPr>
                <w:bCs/>
                <w:color w:val="000000"/>
              </w:rPr>
            </w:pPr>
            <w:r>
              <w:rPr>
                <w:rFonts w:hint="eastAsia"/>
                <w:bCs/>
                <w:color w:val="000000"/>
              </w:rPr>
              <w:t>分值</w:t>
            </w:r>
          </w:p>
        </w:tc>
        <w:tc>
          <w:tcPr>
            <w:tcW w:w="705" w:type="dxa"/>
            <w:noWrap w:val="0"/>
            <w:vAlign w:val="center"/>
          </w:tcPr>
          <w:p>
            <w:pPr>
              <w:widowControl/>
              <w:snapToGrid w:val="0"/>
              <w:jc w:val="center"/>
              <w:rPr>
                <w:bCs/>
                <w:color w:val="000000"/>
              </w:rPr>
            </w:pPr>
            <w:r>
              <w:rPr>
                <w:rFonts w:hint="eastAsia"/>
                <w:bCs/>
                <w:color w:val="000000"/>
              </w:rPr>
              <w:t>实得分</w:t>
            </w:r>
          </w:p>
        </w:tc>
        <w:tc>
          <w:tcPr>
            <w:tcW w:w="719" w:type="dxa"/>
            <w:noWrap w:val="0"/>
            <w:vAlign w:val="center"/>
          </w:tcPr>
          <w:p>
            <w:pPr>
              <w:widowControl/>
              <w:rPr>
                <w:bCs/>
                <w:color w:val="000000"/>
              </w:rPr>
            </w:pPr>
            <w:r>
              <w:rPr>
                <w:rFonts w:hint="eastAsia"/>
                <w:bCs/>
                <w:color w:val="000000"/>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1</w:t>
            </w:r>
          </w:p>
        </w:tc>
        <w:tc>
          <w:tcPr>
            <w:tcW w:w="1672" w:type="dxa"/>
            <w:noWrap w:val="0"/>
            <w:vAlign w:val="center"/>
          </w:tcPr>
          <w:p>
            <w:pPr>
              <w:widowControl/>
              <w:snapToGrid w:val="0"/>
              <w:jc w:val="center"/>
              <w:rPr>
                <w:bCs/>
                <w:color w:val="000000"/>
              </w:rPr>
            </w:pPr>
            <w:r>
              <w:rPr>
                <w:rFonts w:hint="eastAsia"/>
                <w:bCs/>
                <w:color w:val="000000"/>
              </w:rPr>
              <w:t>质量</w:t>
            </w:r>
          </w:p>
        </w:tc>
        <w:tc>
          <w:tcPr>
            <w:tcW w:w="3819" w:type="dxa"/>
            <w:noWrap w:val="0"/>
            <w:vAlign w:val="center"/>
          </w:tcPr>
          <w:p>
            <w:pPr>
              <w:widowControl/>
              <w:snapToGrid w:val="0"/>
              <w:rPr>
                <w:bCs/>
                <w:color w:val="000000"/>
              </w:rPr>
            </w:pPr>
            <w:r>
              <w:rPr>
                <w:rFonts w:hint="eastAsia"/>
                <w:bCs/>
                <w:color w:val="000000"/>
              </w:rPr>
              <w:t>（1）货物未出现全部拒收或换货等质量问题；</w:t>
            </w:r>
          </w:p>
          <w:p>
            <w:pPr>
              <w:widowControl/>
              <w:snapToGrid w:val="0"/>
              <w:rPr>
                <w:bCs/>
                <w:color w:val="000000"/>
              </w:rPr>
            </w:pPr>
            <w:r>
              <w:rPr>
                <w:rFonts w:hint="eastAsia"/>
                <w:bCs/>
                <w:color w:val="000000"/>
              </w:rPr>
              <w:t>（2）货物主要技术指标符合合同规定；</w:t>
            </w:r>
          </w:p>
          <w:p>
            <w:pPr>
              <w:widowControl/>
              <w:snapToGrid w:val="0"/>
              <w:rPr>
                <w:bCs/>
                <w:color w:val="000000"/>
              </w:rPr>
            </w:pPr>
            <w:r>
              <w:rPr>
                <w:rFonts w:hint="eastAsia"/>
                <w:bCs/>
                <w:color w:val="000000"/>
              </w:rPr>
              <w:t>（3）每批次货物质量稳定，投加效果良好，未出现由于每批次货物质量参差不齐导致厂区药剂投加量增加或产生出水水质风险等情况。</w:t>
            </w:r>
          </w:p>
        </w:tc>
        <w:tc>
          <w:tcPr>
            <w:tcW w:w="1908" w:type="dxa"/>
            <w:gridSpan w:val="2"/>
            <w:noWrap w:val="0"/>
            <w:vAlign w:val="center"/>
          </w:tcPr>
          <w:p>
            <w:pPr>
              <w:widowControl/>
              <w:snapToGrid w:val="0"/>
              <w:rPr>
                <w:color w:val="000000"/>
              </w:rPr>
            </w:pPr>
            <w:r>
              <w:rPr>
                <w:rFonts w:hint="eastAsia"/>
                <w:bCs/>
                <w:color w:val="000000"/>
              </w:rPr>
              <w:t>达到标准的得满分，每月每批货物有一项未达到标准的扣4分，每批货物最多扣4分。</w:t>
            </w:r>
          </w:p>
        </w:tc>
        <w:tc>
          <w:tcPr>
            <w:tcW w:w="733" w:type="dxa"/>
            <w:noWrap w:val="0"/>
            <w:vAlign w:val="center"/>
          </w:tcPr>
          <w:p>
            <w:pPr>
              <w:widowControl/>
              <w:snapToGrid w:val="0"/>
              <w:jc w:val="center"/>
              <w:rPr>
                <w:color w:val="000000"/>
              </w:rPr>
            </w:pPr>
            <w:r>
              <w:rPr>
                <w:rFonts w:hint="eastAsia"/>
                <w:color w:val="000000"/>
              </w:rPr>
              <w:t>20</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2</w:t>
            </w:r>
          </w:p>
        </w:tc>
        <w:tc>
          <w:tcPr>
            <w:tcW w:w="1672" w:type="dxa"/>
            <w:noWrap w:val="0"/>
            <w:vAlign w:val="center"/>
          </w:tcPr>
          <w:p>
            <w:pPr>
              <w:widowControl/>
              <w:snapToGrid w:val="0"/>
              <w:jc w:val="center"/>
              <w:rPr>
                <w:bCs/>
                <w:color w:val="000000"/>
              </w:rPr>
            </w:pPr>
            <w:r>
              <w:rPr>
                <w:rFonts w:hint="eastAsia"/>
                <w:bCs/>
                <w:color w:val="000000"/>
              </w:rPr>
              <w:t>包装、运输</w:t>
            </w:r>
          </w:p>
        </w:tc>
        <w:tc>
          <w:tcPr>
            <w:tcW w:w="3819" w:type="dxa"/>
            <w:noWrap w:val="0"/>
            <w:vAlign w:val="center"/>
          </w:tcPr>
          <w:p>
            <w:pPr>
              <w:widowControl/>
              <w:snapToGrid w:val="0"/>
              <w:rPr>
                <w:bCs/>
                <w:color w:val="000000"/>
              </w:rPr>
            </w:pPr>
            <w:r>
              <w:rPr>
                <w:rFonts w:hint="eastAsia"/>
                <w:bCs/>
                <w:color w:val="000000"/>
              </w:rPr>
              <w:t>货物的包装、运输符合合同规定及国家、行业有关标准规范；未出现由于包装、运输方式不当造成以下不良后果：</w:t>
            </w:r>
          </w:p>
          <w:p>
            <w:pPr>
              <w:widowControl/>
              <w:snapToGrid w:val="0"/>
              <w:rPr>
                <w:bCs/>
                <w:color w:val="000000"/>
              </w:rPr>
            </w:pPr>
            <w:r>
              <w:rPr>
                <w:rFonts w:hint="eastAsia"/>
                <w:bCs/>
                <w:color w:val="000000"/>
              </w:rPr>
              <w:t>（1）影响货物输送或储存质量；</w:t>
            </w:r>
          </w:p>
          <w:p>
            <w:pPr>
              <w:widowControl/>
              <w:snapToGrid w:val="0"/>
              <w:rPr>
                <w:bCs/>
                <w:color w:val="000000"/>
              </w:rPr>
            </w:pPr>
            <w:r>
              <w:rPr>
                <w:rFonts w:hint="eastAsia"/>
                <w:bCs/>
                <w:color w:val="000000"/>
              </w:rPr>
              <w:t>（2）货物质量下降；</w:t>
            </w:r>
          </w:p>
          <w:p>
            <w:pPr>
              <w:widowControl/>
              <w:snapToGrid w:val="0"/>
              <w:rPr>
                <w:bCs/>
                <w:color w:val="000000"/>
              </w:rPr>
            </w:pPr>
            <w:r>
              <w:rPr>
                <w:rFonts w:hint="eastAsia"/>
                <w:bCs/>
                <w:color w:val="000000"/>
              </w:rPr>
              <w:t>（3）货物泄漏导致供货量不足；</w:t>
            </w:r>
          </w:p>
          <w:p>
            <w:pPr>
              <w:widowControl/>
              <w:snapToGrid w:val="0"/>
              <w:rPr>
                <w:bCs/>
                <w:color w:val="000000"/>
              </w:rPr>
            </w:pPr>
            <w:r>
              <w:rPr>
                <w:rFonts w:hint="eastAsia"/>
                <w:bCs/>
                <w:color w:val="000000"/>
              </w:rPr>
              <w:t>（4）造成环境污染。</w:t>
            </w:r>
          </w:p>
        </w:tc>
        <w:tc>
          <w:tcPr>
            <w:tcW w:w="1908" w:type="dxa"/>
            <w:gridSpan w:val="2"/>
            <w:noWrap w:val="0"/>
            <w:vAlign w:val="center"/>
          </w:tcPr>
          <w:p>
            <w:pPr>
              <w:widowControl/>
              <w:snapToGrid w:val="0"/>
              <w:rPr>
                <w:bCs/>
                <w:color w:val="000000"/>
              </w:rPr>
            </w:pPr>
            <w:r>
              <w:rPr>
                <w:rFonts w:hint="eastAsia"/>
                <w:bCs/>
                <w:color w:val="000000"/>
              </w:rPr>
              <w:t>达到标准的得满分，每月每批货物有一项未达到标准的扣3分，每批货物最多扣3分。</w:t>
            </w:r>
          </w:p>
        </w:tc>
        <w:tc>
          <w:tcPr>
            <w:tcW w:w="733" w:type="dxa"/>
            <w:noWrap w:val="0"/>
            <w:vAlign w:val="center"/>
          </w:tcPr>
          <w:p>
            <w:pPr>
              <w:widowControl/>
              <w:snapToGrid w:val="0"/>
              <w:jc w:val="center"/>
              <w:rPr>
                <w:color w:val="000000"/>
              </w:rPr>
            </w:pPr>
            <w:r>
              <w:rPr>
                <w:rFonts w:hint="eastAsia"/>
                <w:color w:val="000000"/>
              </w:rPr>
              <w:t>15</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3</w:t>
            </w:r>
          </w:p>
        </w:tc>
        <w:tc>
          <w:tcPr>
            <w:tcW w:w="1672" w:type="dxa"/>
            <w:noWrap w:val="0"/>
            <w:vAlign w:val="center"/>
          </w:tcPr>
          <w:p>
            <w:pPr>
              <w:widowControl/>
              <w:snapToGrid w:val="0"/>
              <w:jc w:val="center"/>
              <w:rPr>
                <w:bCs/>
                <w:color w:val="000000"/>
              </w:rPr>
            </w:pPr>
            <w:r>
              <w:rPr>
                <w:rFonts w:hint="eastAsia"/>
                <w:bCs/>
                <w:color w:val="000000"/>
              </w:rPr>
              <w:t>货物交付</w:t>
            </w:r>
          </w:p>
        </w:tc>
        <w:tc>
          <w:tcPr>
            <w:tcW w:w="3819" w:type="dxa"/>
            <w:noWrap w:val="0"/>
            <w:vAlign w:val="center"/>
          </w:tcPr>
          <w:p>
            <w:pPr>
              <w:widowControl/>
              <w:rPr>
                <w:bCs/>
                <w:color w:val="000000"/>
              </w:rPr>
            </w:pPr>
            <w:r>
              <w:rPr>
                <w:rFonts w:hint="eastAsia"/>
                <w:bCs/>
                <w:color w:val="000000"/>
              </w:rPr>
              <w:t>（1）按合同要求的期限供货（包括加急供货）；</w:t>
            </w:r>
          </w:p>
          <w:p>
            <w:pPr>
              <w:rPr>
                <w:bCs/>
                <w:color w:val="000000"/>
              </w:rPr>
            </w:pPr>
            <w:r>
              <w:rPr>
                <w:rFonts w:hint="eastAsia"/>
                <w:bCs/>
                <w:color w:val="000000"/>
              </w:rPr>
              <w:t>（</w:t>
            </w:r>
            <w:r>
              <w:rPr>
                <w:rFonts w:hint="eastAsia"/>
                <w:bCs/>
                <w:color w:val="000000"/>
                <w:lang w:val="en-US" w:eastAsia="zh-CN"/>
              </w:rPr>
              <w:t>2</w:t>
            </w:r>
            <w:r>
              <w:rPr>
                <w:rFonts w:hint="eastAsia"/>
                <w:bCs/>
                <w:color w:val="000000"/>
              </w:rPr>
              <w:t>）每批次供货配合提供出厂检验报告或质量合格证等技术资料；</w:t>
            </w:r>
          </w:p>
          <w:p>
            <w:pPr>
              <w:widowControl/>
              <w:rPr>
                <w:bCs/>
                <w:color w:val="000000"/>
              </w:rPr>
            </w:pPr>
            <w:r>
              <w:rPr>
                <w:rFonts w:hint="eastAsia"/>
                <w:bCs/>
                <w:color w:val="000000"/>
              </w:rPr>
              <w:t>（</w:t>
            </w:r>
            <w:r>
              <w:rPr>
                <w:rFonts w:hint="eastAsia"/>
                <w:bCs/>
                <w:color w:val="000000"/>
                <w:lang w:val="en-US" w:eastAsia="zh-CN"/>
              </w:rPr>
              <w:t>3</w:t>
            </w:r>
            <w:r>
              <w:rPr>
                <w:rFonts w:hint="eastAsia"/>
                <w:bCs/>
                <w:color w:val="000000"/>
              </w:rPr>
              <w:t>）交付人员专业性强，工作效率高，熟悉交付操作流程；</w:t>
            </w:r>
          </w:p>
          <w:p>
            <w:pPr>
              <w:widowControl/>
              <w:rPr>
                <w:bCs/>
                <w:color w:val="000000"/>
              </w:rPr>
            </w:pPr>
            <w:r>
              <w:rPr>
                <w:rFonts w:hint="eastAsia"/>
                <w:bCs/>
                <w:color w:val="000000"/>
              </w:rPr>
              <w:t>（</w:t>
            </w:r>
            <w:r>
              <w:rPr>
                <w:rFonts w:hint="eastAsia"/>
                <w:bCs/>
                <w:color w:val="000000"/>
                <w:lang w:val="en-US" w:eastAsia="zh-CN"/>
              </w:rPr>
              <w:t>4</w:t>
            </w:r>
            <w:r>
              <w:rPr>
                <w:rFonts w:hint="eastAsia"/>
                <w:bCs/>
                <w:color w:val="000000"/>
              </w:rPr>
              <w:t>）未出现因库存、运力不足等原因影响供货量的情况。</w:t>
            </w:r>
          </w:p>
        </w:tc>
        <w:tc>
          <w:tcPr>
            <w:tcW w:w="1908" w:type="dxa"/>
            <w:gridSpan w:val="2"/>
            <w:noWrap w:val="0"/>
            <w:vAlign w:val="center"/>
          </w:tcPr>
          <w:p>
            <w:pPr>
              <w:widowControl/>
              <w:snapToGrid w:val="0"/>
              <w:rPr>
                <w:color w:val="000000"/>
              </w:rPr>
            </w:pPr>
            <w:r>
              <w:rPr>
                <w:rFonts w:hint="eastAsia"/>
                <w:bCs/>
                <w:color w:val="000000"/>
              </w:rPr>
              <w:t>达到标准的得满分，每月每批货物有一项未达到标准的扣3分，每批货物最多扣3分。</w:t>
            </w:r>
          </w:p>
        </w:tc>
        <w:tc>
          <w:tcPr>
            <w:tcW w:w="733" w:type="dxa"/>
            <w:noWrap w:val="0"/>
            <w:vAlign w:val="center"/>
          </w:tcPr>
          <w:p>
            <w:pPr>
              <w:widowControl/>
              <w:snapToGrid w:val="0"/>
              <w:jc w:val="center"/>
              <w:rPr>
                <w:color w:val="000000"/>
              </w:rPr>
            </w:pPr>
            <w:r>
              <w:rPr>
                <w:rFonts w:hint="eastAsia"/>
                <w:color w:val="000000"/>
              </w:rPr>
              <w:t>20</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4</w:t>
            </w:r>
          </w:p>
        </w:tc>
        <w:tc>
          <w:tcPr>
            <w:tcW w:w="1672" w:type="dxa"/>
            <w:noWrap w:val="0"/>
            <w:vAlign w:val="center"/>
          </w:tcPr>
          <w:p>
            <w:pPr>
              <w:widowControl/>
              <w:snapToGrid w:val="0"/>
              <w:jc w:val="center"/>
              <w:rPr>
                <w:bCs/>
                <w:color w:val="000000"/>
              </w:rPr>
            </w:pPr>
            <w:r>
              <w:rPr>
                <w:rFonts w:hint="eastAsia"/>
                <w:bCs/>
                <w:color w:val="000000"/>
              </w:rPr>
              <w:t>验收</w:t>
            </w:r>
          </w:p>
        </w:tc>
        <w:tc>
          <w:tcPr>
            <w:tcW w:w="3819" w:type="dxa"/>
            <w:noWrap w:val="0"/>
            <w:vAlign w:val="center"/>
          </w:tcPr>
          <w:p>
            <w:pPr>
              <w:widowControl/>
              <w:snapToGrid w:val="0"/>
              <w:rPr>
                <w:bCs/>
                <w:color w:val="000000"/>
              </w:rPr>
            </w:pPr>
            <w:r>
              <w:rPr>
                <w:rFonts w:hint="eastAsia"/>
                <w:bCs/>
                <w:color w:val="000000"/>
              </w:rPr>
              <w:t>（1）及时提供货物的各项技术资料，技术资料齐全、规范；</w:t>
            </w:r>
          </w:p>
          <w:p>
            <w:pPr>
              <w:widowControl/>
              <w:snapToGrid w:val="0"/>
              <w:rPr>
                <w:bCs/>
                <w:color w:val="000000"/>
              </w:rPr>
            </w:pPr>
            <w:r>
              <w:rPr>
                <w:rFonts w:hint="eastAsia"/>
                <w:bCs/>
                <w:color w:val="000000"/>
              </w:rPr>
              <w:t>（2）未出现因对检测结果存在异议而影响供货的情况；</w:t>
            </w:r>
          </w:p>
          <w:p>
            <w:pPr>
              <w:widowControl/>
              <w:snapToGrid w:val="0"/>
              <w:rPr>
                <w:bCs/>
                <w:color w:val="000000"/>
              </w:rPr>
            </w:pPr>
            <w:r>
              <w:rPr>
                <w:rFonts w:hint="eastAsia"/>
                <w:bCs/>
                <w:color w:val="000000"/>
              </w:rPr>
              <w:t>（3）未出现因货物检验不合格，或因货物不合格影响厂区生产效果的情况。</w:t>
            </w:r>
          </w:p>
        </w:tc>
        <w:tc>
          <w:tcPr>
            <w:tcW w:w="1908" w:type="dxa"/>
            <w:gridSpan w:val="2"/>
            <w:noWrap w:val="0"/>
            <w:vAlign w:val="center"/>
          </w:tcPr>
          <w:p>
            <w:pPr>
              <w:widowControl/>
              <w:snapToGrid w:val="0"/>
              <w:rPr>
                <w:bCs/>
                <w:color w:val="000000"/>
              </w:rPr>
            </w:pPr>
            <w:r>
              <w:rPr>
                <w:rFonts w:hint="eastAsia"/>
                <w:bCs/>
                <w:color w:val="000000"/>
              </w:rPr>
              <w:t>达到标准的得满分，每月每批货物有一项未达到标准的扣4分，每批货物最多扣4分。</w:t>
            </w:r>
          </w:p>
        </w:tc>
        <w:tc>
          <w:tcPr>
            <w:tcW w:w="733" w:type="dxa"/>
            <w:noWrap w:val="0"/>
            <w:vAlign w:val="center"/>
          </w:tcPr>
          <w:p>
            <w:pPr>
              <w:widowControl/>
              <w:snapToGrid w:val="0"/>
              <w:jc w:val="center"/>
              <w:rPr>
                <w:color w:val="000000"/>
              </w:rPr>
            </w:pPr>
            <w:r>
              <w:rPr>
                <w:rFonts w:hint="eastAsia"/>
                <w:color w:val="000000"/>
              </w:rPr>
              <w:t>20</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5</w:t>
            </w:r>
          </w:p>
        </w:tc>
        <w:tc>
          <w:tcPr>
            <w:tcW w:w="1672" w:type="dxa"/>
            <w:noWrap w:val="0"/>
            <w:vAlign w:val="center"/>
          </w:tcPr>
          <w:p>
            <w:pPr>
              <w:widowControl/>
              <w:snapToGrid w:val="0"/>
              <w:jc w:val="center"/>
              <w:rPr>
                <w:bCs/>
                <w:color w:val="000000"/>
              </w:rPr>
            </w:pPr>
            <w:r>
              <w:rPr>
                <w:rFonts w:hint="eastAsia"/>
                <w:bCs/>
                <w:color w:val="000000"/>
              </w:rPr>
              <w:t>安全</w:t>
            </w:r>
          </w:p>
        </w:tc>
        <w:tc>
          <w:tcPr>
            <w:tcW w:w="3819" w:type="dxa"/>
            <w:noWrap w:val="0"/>
            <w:vAlign w:val="center"/>
          </w:tcPr>
          <w:p>
            <w:pPr>
              <w:widowControl/>
              <w:snapToGrid w:val="0"/>
              <w:rPr>
                <w:bCs/>
                <w:color w:val="000000"/>
              </w:rPr>
            </w:pPr>
            <w:r>
              <w:rPr>
                <w:rFonts w:hint="eastAsia"/>
                <w:bCs/>
                <w:color w:val="000000"/>
              </w:rPr>
              <w:t>（1）运输服务商资质、运输人员、运输车辆符合合同规定及国家相关法律法规要求；</w:t>
            </w:r>
          </w:p>
          <w:p>
            <w:pPr>
              <w:widowControl/>
              <w:snapToGrid w:val="0"/>
              <w:rPr>
                <w:bCs/>
                <w:color w:val="000000"/>
              </w:rPr>
            </w:pPr>
            <w:r>
              <w:rPr>
                <w:rFonts w:hint="eastAsia"/>
                <w:bCs/>
                <w:color w:val="000000"/>
              </w:rPr>
              <w:t>（2）未出现超载或非法运输等情况；</w:t>
            </w:r>
          </w:p>
          <w:p>
            <w:pPr>
              <w:widowControl/>
              <w:snapToGrid w:val="0"/>
              <w:rPr>
                <w:rFonts w:hint="eastAsia"/>
                <w:bCs/>
                <w:color w:val="000000"/>
              </w:rPr>
            </w:pPr>
            <w:r>
              <w:rPr>
                <w:rFonts w:hint="eastAsia"/>
                <w:bCs/>
                <w:color w:val="000000"/>
              </w:rPr>
              <w:t>（3）未出现由于运输服务商资质不符、超载或非法运输、未按厂区指示行驶及停放造成第三方或厂区事故、损失的情况；</w:t>
            </w:r>
          </w:p>
          <w:p>
            <w:pPr>
              <w:outlineLvl w:val="2"/>
              <w:rPr>
                <w:color w:val="000000"/>
              </w:rPr>
            </w:pPr>
            <w:r>
              <w:rPr>
                <w:rFonts w:hint="eastAsia"/>
                <w:bCs/>
                <w:color w:val="000000"/>
              </w:rPr>
              <w:t>（4）未出现卸货安全事故。</w:t>
            </w:r>
          </w:p>
        </w:tc>
        <w:tc>
          <w:tcPr>
            <w:tcW w:w="1908" w:type="dxa"/>
            <w:gridSpan w:val="2"/>
            <w:noWrap w:val="0"/>
            <w:vAlign w:val="center"/>
          </w:tcPr>
          <w:p>
            <w:pPr>
              <w:widowControl/>
              <w:snapToGrid w:val="0"/>
              <w:rPr>
                <w:bCs/>
                <w:color w:val="000000"/>
              </w:rPr>
            </w:pPr>
            <w:r>
              <w:rPr>
                <w:rFonts w:hint="eastAsia"/>
                <w:bCs/>
                <w:color w:val="000000"/>
              </w:rPr>
              <w:t>达到标准的得满分，每月每批货物有一项未达到标准的扣3分，每批货物最多扣3分。</w:t>
            </w:r>
          </w:p>
        </w:tc>
        <w:tc>
          <w:tcPr>
            <w:tcW w:w="733" w:type="dxa"/>
            <w:noWrap w:val="0"/>
            <w:vAlign w:val="center"/>
          </w:tcPr>
          <w:p>
            <w:pPr>
              <w:widowControl/>
              <w:snapToGrid w:val="0"/>
              <w:jc w:val="center"/>
              <w:rPr>
                <w:bCs/>
                <w:color w:val="000000"/>
              </w:rPr>
            </w:pPr>
            <w:r>
              <w:rPr>
                <w:rFonts w:hint="eastAsia"/>
                <w:bCs/>
                <w:color w:val="000000"/>
              </w:rPr>
              <w:t>15</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pPr>
              <w:widowControl/>
              <w:snapToGrid w:val="0"/>
              <w:jc w:val="center"/>
              <w:rPr>
                <w:bCs/>
                <w:color w:val="000000"/>
              </w:rPr>
            </w:pPr>
            <w:r>
              <w:rPr>
                <w:rFonts w:hint="eastAsia"/>
                <w:bCs/>
                <w:color w:val="000000"/>
              </w:rPr>
              <w:t>6</w:t>
            </w:r>
          </w:p>
        </w:tc>
        <w:tc>
          <w:tcPr>
            <w:tcW w:w="1672" w:type="dxa"/>
            <w:noWrap w:val="0"/>
            <w:vAlign w:val="center"/>
          </w:tcPr>
          <w:p>
            <w:pPr>
              <w:widowControl/>
              <w:snapToGrid w:val="0"/>
              <w:jc w:val="center"/>
              <w:rPr>
                <w:bCs/>
                <w:color w:val="000000"/>
              </w:rPr>
            </w:pPr>
            <w:r>
              <w:rPr>
                <w:rFonts w:hint="eastAsia"/>
                <w:bCs/>
                <w:color w:val="000000"/>
              </w:rPr>
              <w:t>售后服务</w:t>
            </w:r>
          </w:p>
        </w:tc>
        <w:tc>
          <w:tcPr>
            <w:tcW w:w="3819" w:type="dxa"/>
            <w:noWrap w:val="0"/>
            <w:vAlign w:val="center"/>
          </w:tcPr>
          <w:p>
            <w:pPr>
              <w:widowControl/>
              <w:snapToGrid w:val="0"/>
              <w:rPr>
                <w:bCs/>
                <w:color w:val="000000"/>
              </w:rPr>
            </w:pPr>
            <w:r>
              <w:rPr>
                <w:rFonts w:hint="eastAsia"/>
                <w:bCs/>
                <w:color w:val="000000"/>
              </w:rPr>
              <w:t>（1）人员：</w:t>
            </w:r>
          </w:p>
          <w:p>
            <w:pPr>
              <w:widowControl/>
              <w:snapToGrid w:val="0"/>
              <w:rPr>
                <w:bCs/>
                <w:color w:val="000000"/>
              </w:rPr>
            </w:pPr>
            <w:r>
              <w:rPr>
                <w:rFonts w:hint="eastAsia"/>
                <w:bCs/>
                <w:color w:val="000000"/>
              </w:rPr>
              <w:t>①管理、技术及服务人员均符合申请文件的承诺，服务队伍稳定，人员充足、专业性强，充分配合甲方供货需求；</w:t>
            </w:r>
          </w:p>
          <w:p>
            <w:pPr>
              <w:widowControl/>
              <w:snapToGrid w:val="0"/>
              <w:rPr>
                <w:bCs/>
                <w:color w:val="000000"/>
              </w:rPr>
            </w:pPr>
            <w:r>
              <w:rPr>
                <w:rFonts w:hint="eastAsia"/>
                <w:bCs/>
                <w:color w:val="000000"/>
              </w:rPr>
              <w:t>②对接人员与甲方沟通良好、理解到位、执行力强，能及时发现、解决问题，并未雨绸缪地因应各厂区实际情况提供合理化的供配货建议；</w:t>
            </w:r>
          </w:p>
          <w:p>
            <w:pPr>
              <w:widowControl/>
              <w:snapToGrid w:val="0"/>
              <w:rPr>
                <w:bCs/>
                <w:color w:val="000000"/>
              </w:rPr>
            </w:pPr>
            <w:r>
              <w:rPr>
                <w:rFonts w:hint="eastAsia"/>
                <w:bCs/>
                <w:color w:val="000000"/>
              </w:rPr>
              <w:t>③未出现推诿，借故不肯签署合同规定的文件或者敷衍了事、置之不理等情况。</w:t>
            </w:r>
          </w:p>
          <w:p>
            <w:pPr>
              <w:widowControl/>
              <w:snapToGrid w:val="0"/>
              <w:rPr>
                <w:bCs/>
                <w:color w:val="000000"/>
              </w:rPr>
            </w:pPr>
            <w:r>
              <w:rPr>
                <w:rFonts w:hint="eastAsia"/>
                <w:bCs/>
                <w:color w:val="000000"/>
              </w:rPr>
              <w:t>（2）配合：</w:t>
            </w:r>
          </w:p>
          <w:p>
            <w:pPr>
              <w:widowControl/>
              <w:snapToGrid w:val="0"/>
              <w:rPr>
                <w:bCs/>
                <w:color w:val="000000"/>
              </w:rPr>
            </w:pPr>
            <w:r>
              <w:rPr>
                <w:rFonts w:hint="eastAsia"/>
                <w:bCs/>
                <w:color w:val="000000"/>
              </w:rPr>
              <w:t>①售后服务流程完善，跟踪到位，响应速度快；</w:t>
            </w:r>
          </w:p>
          <w:p>
            <w:pPr>
              <w:widowControl/>
              <w:snapToGrid w:val="0"/>
              <w:rPr>
                <w:bCs/>
                <w:color w:val="000000"/>
              </w:rPr>
            </w:pPr>
            <w:r>
              <w:rPr>
                <w:rFonts w:hint="eastAsia"/>
                <w:bCs/>
                <w:color w:val="000000"/>
              </w:rPr>
              <w:t>②就货物储存保质方式、方法提出合理化建议并能提供专业技术指导；</w:t>
            </w:r>
          </w:p>
          <w:p>
            <w:pPr>
              <w:widowControl/>
              <w:snapToGrid w:val="0"/>
              <w:rPr>
                <w:bCs/>
                <w:color w:val="000000"/>
              </w:rPr>
            </w:pPr>
            <w:r>
              <w:rPr>
                <w:rFonts w:hint="eastAsia"/>
                <w:bCs/>
                <w:color w:val="000000"/>
              </w:rPr>
              <w:t>③积极配合甲方进行试验、积极协助甲方接受政府管理部门的检查工作及提供各类资质证明材料；</w:t>
            </w:r>
          </w:p>
          <w:p>
            <w:pPr>
              <w:widowControl/>
              <w:snapToGrid w:val="0"/>
              <w:rPr>
                <w:bCs/>
                <w:color w:val="000000"/>
              </w:rPr>
            </w:pPr>
            <w:r>
              <w:rPr>
                <w:rFonts w:hint="eastAsia"/>
                <w:bCs/>
                <w:color w:val="000000"/>
              </w:rPr>
              <w:t>④能根据甲方要求提供专业培训。</w:t>
            </w:r>
          </w:p>
          <w:p>
            <w:pPr>
              <w:outlineLvl w:val="2"/>
              <w:rPr>
                <w:color w:val="000000"/>
              </w:rPr>
            </w:pPr>
            <w:r>
              <w:rPr>
                <w:rFonts w:hint="eastAsia"/>
                <w:bCs/>
                <w:color w:val="000000"/>
              </w:rPr>
              <w:t>⑤高效处理退换货工作、态度良好。</w:t>
            </w:r>
          </w:p>
        </w:tc>
        <w:tc>
          <w:tcPr>
            <w:tcW w:w="1908" w:type="dxa"/>
            <w:gridSpan w:val="2"/>
            <w:noWrap w:val="0"/>
            <w:vAlign w:val="center"/>
          </w:tcPr>
          <w:p>
            <w:pPr>
              <w:widowControl/>
              <w:snapToGrid w:val="0"/>
              <w:rPr>
                <w:bCs/>
                <w:color w:val="000000"/>
              </w:rPr>
            </w:pPr>
            <w:r>
              <w:rPr>
                <w:rFonts w:hint="eastAsia"/>
                <w:bCs/>
                <w:color w:val="000000"/>
              </w:rPr>
              <w:t>达到标准的得满分，每月每批货物有一项未达到标准的扣2分，每批货物最多扣2分。</w:t>
            </w:r>
          </w:p>
        </w:tc>
        <w:tc>
          <w:tcPr>
            <w:tcW w:w="733" w:type="dxa"/>
            <w:noWrap w:val="0"/>
            <w:vAlign w:val="center"/>
          </w:tcPr>
          <w:p>
            <w:pPr>
              <w:widowControl/>
              <w:snapToGrid w:val="0"/>
              <w:jc w:val="center"/>
              <w:rPr>
                <w:bCs/>
                <w:color w:val="000000"/>
              </w:rPr>
            </w:pPr>
            <w:r>
              <w:rPr>
                <w:rFonts w:hint="eastAsia"/>
                <w:bCs/>
                <w:color w:val="000000"/>
              </w:rPr>
              <w:t>10</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noWrap w:val="0"/>
            <w:vAlign w:val="center"/>
          </w:tcPr>
          <w:p>
            <w:pPr>
              <w:widowControl/>
              <w:snapToGrid w:val="0"/>
              <w:jc w:val="center"/>
              <w:rPr>
                <w:bCs/>
                <w:color w:val="000000"/>
              </w:rPr>
            </w:pPr>
            <w:r>
              <w:rPr>
                <w:rFonts w:hint="eastAsia"/>
                <w:bCs/>
                <w:color w:val="000000"/>
              </w:rPr>
              <w:t>合计</w:t>
            </w:r>
          </w:p>
        </w:tc>
        <w:tc>
          <w:tcPr>
            <w:tcW w:w="733" w:type="dxa"/>
            <w:noWrap w:val="0"/>
            <w:vAlign w:val="center"/>
          </w:tcPr>
          <w:p>
            <w:pPr>
              <w:widowControl/>
              <w:snapToGrid w:val="0"/>
              <w:jc w:val="center"/>
              <w:rPr>
                <w:bCs/>
                <w:color w:val="000000"/>
              </w:rPr>
            </w:pPr>
            <w:r>
              <w:rPr>
                <w:rFonts w:hint="eastAsia"/>
                <w:bCs/>
                <w:color w:val="000000"/>
              </w:rPr>
              <w:t>1</w:t>
            </w:r>
            <w:r>
              <w:rPr>
                <w:bCs/>
                <w:color w:val="000000"/>
              </w:rPr>
              <w:t>00</w:t>
            </w:r>
          </w:p>
        </w:tc>
        <w:tc>
          <w:tcPr>
            <w:tcW w:w="705" w:type="dxa"/>
            <w:noWrap w:val="0"/>
            <w:vAlign w:val="center"/>
          </w:tcPr>
          <w:p>
            <w:pPr>
              <w:widowControl/>
              <w:snapToGrid w:val="0"/>
              <w:jc w:val="center"/>
              <w:rPr>
                <w:bCs/>
                <w:color w:val="000000"/>
              </w:rPr>
            </w:pPr>
          </w:p>
        </w:tc>
        <w:tc>
          <w:tcPr>
            <w:tcW w:w="719" w:type="dxa"/>
            <w:noWrap w:val="0"/>
            <w:vAlign w:val="center"/>
          </w:tcPr>
          <w:p>
            <w:pPr>
              <w:widowControl/>
              <w:snapToGrid w:val="0"/>
              <w:jc w:val="center"/>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097" w:type="dxa"/>
            <w:gridSpan w:val="2"/>
            <w:noWrap w:val="0"/>
            <w:vAlign w:val="center"/>
          </w:tcPr>
          <w:p>
            <w:pPr>
              <w:widowControl/>
              <w:snapToGrid w:val="0"/>
              <w:jc w:val="center"/>
              <w:rPr>
                <w:bCs/>
                <w:color w:val="000000"/>
              </w:rPr>
            </w:pPr>
            <w:r>
              <w:rPr>
                <w:rFonts w:hint="eastAsia"/>
                <w:bCs/>
                <w:color w:val="000000"/>
              </w:rPr>
              <w:t>评审结论</w:t>
            </w:r>
          </w:p>
        </w:tc>
        <w:tc>
          <w:tcPr>
            <w:tcW w:w="7884" w:type="dxa"/>
            <w:gridSpan w:val="6"/>
            <w:noWrap w:val="0"/>
            <w:vAlign w:val="top"/>
          </w:tcPr>
          <w:p>
            <w:pPr>
              <w:widowControl/>
              <w:snapToGrid w:val="0"/>
              <w:rPr>
                <w:bCs/>
                <w:color w:val="000000"/>
              </w:rPr>
            </w:pPr>
            <w:r>
              <w:rPr>
                <w:rFonts w:hint="eastAsia"/>
                <w:bCs/>
                <w:color w:val="000000"/>
              </w:rPr>
              <w:t>□每项实得分均不低于该项分值</w:t>
            </w:r>
            <w:r>
              <w:rPr>
                <w:bCs/>
                <w:color w:val="000000"/>
              </w:rPr>
              <w:t>8</w:t>
            </w:r>
            <w:r>
              <w:rPr>
                <w:rFonts w:hint="eastAsia"/>
                <w:bCs/>
                <w:color w:val="000000"/>
              </w:rPr>
              <w:t>0%的，评审结论合格</w:t>
            </w:r>
            <w:r>
              <w:rPr>
                <w:rFonts w:hint="eastAsia"/>
                <w:bCs/>
                <w:color w:val="000000"/>
              </w:rPr>
              <w:br w:type="textWrapping"/>
            </w:r>
            <w:r>
              <w:rPr>
                <w:rFonts w:hint="eastAsia"/>
                <w:bCs/>
                <w:color w:val="000000"/>
              </w:rPr>
              <w:t>□评审结论不合格，说明：</w:t>
            </w:r>
            <w:r>
              <w:rPr>
                <w:rFonts w:hint="eastAsia"/>
                <w:bCs/>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097" w:type="dxa"/>
            <w:gridSpan w:val="2"/>
            <w:vMerge w:val="restart"/>
            <w:noWrap w:val="0"/>
            <w:vAlign w:val="center"/>
          </w:tcPr>
          <w:p>
            <w:pPr>
              <w:widowControl/>
              <w:snapToGrid w:val="0"/>
              <w:jc w:val="center"/>
              <w:rPr>
                <w:color w:val="000000"/>
              </w:rPr>
            </w:pPr>
            <w:r>
              <w:rPr>
                <w:rFonts w:hint="eastAsia"/>
                <w:bCs/>
                <w:color w:val="000000"/>
              </w:rPr>
              <w:t>履约评审运营项目</w:t>
            </w:r>
            <w:r>
              <w:rPr>
                <w:rFonts w:hint="eastAsia"/>
                <w:color w:val="000000"/>
              </w:rPr>
              <w:t>其他</w:t>
            </w:r>
            <w:r>
              <w:rPr>
                <w:rFonts w:hint="eastAsia"/>
                <w:bCs/>
                <w:color w:val="000000"/>
              </w:rPr>
              <w:t>意见及签署</w:t>
            </w:r>
          </w:p>
        </w:tc>
        <w:tc>
          <w:tcPr>
            <w:tcW w:w="3903" w:type="dxa"/>
            <w:gridSpan w:val="2"/>
            <w:noWrap w:val="0"/>
            <w:vAlign w:val="center"/>
          </w:tcPr>
          <w:p>
            <w:pPr>
              <w:widowControl/>
              <w:snapToGrid w:val="0"/>
              <w:rPr>
                <w:color w:val="000000"/>
              </w:rPr>
            </w:pPr>
            <w:r>
              <w:rPr>
                <w:rFonts w:hint="eastAsia"/>
                <w:bCs/>
                <w:color w:val="000000"/>
              </w:rPr>
              <w:t>经办人</w:t>
            </w:r>
          </w:p>
        </w:tc>
        <w:tc>
          <w:tcPr>
            <w:tcW w:w="3987" w:type="dxa"/>
            <w:gridSpan w:val="5"/>
            <w:noWrap w:val="0"/>
            <w:vAlign w:val="center"/>
          </w:tcPr>
          <w:p>
            <w:pPr>
              <w:widowControl/>
              <w:snapToGrid w:val="0"/>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97" w:type="dxa"/>
            <w:gridSpan w:val="2"/>
            <w:vMerge w:val="continue"/>
            <w:noWrap w:val="0"/>
            <w:vAlign w:val="top"/>
          </w:tcPr>
          <w:p>
            <w:pPr>
              <w:widowControl/>
              <w:snapToGrid w:val="0"/>
              <w:rPr>
                <w:bCs/>
                <w:color w:val="000000"/>
              </w:rPr>
            </w:pPr>
          </w:p>
        </w:tc>
        <w:tc>
          <w:tcPr>
            <w:tcW w:w="3903" w:type="dxa"/>
            <w:gridSpan w:val="2"/>
            <w:noWrap w:val="0"/>
            <w:vAlign w:val="center"/>
          </w:tcPr>
          <w:p>
            <w:pPr>
              <w:widowControl/>
              <w:snapToGrid w:val="0"/>
              <w:rPr>
                <w:bCs/>
                <w:color w:val="000000"/>
              </w:rPr>
            </w:pPr>
            <w:r>
              <w:rPr>
                <w:rFonts w:hint="eastAsia"/>
                <w:bCs/>
                <w:color w:val="000000"/>
              </w:rPr>
              <w:t>运营项目负责人</w:t>
            </w:r>
          </w:p>
        </w:tc>
        <w:tc>
          <w:tcPr>
            <w:tcW w:w="3987" w:type="dxa"/>
            <w:gridSpan w:val="5"/>
            <w:noWrap w:val="0"/>
            <w:vAlign w:val="center"/>
          </w:tcPr>
          <w:p>
            <w:pPr>
              <w:widowControl/>
              <w:snapToGrid w:val="0"/>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97" w:type="dxa"/>
            <w:gridSpan w:val="2"/>
            <w:noWrap w:val="0"/>
            <w:vAlign w:val="top"/>
          </w:tcPr>
          <w:p>
            <w:pPr>
              <w:widowControl/>
              <w:snapToGrid w:val="0"/>
              <w:rPr>
                <w:bCs/>
                <w:color w:val="000000"/>
              </w:rPr>
            </w:pPr>
            <w:r>
              <w:rPr>
                <w:rFonts w:hint="eastAsia"/>
                <w:bCs/>
                <w:color w:val="000000"/>
              </w:rPr>
              <w:t>供应商意见及签署</w:t>
            </w:r>
          </w:p>
        </w:tc>
        <w:tc>
          <w:tcPr>
            <w:tcW w:w="3903" w:type="dxa"/>
            <w:gridSpan w:val="2"/>
            <w:noWrap w:val="0"/>
            <w:vAlign w:val="center"/>
          </w:tcPr>
          <w:p>
            <w:pPr>
              <w:widowControl/>
              <w:snapToGrid w:val="0"/>
              <w:rPr>
                <w:rFonts w:hint="eastAsia"/>
                <w:bCs/>
                <w:color w:val="000000"/>
              </w:rPr>
            </w:pPr>
          </w:p>
        </w:tc>
        <w:tc>
          <w:tcPr>
            <w:tcW w:w="3987" w:type="dxa"/>
            <w:gridSpan w:val="5"/>
            <w:noWrap w:val="0"/>
            <w:vAlign w:val="center"/>
          </w:tcPr>
          <w:p>
            <w:pPr>
              <w:widowControl/>
              <w:snapToGrid w:val="0"/>
              <w:rPr>
                <w:bCs/>
                <w:color w:val="000000"/>
              </w:rPr>
            </w:pPr>
          </w:p>
        </w:tc>
      </w:tr>
    </w:tbl>
    <w:p>
      <w:pPr>
        <w:pStyle w:val="59"/>
        <w:rPr>
          <w:rFonts w:hint="default"/>
          <w:lang w:val="en-US" w:eastAsia="zh-CN"/>
        </w:rPr>
        <w:sectPr>
          <w:pgSz w:w="11906" w:h="16838"/>
          <w:pgMar w:top="1327" w:right="1259" w:bottom="1383" w:left="1423" w:header="851" w:footer="992" w:gutter="0"/>
          <w:cols w:space="0" w:num="1"/>
          <w:docGrid w:type="lines" w:linePitch="312" w:charSpace="0"/>
        </w:sectPr>
      </w:pPr>
    </w:p>
    <w:p>
      <w:pPr>
        <w:spacing w:line="600" w:lineRule="exact"/>
        <w:jc w:val="lef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附件三</w:t>
      </w:r>
      <w:r>
        <w:rPr>
          <w:rFonts w:hint="eastAsia" w:ascii="仿宋_GB2312" w:hAnsi="仿宋_GB2312" w:eastAsia="仿宋_GB2312" w:cs="仿宋_GB2312"/>
          <w:b/>
          <w:bCs/>
          <w:sz w:val="28"/>
          <w:szCs w:val="28"/>
        </w:rPr>
        <w:t>：</w:t>
      </w:r>
    </w:p>
    <w:p>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pPr>
        <w:spacing w:line="420" w:lineRule="exact"/>
        <w:rPr>
          <w:rFonts w:ascii="Times New Roman" w:eastAsia="仿宋_GB2312"/>
          <w:b/>
          <w:bCs/>
          <w:sz w:val="32"/>
          <w:szCs w:val="32"/>
        </w:rPr>
      </w:pPr>
    </w:p>
    <w:p>
      <w:pPr>
        <w:spacing w:line="560" w:lineRule="exact"/>
        <w:ind w:left="1606" w:hanging="1606" w:hangingChars="5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项目名称：东莞市污泥集中处理处置项目硫酸和盐酸溶液采购项目</w:t>
      </w:r>
    </w:p>
    <w:p>
      <w:pPr>
        <w:pStyle w:val="18"/>
        <w:widowControl/>
        <w:pBdr>
          <w:top w:val="none" w:color="auto" w:sz="0" w:space="0"/>
          <w:left w:val="none" w:color="auto" w:sz="0" w:space="0"/>
          <w:bottom w:val="none" w:color="auto" w:sz="0" w:space="0"/>
          <w:right w:val="none" w:color="auto" w:sz="0" w:space="0"/>
        </w:pBdr>
        <w:shd w:val="clear" w:fill="FFFFFF"/>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32"/>
          <w:szCs w:val="32"/>
        </w:rPr>
        <w:t>（采购编号：</w:t>
      </w:r>
      <w:r>
        <w:rPr>
          <w:i w:val="0"/>
          <w:iCs w:val="0"/>
          <w:caps w:val="0"/>
          <w:color w:val="333333"/>
          <w:spacing w:val="0"/>
          <w:sz w:val="21"/>
          <w:szCs w:val="21"/>
          <w:shd w:val="clear" w:fill="FFFFFF"/>
        </w:rPr>
        <w:t>JS-2025-152</w:t>
      </w:r>
      <w:r>
        <w:rPr>
          <w:rFonts w:hint="eastAsia" w:asciiTheme="minorEastAsia" w:hAnsiTheme="minorEastAsia" w:eastAsiaTheme="minorEastAsia" w:cstheme="minorEastAsia"/>
          <w:sz w:val="32"/>
          <w:szCs w:val="32"/>
        </w:rPr>
        <w:t>）</w:t>
      </w:r>
    </w:p>
    <w:p>
      <w:pPr>
        <w:spacing w:line="560" w:lineRule="exact"/>
        <w:rPr>
          <w:rFonts w:asciiTheme="minorEastAsia" w:hAnsiTheme="minorEastAsia" w:eastAsiaTheme="minorEastAsia" w:cstheme="minorEastAsia"/>
          <w:color w:val="000000"/>
          <w:sz w:val="32"/>
          <w:szCs w:val="32"/>
          <w:u w:val="single"/>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color w:val="000000"/>
          <w:sz w:val="32"/>
          <w:szCs w:val="32"/>
          <w:u w:val="single"/>
        </w:rPr>
        <w:t xml:space="preserve">                       </w:t>
      </w:r>
      <w:r>
        <w:rPr>
          <w:rFonts w:hint="eastAsia" w:asciiTheme="minorEastAsia" w:hAnsiTheme="minorEastAsia" w:eastAsiaTheme="minorEastAsia" w:cstheme="minorEastAsia"/>
          <w:color w:val="000000"/>
          <w:sz w:val="32"/>
          <w:szCs w:val="32"/>
        </w:rPr>
        <w:t>：</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为保证我集团人员廉洁从业，规范和鼓励诚信交易行为，防止腐败和商业贿赂发生，推动双方建立阳光合作关系，现将我方推行阳光合作的相关管理规定函告如下：</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一、我方负责对本单位有关人员进行阳光合作教育和管理。</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二、我方人员有责任向贵方介绍本单位有关阳光合作的相关规定。</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三、我方人员应本着诚实守信、公平公开、平等互利原则开展交易合作，遵守国家相关法律法规。</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四、我方人员应廉洁从业，自觉抵制商业贿赂及不正当交易行为，在交易业务中涉及本人、亲属或其他相关人员时，应主动提请回避。</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五、在业务合作过程中，我方人员不得有以下违法违规行为：</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（一）合作过程中通过各种方式向贵方索贿、行贿，或为亲属、其他相关人员索取其他协助或服务； </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（三）擅自截留、挪用或侵占贵方财物； </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（四）以各种形式参与民间借贷，帮助贵方过桥借贷； </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（五）参与黄、赌、毒等违法犯罪活动；</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（六）其他违反国家法律法规和违反廉洁从业的行为。 </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六、在业务合作期间，我方有权通过回访等方式监督阳光合作执行情况。贵方及贵方人员发现我方任何人员任何形式的行贿、索贿、受贿或其他违反阳光合作的行为，可及时向我方举报。</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七、烦请贵方及贵方人员在投诉举报时，积极配合我方的相关调查工作，并提供联系方式等，便于我方纪检监察机构联系与调查核实。我方承诺对贵方的投诉举报人进行保密。</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八、贵方投诉举报的情况，经查证属实，我方将视情节轻重和影响恶劣程度对相关人员进行内部处理；构成犯罪的，依法移送司法机关处置，并将调查结果及时向贵方反馈。</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九、如贵方经办人员或其他相关人员主动诱使我方人员作出本告知函第五点列明的违法违规行为的，我方有权终止双方的合作，由此造成的损失由贵方承担。</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十、我方对如实举报和严格遵守阳光合作精神的合作方，在同等条件下给予后续合作的优先权。</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十一、</w:t>
      </w:r>
      <w:bookmarkStart w:id="40" w:name="OLE_LINK1"/>
      <w:r>
        <w:rPr>
          <w:rFonts w:hint="eastAsia" w:asciiTheme="minorEastAsia" w:hAnsiTheme="minorEastAsia" w:eastAsiaTheme="minorEastAsia" w:cstheme="minorEastAsia"/>
          <w:sz w:val="32"/>
          <w:szCs w:val="32"/>
        </w:rPr>
        <w:t>其他</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（一）本告知函所言“其他相关人员”是指经办人以外的与合作项目有直接或间接利益关系的人员，包括但不仅限于项目经办人的亲友。</w:t>
      </w:r>
    </w:p>
    <w:bookmarkEnd w:id="40"/>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（二）我方常设投诉举报受理部门及联系方式： </w:t>
      </w:r>
    </w:p>
    <w:p>
      <w:pPr>
        <w:pStyle w:val="58"/>
        <w:snapToGrid w:val="0"/>
        <w:spacing w:line="58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1.投诉举报受理部门：</w:t>
      </w:r>
      <w:r>
        <w:rPr>
          <w:rFonts w:hint="eastAsia" w:asciiTheme="minorEastAsia" w:hAnsiTheme="minorEastAsia" w:eastAsiaTheme="minorEastAsia" w:cstheme="minorEastAsia"/>
          <w:b w:val="0"/>
          <w:bCs w:val="0"/>
          <w:sz w:val="32"/>
          <w:szCs w:val="32"/>
        </w:rPr>
        <w:t>东莞市</w:t>
      </w:r>
      <w:r>
        <w:rPr>
          <w:rFonts w:hint="eastAsia" w:asciiTheme="minorEastAsia" w:hAnsiTheme="minorEastAsia" w:eastAsiaTheme="minorEastAsia" w:cstheme="minorEastAsia"/>
          <w:b w:val="0"/>
          <w:bCs w:val="0"/>
          <w:sz w:val="32"/>
          <w:szCs w:val="32"/>
          <w:lang w:eastAsia="zh-CN"/>
        </w:rPr>
        <w:t>水务环境投资控股</w:t>
      </w:r>
      <w:r>
        <w:rPr>
          <w:rFonts w:hint="eastAsia" w:asciiTheme="minorEastAsia" w:hAnsiTheme="minorEastAsia" w:eastAsiaTheme="minorEastAsia" w:cstheme="minorEastAsia"/>
          <w:b w:val="0"/>
          <w:bCs w:val="0"/>
          <w:sz w:val="32"/>
          <w:szCs w:val="32"/>
          <w:lang w:val="en-US" w:eastAsia="zh-CN"/>
        </w:rPr>
        <w:t>集团有限公司</w:t>
      </w:r>
      <w:r>
        <w:rPr>
          <w:rFonts w:hint="eastAsia" w:asciiTheme="minorEastAsia" w:hAnsiTheme="minorEastAsia" w:eastAsiaTheme="minorEastAsia" w:cstheme="minorEastAsia"/>
          <w:sz w:val="32"/>
          <w:szCs w:val="32"/>
        </w:rPr>
        <w:t>纪检监察部；</w:t>
      </w:r>
    </w:p>
    <w:p>
      <w:pPr>
        <w:pStyle w:val="58"/>
        <w:snapToGrid w:val="0"/>
        <w:spacing w:line="58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2.投诉举报电话：</w:t>
      </w:r>
      <w:r>
        <w:rPr>
          <w:rFonts w:hint="eastAsia" w:asciiTheme="minorEastAsia" w:hAnsiTheme="minorEastAsia" w:eastAsiaTheme="minorEastAsia" w:cstheme="minorEastAsia"/>
          <w:sz w:val="32"/>
          <w:szCs w:val="32"/>
        </w:rPr>
        <w:t>0769–28823293（星期一至星期五：8:30-17:30）；</w:t>
      </w:r>
    </w:p>
    <w:p>
      <w:pPr>
        <w:pStyle w:val="58"/>
        <w:snapToGrid w:val="0"/>
        <w:spacing w:line="58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3.联系地址：</w:t>
      </w:r>
      <w:r>
        <w:rPr>
          <w:rFonts w:hint="eastAsia" w:asciiTheme="minorEastAsia" w:hAnsiTheme="minorEastAsia" w:eastAsiaTheme="minorEastAsia" w:cstheme="minorEastAsia"/>
          <w:sz w:val="32"/>
          <w:szCs w:val="32"/>
        </w:rPr>
        <w:t>东莞市东城街道育华路1号；</w:t>
      </w:r>
    </w:p>
    <w:p>
      <w:pPr>
        <w:pStyle w:val="58"/>
        <w:snapToGrid w:val="0"/>
        <w:spacing w:line="58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4.邮编：</w:t>
      </w:r>
      <w:r>
        <w:rPr>
          <w:rFonts w:hint="eastAsia" w:asciiTheme="minorEastAsia" w:hAnsiTheme="minorEastAsia" w:eastAsiaTheme="minorEastAsia" w:cstheme="minorEastAsia"/>
          <w:sz w:val="32"/>
          <w:szCs w:val="32"/>
        </w:rPr>
        <w:t>523000。</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让我们共同为建立健康、公平的商业秩序和实现双赢而努力。</w:t>
      </w:r>
    </w:p>
    <w:p>
      <w:pPr>
        <w:pStyle w:val="58"/>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特此致函。</w:t>
      </w:r>
    </w:p>
    <w:p>
      <w:pPr>
        <w:pStyle w:val="58"/>
        <w:snapToGrid w:val="0"/>
        <w:spacing w:line="580" w:lineRule="exact"/>
        <w:ind w:firstLine="640" w:firstLineChars="200"/>
        <w:rPr>
          <w:rFonts w:asciiTheme="minorEastAsia" w:hAnsiTheme="minorEastAsia" w:eastAsiaTheme="minorEastAsia" w:cstheme="minorEastAsia"/>
          <w:sz w:val="32"/>
          <w:szCs w:val="32"/>
        </w:rPr>
      </w:pPr>
    </w:p>
    <w:p>
      <w:pPr>
        <w:pStyle w:val="58"/>
        <w:snapToGrid w:val="0"/>
        <w:spacing w:line="580" w:lineRule="exact"/>
        <w:ind w:firstLine="640" w:firstLineChars="200"/>
        <w:rPr>
          <w:rFonts w:asciiTheme="minorEastAsia" w:hAnsiTheme="minorEastAsia" w:eastAsiaTheme="minorEastAsia" w:cstheme="minorEastAsia"/>
          <w:sz w:val="32"/>
          <w:szCs w:val="32"/>
        </w:rPr>
      </w:pPr>
    </w:p>
    <w:p>
      <w:pPr>
        <w:pStyle w:val="58"/>
        <w:wordWrap w:val="0"/>
        <w:snapToGrid w:val="0"/>
        <w:spacing w:line="580" w:lineRule="exact"/>
        <w:ind w:firstLine="0"/>
        <w:jc w:val="righ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东莞市尚源环能科技有限公司</w:t>
      </w:r>
    </w:p>
    <w:p>
      <w:pPr>
        <w:pStyle w:val="58"/>
        <w:snapToGrid w:val="0"/>
        <w:spacing w:line="580" w:lineRule="exact"/>
        <w:ind w:firstLine="5440" w:firstLineChars="1700"/>
        <w:jc w:val="both"/>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年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月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日</w:t>
      </w:r>
    </w:p>
    <w:p>
      <w:pPr>
        <w:pStyle w:val="58"/>
        <w:snapToGrid w:val="0"/>
        <w:spacing w:line="580" w:lineRule="exact"/>
        <w:ind w:firstLine="5932" w:firstLineChars="1854"/>
        <w:jc w:val="right"/>
        <w:rPr>
          <w:rFonts w:ascii="仿宋_GB2312" w:hAnsi="Times New Roman" w:eastAsia="仿宋_GB2312"/>
          <w:sz w:val="32"/>
          <w:szCs w:val="32"/>
        </w:rPr>
      </w:pPr>
    </w:p>
    <w:p>
      <w:pPr>
        <w:pStyle w:val="58"/>
        <w:snapToGrid w:val="0"/>
        <w:spacing w:line="580" w:lineRule="exact"/>
        <w:ind w:firstLine="5932" w:firstLineChars="1854"/>
        <w:jc w:val="right"/>
        <w:rPr>
          <w:rFonts w:ascii="仿宋_GB2312" w:hAnsi="Times New Roman" w:eastAsia="仿宋_GB2312"/>
          <w:sz w:val="32"/>
          <w:szCs w:val="32"/>
        </w:rPr>
      </w:pPr>
    </w:p>
    <w:p>
      <w:pPr>
        <w:pStyle w:val="58"/>
        <w:snapToGrid w:val="0"/>
        <w:spacing w:line="580" w:lineRule="exact"/>
        <w:ind w:firstLine="5932" w:firstLineChars="1854"/>
        <w:jc w:val="right"/>
        <w:rPr>
          <w:rFonts w:ascii="仿宋_GB2312" w:hAnsi="Times New Roman" w:eastAsia="仿宋_GB2312"/>
          <w:sz w:val="32"/>
          <w:szCs w:val="32"/>
        </w:rPr>
      </w:pPr>
    </w:p>
    <w:p>
      <w:pPr>
        <w:pStyle w:val="58"/>
        <w:snapToGrid w:val="0"/>
        <w:spacing w:line="580" w:lineRule="exact"/>
        <w:ind w:firstLine="5932" w:firstLineChars="1854"/>
        <w:jc w:val="right"/>
        <w:rPr>
          <w:rFonts w:ascii="仿宋_GB2312" w:hAnsi="Times New Roman" w:eastAsia="仿宋_GB2312"/>
          <w:sz w:val="32"/>
          <w:szCs w:val="32"/>
        </w:rPr>
      </w:pPr>
    </w:p>
    <w:p>
      <w:pPr>
        <w:pStyle w:val="58"/>
        <w:snapToGrid w:val="0"/>
        <w:spacing w:line="580" w:lineRule="exact"/>
        <w:ind w:firstLine="5932" w:firstLineChars="1854"/>
        <w:jc w:val="right"/>
        <w:rPr>
          <w:rFonts w:ascii="仿宋_GB2312" w:hAnsi="Times New Roman" w:eastAsia="仿宋_GB2312"/>
          <w:sz w:val="32"/>
          <w:szCs w:val="32"/>
        </w:rPr>
      </w:pPr>
    </w:p>
    <w:p>
      <w:pPr>
        <w:pStyle w:val="58"/>
        <w:snapToGrid w:val="0"/>
        <w:spacing w:line="580" w:lineRule="exact"/>
        <w:ind w:firstLine="5932" w:firstLineChars="1854"/>
        <w:jc w:val="right"/>
        <w:rPr>
          <w:rFonts w:ascii="仿宋_GB2312" w:hAnsi="Times New Roman" w:eastAsia="仿宋_GB2312"/>
          <w:sz w:val="32"/>
          <w:szCs w:val="32"/>
        </w:rPr>
      </w:pPr>
    </w:p>
    <w:p>
      <w:pPr>
        <w:pStyle w:val="58"/>
        <w:snapToGrid w:val="0"/>
        <w:spacing w:line="580" w:lineRule="exact"/>
        <w:ind w:firstLine="5932" w:firstLineChars="1854"/>
        <w:jc w:val="right"/>
        <w:rPr>
          <w:rFonts w:ascii="仿宋_GB2312" w:hAnsi="Times New Roman" w:eastAsia="仿宋_GB2312"/>
          <w:sz w:val="32"/>
          <w:szCs w:val="32"/>
        </w:rPr>
      </w:pPr>
    </w:p>
    <w:p>
      <w:pPr>
        <w:pStyle w:val="58"/>
        <w:snapToGrid w:val="0"/>
        <w:spacing w:line="580" w:lineRule="exact"/>
        <w:ind w:firstLine="5932" w:firstLineChars="1854"/>
        <w:jc w:val="right"/>
        <w:rPr>
          <w:rFonts w:ascii="仿宋_GB2312" w:hAnsi="Times New Roman" w:eastAsia="仿宋_GB2312"/>
          <w:sz w:val="32"/>
          <w:szCs w:val="32"/>
        </w:rPr>
      </w:pPr>
    </w:p>
    <w:p>
      <w:pPr>
        <w:pStyle w:val="58"/>
        <w:snapToGrid w:val="0"/>
        <w:spacing w:line="580" w:lineRule="exact"/>
        <w:ind w:firstLine="0"/>
        <w:jc w:val="center"/>
        <w:rPr>
          <w:rFonts w:ascii="Times New Roman" w:hAnsi="Times New Roman" w:eastAsia="黑体"/>
          <w:sz w:val="48"/>
          <w:szCs w:val="48"/>
          <w:lang w:val="zh-CN"/>
        </w:rPr>
      </w:pPr>
    </w:p>
    <w:p>
      <w:pPr>
        <w:pStyle w:val="58"/>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pPr>
        <w:pStyle w:val="58"/>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pPr>
        <w:pStyle w:val="18"/>
        <w:widowControl/>
        <w:pBdr>
          <w:top w:val="none" w:color="auto" w:sz="0" w:space="0"/>
          <w:left w:val="none" w:color="auto" w:sz="0" w:space="0"/>
          <w:bottom w:val="none" w:color="auto" w:sz="0" w:space="0"/>
          <w:right w:val="none" w:color="auto" w:sz="0" w:space="0"/>
        </w:pBdr>
        <w:shd w:val="clear" w:fill="FFFFFF"/>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编号：</w:t>
      </w:r>
      <w:r>
        <w:rPr>
          <w:i w:val="0"/>
          <w:iCs w:val="0"/>
          <w:caps w:val="0"/>
          <w:color w:val="333333"/>
          <w:spacing w:val="0"/>
          <w:sz w:val="21"/>
          <w:szCs w:val="21"/>
          <w:shd w:val="clear" w:fill="FFFFFF"/>
        </w:rPr>
        <w:t>JS-2025-152</w:t>
      </w:r>
    </w:p>
    <w:p>
      <w:pPr>
        <w:pStyle w:val="58"/>
        <w:snapToGrid w:val="0"/>
        <w:spacing w:line="580" w:lineRule="exact"/>
        <w:ind w:firstLine="0"/>
        <w:jc w:val="center"/>
        <w:rPr>
          <w:rFonts w:asciiTheme="minorEastAsia" w:hAnsiTheme="minorEastAsia" w:eastAsiaTheme="minorEastAsia" w:cstheme="minorEastAsia"/>
          <w:sz w:val="28"/>
          <w:szCs w:val="28"/>
          <w:lang w:val="zh-CN"/>
        </w:rPr>
      </w:pPr>
    </w:p>
    <w:p>
      <w:pPr>
        <w:spacing w:line="580" w:lineRule="exact"/>
        <w:ind w:firstLine="700" w:firstLineChars="250"/>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我单位于</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年</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月</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日收到东莞市尚源环能科技有限公司的《阳光合作告知函》，承诺理解函告内容并告知相关人员严格执行其中规定。</w:t>
      </w:r>
    </w:p>
    <w:p>
      <w:pPr>
        <w:snapToGrid w:val="0"/>
        <w:spacing w:line="580" w:lineRule="exact"/>
        <w:rPr>
          <w:rFonts w:asciiTheme="minorEastAsia" w:hAnsiTheme="minorEastAsia" w:eastAsiaTheme="minorEastAsia" w:cstheme="minorEastAsia"/>
          <w:sz w:val="28"/>
          <w:szCs w:val="28"/>
          <w:lang w:val="zh-CN"/>
        </w:rPr>
      </w:pPr>
    </w:p>
    <w:p>
      <w:pPr>
        <w:snapToGrid w:val="0"/>
        <w:spacing w:line="580" w:lineRule="exac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z w:val="28"/>
          <w:szCs w:val="28"/>
          <w:u w:val="single"/>
        </w:rPr>
        <w:t xml:space="preserve">               公司</w:t>
      </w:r>
      <w:r>
        <w:rPr>
          <w:rFonts w:hint="eastAsia" w:asciiTheme="minorEastAsia" w:hAnsiTheme="minorEastAsia" w:eastAsiaTheme="minorEastAsia" w:cstheme="minorEastAsia"/>
          <w:sz w:val="28"/>
          <w:szCs w:val="28"/>
          <w:lang w:val="zh-CN"/>
        </w:rPr>
        <w:t>（盖章）</w:t>
      </w:r>
    </w:p>
    <w:p>
      <w:pPr>
        <w:snapToGrid w:val="0"/>
        <w:spacing w:line="580" w:lineRule="exact"/>
        <w:rPr>
          <w:rFonts w:asciiTheme="minorEastAsia" w:hAnsiTheme="minorEastAsia" w:eastAsiaTheme="minorEastAsia" w:cstheme="minorEastAsia"/>
          <w:sz w:val="28"/>
          <w:szCs w:val="28"/>
          <w:lang w:val="zh-CN"/>
        </w:rPr>
      </w:pPr>
    </w:p>
    <w:p>
      <w:pPr>
        <w:snapToGrid w:val="0"/>
        <w:spacing w:line="580" w:lineRule="exact"/>
        <w:ind w:right="1280" w:firstLine="4480" w:firstLineChars="16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           </w:t>
      </w:r>
    </w:p>
    <w:p>
      <w:pPr>
        <w:wordWrap w:val="0"/>
        <w:snapToGrid w:val="0"/>
        <w:spacing w:line="580" w:lineRule="exact"/>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snapToGrid w:val="0"/>
        <w:spacing w:line="580" w:lineRule="exact"/>
        <w:ind w:firstLine="5040" w:firstLineChars="18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年    月    日</w:t>
      </w:r>
    </w:p>
    <w:p>
      <w:pPr>
        <w:rPr>
          <w:rFonts w:asciiTheme="minorEastAsia" w:hAnsiTheme="minorEastAsia" w:eastAsiaTheme="minorEastAsia" w:cstheme="minorEastAsia"/>
        </w:rPr>
      </w:pPr>
    </w:p>
    <w:p>
      <w:pPr>
        <w:spacing w:line="420" w:lineRule="exact"/>
        <w:rPr>
          <w:rFonts w:asciiTheme="minorEastAsia" w:hAnsiTheme="minorEastAsia" w:eastAsiaTheme="minorEastAsia" w:cstheme="minorEastAsia"/>
          <w:b/>
          <w:bCs/>
          <w:sz w:val="36"/>
          <w:szCs w:val="36"/>
        </w:rPr>
      </w:pPr>
    </w:p>
    <w:p>
      <w:pPr>
        <w:rPr>
          <w:rFonts w:hAnsi="宋体" w:cs="宋体"/>
        </w:rPr>
      </w:pPr>
    </w:p>
    <w:p>
      <w:pPr>
        <w:spacing w:line="560" w:lineRule="exact"/>
        <w:rPr>
          <w:rFonts w:hint="default" w:ascii="Times New Roman" w:hAnsi="Times New Roman" w:eastAsia="仿宋_GB2312" w:cs="Times New Roman"/>
          <w:b/>
          <w:bCs/>
          <w:sz w:val="32"/>
          <w:szCs w:val="32"/>
        </w:rPr>
      </w:pPr>
    </w:p>
    <w:p>
      <w:pPr>
        <w:pStyle w:val="59"/>
        <w:rPr>
          <w:rFonts w:hint="default"/>
          <w:lang w:val="en-US" w:eastAsia="zh-CN"/>
        </w:rPr>
      </w:pPr>
    </w:p>
    <w:p>
      <w:pPr>
        <w:pStyle w:val="59"/>
        <w:rPr>
          <w:rFonts w:hint="default"/>
          <w:lang w:val="en-US" w:eastAsia="zh-CN"/>
        </w:rPr>
      </w:pPr>
    </w:p>
    <w:bookmarkEnd w:id="25"/>
    <w:bookmarkEnd w:id="26"/>
    <w:p>
      <w:pPr>
        <w:spacing w:line="360" w:lineRule="auto"/>
        <w:jc w:val="center"/>
        <w:rPr>
          <w:rFonts w:ascii="Times New Roman"/>
        </w:rPr>
      </w:pPr>
    </w:p>
    <w:p>
      <w:pPr>
        <w:spacing w:line="360" w:lineRule="auto"/>
        <w:rPr>
          <w:b/>
          <w:color w:val="000000" w:themeColor="text1"/>
          <w14:textFill>
            <w14:solidFill>
              <w14:schemeClr w14:val="tx1"/>
            </w14:solidFill>
          </w14:textFill>
        </w:rPr>
      </w:pPr>
    </w:p>
    <w:p>
      <w:pPr>
        <w:pStyle w:val="2"/>
      </w:pPr>
    </w:p>
    <w:p>
      <w:pPr>
        <w:pStyle w:val="3"/>
      </w:pPr>
    </w:p>
    <w:p/>
    <w:p>
      <w:pPr>
        <w:pStyle w:val="4"/>
        <w:spacing w:before="0" w:after="0"/>
        <w:jc w:val="center"/>
        <w:rPr>
          <w:rFonts w:hAnsi="宋体" w:cs="宋体"/>
          <w:szCs w:val="32"/>
        </w:rPr>
      </w:pPr>
      <w:bookmarkStart w:id="41" w:name="_Toc29476707"/>
      <w:r>
        <w:rPr>
          <w:rFonts w:hint="eastAsia" w:hAnsi="宋体" w:cs="宋体"/>
          <w:szCs w:val="32"/>
        </w:rPr>
        <w:t>第四章 报价须知</w:t>
      </w:r>
      <w:bookmarkEnd w:id="41"/>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pPr>
        <w:spacing w:line="360" w:lineRule="auto"/>
        <w:rPr>
          <w:rFonts w:hAnsi="宋体" w:cs="宋体"/>
          <w:b/>
          <w:bCs/>
        </w:rPr>
      </w:pP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.报价表（含分项报价表）；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4</w:t>
      </w:r>
      <w:r>
        <w:rPr>
          <w:rFonts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提供一份</w:t>
      </w:r>
      <w:r>
        <w:rPr>
          <w:rFonts w:hint="eastAsia" w:hAnsi="宋体" w:cs="宋体"/>
          <w:u w:val="single"/>
          <w:lang w:val="en-US" w:eastAsia="zh-CN"/>
        </w:rPr>
        <w:t>硫酸和盐酸溶液供货或</w:t>
      </w:r>
      <w:r>
        <w:rPr>
          <w:rFonts w:hint="eastAsia" w:ascii="Times New Roman"/>
        </w:rPr>
        <w:t>相关</w:t>
      </w:r>
      <w:r>
        <w:rPr>
          <w:rFonts w:ascii="Times New Roman"/>
        </w:rPr>
        <w:t>业绩（合同签订日期为2022年1月1日或以后</w:t>
      </w:r>
      <w:r>
        <w:rPr>
          <w:rFonts w:hint="eastAsia" w:hAnsi="宋体" w:cs="宋体"/>
        </w:rPr>
        <w:t>）；</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int="eastAsia" w:hAnsi="宋体" w:cs="宋体"/>
          <w:color w:val="000000" w:themeColor="text1"/>
          <w14:textFill>
            <w14:solidFill>
              <w14:schemeClr w14:val="tx1"/>
            </w14:solidFill>
          </w14:textFill>
        </w:rPr>
        <w:t>承诺函。</w:t>
      </w:r>
    </w:p>
    <w:p>
      <w:pPr>
        <w:spacing w:line="360" w:lineRule="auto"/>
        <w:rPr>
          <w:rFonts w:hAnsi="宋体" w:cs="宋体"/>
          <w:b/>
          <w:bCs/>
        </w:rPr>
      </w:pP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报价人不符合合格报价人的基本条件[列入“信用中国”网站（www.creditchina.gov.cn）失信被执行人、重大税收违法失信主体、政府采购严重违法失信行为记录名单（处罚期限届满的除外）]。</w:t>
      </w:r>
    </w:p>
    <w:p>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pPr>
        <w:spacing w:line="360" w:lineRule="auto"/>
        <w:rPr>
          <w:rFonts w:hAnsi="宋体" w:cs="宋体"/>
          <w:b/>
        </w:rPr>
      </w:pPr>
    </w:p>
    <w:p>
      <w:pPr>
        <w:spacing w:line="360" w:lineRule="auto"/>
        <w:rPr>
          <w:rFonts w:hAnsi="宋体" w:cs="宋体"/>
          <w:b/>
        </w:rPr>
      </w:pPr>
      <w:r>
        <w:rPr>
          <w:rFonts w:hint="eastAsia" w:hAnsi="宋体" w:cs="宋体"/>
          <w:b/>
        </w:rPr>
        <w:t>五、合同签订说明</w:t>
      </w:r>
    </w:p>
    <w:p>
      <w:pPr>
        <w:spacing w:line="360" w:lineRule="auto"/>
        <w:ind w:firstLine="490"/>
        <w:rPr>
          <w:rFonts w:hAnsi="宋体" w:cs="宋体"/>
          <w:b/>
        </w:rPr>
      </w:pPr>
      <w:r>
        <w:rPr>
          <w:rFonts w:hint="eastAsia" w:hAnsi="宋体" w:cs="宋体"/>
          <w:b/>
        </w:rPr>
        <w:t>本项目成交单位会根据项目实际情况与东莞市水务环境投资控股集团净水有限公司或东莞市石鼓净水有限公司或东莞市樟村水质净化有限公司或东莞市众源环境投资有限公司或东莞市尚源环能科技有限公司签署合同。</w:t>
      </w:r>
    </w:p>
    <w:p>
      <w:pPr>
        <w:spacing w:line="360" w:lineRule="auto"/>
        <w:rPr>
          <w:rFonts w:hAnsi="宋体" w:cs="宋体"/>
          <w:b/>
        </w:rPr>
      </w:pPr>
    </w:p>
    <w:p>
      <w:pPr>
        <w:spacing w:line="360" w:lineRule="auto"/>
        <w:rPr>
          <w:rFonts w:hAnsi="宋体" w:cs="宋体"/>
          <w:b/>
        </w:rPr>
      </w:pPr>
      <w:r>
        <w:rPr>
          <w:rFonts w:hint="eastAsia" w:hAnsi="宋体" w:cs="宋体"/>
          <w:b/>
        </w:rPr>
        <w:t>六、特别说明</w:t>
      </w:r>
    </w:p>
    <w:p>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pPr>
        <w:spacing w:line="360" w:lineRule="auto"/>
        <w:ind w:firstLine="482" w:firstLineChars="200"/>
        <w:rPr>
          <w:rFonts w:hAnsi="宋体" w:cs="宋体"/>
          <w:b/>
        </w:rPr>
      </w:pPr>
      <w:r>
        <w:rPr>
          <w:rFonts w:hint="eastAsia" w:hAnsi="宋体" w:cs="宋体"/>
          <w:b/>
        </w:rPr>
        <w:t>上述情况一经发现，相关报价均无效。</w:t>
      </w:r>
    </w:p>
    <w:p>
      <w:pPr>
        <w:spacing w:line="360" w:lineRule="auto"/>
        <w:rPr>
          <w:rFonts w:hAnsi="宋体" w:cs="宋体"/>
        </w:rPr>
      </w:pPr>
      <w:r>
        <w:rPr>
          <w:rFonts w:hint="eastAsia" w:hAnsi="宋体" w:cs="宋体"/>
        </w:rPr>
        <w:br w:type="page"/>
      </w:r>
    </w:p>
    <w:p>
      <w:pPr>
        <w:pStyle w:val="4"/>
        <w:spacing w:before="0" w:after="0"/>
        <w:jc w:val="center"/>
        <w:rPr>
          <w:rFonts w:hAnsi="宋体" w:cs="宋体"/>
          <w:szCs w:val="32"/>
        </w:rPr>
      </w:pPr>
      <w:bookmarkStart w:id="42" w:name="_Toc29476708"/>
      <w:r>
        <w:rPr>
          <w:rFonts w:hint="eastAsia" w:hAnsi="宋体" w:cs="宋体"/>
          <w:szCs w:val="32"/>
        </w:rPr>
        <w:t>第五章 报价文件（格式）</w:t>
      </w:r>
      <w:bookmarkEnd w:id="42"/>
    </w:p>
    <w:p>
      <w:pPr>
        <w:spacing w:line="360" w:lineRule="auto"/>
        <w:rPr>
          <w:rFonts w:ascii="Times New Roman"/>
          <w:b/>
          <w:color w:val="000000"/>
          <w:sz w:val="28"/>
          <w:szCs w:val="28"/>
        </w:rPr>
      </w:pPr>
      <w:r>
        <w:rPr>
          <w:rFonts w:ascii="Times New Roman"/>
          <w:b/>
          <w:color w:val="000000"/>
          <w:sz w:val="28"/>
          <w:szCs w:val="28"/>
        </w:rPr>
        <w:t>1. 报价表</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11"/>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pPr>
              <w:autoSpaceDE/>
              <w:autoSpaceDN/>
              <w:adjustRightInd/>
              <w:jc w:val="center"/>
              <w:rPr>
                <w:rFonts w:hAnsi="宋体" w:cs="宋体"/>
                <w:color w:val="000000"/>
                <w:szCs w:val="28"/>
              </w:rPr>
            </w:pPr>
            <w:r>
              <w:rPr>
                <w:rFonts w:hint="default" w:hAnsi="宋体" w:cs="宋体"/>
                <w:color w:val="000000"/>
                <w:szCs w:val="28"/>
                <w:lang w:val="en-US" w:eastAsia="zh-CN"/>
              </w:rPr>
              <w:t>东莞市污泥集中处理处置项目硫酸和盐酸溶液采购项目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pPr>
              <w:pStyle w:val="11"/>
              <w:jc w:val="center"/>
              <w:rPr>
                <w:rFonts w:hAnsi="宋体" w:cs="宋体"/>
                <w:color w:val="000000"/>
                <w:sz w:val="24"/>
                <w:szCs w:val="28"/>
              </w:rPr>
            </w:pPr>
            <w:r>
              <w:rPr>
                <w:rFonts w:hint="eastAsia" w:hAnsi="宋体" w:cs="宋体"/>
                <w:color w:val="000000"/>
                <w:sz w:val="24"/>
                <w:szCs w:val="28"/>
              </w:rPr>
              <w:t>不含税总报价</w:t>
            </w:r>
          </w:p>
          <w:p>
            <w:pPr>
              <w:pStyle w:val="11"/>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pPr>
              <w:pStyle w:val="11"/>
              <w:ind w:firstLine="480" w:firstLineChars="2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pPr>
              <w:pStyle w:val="11"/>
              <w:jc w:val="center"/>
              <w:rPr>
                <w:rFonts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1"/>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pPr>
              <w:autoSpaceDE/>
              <w:autoSpaceDN/>
              <w:adjustRightInd/>
              <w:jc w:val="center"/>
              <w:rPr>
                <w:rFonts w:hAnsi="宋体"/>
                <w:bCs/>
                <w:color w:val="000000"/>
              </w:rPr>
            </w:pPr>
            <w:r>
              <w:rPr>
                <w:rFonts w:hint="eastAsia" w:hAnsi="宋体"/>
                <w:bCs/>
                <w:color w:val="000000"/>
              </w:rPr>
              <w:t>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1"/>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pPr>
              <w:autoSpaceDE/>
              <w:autoSpaceDN/>
              <w:adjustRightInd/>
              <w:ind w:firstLine="1800" w:firstLineChars="750"/>
              <w:rPr>
                <w:rFonts w:hAnsi="宋体" w:cs="宋体"/>
                <w:szCs w:val="28"/>
              </w:rPr>
            </w:pPr>
            <w:r>
              <w:rPr>
                <w:rFonts w:hint="eastAsia" w:hAnsi="宋体" w:cs="宋体"/>
                <w:szCs w:val="28"/>
              </w:rPr>
              <w:t>□ 一般纳税人</w:t>
            </w:r>
          </w:p>
          <w:p>
            <w:pPr>
              <w:autoSpaceDE/>
              <w:autoSpaceDN/>
              <w:adjustRightInd/>
              <w:ind w:firstLine="1800" w:firstLineChars="750"/>
              <w:rPr>
                <w:rFonts w:hAnsi="宋体" w:cs="宋体"/>
                <w:szCs w:val="28"/>
              </w:rPr>
            </w:pPr>
            <w:r>
              <w:rPr>
                <w:rFonts w:hint="eastAsia" w:hAnsi="宋体" w:cs="宋体"/>
                <w:szCs w:val="28"/>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1"/>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pPr>
              <w:pStyle w:val="11"/>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pPr>
              <w:autoSpaceDE/>
              <w:autoSpaceDN/>
              <w:adjustRightInd/>
              <w:jc w:val="both"/>
              <w:rPr>
                <w:rFonts w:ascii="Times New Roman"/>
                <w:b/>
                <w:bCs/>
              </w:rPr>
            </w:pPr>
            <w:r>
              <w:rPr>
                <w:rFonts w:hint="eastAsia" w:ascii="Times New Roman"/>
                <w:b/>
                <w:bCs/>
              </w:rPr>
              <w:t>1</w:t>
            </w: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pPr>
              <w:autoSpaceDE/>
              <w:autoSpaceDN/>
              <w:adjustRightInd/>
              <w:jc w:val="both"/>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hint="eastAsia" w:ascii="Times New Roman" w:cs="宋体"/>
                <w:u w:val="single"/>
              </w:rPr>
              <w:t>94,608.56</w:t>
            </w:r>
            <w:r>
              <w:rPr>
                <w:rFonts w:hint="eastAsia" w:ascii="Times New Roman"/>
                <w:b/>
                <w:bCs/>
              </w:rPr>
              <w:t>元），</w:t>
            </w:r>
            <w:r>
              <w:rPr>
                <w:rFonts w:ascii="Times New Roman"/>
                <w:b/>
                <w:bCs/>
              </w:rPr>
              <w:t>否则视为无效报价。</w:t>
            </w:r>
          </w:p>
          <w:p>
            <w:pPr>
              <w:autoSpaceDE/>
              <w:autoSpaceDN/>
              <w:adjustRightInd/>
              <w:jc w:val="both"/>
              <w:rPr>
                <w:rFonts w:hint="eastAsia" w:ascii="Times New Roman"/>
                <w:b/>
                <w:bCs/>
              </w:rPr>
            </w:pPr>
            <w:r>
              <w:rPr>
                <w:rFonts w:hint="eastAsia" w:ascii="Times New Roman"/>
                <w:b/>
                <w:bCs/>
              </w:rPr>
              <w:t>3.上述报价数值如需保留小数点后2位，从小数点后第3位四舍五入。</w:t>
            </w:r>
          </w:p>
          <w:p>
            <w:pPr>
              <w:pStyle w:val="2"/>
              <w:rPr>
                <w:rFonts w:hint="default" w:eastAsia="宋体"/>
                <w:lang w:val="en-US" w:eastAsia="zh-CN"/>
              </w:rPr>
            </w:pPr>
            <w:r>
              <w:rPr>
                <w:rFonts w:hint="eastAsia"/>
                <w:b/>
                <w:bCs/>
                <w:lang w:val="en-US" w:eastAsia="zh-CN"/>
              </w:rPr>
              <w:t>4.</w:t>
            </w:r>
            <w:r>
              <w:rPr>
                <w:rFonts w:hint="eastAsia" w:hAnsi="Times New Roman" w:cs="Times New Roman"/>
                <w:b/>
                <w:bCs/>
                <w:sz w:val="24"/>
                <w:szCs w:val="24"/>
              </w:rPr>
              <w:t>当分项报价明细表内累计与报价表不符时，以报价表为准，修正分项报价明细表内的各项报价。</w:t>
            </w:r>
          </w:p>
        </w:tc>
      </w:tr>
    </w:tbl>
    <w:p>
      <w:pPr>
        <w:pStyle w:val="11"/>
        <w:spacing w:line="360" w:lineRule="auto"/>
        <w:rPr>
          <w:rFonts w:hAnsi="宋体" w:cs="宋体"/>
          <w:color w:val="000000"/>
          <w:sz w:val="24"/>
          <w:szCs w:val="24"/>
        </w:rPr>
      </w:pPr>
    </w:p>
    <w:p>
      <w:pPr>
        <w:pStyle w:val="11"/>
        <w:spacing w:line="360" w:lineRule="auto"/>
        <w:rPr>
          <w:rFonts w:hAnsi="宋体" w:cs="宋体"/>
          <w:color w:val="000000"/>
          <w:sz w:val="24"/>
          <w:szCs w:val="28"/>
        </w:rPr>
      </w:pPr>
      <w:r>
        <w:rPr>
          <w:rFonts w:hint="eastAsia" w:hAnsi="宋体" w:cs="宋体"/>
          <w:color w:val="000000"/>
          <w:sz w:val="24"/>
          <w:szCs w:val="28"/>
        </w:rPr>
        <w:t>联系人：                          联系电话：</w:t>
      </w:r>
    </w:p>
    <w:p>
      <w:pPr>
        <w:wordWrap w:val="0"/>
        <w:spacing w:line="360" w:lineRule="auto"/>
        <w:jc w:val="right"/>
        <w:rPr>
          <w:rFonts w:hAnsi="宋体" w:cs="宋体"/>
          <w:color w:val="000000"/>
          <w:kern w:val="2"/>
          <w:szCs w:val="28"/>
          <w:lang w:val="zh-CN"/>
        </w:rPr>
      </w:pPr>
    </w:p>
    <w:p>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pPr>
        <w:spacing w:line="360" w:lineRule="auto"/>
        <w:jc w:val="right"/>
        <w:rPr>
          <w:rFonts w:hAnsi="宋体" w:cs="宋体"/>
          <w:sz w:val="28"/>
          <w:szCs w:val="28"/>
        </w:rPr>
      </w:pPr>
      <w:r>
        <w:rPr>
          <w:rFonts w:hint="eastAsia" w:hAnsi="宋体" w:cs="宋体"/>
          <w:color w:val="000000"/>
          <w:kern w:val="2"/>
          <w:szCs w:val="28"/>
          <w:lang w:val="zh-CN"/>
        </w:rPr>
        <w:t>日期：   年    月   日</w:t>
      </w:r>
    </w:p>
    <w:p>
      <w:pPr>
        <w:tabs>
          <w:tab w:val="left" w:pos="190"/>
        </w:tabs>
        <w:rPr>
          <w:rFonts w:hAnsi="宋体" w:cs="宋体"/>
          <w:sz w:val="28"/>
          <w:szCs w:val="28"/>
        </w:rPr>
        <w:sectPr>
          <w:footerReference r:id="rId4" w:type="default"/>
          <w:pgSz w:w="11906" w:h="16838"/>
          <w:pgMar w:top="1440" w:right="1803" w:bottom="1440" w:left="1803" w:header="851" w:footer="992" w:gutter="0"/>
          <w:cols w:space="0" w:num="1"/>
          <w:docGrid w:type="lines" w:linePitch="332" w:charSpace="0"/>
        </w:sectPr>
      </w:pPr>
      <w:r>
        <w:rPr>
          <w:rFonts w:hAnsi="宋体" w:cs="宋体"/>
          <w:sz w:val="28"/>
          <w:szCs w:val="28"/>
        </w:rPr>
        <w:tab/>
      </w:r>
    </w:p>
    <w:p>
      <w:pPr>
        <w:spacing w:line="360" w:lineRule="auto"/>
        <w:ind w:firstLine="0" w:firstLineChars="0"/>
        <w:jc w:val="left"/>
        <w:rPr>
          <w:rFonts w:hAnsi="宋体" w:cs="宋体"/>
          <w:b/>
          <w:color w:val="FF0000"/>
          <w:sz w:val="18"/>
          <w:szCs w:val="18"/>
        </w:rPr>
      </w:pPr>
      <w:r>
        <w:rPr>
          <w:rFonts w:hint="eastAsia" w:hAnsi="宋体" w:cs="宋体"/>
          <w:b/>
          <w:color w:val="000000"/>
          <w:sz w:val="28"/>
          <w:szCs w:val="28"/>
        </w:rPr>
        <w:t>分项报价表</w:t>
      </w:r>
    </w:p>
    <w:p>
      <w:pPr>
        <w:pStyle w:val="4"/>
        <w:spacing w:before="0" w:after="0"/>
        <w:jc w:val="center"/>
        <w:rPr>
          <w:rFonts w:hint="eastAsia" w:ascii="宋体" w:hAnsi="宋体" w:eastAsia="宋体" w:cs="宋体"/>
          <w:szCs w:val="32"/>
          <w:lang w:val="en-US" w:eastAsia="zh-CN"/>
        </w:rPr>
      </w:pPr>
      <w:r>
        <w:rPr>
          <w:rFonts w:hint="eastAsia" w:ascii="宋体" w:hAnsi="宋体" w:eastAsia="宋体" w:cs="宋体"/>
          <w:szCs w:val="32"/>
          <w:lang w:val="en-US" w:eastAsia="zh-CN"/>
        </w:rPr>
        <w:t>东莞市污泥集中处理处置项目硫酸和盐酸溶液采购项目</w:t>
      </w:r>
    </w:p>
    <w:p>
      <w:pPr>
        <w:pStyle w:val="4"/>
        <w:spacing w:before="0" w:after="0"/>
        <w:jc w:val="center"/>
        <w:rPr>
          <w:rFonts w:hint="default" w:ascii="宋体" w:hAnsi="宋体" w:eastAsia="宋体" w:cs="宋体"/>
          <w:szCs w:val="32"/>
          <w:lang w:val="en-US" w:eastAsia="zh-CN"/>
        </w:rPr>
      </w:pPr>
      <w:r>
        <w:rPr>
          <w:rFonts w:hint="eastAsia" w:ascii="宋体" w:hAnsi="宋体" w:eastAsia="宋体" w:cs="宋体"/>
          <w:szCs w:val="32"/>
          <w:lang w:val="en-US" w:eastAsia="zh-CN"/>
        </w:rPr>
        <w:t>分项报价表</w:t>
      </w:r>
    </w:p>
    <w:tbl>
      <w:tblPr>
        <w:tblStyle w:val="23"/>
        <w:tblpPr w:leftFromText="180" w:rightFromText="180" w:vertAnchor="text" w:horzAnchor="page" w:tblpX="554" w:tblpY="625"/>
        <w:tblOverlap w:val="never"/>
        <w:tblW w:w="10194" w:type="dxa"/>
        <w:tblInd w:w="0" w:type="dxa"/>
        <w:tblLayout w:type="autofit"/>
        <w:tblCellMar>
          <w:top w:w="0" w:type="dxa"/>
          <w:left w:w="108" w:type="dxa"/>
          <w:bottom w:w="0" w:type="dxa"/>
          <w:right w:w="108" w:type="dxa"/>
        </w:tblCellMar>
      </w:tblPr>
      <w:tblGrid>
        <w:gridCol w:w="676"/>
        <w:gridCol w:w="1903"/>
        <w:gridCol w:w="1903"/>
        <w:gridCol w:w="1903"/>
        <w:gridCol w:w="1903"/>
        <w:gridCol w:w="1906"/>
      </w:tblGrid>
      <w:tr>
        <w:tblPrEx>
          <w:tblCellMar>
            <w:top w:w="0" w:type="dxa"/>
            <w:left w:w="108" w:type="dxa"/>
            <w:bottom w:w="0" w:type="dxa"/>
            <w:right w:w="108" w:type="dxa"/>
          </w:tblCellMar>
        </w:tblPrEx>
        <w:trPr>
          <w:trHeight w:val="7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hint="eastAsia" w:hAnsi="宋体" w:cs="宋体"/>
                <w:color w:val="000000"/>
                <w:sz w:val="22"/>
                <w:szCs w:val="22"/>
              </w:rPr>
              <w:t>序号</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ascii="Times New Roman" w:hAnsi="Times New Roman" w:eastAsia="仿宋_GB2312" w:cs="Times New Roman"/>
                <w:sz w:val="28"/>
                <w:szCs w:val="28"/>
              </w:rPr>
              <w:t>采购内容</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hint="eastAsia" w:ascii="Times New Roman" w:hAnsi="Times New Roman" w:eastAsia="仿宋_GB2312" w:cs="Times New Roman"/>
                <w:sz w:val="28"/>
                <w:szCs w:val="28"/>
              </w:rPr>
              <w:t>暂定</w:t>
            </w:r>
            <w:r>
              <w:rPr>
                <w:rFonts w:ascii="Times New Roman" w:hAnsi="Times New Roman" w:eastAsia="仿宋_GB2312" w:cs="Times New Roman"/>
                <w:sz w:val="28"/>
                <w:szCs w:val="28"/>
              </w:rPr>
              <w:t>数量</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hint="eastAsia" w:hAnsi="宋体" w:cs="宋体"/>
                <w:color w:val="000000"/>
                <w:sz w:val="22"/>
                <w:szCs w:val="22"/>
                <w:lang w:val="en-US" w:eastAsia="zh-CN"/>
              </w:rPr>
              <w:t>所报</w:t>
            </w:r>
            <w:r>
              <w:rPr>
                <w:rFonts w:hint="eastAsia" w:hAnsi="宋体" w:cs="宋体"/>
                <w:color w:val="000000"/>
                <w:sz w:val="22"/>
                <w:szCs w:val="22"/>
              </w:rPr>
              <w:t>不含税单价（元）</w:t>
            </w:r>
          </w:p>
        </w:tc>
        <w:tc>
          <w:tcPr>
            <w:tcW w:w="1903"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center"/>
              <w:rPr>
                <w:rFonts w:hAnsi="宋体" w:cs="宋体"/>
                <w:color w:val="000000"/>
                <w:sz w:val="22"/>
                <w:szCs w:val="22"/>
              </w:rPr>
            </w:pPr>
            <w:r>
              <w:rPr>
                <w:rFonts w:hint="eastAsia" w:hAnsi="宋体" w:cs="宋体"/>
                <w:color w:val="000000"/>
                <w:sz w:val="22"/>
                <w:szCs w:val="22"/>
              </w:rPr>
              <w:t>不含税小计（元）</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hint="eastAsia" w:hAnsi="宋体" w:cs="宋体"/>
                <w:color w:val="000000"/>
                <w:sz w:val="22"/>
                <w:szCs w:val="22"/>
              </w:rPr>
              <w:t>备注</w:t>
            </w:r>
          </w:p>
        </w:tc>
      </w:tr>
      <w:tr>
        <w:tblPrEx>
          <w:tblCellMar>
            <w:top w:w="0" w:type="dxa"/>
            <w:left w:w="108" w:type="dxa"/>
            <w:bottom w:w="0" w:type="dxa"/>
            <w:right w:w="108" w:type="dxa"/>
          </w:tblCellMar>
        </w:tblPrEx>
        <w:trPr>
          <w:trHeight w:val="1083"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hint="eastAsia" w:hAnsi="宋体" w:cs="宋体"/>
                <w:color w:val="000000"/>
                <w:sz w:val="22"/>
                <w:szCs w:val="22"/>
              </w:rPr>
              <w:t>1</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ascii="Times New Roman" w:hAnsi="Times New Roman" w:eastAsia="仿宋_GB2312" w:cs="Times New Roman"/>
                <w:sz w:val="28"/>
                <w:szCs w:val="28"/>
              </w:rPr>
              <w:t>硫酸溶液</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ascii="Times New Roman" w:hAnsi="Times New Roman" w:eastAsia="仿宋_GB2312" w:cs="Times New Roman"/>
                <w:sz w:val="28"/>
                <w:szCs w:val="28"/>
              </w:rPr>
              <w:t>74吨</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p>
        </w:tc>
        <w:tc>
          <w:tcPr>
            <w:tcW w:w="1903"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center"/>
              <w:rPr>
                <w:rFonts w:hAnsi="宋体" w:cs="宋体"/>
                <w:color w:val="000000"/>
                <w:sz w:val="22"/>
                <w:szCs w:val="22"/>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int="eastAsia" w:hAnsi="宋体" w:eastAsia="宋体" w:cs="宋体"/>
                <w:color w:val="000000"/>
                <w:sz w:val="22"/>
                <w:szCs w:val="22"/>
                <w:lang w:eastAsia="zh-CN"/>
              </w:rPr>
            </w:pPr>
            <w:r>
              <w:rPr>
                <w:rFonts w:hint="eastAsia" w:hAnsi="宋体" w:cs="宋体"/>
                <w:color w:val="000000"/>
                <w:sz w:val="22"/>
                <w:szCs w:val="22"/>
              </w:rPr>
              <w:t>含</w:t>
            </w:r>
            <w:r>
              <w:rPr>
                <w:rFonts w:hint="eastAsia" w:hAnsi="宋体" w:cs="宋体"/>
                <w:color w:val="000000"/>
                <w:sz w:val="22"/>
                <w:szCs w:val="22"/>
                <w:lang w:val="en-US" w:eastAsia="zh-CN"/>
              </w:rPr>
              <w:t>运费</w:t>
            </w:r>
          </w:p>
        </w:tc>
      </w:tr>
      <w:tr>
        <w:tblPrEx>
          <w:tblCellMar>
            <w:top w:w="0" w:type="dxa"/>
            <w:left w:w="108" w:type="dxa"/>
            <w:bottom w:w="0" w:type="dxa"/>
            <w:right w:w="108" w:type="dxa"/>
          </w:tblCellMar>
        </w:tblPrEx>
        <w:trPr>
          <w:trHeight w:val="1083"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hint="eastAsia" w:hAnsi="宋体" w:cs="宋体"/>
                <w:color w:val="000000"/>
                <w:sz w:val="22"/>
                <w:szCs w:val="22"/>
              </w:rPr>
              <w:t>2</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ascii="Times New Roman" w:hAnsi="Times New Roman" w:eastAsia="仿宋_GB2312" w:cs="Times New Roman"/>
                <w:sz w:val="28"/>
                <w:szCs w:val="28"/>
              </w:rPr>
              <w:t>盐酸溶液</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ascii="Times New Roman" w:hAnsi="Times New Roman" w:eastAsia="仿宋_GB2312" w:cs="Times New Roman"/>
                <w:sz w:val="28"/>
                <w:szCs w:val="28"/>
              </w:rPr>
              <w:t>2吨</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p>
        </w:tc>
        <w:tc>
          <w:tcPr>
            <w:tcW w:w="1903"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center"/>
              <w:rPr>
                <w:rFonts w:hAnsi="宋体" w:cs="宋体"/>
                <w:color w:val="000000"/>
                <w:sz w:val="22"/>
                <w:szCs w:val="22"/>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hint="eastAsia" w:hAnsi="宋体" w:cs="宋体"/>
                <w:color w:val="000000"/>
                <w:sz w:val="22"/>
                <w:szCs w:val="22"/>
              </w:rPr>
              <w:t>含</w:t>
            </w:r>
            <w:r>
              <w:rPr>
                <w:rFonts w:hint="eastAsia" w:hAnsi="宋体" w:cs="宋体"/>
                <w:color w:val="000000"/>
                <w:sz w:val="22"/>
                <w:szCs w:val="22"/>
                <w:lang w:val="en-US" w:eastAsia="zh-CN"/>
              </w:rPr>
              <w:t>运费</w:t>
            </w:r>
          </w:p>
        </w:tc>
      </w:tr>
      <w:tr>
        <w:tblPrEx>
          <w:tblCellMar>
            <w:top w:w="0" w:type="dxa"/>
            <w:left w:w="108" w:type="dxa"/>
            <w:bottom w:w="0" w:type="dxa"/>
            <w:right w:w="108" w:type="dxa"/>
          </w:tblCellMar>
        </w:tblPrEx>
        <w:trPr>
          <w:trHeight w:val="1083" w:hRule="atLeast"/>
        </w:trPr>
        <w:tc>
          <w:tcPr>
            <w:tcW w:w="63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Ansi="宋体" w:cs="宋体"/>
                <w:color w:val="000000"/>
                <w:sz w:val="22"/>
                <w:szCs w:val="22"/>
              </w:rPr>
            </w:pPr>
            <w:r>
              <w:rPr>
                <w:rFonts w:hint="eastAsia" w:hAnsi="宋体" w:cs="宋体"/>
                <w:color w:val="000000"/>
                <w:sz w:val="22"/>
                <w:szCs w:val="22"/>
              </w:rPr>
              <w:t>不含税合计（元）</w:t>
            </w:r>
          </w:p>
        </w:tc>
        <w:tc>
          <w:tcPr>
            <w:tcW w:w="1903"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center"/>
              <w:rPr>
                <w:rFonts w:hAnsi="宋体" w:cs="宋体"/>
                <w:color w:val="000000"/>
                <w:sz w:val="22"/>
                <w:szCs w:val="22"/>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hint="eastAsia" w:hAnsi="宋体" w:cs="宋体"/>
                <w:color w:val="000000"/>
                <w:sz w:val="22"/>
                <w:szCs w:val="22"/>
              </w:rPr>
            </w:pPr>
          </w:p>
        </w:tc>
      </w:tr>
      <w:tr>
        <w:tblPrEx>
          <w:tblCellMar>
            <w:top w:w="0" w:type="dxa"/>
            <w:left w:w="108" w:type="dxa"/>
            <w:bottom w:w="0" w:type="dxa"/>
            <w:right w:w="108" w:type="dxa"/>
          </w:tblCellMar>
        </w:tblPrEx>
        <w:trPr>
          <w:trHeight w:val="1083" w:hRule="atLeast"/>
        </w:trPr>
        <w:tc>
          <w:tcPr>
            <w:tcW w:w="1019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both"/>
              <w:rPr>
                <w:rFonts w:hint="eastAsia" w:hAnsi="宋体" w:cs="宋体"/>
                <w:color w:val="000000"/>
                <w:sz w:val="22"/>
                <w:szCs w:val="22"/>
              </w:rPr>
            </w:pPr>
            <w:r>
              <w:rPr>
                <w:rFonts w:hint="eastAsia" w:hAnsi="宋体" w:cs="宋体"/>
                <w:color w:val="000000"/>
                <w:sz w:val="22"/>
                <w:szCs w:val="22"/>
              </w:rPr>
              <w:t>备注:</w:t>
            </w:r>
          </w:p>
          <w:p>
            <w:pPr>
              <w:widowControl/>
              <w:autoSpaceDE/>
              <w:autoSpaceDN/>
              <w:adjustRightInd/>
              <w:jc w:val="both"/>
              <w:rPr>
                <w:rFonts w:hint="eastAsia" w:hAnsi="宋体" w:cs="宋体"/>
                <w:b/>
                <w:bCs/>
                <w:color w:val="000000"/>
                <w:sz w:val="22"/>
                <w:szCs w:val="22"/>
              </w:rPr>
            </w:pPr>
            <w:r>
              <w:rPr>
                <w:rFonts w:hint="eastAsia" w:hAnsi="宋体" w:cs="宋体"/>
                <w:b/>
                <w:bCs/>
                <w:color w:val="000000"/>
                <w:sz w:val="22"/>
                <w:szCs w:val="22"/>
              </w:rPr>
              <w:t>1.当分项报价明细表内累计与报价表不符时，以报价表为准，修正分项报价明细表内的各项报价。</w:t>
            </w:r>
          </w:p>
          <w:p>
            <w:pPr>
              <w:widowControl/>
              <w:autoSpaceDE/>
              <w:autoSpaceDN/>
              <w:adjustRightInd/>
              <w:jc w:val="left"/>
              <w:rPr>
                <w:rFonts w:hint="eastAsia" w:hAnsi="宋体" w:cs="宋体"/>
                <w:color w:val="000000"/>
                <w:sz w:val="22"/>
                <w:szCs w:val="22"/>
              </w:rPr>
            </w:pPr>
            <w:r>
              <w:rPr>
                <w:rFonts w:hint="eastAsia" w:hAnsi="宋体" w:cs="宋体"/>
                <w:b/>
                <w:bCs/>
                <w:color w:val="000000"/>
                <w:sz w:val="22"/>
                <w:szCs w:val="22"/>
              </w:rPr>
              <w:t>2.上述报价数值如需保留小数点后2位，从小数点后第3位四舍五入。</w:t>
            </w:r>
          </w:p>
        </w:tc>
      </w:tr>
    </w:tbl>
    <w:p>
      <w:pPr>
        <w:tabs>
          <w:tab w:val="left" w:pos="249"/>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center" w:pos="6979"/>
          <w:tab w:val="left" w:pos="7140"/>
          <w:tab w:val="left" w:pos="8210"/>
        </w:tabs>
        <w:spacing w:line="360" w:lineRule="auto"/>
        <w:rPr>
          <w:rFonts w:hAnsi="宋体" w:cs="宋体"/>
          <w:b/>
          <w:color w:val="000000"/>
          <w:sz w:val="28"/>
          <w:szCs w:val="28"/>
        </w:rPr>
      </w:pP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p>
    <w:p>
      <w:pPr>
        <w:tabs>
          <w:tab w:val="left" w:pos="249"/>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center" w:pos="6979"/>
          <w:tab w:val="left" w:pos="7140"/>
          <w:tab w:val="left" w:pos="8210"/>
        </w:tabs>
        <w:spacing w:line="360" w:lineRule="auto"/>
        <w:jc w:val="center"/>
        <w:rPr>
          <w:rFonts w:hAnsi="宋体" w:cs="宋体"/>
          <w:color w:val="000000"/>
        </w:rPr>
      </w:pPr>
      <w:r>
        <w:rPr>
          <w:rFonts w:hint="eastAsia" w:hAnsi="宋体" w:cs="宋体"/>
          <w:color w:val="000000"/>
          <w:lang w:val="en-US" w:eastAsia="zh-CN"/>
        </w:rPr>
        <w:t xml:space="preserve">                                    </w:t>
      </w:r>
      <w:r>
        <w:rPr>
          <w:rFonts w:hint="eastAsia" w:hAnsi="宋体" w:cs="宋体"/>
          <w:color w:val="000000"/>
        </w:rPr>
        <w:t>报价人：</w:t>
      </w:r>
      <w:r>
        <w:rPr>
          <w:rFonts w:hint="eastAsia" w:hAnsi="宋体" w:cs="宋体"/>
          <w:color w:val="000000"/>
          <w:kern w:val="2"/>
          <w:szCs w:val="28"/>
          <w:lang w:val="zh-CN"/>
        </w:rPr>
        <w:t>（</w:t>
      </w:r>
      <w:r>
        <w:rPr>
          <w:rFonts w:hint="eastAsia" w:hAnsi="宋体" w:cs="宋体"/>
        </w:rPr>
        <w:t>加盖公</w:t>
      </w:r>
      <w:r>
        <w:rPr>
          <w:rFonts w:hint="eastAsia" w:hAnsi="宋体" w:cs="宋体"/>
          <w:color w:val="000000"/>
          <w:kern w:val="2"/>
          <w:szCs w:val="28"/>
          <w:lang w:val="zh-CN"/>
        </w:rPr>
        <w:t>章）</w:t>
      </w:r>
    </w:p>
    <w:p>
      <w:pPr>
        <w:tabs>
          <w:tab w:val="left" w:pos="249"/>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center" w:pos="6979"/>
          <w:tab w:val="left" w:pos="7140"/>
          <w:tab w:val="left" w:pos="8210"/>
        </w:tabs>
        <w:spacing w:line="360" w:lineRule="auto"/>
        <w:ind w:left="5280" w:hanging="5280" w:hangingChars="2200"/>
        <w:rPr>
          <w:rFonts w:hAnsi="宋体" w:cs="宋体"/>
          <w:color w:val="000000"/>
        </w:rPr>
      </w:pPr>
      <w:r>
        <w:rPr>
          <w:rFonts w:hint="eastAsia" w:hAnsi="宋体" w:cs="宋体"/>
          <w:color w:val="000000"/>
        </w:rPr>
        <w:t xml:space="preserve"> </w:t>
      </w:r>
      <w:r>
        <w:rPr>
          <w:rFonts w:hAnsi="宋体" w:cs="宋体"/>
          <w:color w:val="000000"/>
        </w:rPr>
        <w:t xml:space="preserve">                                                                   </w:t>
      </w:r>
      <w:r>
        <w:rPr>
          <w:rFonts w:hint="eastAsia" w:hAnsi="宋体" w:cs="宋体"/>
          <w:color w:val="000000"/>
        </w:rPr>
        <w:t xml:space="preserve">日期：  </w:t>
      </w:r>
      <w:r>
        <w:rPr>
          <w:rFonts w:hint="eastAsia" w:hAnsi="宋体" w:cs="宋体"/>
          <w:color w:val="000000"/>
          <w:lang w:val="en-US" w:eastAsia="zh-CN"/>
        </w:rPr>
        <w:t xml:space="preserve"> </w:t>
      </w:r>
      <w:r>
        <w:rPr>
          <w:rFonts w:hint="eastAsia" w:hAnsi="宋体" w:cs="宋体"/>
          <w:color w:val="000000"/>
        </w:rPr>
        <w:t xml:space="preserve">年   </w:t>
      </w:r>
      <w:r>
        <w:rPr>
          <w:rFonts w:hint="eastAsia" w:hAnsi="宋体" w:cs="宋体"/>
          <w:color w:val="000000"/>
          <w:lang w:val="en-US" w:eastAsia="zh-CN"/>
        </w:rPr>
        <w:t xml:space="preserve"> </w:t>
      </w:r>
      <w:r>
        <w:rPr>
          <w:rFonts w:hint="eastAsia" w:hAnsi="宋体" w:cs="宋体"/>
          <w:color w:val="000000"/>
        </w:rPr>
        <w:t xml:space="preserve">月   </w:t>
      </w:r>
      <w:r>
        <w:rPr>
          <w:rFonts w:hint="eastAsia" w:hAnsi="宋体" w:cs="宋体"/>
          <w:color w:val="000000"/>
          <w:lang w:val="en-US" w:eastAsia="zh-CN"/>
        </w:rPr>
        <w:t xml:space="preserve"> </w:t>
      </w:r>
      <w:r>
        <w:rPr>
          <w:rFonts w:hint="eastAsia" w:hAnsi="宋体" w:cs="宋体"/>
          <w:color w:val="000000"/>
        </w:rPr>
        <w:t>日</w:t>
      </w:r>
      <w:r>
        <w:rPr>
          <w:rFonts w:hAnsi="宋体" w:cs="宋体"/>
          <w:color w:val="000000"/>
        </w:rPr>
        <w:tab/>
      </w:r>
    </w:p>
    <w:p>
      <w:pPr>
        <w:pStyle w:val="2"/>
      </w:pPr>
    </w:p>
    <w:p>
      <w:pPr>
        <w:pStyle w:val="3"/>
      </w:pPr>
    </w:p>
    <w:p/>
    <w:p>
      <w:pPr>
        <w:pStyle w:val="2"/>
      </w:pPr>
    </w:p>
    <w:p>
      <w:pPr>
        <w:pStyle w:val="3"/>
      </w:pPr>
    </w:p>
    <w:p/>
    <w:p>
      <w:pPr>
        <w:pStyle w:val="2"/>
      </w:pPr>
    </w:p>
    <w:p/>
    <w:p>
      <w:pPr>
        <w:numPr>
          <w:ilvl w:val="0"/>
          <w:numId w:val="0"/>
        </w:numPr>
        <w:spacing w:line="360" w:lineRule="auto"/>
        <w:rPr>
          <w:rFonts w:ascii="Times New Roman"/>
          <w:b/>
          <w:color w:val="000000"/>
          <w:sz w:val="28"/>
          <w:szCs w:val="28"/>
        </w:rPr>
      </w:pPr>
      <w:r>
        <w:rPr>
          <w:rFonts w:ascii="Times New Roman" w:hAnsi="Times New Roman" w:eastAsia="宋体" w:cs="Times New Roman"/>
          <w:b/>
          <w:color w:val="000000"/>
          <w:sz w:val="28"/>
          <w:szCs w:val="28"/>
          <w:lang w:val="en-US" w:eastAsia="zh-CN" w:bidi="ar-SA"/>
        </w:rPr>
        <w:t>2.</w:t>
      </w:r>
      <w:r>
        <w:rPr>
          <w:rFonts w:hint="eastAsia" w:ascii="Times New Roman"/>
          <w:b/>
          <w:color w:val="000000"/>
          <w:sz w:val="28"/>
          <w:szCs w:val="28"/>
        </w:rPr>
        <w:t>项目响应声明</w:t>
      </w:r>
    </w:p>
    <w:p>
      <w:pPr>
        <w:spacing w:line="360" w:lineRule="auto"/>
        <w:jc w:val="center"/>
        <w:rPr>
          <w:rFonts w:hAnsi="宋体" w:cs="宋体"/>
          <w:b/>
          <w:color w:val="000000"/>
          <w:sz w:val="28"/>
          <w:szCs w:val="28"/>
        </w:rPr>
      </w:pPr>
      <w:bookmarkStart w:id="43" w:name="_Hlk26973180"/>
      <w:r>
        <w:rPr>
          <w:rFonts w:hint="eastAsia" w:hAnsi="宋体" w:cs="宋体"/>
          <w:b/>
          <w:color w:val="000000"/>
          <w:sz w:val="28"/>
          <w:szCs w:val="28"/>
        </w:rPr>
        <w:t>响应声明</w:t>
      </w:r>
    </w:p>
    <w:bookmarkEnd w:id="43"/>
    <w:p>
      <w:pPr>
        <w:spacing w:line="360" w:lineRule="auto"/>
        <w:ind w:firstLine="480" w:firstLineChars="200"/>
        <w:rPr>
          <w:rFonts w:hAnsi="宋体" w:cs="宋体"/>
        </w:rPr>
      </w:pPr>
      <w:bookmarkStart w:id="44" w:name="_Toc534701786"/>
      <w:bookmarkStart w:id="45" w:name="_Toc534278252"/>
      <w:bookmarkStart w:id="46"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pPr>
        <w:spacing w:line="360" w:lineRule="auto"/>
        <w:ind w:firstLine="480" w:firstLineChars="200"/>
        <w:rPr>
          <w:rFonts w:hAnsi="宋体" w:cs="宋体"/>
        </w:rPr>
      </w:pPr>
      <w:r>
        <w:rPr>
          <w:rFonts w:hint="eastAsia" w:hAnsi="宋体" w:cs="宋体"/>
        </w:rPr>
        <w:t>特此声明。</w:t>
      </w:r>
    </w:p>
    <w:p>
      <w:pPr>
        <w:spacing w:line="360" w:lineRule="auto"/>
        <w:ind w:firstLine="480" w:firstLineChars="200"/>
        <w:rPr>
          <w:rFonts w:hAnsi="宋体" w:cs="宋体"/>
        </w:rPr>
      </w:pPr>
    </w:p>
    <w:p>
      <w:pPr>
        <w:spacing w:line="360" w:lineRule="auto"/>
        <w:ind w:firstLine="480" w:firstLineChars="200"/>
        <w:rPr>
          <w:rFonts w:hAnsi="宋体" w:cs="宋体"/>
        </w:rPr>
      </w:pPr>
    </w:p>
    <w:p>
      <w:pPr>
        <w:spacing w:line="360" w:lineRule="auto"/>
        <w:ind w:firstLine="5280" w:firstLineChars="2200"/>
        <w:rPr>
          <w:rFonts w:hAnsi="宋体" w:cs="宋体"/>
        </w:rPr>
      </w:pPr>
      <w:r>
        <w:rPr>
          <w:rFonts w:hint="eastAsia" w:hAnsi="宋体" w:cs="宋体"/>
        </w:rPr>
        <w:t>报价人：（</w:t>
      </w:r>
      <w:r>
        <w:rPr>
          <w:rFonts w:hint="default" w:hAnsi="宋体" w:cs="宋体"/>
          <w:lang w:val="en-US"/>
        </w:rPr>
        <w:t>加盖公章</w:t>
      </w:r>
      <w:r>
        <w:rPr>
          <w:rFonts w:hint="eastAsia" w:hAnsi="宋体" w:cs="宋体"/>
        </w:rPr>
        <w:t>）</w:t>
      </w:r>
    </w:p>
    <w:p>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pPr>
        <w:spacing w:line="360" w:lineRule="auto"/>
        <w:rPr>
          <w:rFonts w:hAnsi="宋体" w:cs="宋体"/>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pStyle w:val="2"/>
      </w:pPr>
    </w:p>
    <w:p>
      <w:pPr>
        <w:pStyle w:val="3"/>
      </w:pPr>
    </w:p>
    <w:p>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pPr>
        <w:spacing w:line="360" w:lineRule="auto"/>
        <w:rPr>
          <w:rFonts w:hint="eastAsia" w:ascii="Times New Roman" w:hAnsi="Times New Roman" w:eastAsia="宋体" w:cs="Times New Roman"/>
          <w:b/>
          <w:color w:val="000000" w:themeColor="text1"/>
          <w:sz w:val="28"/>
          <w:szCs w:val="28"/>
          <w:lang w:eastAsia="zh-CN"/>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4.</w:t>
      </w:r>
      <w:r>
        <w:rPr>
          <w:rFonts w:hint="eastAsia" w:ascii="Times New Roman" w:hAnsi="Times New Roman" w:cs="Times New Roman"/>
          <w:b/>
          <w:color w:val="000000" w:themeColor="text1"/>
          <w:sz w:val="28"/>
          <w:szCs w:val="28"/>
          <w:lang w:val="en-US" w:eastAsia="zh-CN"/>
          <w14:textFill>
            <w14:solidFill>
              <w14:schemeClr w14:val="tx1"/>
            </w14:solidFill>
          </w14:textFill>
        </w:rPr>
        <w:t>提供一份</w:t>
      </w:r>
      <w:r>
        <w:rPr>
          <w:rFonts w:hint="eastAsia" w:ascii="Times New Roman" w:hAnsi="Times New Roman" w:cs="Times New Roman"/>
          <w:b/>
          <w:color w:val="000000" w:themeColor="text1"/>
          <w:sz w:val="28"/>
          <w:szCs w:val="28"/>
          <w:u w:val="none"/>
          <w:lang w:val="en-US" w:eastAsia="zh-CN"/>
          <w14:textFill>
            <w14:solidFill>
              <w14:schemeClr w14:val="tx1"/>
            </w14:solidFill>
          </w14:textFill>
        </w:rPr>
        <w:t>硫酸和盐酸溶液供货或</w:t>
      </w:r>
      <w:r>
        <w:rPr>
          <w:rFonts w:hint="eastAsia" w:ascii="Times New Roman"/>
          <w:b/>
          <w:color w:val="000000" w:themeColor="text1"/>
          <w:sz w:val="28"/>
          <w:szCs w:val="28"/>
          <w14:textFill>
            <w14:solidFill>
              <w14:schemeClr w14:val="tx1"/>
            </w14:solidFill>
          </w14:textFill>
        </w:rPr>
        <w:t>相关业绩（合同签订日期为2022年1月1日或以后</w:t>
      </w:r>
      <w:r>
        <w:rPr>
          <w:rFonts w:hint="eastAsia" w:ascii="Times New Roman" w:hAnsi="Times New Roman" w:cs="Times New Roman"/>
          <w:b/>
          <w:color w:val="000000" w:themeColor="text1"/>
          <w:sz w:val="28"/>
          <w:szCs w:val="28"/>
          <w14:textFill>
            <w14:solidFill>
              <w14:schemeClr w14:val="tx1"/>
            </w14:solidFill>
          </w14:textFill>
        </w:rPr>
        <w:t>）</w:t>
      </w:r>
      <w:r>
        <w:rPr>
          <w:rFonts w:hint="eastAsia" w:ascii="Times New Roman" w:hAnsi="Times New Roman" w:cs="Times New Roman"/>
          <w:b/>
          <w:color w:val="000000" w:themeColor="text1"/>
          <w:sz w:val="28"/>
          <w:szCs w:val="28"/>
          <w:lang w:eastAsia="zh-CN"/>
          <w14:textFill>
            <w14:solidFill>
              <w14:schemeClr w14:val="tx1"/>
            </w14:solidFill>
          </w14:textFill>
        </w:rPr>
        <w:t>。</w:t>
      </w:r>
    </w:p>
    <w:p>
      <w:pPr>
        <w:widowControl/>
        <w:autoSpaceDE/>
        <w:autoSpaceDN/>
        <w:adjustRightInd/>
        <w:rPr>
          <w:rFonts w:hAnsi="宋体" w:cs="宋体"/>
          <w:color w:val="000000"/>
          <w:kern w:val="2"/>
          <w:sz w:val="21"/>
        </w:rPr>
      </w:pPr>
      <w:r>
        <w:rPr>
          <w:rFonts w:hAnsi="宋体" w:cs="宋体"/>
          <w:color w:val="000000"/>
          <w:kern w:val="2"/>
          <w:sz w:val="21"/>
        </w:rPr>
        <w:br w:type="page"/>
      </w:r>
    </w:p>
    <w:p>
      <w:pPr>
        <w:spacing w:line="360" w:lineRule="auto"/>
        <w:rPr>
          <w:rFonts w:ascii="Times New Roman"/>
          <w:b/>
          <w:sz w:val="28"/>
          <w:szCs w:val="28"/>
        </w:rPr>
      </w:pPr>
      <w:r>
        <w:rPr>
          <w:rFonts w:hint="eastAsia" w:ascii="Times New Roman"/>
          <w:b/>
          <w:sz w:val="28"/>
          <w:szCs w:val="28"/>
          <w:lang w:val="en-US" w:eastAsia="zh-CN"/>
        </w:rPr>
        <w:t>5</w:t>
      </w:r>
      <w:r>
        <w:rPr>
          <w:rFonts w:ascii="Times New Roman"/>
          <w:b/>
          <w:sz w:val="28"/>
          <w:szCs w:val="28"/>
        </w:rPr>
        <w:t>.</w:t>
      </w:r>
      <w:r>
        <w:rPr>
          <w:rFonts w:hint="eastAsia" w:ascii="Times New Roman"/>
          <w:b/>
          <w:sz w:val="28"/>
          <w:szCs w:val="28"/>
        </w:rPr>
        <w:t>承诺函</w:t>
      </w:r>
    </w:p>
    <w:p>
      <w:pPr>
        <w:spacing w:line="360" w:lineRule="auto"/>
        <w:rPr>
          <w:rFonts w:hAnsi="宋体" w:cs="宋体"/>
        </w:rPr>
      </w:pPr>
      <w:r>
        <w:rPr>
          <w:rFonts w:hint="eastAsia" w:hAnsi="宋体" w:cs="宋体"/>
        </w:rPr>
        <w:t>致东莞市水务环境投资控股集团净水有限公司：</w:t>
      </w:r>
    </w:p>
    <w:p>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hAnsi="宋体" w:cs="宋体"/>
          <w:u w:val="single"/>
          <w:lang w:val="en-US" w:eastAsia="zh-CN"/>
        </w:rPr>
        <w:t>东莞市污泥集中处理处置项目硫酸和盐酸溶液采购项目</w:t>
      </w:r>
      <w:r>
        <w:rPr>
          <w:rFonts w:hint="eastAsia" w:hAnsi="宋体" w:cs="宋体"/>
        </w:rPr>
        <w:t>的报价单位，为确保供货及/或提供服务过程中的人身、财产安全，我公司承诺，如我公司获得成交资格，将严格按照下列要求开展工作。</w:t>
      </w:r>
    </w:p>
    <w:p>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pPr>
        <w:spacing w:line="360" w:lineRule="auto"/>
        <w:ind w:firstLine="480" w:firstLineChars="200"/>
        <w:rPr>
          <w:rFonts w:hAnsi="宋体" w:cs="宋体"/>
        </w:rPr>
      </w:pPr>
      <w:r>
        <w:rPr>
          <w:rFonts w:hint="eastAsia" w:hAnsi="宋体" w:cs="宋体"/>
        </w:rPr>
        <w:t>③我公司承诺不在厂内道路、消防通道内搭建临时建筑或堆放物资。</w:t>
      </w:r>
    </w:p>
    <w:p>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pPr>
        <w:spacing w:line="360" w:lineRule="auto"/>
        <w:ind w:firstLine="480" w:firstLineChars="200"/>
        <w:rPr>
          <w:rFonts w:hAnsi="宋体" w:cs="宋体"/>
        </w:rPr>
      </w:pPr>
      <w:r>
        <w:rPr>
          <w:rFonts w:hint="eastAsia" w:hAnsi="宋体" w:cs="宋体"/>
        </w:rPr>
        <w:t>⑥我公司承诺防雷、防静电设施及用电设施有良好接地。</w:t>
      </w:r>
    </w:p>
    <w:p>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pPr>
        <w:spacing w:line="360" w:lineRule="auto"/>
        <w:ind w:firstLine="480" w:firstLineChars="200"/>
        <w:rPr>
          <w:rFonts w:hAnsi="宋体" w:cs="宋体"/>
        </w:rPr>
      </w:pPr>
    </w:p>
    <w:p>
      <w:pPr>
        <w:spacing w:line="360" w:lineRule="auto"/>
        <w:ind w:firstLine="480" w:firstLineChars="200"/>
        <w:rPr>
          <w:rFonts w:hAnsi="宋体" w:cs="宋体"/>
        </w:rPr>
      </w:pPr>
    </w:p>
    <w:p>
      <w:pPr>
        <w:spacing w:line="360" w:lineRule="auto"/>
        <w:ind w:firstLine="480" w:firstLineChars="200"/>
        <w:rPr>
          <w:rFonts w:hAnsi="宋体" w:cs="宋体"/>
        </w:rPr>
      </w:pPr>
      <w:r>
        <w:rPr>
          <w:rFonts w:hint="eastAsia" w:hAnsi="宋体" w:cs="宋体"/>
        </w:rPr>
        <w:t>特此承诺。</w:t>
      </w:r>
    </w:p>
    <w:p>
      <w:pPr>
        <w:spacing w:line="360" w:lineRule="auto"/>
        <w:rPr>
          <w:rFonts w:hAnsi="宋体" w:cs="宋体"/>
        </w:rPr>
      </w:pPr>
      <w:r>
        <w:rPr>
          <w:rFonts w:hint="eastAsia" w:hAnsi="宋体" w:cs="宋体"/>
        </w:rPr>
        <w:t xml:space="preserve">                                  承诺人（加盖公章）：</w:t>
      </w:r>
    </w:p>
    <w:p>
      <w:pPr>
        <w:spacing w:line="360" w:lineRule="auto"/>
        <w:jc w:val="center"/>
        <w:rPr>
          <w:rFonts w:hAnsi="宋体" w:cs="宋体"/>
        </w:rPr>
      </w:pPr>
      <w:r>
        <w:rPr>
          <w:rFonts w:hint="eastAsia" w:hAnsi="宋体" w:cs="宋体"/>
        </w:rPr>
        <w:t xml:space="preserve">     日期：</w:t>
      </w:r>
    </w:p>
    <w:p>
      <w:pPr>
        <w:spacing w:line="360" w:lineRule="auto"/>
        <w:rPr>
          <w:rFonts w:hAnsi="宋体" w:cs="宋体"/>
          <w:color w:val="000000"/>
          <w:kern w:val="2"/>
          <w:sz w:val="21"/>
        </w:rPr>
      </w:pPr>
    </w:p>
    <w:bookmarkEnd w:id="44"/>
    <w:bookmarkEnd w:id="45"/>
    <w:bookmarkEnd w:id="46"/>
    <w:p>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5E2F38-7FDA-47C6-8D3F-08D3DA57DB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2CF3C7C-1CC4-4F7F-8437-1D11124827A9}"/>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D75A2AA0-9E3A-4E55-9E9B-19380316B431}"/>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CC0E18C4-F767-44CC-B4D7-5654F84444AB}"/>
  </w:font>
  <w:font w:name="仿宋">
    <w:panose1 w:val="02010609060101010101"/>
    <w:charset w:val="86"/>
    <w:family w:val="modern"/>
    <w:pitch w:val="default"/>
    <w:sig w:usb0="800002BF" w:usb1="38CF7CFA" w:usb2="00000016" w:usb3="00000000" w:csb0="00040001" w:csb1="00000000"/>
    <w:embedRegular r:id="rId5" w:fontKey="{E0A549FF-E200-440C-BF30-6D5EDF29EFA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A2770E18"/>
    <w:multiLevelType w:val="multilevel"/>
    <w:tmpl w:val="A2770E18"/>
    <w:lvl w:ilvl="0" w:tentative="0">
      <w:start w:val="1"/>
      <w:numFmt w:val="decimal"/>
      <w:suff w:val="nothing"/>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D4566382"/>
    <w:multiLevelType w:val="multilevel"/>
    <w:tmpl w:val="D4566382"/>
    <w:lvl w:ilvl="0" w:tentative="0">
      <w:start w:val="1"/>
      <w:numFmt w:val="decimal"/>
      <w:suff w:val="nothing"/>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EEFEB810"/>
    <w:multiLevelType w:val="singleLevel"/>
    <w:tmpl w:val="EEFEB810"/>
    <w:lvl w:ilvl="0" w:tentative="0">
      <w:start w:val="1"/>
      <w:numFmt w:val="decimal"/>
      <w:suff w:val="nothing"/>
      <w:lvlText w:val="（%1）"/>
      <w:lvlJc w:val="left"/>
      <w:pPr>
        <w:ind w:left="0" w:firstLine="0"/>
      </w:pPr>
    </w:lvl>
  </w:abstractNum>
  <w:abstractNum w:abstractNumId="4">
    <w:nsid w:val="1186EF37"/>
    <w:multiLevelType w:val="singleLevel"/>
    <w:tmpl w:val="1186EF37"/>
    <w:lvl w:ilvl="0" w:tentative="0">
      <w:start w:val="1"/>
      <w:numFmt w:val="decimal"/>
      <w:suff w:val="nothing"/>
      <w:lvlText w:val="%1．"/>
      <w:lvlJc w:val="left"/>
      <w:pPr>
        <w:ind w:left="0" w:firstLine="400"/>
      </w:pPr>
      <w:rPr>
        <w:rFonts w:hint="default"/>
      </w:rPr>
    </w:lvl>
  </w:abstractNum>
  <w:abstractNum w:abstractNumId="5">
    <w:nsid w:val="1199E657"/>
    <w:multiLevelType w:val="singleLevel"/>
    <w:tmpl w:val="1199E657"/>
    <w:lvl w:ilvl="0" w:tentative="0">
      <w:start w:val="1"/>
      <w:numFmt w:val="decimal"/>
      <w:suff w:val="nothing"/>
      <w:lvlText w:val="%1．"/>
      <w:lvlJc w:val="left"/>
      <w:pPr>
        <w:ind w:left="0" w:firstLine="400"/>
      </w:pPr>
    </w:lvl>
  </w:abstractNum>
  <w:abstractNum w:abstractNumId="6">
    <w:nsid w:val="4D9B6C00"/>
    <w:multiLevelType w:val="multilevel"/>
    <w:tmpl w:val="4D9B6C00"/>
    <w:lvl w:ilvl="0" w:tentative="0">
      <w:start w:val="1"/>
      <w:numFmt w:val="upperLetter"/>
      <w:lvlText w:val="%1."/>
      <w:lvlJc w:val="left"/>
      <w:pPr>
        <w:tabs>
          <w:tab w:val="left" w:pos="987"/>
        </w:tabs>
        <w:ind w:left="987" w:hanging="420"/>
      </w:pPr>
    </w:lvl>
    <w:lvl w:ilvl="1" w:tentative="0">
      <w:start w:val="1"/>
      <w:numFmt w:val="lowerLetter"/>
      <w:lvlText w:val="%2)"/>
      <w:lvlJc w:val="left"/>
      <w:pPr>
        <w:tabs>
          <w:tab w:val="left" w:pos="1407"/>
        </w:tabs>
        <w:ind w:left="1407" w:hanging="420"/>
      </w:pPr>
    </w:lvl>
    <w:lvl w:ilvl="2" w:tentative="0">
      <w:start w:val="1"/>
      <w:numFmt w:val="lowerRoman"/>
      <w:pStyle w:val="6"/>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7">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69288AD"/>
    <w:multiLevelType w:val="singleLevel"/>
    <w:tmpl w:val="669288AD"/>
    <w:lvl w:ilvl="0" w:tentative="0">
      <w:start w:val="2"/>
      <w:numFmt w:val="decimal"/>
      <w:suff w:val="nothing"/>
      <w:lvlText w:val="（%1）"/>
      <w:lvlJc w:val="left"/>
      <w:pPr>
        <w:ind w:left="0" w:firstLine="0"/>
      </w:pPr>
    </w:lvl>
  </w:abstractNum>
  <w:num w:numId="1">
    <w:abstractNumId w:val="6"/>
  </w:num>
  <w:num w:numId="2">
    <w:abstractNumId w:val="4"/>
  </w:num>
  <w:num w:numId="3">
    <w:abstractNumId w:val="1"/>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hideSpellingErrors/>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0NTI3NTU1YmNhMWI1NjMwNDQzZjk0NmM1OWExNjAifQ=="/>
  </w:docVars>
  <w:rsids>
    <w:rsidRoot w:val="6F420807"/>
    <w:rsid w:val="00015007"/>
    <w:rsid w:val="00015B2B"/>
    <w:rsid w:val="0002215E"/>
    <w:rsid w:val="00025D4C"/>
    <w:rsid w:val="00033DAB"/>
    <w:rsid w:val="00060A39"/>
    <w:rsid w:val="0006243A"/>
    <w:rsid w:val="00076588"/>
    <w:rsid w:val="00081B9B"/>
    <w:rsid w:val="00087579"/>
    <w:rsid w:val="000877EE"/>
    <w:rsid w:val="000936C4"/>
    <w:rsid w:val="000A73FD"/>
    <w:rsid w:val="000B255E"/>
    <w:rsid w:val="000C3DC4"/>
    <w:rsid w:val="000C5EE8"/>
    <w:rsid w:val="000C72DE"/>
    <w:rsid w:val="000D7F46"/>
    <w:rsid w:val="000E123B"/>
    <w:rsid w:val="000F397D"/>
    <w:rsid w:val="00112FCD"/>
    <w:rsid w:val="00126F7D"/>
    <w:rsid w:val="001277AD"/>
    <w:rsid w:val="00130C34"/>
    <w:rsid w:val="00133197"/>
    <w:rsid w:val="00133399"/>
    <w:rsid w:val="0014286F"/>
    <w:rsid w:val="001443A0"/>
    <w:rsid w:val="00150337"/>
    <w:rsid w:val="001736B6"/>
    <w:rsid w:val="00182153"/>
    <w:rsid w:val="00196ADE"/>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C543A"/>
    <w:rsid w:val="002D11BA"/>
    <w:rsid w:val="002D4E96"/>
    <w:rsid w:val="002D64F7"/>
    <w:rsid w:val="002E36DD"/>
    <w:rsid w:val="002E3BD3"/>
    <w:rsid w:val="002F0E91"/>
    <w:rsid w:val="00305BED"/>
    <w:rsid w:val="00312019"/>
    <w:rsid w:val="00335ADA"/>
    <w:rsid w:val="00342FEA"/>
    <w:rsid w:val="003451AD"/>
    <w:rsid w:val="003516C5"/>
    <w:rsid w:val="003543DC"/>
    <w:rsid w:val="003A4927"/>
    <w:rsid w:val="003B7BA2"/>
    <w:rsid w:val="003C4080"/>
    <w:rsid w:val="003C52D7"/>
    <w:rsid w:val="003E34BC"/>
    <w:rsid w:val="003F09A2"/>
    <w:rsid w:val="003F5D9B"/>
    <w:rsid w:val="004053B0"/>
    <w:rsid w:val="004145D3"/>
    <w:rsid w:val="00417A22"/>
    <w:rsid w:val="00417B6F"/>
    <w:rsid w:val="004345B8"/>
    <w:rsid w:val="00440D93"/>
    <w:rsid w:val="004471D9"/>
    <w:rsid w:val="00450793"/>
    <w:rsid w:val="00451AE9"/>
    <w:rsid w:val="004536B9"/>
    <w:rsid w:val="00460DA6"/>
    <w:rsid w:val="004668C5"/>
    <w:rsid w:val="0047208D"/>
    <w:rsid w:val="0048608D"/>
    <w:rsid w:val="004A0792"/>
    <w:rsid w:val="004C1B24"/>
    <w:rsid w:val="004E008B"/>
    <w:rsid w:val="004E1AB3"/>
    <w:rsid w:val="004E559B"/>
    <w:rsid w:val="00506965"/>
    <w:rsid w:val="0051203D"/>
    <w:rsid w:val="00517782"/>
    <w:rsid w:val="00520060"/>
    <w:rsid w:val="00523878"/>
    <w:rsid w:val="005375DE"/>
    <w:rsid w:val="00550342"/>
    <w:rsid w:val="00564B30"/>
    <w:rsid w:val="005703C1"/>
    <w:rsid w:val="005738D0"/>
    <w:rsid w:val="00573F5C"/>
    <w:rsid w:val="00575CE7"/>
    <w:rsid w:val="00576FC0"/>
    <w:rsid w:val="00580EBB"/>
    <w:rsid w:val="00581C68"/>
    <w:rsid w:val="00584FB5"/>
    <w:rsid w:val="00592AF5"/>
    <w:rsid w:val="005939E4"/>
    <w:rsid w:val="005A064C"/>
    <w:rsid w:val="005A22A8"/>
    <w:rsid w:val="005A7108"/>
    <w:rsid w:val="005B0B0B"/>
    <w:rsid w:val="005B5AFF"/>
    <w:rsid w:val="005B7598"/>
    <w:rsid w:val="005E0558"/>
    <w:rsid w:val="005E06C1"/>
    <w:rsid w:val="005E1087"/>
    <w:rsid w:val="005E4914"/>
    <w:rsid w:val="005E532B"/>
    <w:rsid w:val="005F065C"/>
    <w:rsid w:val="005F4283"/>
    <w:rsid w:val="005F5FA5"/>
    <w:rsid w:val="006008D3"/>
    <w:rsid w:val="00604148"/>
    <w:rsid w:val="00604AE0"/>
    <w:rsid w:val="00612300"/>
    <w:rsid w:val="00622EDA"/>
    <w:rsid w:val="00625283"/>
    <w:rsid w:val="00627A7F"/>
    <w:rsid w:val="00635EA9"/>
    <w:rsid w:val="00641225"/>
    <w:rsid w:val="00641A01"/>
    <w:rsid w:val="00656404"/>
    <w:rsid w:val="00657DA3"/>
    <w:rsid w:val="00677348"/>
    <w:rsid w:val="006A0C51"/>
    <w:rsid w:val="006A3590"/>
    <w:rsid w:val="006B6AE3"/>
    <w:rsid w:val="006D3240"/>
    <w:rsid w:val="006E350A"/>
    <w:rsid w:val="006E6C27"/>
    <w:rsid w:val="007114E2"/>
    <w:rsid w:val="007143FF"/>
    <w:rsid w:val="00727FD1"/>
    <w:rsid w:val="00731B42"/>
    <w:rsid w:val="00743F4C"/>
    <w:rsid w:val="00761855"/>
    <w:rsid w:val="00761B52"/>
    <w:rsid w:val="00770D53"/>
    <w:rsid w:val="00770F5B"/>
    <w:rsid w:val="007838C2"/>
    <w:rsid w:val="00786AEA"/>
    <w:rsid w:val="007913E8"/>
    <w:rsid w:val="007A57A7"/>
    <w:rsid w:val="007B613E"/>
    <w:rsid w:val="007D1B4D"/>
    <w:rsid w:val="007E6CDC"/>
    <w:rsid w:val="007F4A53"/>
    <w:rsid w:val="007F781E"/>
    <w:rsid w:val="008015B3"/>
    <w:rsid w:val="0080585B"/>
    <w:rsid w:val="00806A29"/>
    <w:rsid w:val="0082346E"/>
    <w:rsid w:val="00827AE3"/>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C2356"/>
    <w:rsid w:val="008F0ABF"/>
    <w:rsid w:val="0090194A"/>
    <w:rsid w:val="0090338C"/>
    <w:rsid w:val="00905314"/>
    <w:rsid w:val="00916959"/>
    <w:rsid w:val="00936DB6"/>
    <w:rsid w:val="00942AB0"/>
    <w:rsid w:val="0094384C"/>
    <w:rsid w:val="00964520"/>
    <w:rsid w:val="009675C0"/>
    <w:rsid w:val="00981B8E"/>
    <w:rsid w:val="009B3C45"/>
    <w:rsid w:val="009B5937"/>
    <w:rsid w:val="009B5D98"/>
    <w:rsid w:val="009B7B4E"/>
    <w:rsid w:val="009C2702"/>
    <w:rsid w:val="009C42D6"/>
    <w:rsid w:val="009D033A"/>
    <w:rsid w:val="009D0E49"/>
    <w:rsid w:val="009D6EEC"/>
    <w:rsid w:val="009E2108"/>
    <w:rsid w:val="009E5061"/>
    <w:rsid w:val="009F2836"/>
    <w:rsid w:val="00A04E05"/>
    <w:rsid w:val="00A14EF1"/>
    <w:rsid w:val="00A15517"/>
    <w:rsid w:val="00A222E8"/>
    <w:rsid w:val="00A30B04"/>
    <w:rsid w:val="00A32BDC"/>
    <w:rsid w:val="00A55D45"/>
    <w:rsid w:val="00A67188"/>
    <w:rsid w:val="00A75B6C"/>
    <w:rsid w:val="00A91D5D"/>
    <w:rsid w:val="00AA01B4"/>
    <w:rsid w:val="00AB3DF3"/>
    <w:rsid w:val="00AC72E8"/>
    <w:rsid w:val="00AD6764"/>
    <w:rsid w:val="00B00A96"/>
    <w:rsid w:val="00B00F70"/>
    <w:rsid w:val="00B142AC"/>
    <w:rsid w:val="00B2564D"/>
    <w:rsid w:val="00B3048B"/>
    <w:rsid w:val="00B44D9E"/>
    <w:rsid w:val="00B52BA3"/>
    <w:rsid w:val="00B577DA"/>
    <w:rsid w:val="00B63B6C"/>
    <w:rsid w:val="00B72CF5"/>
    <w:rsid w:val="00B73C22"/>
    <w:rsid w:val="00B74EAC"/>
    <w:rsid w:val="00BA2FDD"/>
    <w:rsid w:val="00BA55D8"/>
    <w:rsid w:val="00BB6875"/>
    <w:rsid w:val="00BD0A68"/>
    <w:rsid w:val="00BD116D"/>
    <w:rsid w:val="00BD2C9F"/>
    <w:rsid w:val="00BD33FC"/>
    <w:rsid w:val="00BE30CA"/>
    <w:rsid w:val="00BF0326"/>
    <w:rsid w:val="00BF23B3"/>
    <w:rsid w:val="00C043E5"/>
    <w:rsid w:val="00C0670D"/>
    <w:rsid w:val="00C12007"/>
    <w:rsid w:val="00C12B6A"/>
    <w:rsid w:val="00C137F5"/>
    <w:rsid w:val="00C15CAE"/>
    <w:rsid w:val="00C237BE"/>
    <w:rsid w:val="00C26932"/>
    <w:rsid w:val="00C46D4E"/>
    <w:rsid w:val="00C5120C"/>
    <w:rsid w:val="00C54EDF"/>
    <w:rsid w:val="00C65334"/>
    <w:rsid w:val="00C77A3A"/>
    <w:rsid w:val="00C8067F"/>
    <w:rsid w:val="00C81F39"/>
    <w:rsid w:val="00CB0949"/>
    <w:rsid w:val="00CB31B3"/>
    <w:rsid w:val="00CD7B0D"/>
    <w:rsid w:val="00CE0466"/>
    <w:rsid w:val="00CE73B7"/>
    <w:rsid w:val="00CF015C"/>
    <w:rsid w:val="00D12814"/>
    <w:rsid w:val="00D167C9"/>
    <w:rsid w:val="00D415A3"/>
    <w:rsid w:val="00D66911"/>
    <w:rsid w:val="00D72128"/>
    <w:rsid w:val="00D80921"/>
    <w:rsid w:val="00D80F89"/>
    <w:rsid w:val="00D84B4B"/>
    <w:rsid w:val="00D8721B"/>
    <w:rsid w:val="00D9794E"/>
    <w:rsid w:val="00DA780D"/>
    <w:rsid w:val="00DB1934"/>
    <w:rsid w:val="00DB3106"/>
    <w:rsid w:val="00E031E7"/>
    <w:rsid w:val="00E078F8"/>
    <w:rsid w:val="00E12E8C"/>
    <w:rsid w:val="00E17996"/>
    <w:rsid w:val="00E24003"/>
    <w:rsid w:val="00E2498C"/>
    <w:rsid w:val="00E41CB9"/>
    <w:rsid w:val="00E50F9B"/>
    <w:rsid w:val="00E77CB1"/>
    <w:rsid w:val="00E81726"/>
    <w:rsid w:val="00E937EB"/>
    <w:rsid w:val="00EA060E"/>
    <w:rsid w:val="00ED0E9B"/>
    <w:rsid w:val="00ED726B"/>
    <w:rsid w:val="00F07ECE"/>
    <w:rsid w:val="00F104E8"/>
    <w:rsid w:val="00F15ABD"/>
    <w:rsid w:val="00F36E08"/>
    <w:rsid w:val="00F53F51"/>
    <w:rsid w:val="00F56153"/>
    <w:rsid w:val="00F56832"/>
    <w:rsid w:val="00F8456C"/>
    <w:rsid w:val="00F923D8"/>
    <w:rsid w:val="00F93FE3"/>
    <w:rsid w:val="00FA4520"/>
    <w:rsid w:val="00FB4F9D"/>
    <w:rsid w:val="00FC1827"/>
    <w:rsid w:val="00FC5D57"/>
    <w:rsid w:val="00FC5FAC"/>
    <w:rsid w:val="00FF58C5"/>
    <w:rsid w:val="00FF628A"/>
    <w:rsid w:val="018C33F1"/>
    <w:rsid w:val="06E27ADA"/>
    <w:rsid w:val="084D7C3A"/>
    <w:rsid w:val="1045133B"/>
    <w:rsid w:val="115F642C"/>
    <w:rsid w:val="166C3E5C"/>
    <w:rsid w:val="188D5432"/>
    <w:rsid w:val="1C810283"/>
    <w:rsid w:val="21217D8A"/>
    <w:rsid w:val="21FE57EE"/>
    <w:rsid w:val="2386555D"/>
    <w:rsid w:val="268146AB"/>
    <w:rsid w:val="27E162AD"/>
    <w:rsid w:val="29E140BF"/>
    <w:rsid w:val="2A631000"/>
    <w:rsid w:val="2B952A1F"/>
    <w:rsid w:val="36820D95"/>
    <w:rsid w:val="39DB1918"/>
    <w:rsid w:val="3D411D63"/>
    <w:rsid w:val="43B124FD"/>
    <w:rsid w:val="4DC81F78"/>
    <w:rsid w:val="4F7244C4"/>
    <w:rsid w:val="4FBD46E9"/>
    <w:rsid w:val="51492FE2"/>
    <w:rsid w:val="55854CBE"/>
    <w:rsid w:val="579572FB"/>
    <w:rsid w:val="5C9D30FF"/>
    <w:rsid w:val="5F9D2B92"/>
    <w:rsid w:val="60A60CCB"/>
    <w:rsid w:val="63143EF4"/>
    <w:rsid w:val="64601415"/>
    <w:rsid w:val="64EB4EDF"/>
    <w:rsid w:val="650734EC"/>
    <w:rsid w:val="65316E3C"/>
    <w:rsid w:val="6AB81B08"/>
    <w:rsid w:val="6AED5C1F"/>
    <w:rsid w:val="6F420807"/>
    <w:rsid w:val="70714B0F"/>
    <w:rsid w:val="7A424C11"/>
    <w:rsid w:val="7DC2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5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64"/>
    <w:unhideWhenUsed/>
    <w:qFormat/>
    <w:uiPriority w:val="0"/>
    <w:pPr>
      <w:keepNext/>
      <w:keepLines/>
      <w:numPr>
        <w:ilvl w:val="2"/>
        <w:numId w:val="1"/>
      </w:numPr>
      <w:autoSpaceDE/>
      <w:autoSpaceDN/>
      <w:spacing w:before="260" w:after="260" w:line="416" w:lineRule="atLeast"/>
      <w:jc w:val="both"/>
      <w:outlineLvl w:val="2"/>
    </w:pPr>
    <w:rPr>
      <w:rFonts w:ascii="Times New Roman"/>
      <w:b/>
      <w:sz w:val="32"/>
      <w:szCs w:val="20"/>
    </w:rPr>
  </w:style>
  <w:style w:type="paragraph" w:styleId="7">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7"/>
    <w:qFormat/>
    <w:uiPriority w:val="0"/>
    <w:pPr>
      <w:spacing w:after="120"/>
    </w:pPr>
    <w:rPr>
      <w:rFonts w:ascii="Times New Roman"/>
    </w:r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9">
    <w:name w:val="annotation text"/>
    <w:basedOn w:val="1"/>
    <w:link w:val="35"/>
    <w:qFormat/>
    <w:uiPriority w:val="99"/>
  </w:style>
  <w:style w:type="paragraph" w:styleId="10">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11">
    <w:name w:val="Plain Text"/>
    <w:basedOn w:val="1"/>
    <w:link w:val="43"/>
    <w:qFormat/>
    <w:uiPriority w:val="0"/>
    <w:pPr>
      <w:autoSpaceDE/>
      <w:autoSpaceDN/>
      <w:adjustRightInd/>
      <w:jc w:val="both"/>
    </w:pPr>
    <w:rPr>
      <w:rFonts w:hAnsi="Courier New"/>
      <w:kern w:val="2"/>
      <w:sz w:val="21"/>
      <w:szCs w:val="20"/>
    </w:rPr>
  </w:style>
  <w:style w:type="paragraph" w:styleId="12">
    <w:name w:val="Date"/>
    <w:basedOn w:val="1"/>
    <w:next w:val="1"/>
    <w:link w:val="65"/>
    <w:unhideWhenUsed/>
    <w:qFormat/>
    <w:uiPriority w:val="99"/>
    <w:pPr>
      <w:autoSpaceDE/>
      <w:autoSpaceDN/>
      <w:adjustRightInd/>
      <w:ind w:left="100" w:leftChars="2500"/>
      <w:jc w:val="both"/>
    </w:pPr>
    <w:rPr>
      <w:rFonts w:ascii="Times New Roman"/>
      <w:kern w:val="2"/>
      <w:sz w:val="21"/>
      <w:szCs w:val="20"/>
    </w:rPr>
  </w:style>
  <w:style w:type="paragraph" w:styleId="13">
    <w:name w:val="Balloon Text"/>
    <w:basedOn w:val="1"/>
    <w:link w:val="34"/>
    <w:qFormat/>
    <w:uiPriority w:val="99"/>
    <w:rPr>
      <w:sz w:val="18"/>
      <w:szCs w:val="18"/>
    </w:rPr>
  </w:style>
  <w:style w:type="paragraph" w:styleId="14">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5">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nhideWhenUsed/>
    <w:qFormat/>
    <w:uiPriority w:val="39"/>
    <w:pPr>
      <w:tabs>
        <w:tab w:val="right" w:leader="dot" w:pos="8296"/>
      </w:tabs>
      <w:spacing w:line="360" w:lineRule="auto"/>
    </w:pPr>
  </w:style>
  <w:style w:type="paragraph" w:styleId="17">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8">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Normal (Web)"/>
    <w:basedOn w:val="1"/>
    <w:unhideWhenUsed/>
    <w:qFormat/>
    <w:uiPriority w:val="0"/>
    <w:pPr>
      <w:autoSpaceDE/>
      <w:autoSpaceDN/>
      <w:adjustRightInd/>
      <w:spacing w:after="200" w:line="276" w:lineRule="auto"/>
      <w:jc w:val="both"/>
    </w:pPr>
    <w:rPr>
      <w:rFonts w:ascii="Calibri" w:hAnsi="Calibri" w:cs="黑体"/>
      <w:kern w:val="2"/>
      <w:szCs w:val="22"/>
    </w:rPr>
  </w:style>
  <w:style w:type="paragraph" w:styleId="20">
    <w:name w:val="annotation subject"/>
    <w:basedOn w:val="9"/>
    <w:next w:val="9"/>
    <w:link w:val="36"/>
    <w:qFormat/>
    <w:uiPriority w:val="99"/>
    <w:rPr>
      <w:b/>
      <w:bCs/>
    </w:rPr>
  </w:style>
  <w:style w:type="paragraph" w:styleId="21">
    <w:name w:val="Body Text First Indent"/>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2">
    <w:name w:val="Body Text First Indent 2"/>
    <w:basedOn w:val="10"/>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954F72"/>
      <w:u w:val="single"/>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annotation reference"/>
    <w:basedOn w:val="25"/>
    <w:qFormat/>
    <w:uiPriority w:val="99"/>
    <w:rPr>
      <w:sz w:val="21"/>
      <w:szCs w:val="21"/>
    </w:rPr>
  </w:style>
  <w:style w:type="paragraph" w:customStyle="1" w:styleId="29">
    <w:name w:val="TOC 标题1"/>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5"/>
    <w:link w:val="32"/>
    <w:qFormat/>
    <w:uiPriority w:val="0"/>
    <w:rPr>
      <w:kern w:val="2"/>
      <w:sz w:val="24"/>
      <w:szCs w:val="28"/>
    </w:rPr>
  </w:style>
  <w:style w:type="character" w:customStyle="1" w:styleId="34">
    <w:name w:val="批注框文本 字符"/>
    <w:basedOn w:val="25"/>
    <w:link w:val="13"/>
    <w:qFormat/>
    <w:uiPriority w:val="99"/>
    <w:rPr>
      <w:rFonts w:ascii="宋体"/>
      <w:sz w:val="18"/>
      <w:szCs w:val="18"/>
    </w:rPr>
  </w:style>
  <w:style w:type="character" w:customStyle="1" w:styleId="35">
    <w:name w:val="批注文字 字符"/>
    <w:basedOn w:val="25"/>
    <w:link w:val="9"/>
    <w:qFormat/>
    <w:uiPriority w:val="99"/>
    <w:rPr>
      <w:rFonts w:ascii="宋体"/>
      <w:sz w:val="24"/>
      <w:szCs w:val="24"/>
    </w:rPr>
  </w:style>
  <w:style w:type="character" w:customStyle="1" w:styleId="36">
    <w:name w:val="批注主题 字符"/>
    <w:basedOn w:val="35"/>
    <w:link w:val="20"/>
    <w:qFormat/>
    <w:uiPriority w:val="99"/>
    <w:rPr>
      <w:rFonts w:ascii="宋体"/>
      <w:b/>
      <w:bCs/>
      <w:sz w:val="24"/>
      <w:szCs w:val="24"/>
    </w:rPr>
  </w:style>
  <w:style w:type="character" w:customStyle="1" w:styleId="37">
    <w:name w:val="正文文本 字符"/>
    <w:basedOn w:val="25"/>
    <w:link w:val="2"/>
    <w:qFormat/>
    <w:uiPriority w:val="0"/>
    <w:rPr>
      <w:sz w:val="24"/>
      <w:szCs w:val="24"/>
    </w:rPr>
  </w:style>
  <w:style w:type="character" w:customStyle="1" w:styleId="38">
    <w:name w:val="正文首行缩进 字符"/>
    <w:basedOn w:val="37"/>
    <w:link w:val="21"/>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7"/>
    <w:qFormat/>
    <w:uiPriority w:val="11"/>
    <w:rPr>
      <w:rFonts w:ascii="Cambria" w:hAnsi="Cambria"/>
      <w:b/>
      <w:bCs/>
      <w:kern w:val="28"/>
      <w:sz w:val="32"/>
      <w:szCs w:val="32"/>
      <w:lang w:val="en-US" w:eastAsia="zh-CN"/>
    </w:rPr>
  </w:style>
  <w:style w:type="character" w:customStyle="1" w:styleId="41">
    <w:name w:val="副标题 字符"/>
    <w:basedOn w:val="25"/>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5"/>
    <w:link w:val="11"/>
    <w:qFormat/>
    <w:uiPriority w:val="0"/>
    <w:rPr>
      <w:rFonts w:ascii="宋体" w:hAnsi="Courier New"/>
      <w:kern w:val="2"/>
      <w:sz w:val="21"/>
    </w:rPr>
  </w:style>
  <w:style w:type="character" w:customStyle="1" w:styleId="44">
    <w:name w:val="标题 9 字符"/>
    <w:basedOn w:val="25"/>
    <w:link w:val="7"/>
    <w:semiHidden/>
    <w:qFormat/>
    <w:uiPriority w:val="0"/>
    <w:rPr>
      <w:rFonts w:ascii="等线 Light" w:hAnsi="等线 Light" w:eastAsia="等线 Light"/>
      <w:kern w:val="2"/>
      <w:sz w:val="21"/>
      <w:szCs w:val="21"/>
    </w:rPr>
  </w:style>
  <w:style w:type="character" w:customStyle="1" w:styleId="45">
    <w:name w:val="页脚 字符"/>
    <w:link w:val="14"/>
    <w:qFormat/>
    <w:uiPriority w:val="99"/>
    <w:rPr>
      <w:rFonts w:asciiTheme="minorHAnsi" w:hAnsiTheme="minorHAnsi" w:eastAsiaTheme="minorEastAsia" w:cstheme="minorBidi"/>
      <w:kern w:val="2"/>
      <w:sz w:val="18"/>
      <w:szCs w:val="18"/>
    </w:rPr>
  </w:style>
  <w:style w:type="character" w:customStyle="1" w:styleId="46">
    <w:name w:val="页眉 字符"/>
    <w:link w:val="15"/>
    <w:qFormat/>
    <w:uiPriority w:val="0"/>
    <w:rPr>
      <w:rFonts w:ascii="宋体"/>
      <w:sz w:val="18"/>
      <w:szCs w:val="24"/>
    </w:rPr>
  </w:style>
  <w:style w:type="character" w:customStyle="1" w:styleId="47">
    <w:name w:val="HTML 预设格式 字符"/>
    <w:basedOn w:val="25"/>
    <w:link w:val="18"/>
    <w:qFormat/>
    <w:uiPriority w:val="0"/>
    <w:rPr>
      <w:rFonts w:ascii="宋体" w:hAnsi="宋体" w:cs="宋体"/>
      <w:sz w:val="24"/>
      <w:szCs w:val="24"/>
    </w:rPr>
  </w:style>
  <w:style w:type="paragraph" w:customStyle="1" w:styleId="48">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5"/>
    <w:link w:val="10"/>
    <w:qFormat/>
    <w:uiPriority w:val="0"/>
    <w:rPr>
      <w:rFonts w:ascii="宋体" w:hAnsi="宋体"/>
      <w:kern w:val="2"/>
      <w:sz w:val="28"/>
      <w:szCs w:val="24"/>
    </w:rPr>
  </w:style>
  <w:style w:type="paragraph" w:customStyle="1" w:styleId="50">
    <w:name w:val="修订1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5"/>
    <w:semiHidden/>
    <w:qFormat/>
    <w:uiPriority w:val="99"/>
    <w:rPr>
      <w:rFonts w:ascii="Times New Roman" w:hAnsi="Times New Roman"/>
      <w:kern w:val="2"/>
      <w:sz w:val="18"/>
      <w:szCs w:val="18"/>
    </w:rPr>
  </w:style>
  <w:style w:type="character" w:customStyle="1" w:styleId="52">
    <w:name w:val="页眉 字符1"/>
    <w:basedOn w:val="25"/>
    <w:semiHidden/>
    <w:qFormat/>
    <w:uiPriority w:val="99"/>
    <w:rPr>
      <w:rFonts w:ascii="Times New Roman" w:hAnsi="Times New Roman"/>
      <w:kern w:val="2"/>
      <w:sz w:val="18"/>
      <w:szCs w:val="18"/>
    </w:rPr>
  </w:style>
  <w:style w:type="table" w:customStyle="1" w:styleId="53">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2"/>
    <w:qFormat/>
    <w:uiPriority w:val="0"/>
    <w:rPr>
      <w:rFonts w:ascii="宋体" w:hAnsi="宋体"/>
      <w:kern w:val="2"/>
      <w:sz w:val="24"/>
      <w:szCs w:val="24"/>
    </w:rPr>
  </w:style>
  <w:style w:type="character" w:customStyle="1" w:styleId="55">
    <w:name w:val="标题 2 字符"/>
    <w:basedOn w:val="25"/>
    <w:link w:val="5"/>
    <w:qFormat/>
    <w:uiPriority w:val="9"/>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9">
    <w:name w:val="首行缩进"/>
    <w:basedOn w:val="1"/>
    <w:qFormat/>
    <w:uiPriority w:val="0"/>
    <w:pPr>
      <w:ind w:firstLine="480" w:firstLineChars="200"/>
    </w:pPr>
    <w:rPr>
      <w:lang w:val="zh-CN"/>
    </w:rPr>
  </w:style>
  <w:style w:type="character" w:customStyle="1" w:styleId="60">
    <w:name w:val="font11"/>
    <w:basedOn w:val="25"/>
    <w:qFormat/>
    <w:uiPriority w:val="0"/>
    <w:rPr>
      <w:rFonts w:hint="eastAsia" w:ascii="宋体" w:hAnsi="宋体" w:eastAsia="宋体" w:cs="宋体"/>
      <w:color w:val="000000"/>
      <w:sz w:val="22"/>
      <w:szCs w:val="22"/>
      <w:u w:val="none"/>
    </w:rPr>
  </w:style>
  <w:style w:type="character" w:customStyle="1" w:styleId="61">
    <w:name w:val="font41"/>
    <w:basedOn w:val="25"/>
    <w:qFormat/>
    <w:uiPriority w:val="0"/>
    <w:rPr>
      <w:rFonts w:hint="eastAsia" w:ascii="宋体" w:hAnsi="宋体" w:eastAsia="宋体" w:cs="宋体"/>
      <w:color w:val="000000"/>
      <w:sz w:val="20"/>
      <w:szCs w:val="20"/>
      <w:u w:val="none"/>
    </w:rPr>
  </w:style>
  <w:style w:type="character" w:customStyle="1" w:styleId="62">
    <w:name w:val="font31"/>
    <w:basedOn w:val="25"/>
    <w:qFormat/>
    <w:uiPriority w:val="0"/>
    <w:rPr>
      <w:rFonts w:hint="eastAsia" w:ascii="宋体" w:hAnsi="宋体" w:eastAsia="宋体" w:cs="宋体"/>
      <w:color w:val="000000"/>
      <w:sz w:val="20"/>
      <w:szCs w:val="20"/>
      <w:u w:val="none"/>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4">
    <w:name w:val="标题 3 字符"/>
    <w:basedOn w:val="25"/>
    <w:link w:val="6"/>
    <w:qFormat/>
    <w:uiPriority w:val="0"/>
    <w:rPr>
      <w:b/>
      <w:sz w:val="32"/>
    </w:rPr>
  </w:style>
  <w:style w:type="character" w:customStyle="1" w:styleId="65">
    <w:name w:val="日期 字符"/>
    <w:basedOn w:val="25"/>
    <w:link w:val="12"/>
    <w:qFormat/>
    <w:uiPriority w:val="99"/>
    <w:rPr>
      <w:kern w:val="2"/>
      <w:sz w:val="21"/>
    </w:rPr>
  </w:style>
  <w:style w:type="paragraph" w:customStyle="1" w:styleId="66">
    <w:name w:val="msonormal"/>
    <w:basedOn w:val="1"/>
    <w:qFormat/>
    <w:uiPriority w:val="0"/>
    <w:pPr>
      <w:widowControl/>
      <w:autoSpaceDE/>
      <w:autoSpaceDN/>
      <w:adjustRightInd/>
      <w:spacing w:before="100" w:beforeAutospacing="1" w:after="100" w:afterAutospacing="1"/>
    </w:pPr>
    <w:rPr>
      <w:rFonts w:hAnsi="宋体" w:cs="宋体"/>
    </w:rPr>
  </w:style>
  <w:style w:type="paragraph" w:customStyle="1" w:styleId="67">
    <w:name w:val="Char"/>
    <w:basedOn w:val="1"/>
    <w:qFormat/>
    <w:uiPriority w:val="0"/>
    <w:pPr>
      <w:widowControl/>
      <w:autoSpaceDE/>
      <w:autoSpaceDN/>
      <w:adjustRightInd/>
      <w:spacing w:after="160" w:line="240" w:lineRule="exact"/>
      <w:jc w:val="center"/>
    </w:pPr>
    <w:rPr>
      <w:rFonts w:ascii="Times New Roman"/>
      <w:kern w:val="2"/>
      <w:sz w:val="21"/>
    </w:rPr>
  </w:style>
  <w:style w:type="paragraph" w:customStyle="1" w:styleId="68">
    <w:name w:val="A."/>
    <w:basedOn w:val="1"/>
    <w:qFormat/>
    <w:uiPriority w:val="0"/>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69">
    <w:name w:val="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70">
    <w:name w:val="font5"/>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71">
    <w:name w:val="font6"/>
    <w:basedOn w:val="1"/>
    <w:qFormat/>
    <w:uiPriority w:val="0"/>
    <w:pPr>
      <w:widowControl/>
      <w:autoSpaceDE/>
      <w:autoSpaceDN/>
      <w:adjustRightInd/>
      <w:spacing w:before="100" w:beforeAutospacing="1" w:after="100" w:afterAutospacing="1"/>
    </w:pPr>
    <w:rPr>
      <w:rFonts w:hAnsi="宋体" w:cs="宋体"/>
      <w:sz w:val="18"/>
      <w:szCs w:val="18"/>
    </w:rPr>
  </w:style>
  <w:style w:type="paragraph" w:customStyle="1" w:styleId="72">
    <w:name w:val="font7"/>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73">
    <w:name w:val="font8"/>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74">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75">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76">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77">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78">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79">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0">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81">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82">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color w:val="000000"/>
    </w:rPr>
  </w:style>
  <w:style w:type="paragraph" w:customStyle="1" w:styleId="83">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color w:val="000000"/>
    </w:rPr>
  </w:style>
  <w:style w:type="paragraph" w:customStyle="1" w:styleId="84">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85">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6">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7">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88">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9">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90">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1">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2">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3">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4">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95">
    <w:name w:val="xl88"/>
    <w:basedOn w:val="1"/>
    <w:qFormat/>
    <w:uiPriority w:val="0"/>
    <w:pPr>
      <w:widowControl/>
      <w:autoSpaceDE/>
      <w:autoSpaceDN/>
      <w:adjustRightInd/>
      <w:spacing w:before="100" w:beforeAutospacing="1" w:after="100" w:afterAutospacing="1"/>
      <w:jc w:val="center"/>
    </w:pPr>
    <w:rPr>
      <w:rFonts w:hAnsi="宋体" w:cs="宋体"/>
      <w:sz w:val="20"/>
      <w:szCs w:val="20"/>
    </w:rPr>
  </w:style>
  <w:style w:type="paragraph" w:customStyle="1" w:styleId="96">
    <w:name w:val="xl89"/>
    <w:basedOn w:val="1"/>
    <w:qFormat/>
    <w:uiPriority w:val="0"/>
    <w:pPr>
      <w:widowControl/>
      <w:autoSpaceDE/>
      <w:autoSpaceDN/>
      <w:adjustRightInd/>
      <w:spacing w:before="100" w:beforeAutospacing="1" w:after="100" w:afterAutospacing="1"/>
      <w:jc w:val="center"/>
    </w:pPr>
    <w:rPr>
      <w:rFonts w:hAnsi="宋体" w:cs="宋体"/>
    </w:rPr>
  </w:style>
  <w:style w:type="paragraph" w:customStyle="1" w:styleId="97">
    <w:name w:val="xl90"/>
    <w:basedOn w:val="1"/>
    <w:qFormat/>
    <w:uiPriority w:val="0"/>
    <w:pPr>
      <w:widowControl/>
      <w:autoSpaceDE/>
      <w:autoSpaceDN/>
      <w:adjustRightInd/>
      <w:spacing w:before="100" w:beforeAutospacing="1" w:after="100" w:afterAutospacing="1"/>
      <w:jc w:val="center"/>
    </w:pPr>
    <w:rPr>
      <w:rFonts w:hAnsi="宋体" w:cs="宋体"/>
    </w:rPr>
  </w:style>
  <w:style w:type="paragraph" w:customStyle="1" w:styleId="98">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99">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00">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01">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02">
    <w:name w:val="xl9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03">
    <w:name w:val="xl9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04">
    <w:name w:val="xl97"/>
    <w:basedOn w:val="1"/>
    <w:qFormat/>
    <w:uiPriority w:val="0"/>
    <w:pPr>
      <w:widowControl/>
      <w:pBdr>
        <w:top w:val="single" w:color="auto" w:sz="4" w:space="0"/>
        <w:left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05">
    <w:name w:val="xl98"/>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06">
    <w:name w:val="xl99"/>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07">
    <w:name w:val="xl100"/>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08">
    <w:name w:val="xl101"/>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09">
    <w:name w:val="xl102"/>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0">
    <w:name w:val="xl103"/>
    <w:basedOn w:val="1"/>
    <w:qFormat/>
    <w:uiPriority w:val="0"/>
    <w:pPr>
      <w:widowControl/>
      <w:pBdr>
        <w:top w:val="single" w:color="auto" w:sz="4" w:space="0"/>
        <w:left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11">
    <w:name w:val="xl104"/>
    <w:basedOn w:val="1"/>
    <w:qFormat/>
    <w:uiPriority w:val="0"/>
    <w:pPr>
      <w:widowControl/>
      <w:pBdr>
        <w:left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12">
    <w:name w:val="xl105"/>
    <w:basedOn w:val="1"/>
    <w:qFormat/>
    <w:uiPriority w:val="0"/>
    <w:pPr>
      <w:widowControl/>
      <w:pBdr>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13">
    <w:name w:val="xl106"/>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4">
    <w:name w:val="xl107"/>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5">
    <w:name w:val="xl108"/>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6">
    <w:name w:val="xl109"/>
    <w:basedOn w:val="1"/>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pPr>
    <w:rPr>
      <w:rFonts w:hAnsi="宋体" w:cs="宋体"/>
      <w:b/>
      <w:bCs/>
    </w:rPr>
  </w:style>
  <w:style w:type="paragraph" w:customStyle="1" w:styleId="117">
    <w:name w:val="xl110"/>
    <w:basedOn w:val="1"/>
    <w:qFormat/>
    <w:uiPriority w:val="0"/>
    <w:pPr>
      <w:widowControl/>
      <w:pBdr>
        <w:top w:val="single" w:color="auto" w:sz="4" w:space="0"/>
        <w:bottom w:val="single" w:color="auto" w:sz="4" w:space="0"/>
      </w:pBdr>
      <w:autoSpaceDE/>
      <w:autoSpaceDN/>
      <w:adjustRightInd/>
      <w:spacing w:before="100" w:beforeAutospacing="1" w:after="100" w:afterAutospacing="1"/>
    </w:pPr>
    <w:rPr>
      <w:rFonts w:hAnsi="宋体" w:cs="宋体"/>
      <w:b/>
      <w:bCs/>
    </w:rPr>
  </w:style>
  <w:style w:type="paragraph" w:customStyle="1" w:styleId="118">
    <w:name w:val="xl111"/>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19">
    <w:name w:val="xl112"/>
    <w:basedOn w:val="1"/>
    <w:qFormat/>
    <w:uiPriority w:val="0"/>
    <w:pPr>
      <w:widowControl/>
      <w:autoSpaceDE/>
      <w:autoSpaceDN/>
      <w:adjustRightInd/>
      <w:spacing w:before="100" w:beforeAutospacing="1" w:after="100" w:afterAutospacing="1"/>
    </w:pPr>
    <w:rPr>
      <w:rFonts w:hAnsi="宋体" w:cs="宋体"/>
      <w:b/>
      <w:bCs/>
    </w:rPr>
  </w:style>
  <w:style w:type="paragraph" w:customStyle="1" w:styleId="120">
    <w:name w:val="xl113"/>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21">
    <w:name w:val="xl11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22">
    <w:name w:val="xl115"/>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23">
    <w:name w:val="xl116"/>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rPr>
  </w:style>
  <w:style w:type="paragraph" w:customStyle="1" w:styleId="124">
    <w:name w:val="xl117"/>
    <w:basedOn w:val="1"/>
    <w:qFormat/>
    <w:uiPriority w:val="0"/>
    <w:pPr>
      <w:widowControl/>
      <w:pBdr>
        <w:left w:val="single" w:color="auto" w:sz="4" w:space="0"/>
        <w:right w:val="single" w:color="auto" w:sz="4" w:space="0"/>
      </w:pBdr>
      <w:autoSpaceDE/>
      <w:autoSpaceDN/>
      <w:adjustRightInd/>
      <w:spacing w:before="100" w:beforeAutospacing="1" w:after="100" w:afterAutospacing="1"/>
    </w:pPr>
    <w:rPr>
      <w:rFonts w:hAnsi="宋体" w:cs="宋体"/>
    </w:rPr>
  </w:style>
  <w:style w:type="paragraph" w:customStyle="1" w:styleId="125">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26">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127">
    <w:name w:val="xl120"/>
    <w:basedOn w:val="1"/>
    <w:qFormat/>
    <w:uiPriority w:val="0"/>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128">
    <w:name w:val="font9"/>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129">
    <w:name w:val="font10"/>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130">
    <w:name w:val="font12"/>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character" w:customStyle="1" w:styleId="131">
    <w:name w:val="font51"/>
    <w:basedOn w:val="25"/>
    <w:qFormat/>
    <w:uiPriority w:val="0"/>
    <w:rPr>
      <w:rFonts w:hint="eastAsia" w:ascii="宋体" w:hAnsi="宋体" w:eastAsia="宋体" w:cs="宋体"/>
      <w:color w:val="000000"/>
      <w:sz w:val="24"/>
      <w:szCs w:val="24"/>
      <w:u w:val="none"/>
    </w:rPr>
  </w:style>
  <w:style w:type="character" w:customStyle="1" w:styleId="132">
    <w:name w:val="font21"/>
    <w:basedOn w:val="25"/>
    <w:qFormat/>
    <w:uiPriority w:val="0"/>
    <w:rPr>
      <w:rFonts w:hint="eastAsia" w:ascii="宋体" w:hAnsi="宋体" w:eastAsia="宋体" w:cs="宋体"/>
      <w:color w:val="000000"/>
      <w:sz w:val="24"/>
      <w:szCs w:val="24"/>
      <w:u w:val="none"/>
    </w:rPr>
  </w:style>
  <w:style w:type="paragraph" w:customStyle="1" w:styleId="133">
    <w:name w:val="Revision"/>
    <w:hidden/>
    <w:semiHidden/>
    <w:qFormat/>
    <w:uiPriority w:val="99"/>
    <w:rPr>
      <w:rFonts w:ascii="宋体" w:hAnsi="Times New Roman" w:eastAsia="宋体" w:cs="Times New Roman"/>
      <w:sz w:val="24"/>
      <w:szCs w:val="24"/>
      <w:lang w:val="en-US" w:eastAsia="zh-CN" w:bidi="ar-SA"/>
    </w:rPr>
  </w:style>
  <w:style w:type="paragraph" w:styleId="13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97EC0-ECD4-4ACD-9F8E-CE3F6A11CD63}">
  <ds:schemaRefs/>
</ds:datastoreItem>
</file>

<file path=docProps/app.xml><?xml version="1.0" encoding="utf-8"?>
<Properties xmlns="http://schemas.openxmlformats.org/officeDocument/2006/extended-properties" xmlns:vt="http://schemas.openxmlformats.org/officeDocument/2006/docPropsVTypes">
  <Template>Normal</Template>
  <Pages>53</Pages>
  <Words>27008</Words>
  <Characters>27622</Characters>
  <Lines>174</Lines>
  <Paragraphs>49</Paragraphs>
  <TotalTime>6</TotalTime>
  <ScaleCrop>false</ScaleCrop>
  <LinksUpToDate>false</LinksUpToDate>
  <CharactersWithSpaces>28858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李卓彬</dc:creator>
  <cp:lastModifiedBy>张晓华</cp:lastModifiedBy>
  <cp:lastPrinted>2020-10-15T06:52:00Z</cp:lastPrinted>
  <dcterms:modified xsi:type="dcterms:W3CDTF">2025-12-29T03:50:41Z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