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88E2E">
      <w:pPr>
        <w:spacing w:line="360" w:lineRule="auto"/>
        <w:ind w:right="-26"/>
        <w:jc w:val="center"/>
        <w:rPr>
          <w:rFonts w:hAnsi="宋体" w:cs="宋体"/>
          <w:b/>
          <w:bCs/>
          <w:color w:val="auto"/>
          <w:kern w:val="2"/>
          <w:sz w:val="48"/>
          <w:szCs w:val="48"/>
          <w:highlight w:val="none"/>
          <w:lang w:val="zh-CN"/>
        </w:rPr>
      </w:pPr>
    </w:p>
    <w:p w14:paraId="7C23469C">
      <w:pPr>
        <w:spacing w:line="360" w:lineRule="auto"/>
        <w:ind w:right="-26"/>
        <w:jc w:val="center"/>
        <w:rPr>
          <w:rFonts w:hAnsi="宋体" w:cs="宋体"/>
          <w:b/>
          <w:bCs/>
          <w:color w:val="auto"/>
          <w:kern w:val="2"/>
          <w:sz w:val="48"/>
          <w:szCs w:val="48"/>
          <w:highlight w:val="none"/>
          <w:lang w:val="zh-CN"/>
        </w:rPr>
      </w:pPr>
    </w:p>
    <w:p w14:paraId="7058CEF2">
      <w:pPr>
        <w:spacing w:line="360" w:lineRule="auto"/>
        <w:ind w:right="-26"/>
        <w:jc w:val="center"/>
        <w:rPr>
          <w:rFonts w:hAnsi="宋体" w:cs="宋体"/>
          <w:b/>
          <w:bCs/>
          <w:color w:val="auto"/>
          <w:kern w:val="2"/>
          <w:sz w:val="48"/>
          <w:szCs w:val="48"/>
          <w:highlight w:val="none"/>
          <w:lang w:val="zh-CN"/>
        </w:rPr>
      </w:pPr>
    </w:p>
    <w:p w14:paraId="1A0818EC">
      <w:pPr>
        <w:spacing w:line="360" w:lineRule="auto"/>
        <w:ind w:right="-26"/>
        <w:jc w:val="center"/>
        <w:rPr>
          <w:rFonts w:hAnsi="宋体" w:cs="宋体"/>
          <w:b/>
          <w:bCs/>
          <w:color w:val="auto"/>
          <w:kern w:val="2"/>
          <w:sz w:val="48"/>
          <w:szCs w:val="48"/>
          <w:highlight w:val="none"/>
          <w:lang w:val="zh-CN"/>
        </w:rPr>
      </w:pPr>
    </w:p>
    <w:p w14:paraId="43B0C4B7">
      <w:pPr>
        <w:spacing w:line="360" w:lineRule="auto"/>
        <w:ind w:right="-26"/>
        <w:jc w:val="center"/>
        <w:rPr>
          <w:rFonts w:hAnsi="宋体" w:cs="宋体"/>
          <w:b/>
          <w:bCs/>
          <w:color w:val="auto"/>
          <w:kern w:val="2"/>
          <w:sz w:val="48"/>
          <w:szCs w:val="48"/>
          <w:highlight w:val="none"/>
          <w:lang w:val="zh-CN"/>
        </w:rPr>
      </w:pPr>
    </w:p>
    <w:p w14:paraId="57CFDDF0">
      <w:pPr>
        <w:spacing w:line="360" w:lineRule="auto"/>
        <w:ind w:right="-26"/>
        <w:jc w:val="center"/>
        <w:rPr>
          <w:rFonts w:hint="eastAsia" w:hAnsi="宋体" w:cs="宋体"/>
          <w:b/>
          <w:bCs/>
          <w:color w:val="auto"/>
          <w:w w:val="90"/>
          <w:kern w:val="2"/>
          <w:sz w:val="60"/>
          <w:szCs w:val="60"/>
          <w:highlight w:val="none"/>
          <w:lang w:val="zh-CN"/>
        </w:rPr>
      </w:pPr>
      <w:r>
        <w:rPr>
          <w:rFonts w:hint="eastAsia" w:hAnsi="宋体" w:cs="宋体"/>
          <w:b/>
          <w:bCs/>
          <w:color w:val="auto"/>
          <w:w w:val="90"/>
          <w:kern w:val="2"/>
          <w:sz w:val="60"/>
          <w:szCs w:val="60"/>
          <w:highlight w:val="none"/>
          <w:lang w:val="zh-CN"/>
        </w:rPr>
        <w:t>东莞市污泥集中处理处置项目尿素采购项目</w:t>
      </w:r>
    </w:p>
    <w:p w14:paraId="0018FCBA">
      <w:pPr>
        <w:spacing w:line="360" w:lineRule="auto"/>
        <w:ind w:right="-26"/>
        <w:jc w:val="center"/>
        <w:rPr>
          <w:rFonts w:hint="eastAsia" w:hAnsi="宋体" w:cs="宋体"/>
          <w:b/>
          <w:bCs/>
          <w:color w:val="auto"/>
          <w:kern w:val="2"/>
          <w:sz w:val="48"/>
          <w:szCs w:val="48"/>
          <w:highlight w:val="none"/>
        </w:rPr>
      </w:pPr>
    </w:p>
    <w:p w14:paraId="4ACC9F80">
      <w:pPr>
        <w:spacing w:line="360" w:lineRule="auto"/>
        <w:ind w:right="-26"/>
        <w:jc w:val="center"/>
        <w:rPr>
          <w:rFonts w:hAnsi="宋体" w:cs="宋体"/>
          <w:b/>
          <w:bCs/>
          <w:color w:val="auto"/>
          <w:kern w:val="2"/>
          <w:sz w:val="48"/>
          <w:szCs w:val="48"/>
          <w:highlight w:val="none"/>
          <w:lang w:val="zh-CN"/>
        </w:rPr>
      </w:pPr>
      <w:r>
        <w:rPr>
          <w:rFonts w:hint="eastAsia" w:hAnsi="宋体" w:cs="宋体"/>
          <w:b/>
          <w:bCs/>
          <w:color w:val="auto"/>
          <w:kern w:val="2"/>
          <w:sz w:val="48"/>
          <w:szCs w:val="48"/>
          <w:highlight w:val="none"/>
          <w:lang w:val="zh-CN"/>
        </w:rPr>
        <w:t>询价文件</w:t>
      </w:r>
    </w:p>
    <w:p w14:paraId="270FD575">
      <w:pPr>
        <w:spacing w:line="360" w:lineRule="auto"/>
        <w:ind w:right="-26"/>
        <w:jc w:val="center"/>
        <w:rPr>
          <w:rFonts w:hAnsi="宋体" w:cs="宋体"/>
          <w:b/>
          <w:bCs/>
          <w:color w:val="auto"/>
          <w:kern w:val="2"/>
          <w:sz w:val="48"/>
          <w:szCs w:val="48"/>
          <w:highlight w:val="none"/>
          <w:lang w:val="zh-CN"/>
        </w:rPr>
      </w:pPr>
    </w:p>
    <w:p w14:paraId="257CA8D2">
      <w:pPr>
        <w:spacing w:line="360" w:lineRule="auto"/>
        <w:ind w:right="-26"/>
        <w:jc w:val="center"/>
        <w:rPr>
          <w:rFonts w:hAnsi="宋体" w:cs="宋体"/>
          <w:b/>
          <w:bCs/>
          <w:color w:val="auto"/>
          <w:kern w:val="2"/>
          <w:sz w:val="48"/>
          <w:szCs w:val="48"/>
          <w:highlight w:val="none"/>
          <w:lang w:val="zh-CN"/>
        </w:rPr>
      </w:pPr>
    </w:p>
    <w:p w14:paraId="3A65466C">
      <w:pPr>
        <w:spacing w:line="360" w:lineRule="auto"/>
        <w:ind w:right="-26"/>
        <w:jc w:val="center"/>
        <w:rPr>
          <w:rFonts w:hAnsi="宋体" w:cs="宋体"/>
          <w:b/>
          <w:bCs/>
          <w:color w:val="auto"/>
          <w:kern w:val="2"/>
          <w:sz w:val="48"/>
          <w:szCs w:val="48"/>
          <w:highlight w:val="none"/>
          <w:lang w:val="zh-CN"/>
        </w:rPr>
      </w:pPr>
    </w:p>
    <w:p w14:paraId="5A4B77AC">
      <w:pPr>
        <w:spacing w:line="360" w:lineRule="auto"/>
        <w:ind w:right="-26"/>
        <w:jc w:val="center"/>
        <w:rPr>
          <w:rFonts w:hAnsi="宋体" w:cs="宋体"/>
          <w:b/>
          <w:bCs/>
          <w:color w:val="auto"/>
          <w:kern w:val="2"/>
          <w:sz w:val="48"/>
          <w:szCs w:val="48"/>
          <w:highlight w:val="none"/>
          <w:lang w:val="zh-CN"/>
        </w:rPr>
      </w:pPr>
    </w:p>
    <w:p w14:paraId="1C3AE48B">
      <w:pPr>
        <w:spacing w:line="360" w:lineRule="auto"/>
        <w:ind w:right="-26"/>
        <w:jc w:val="center"/>
        <w:rPr>
          <w:rFonts w:hAnsi="宋体" w:cs="宋体"/>
          <w:b/>
          <w:bCs/>
          <w:color w:val="auto"/>
          <w:kern w:val="2"/>
          <w:sz w:val="48"/>
          <w:szCs w:val="48"/>
          <w:highlight w:val="none"/>
          <w:lang w:val="zh-CN"/>
        </w:rPr>
      </w:pPr>
    </w:p>
    <w:p w14:paraId="1A5E60EB">
      <w:pPr>
        <w:spacing w:line="360" w:lineRule="auto"/>
        <w:ind w:right="-26"/>
        <w:jc w:val="center"/>
        <w:rPr>
          <w:rFonts w:hAnsi="宋体" w:cs="宋体"/>
          <w:b/>
          <w:bCs/>
          <w:color w:val="auto"/>
          <w:kern w:val="2"/>
          <w:sz w:val="48"/>
          <w:szCs w:val="48"/>
          <w:highlight w:val="none"/>
          <w:lang w:val="zh-CN"/>
        </w:rPr>
      </w:pPr>
    </w:p>
    <w:p w14:paraId="31B8E898">
      <w:pPr>
        <w:spacing w:line="360" w:lineRule="auto"/>
        <w:ind w:right="-26"/>
        <w:jc w:val="center"/>
        <w:rPr>
          <w:rFonts w:hAnsi="宋体" w:cs="宋体"/>
          <w:b/>
          <w:bCs/>
          <w:color w:val="auto"/>
          <w:kern w:val="2"/>
          <w:sz w:val="48"/>
          <w:szCs w:val="48"/>
          <w:highlight w:val="none"/>
          <w:lang w:val="zh-CN"/>
        </w:rPr>
      </w:pPr>
    </w:p>
    <w:p w14:paraId="1DBFE52A">
      <w:pPr>
        <w:spacing w:line="360" w:lineRule="auto"/>
        <w:jc w:val="center"/>
        <w:rPr>
          <w:rFonts w:hint="eastAsia" w:hAnsi="宋体" w:eastAsia="宋体" w:cs="宋体"/>
          <w:b/>
          <w:bCs/>
          <w:color w:val="auto"/>
          <w:sz w:val="32"/>
          <w:szCs w:val="32"/>
          <w:highlight w:val="none"/>
          <w:lang w:eastAsia="zh-CN"/>
        </w:rPr>
      </w:pPr>
      <w:bookmarkStart w:id="0" w:name="_Hlk26971294"/>
      <w:r>
        <w:rPr>
          <w:rFonts w:hint="eastAsia" w:hAnsi="宋体" w:cs="宋体"/>
          <w:b/>
          <w:bCs/>
          <w:color w:val="auto"/>
          <w:spacing w:val="28"/>
          <w:sz w:val="32"/>
          <w:szCs w:val="32"/>
          <w:highlight w:val="none"/>
          <w:lang w:eastAsia="zh-CN"/>
        </w:rPr>
        <w:t>东莞市水务环境投资控股集团净水有限公司</w:t>
      </w:r>
    </w:p>
    <w:bookmarkEnd w:id="0"/>
    <w:p w14:paraId="65C73CD8">
      <w:pPr>
        <w:spacing w:after="156" w:line="360" w:lineRule="auto"/>
        <w:jc w:val="center"/>
        <w:rPr>
          <w:rFonts w:hAnsi="宋体" w:cs="宋体"/>
          <w:b/>
          <w:bCs/>
          <w:color w:val="auto"/>
          <w:kern w:val="2"/>
          <w:sz w:val="32"/>
          <w:szCs w:val="32"/>
          <w:highlight w:val="none"/>
          <w:lang w:val="zh-CN"/>
        </w:rPr>
        <w:sectPr>
          <w:footerReference r:id="rId3" w:type="default"/>
          <w:pgSz w:w="11906" w:h="16838"/>
          <w:pgMar w:top="1440" w:right="1800" w:bottom="1440" w:left="1800" w:header="851" w:footer="992" w:gutter="0"/>
          <w:cols w:space="0" w:num="1"/>
          <w:docGrid w:type="lines" w:linePitch="332" w:charSpace="0"/>
        </w:sectPr>
      </w:pPr>
      <w:r>
        <w:rPr>
          <w:rFonts w:hint="eastAsia" w:ascii="Times New Roman"/>
          <w:b/>
          <w:bCs/>
          <w:color w:val="auto"/>
          <w:kern w:val="2"/>
          <w:sz w:val="32"/>
          <w:szCs w:val="32"/>
          <w:highlight w:val="none"/>
          <w:lang w:val="zh-CN"/>
        </w:rPr>
        <w:t>202</w:t>
      </w:r>
      <w:r>
        <w:rPr>
          <w:rFonts w:hint="eastAsia" w:ascii="Times New Roman"/>
          <w:b/>
          <w:bCs/>
          <w:color w:val="auto"/>
          <w:kern w:val="2"/>
          <w:sz w:val="32"/>
          <w:szCs w:val="32"/>
          <w:highlight w:val="none"/>
          <w:lang w:val="en-US" w:eastAsia="zh-CN"/>
        </w:rPr>
        <w:t>6</w:t>
      </w:r>
      <w:r>
        <w:rPr>
          <w:rFonts w:hint="eastAsia" w:ascii="Times New Roman"/>
          <w:b/>
          <w:bCs/>
          <w:color w:val="auto"/>
          <w:kern w:val="2"/>
          <w:sz w:val="32"/>
          <w:szCs w:val="32"/>
          <w:highlight w:val="none"/>
          <w:lang w:val="zh-CN"/>
        </w:rPr>
        <w:t>年</w:t>
      </w:r>
      <w:r>
        <w:rPr>
          <w:rFonts w:hint="eastAsia" w:ascii="Times New Roman"/>
          <w:b/>
          <w:bCs/>
          <w:color w:val="auto"/>
          <w:kern w:val="2"/>
          <w:sz w:val="32"/>
          <w:szCs w:val="32"/>
          <w:highlight w:val="none"/>
          <w:lang w:val="en-US" w:eastAsia="zh-CN"/>
        </w:rPr>
        <w:t>1</w:t>
      </w:r>
      <w:r>
        <w:rPr>
          <w:rFonts w:hint="eastAsia" w:ascii="Times New Roman"/>
          <w:b/>
          <w:bCs/>
          <w:color w:val="auto"/>
          <w:kern w:val="2"/>
          <w:sz w:val="32"/>
          <w:szCs w:val="32"/>
          <w:highlight w:val="none"/>
          <w:lang w:val="zh-CN"/>
        </w:rPr>
        <w:t>月</w:t>
      </w:r>
      <w:r>
        <w:rPr>
          <w:rFonts w:hint="eastAsia" w:ascii="Times New Roman"/>
          <w:b/>
          <w:bCs/>
          <w:color w:val="auto"/>
          <w:kern w:val="2"/>
          <w:sz w:val="32"/>
          <w:szCs w:val="32"/>
          <w:highlight w:val="none"/>
          <w:lang w:val="en-US" w:eastAsia="zh-CN"/>
        </w:rPr>
        <w:t>5</w:t>
      </w:r>
      <w:r>
        <w:rPr>
          <w:rFonts w:hint="eastAsia" w:ascii="Times New Roman"/>
          <w:b/>
          <w:bCs/>
          <w:color w:val="auto"/>
          <w:kern w:val="2"/>
          <w:sz w:val="32"/>
          <w:szCs w:val="32"/>
          <w:highlight w:val="none"/>
          <w:lang w:val="zh-CN"/>
        </w:rPr>
        <w:t>日</w:t>
      </w:r>
    </w:p>
    <w:sdt>
      <w:sdtPr>
        <w:rPr>
          <w:rFonts w:hint="eastAsia" w:ascii="宋体" w:hAnsi="宋体" w:eastAsia="宋体" w:cs="宋体"/>
          <w:color w:val="auto"/>
          <w:sz w:val="24"/>
          <w:szCs w:val="24"/>
          <w:highlight w:val="none"/>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highlight w:val="none"/>
          <w:lang w:val="zh-CN"/>
        </w:rPr>
      </w:sdtEndPr>
      <w:sdtContent>
        <w:p w14:paraId="27761A57">
          <w:pPr>
            <w:pStyle w:val="29"/>
            <w:spacing w:before="0" w:line="360" w:lineRule="auto"/>
            <w:jc w:val="center"/>
            <w:rPr>
              <w:rFonts w:ascii="宋体" w:hAnsi="宋体" w:eastAsia="宋体" w:cs="宋体"/>
              <w:b/>
              <w:bCs/>
              <w:color w:val="auto"/>
              <w:highlight w:val="none"/>
            </w:rPr>
          </w:pPr>
          <w:r>
            <w:rPr>
              <w:rFonts w:hint="eastAsia" w:ascii="宋体" w:hAnsi="宋体" w:eastAsia="宋体" w:cs="宋体"/>
              <w:b/>
              <w:bCs/>
              <w:color w:val="auto"/>
              <w:highlight w:val="none"/>
              <w:lang w:val="zh-CN"/>
            </w:rPr>
            <w:t>目   录</w:t>
          </w:r>
        </w:p>
        <w:p w14:paraId="5E13FA75">
          <w:pPr>
            <w:pStyle w:val="15"/>
            <w:tabs>
              <w:tab w:val="right" w:leader="dot" w:pos="8300"/>
              <w:tab w:val="clear" w:pos="8296"/>
            </w:tabs>
          </w:pPr>
          <w:r>
            <w:rPr>
              <w:rFonts w:ascii="Times New Roman"/>
              <w:color w:val="auto"/>
              <w:sz w:val="40"/>
              <w:szCs w:val="40"/>
              <w:highlight w:val="none"/>
            </w:rPr>
            <w:fldChar w:fldCharType="begin"/>
          </w:r>
          <w:r>
            <w:rPr>
              <w:rFonts w:ascii="Times New Roman"/>
              <w:color w:val="auto"/>
              <w:sz w:val="40"/>
              <w:szCs w:val="40"/>
              <w:highlight w:val="none"/>
            </w:rPr>
            <w:instrText xml:space="preserve"> TOC \o "1-3" \h \z \u </w:instrText>
          </w:r>
          <w:r>
            <w:rPr>
              <w:rFonts w:ascii="Times New Roman"/>
              <w:color w:val="auto"/>
              <w:sz w:val="40"/>
              <w:szCs w:val="40"/>
              <w:highlight w:val="none"/>
            </w:rPr>
            <w:fldChar w:fldCharType="separate"/>
          </w:r>
          <w:r>
            <w:rPr>
              <w:rFonts w:ascii="Times New Roman"/>
              <w:color w:val="auto"/>
              <w:szCs w:val="40"/>
              <w:highlight w:val="none"/>
            </w:rPr>
            <w:fldChar w:fldCharType="begin"/>
          </w:r>
          <w:r>
            <w:rPr>
              <w:rFonts w:ascii="Times New Roman"/>
              <w:szCs w:val="40"/>
              <w:highlight w:val="none"/>
            </w:rPr>
            <w:instrText xml:space="preserve"> HYPERLINK \l _Toc15480 </w:instrText>
          </w:r>
          <w:r>
            <w:rPr>
              <w:rFonts w:ascii="Times New Roman"/>
              <w:szCs w:val="40"/>
              <w:highlight w:val="none"/>
            </w:rPr>
            <w:fldChar w:fldCharType="separate"/>
          </w:r>
          <w:r>
            <w:rPr>
              <w:rFonts w:hint="eastAsia" w:hAnsi="宋体" w:cs="宋体"/>
              <w:szCs w:val="32"/>
              <w:highlight w:val="none"/>
            </w:rPr>
            <w:t>第一章 询价邀请函</w:t>
          </w:r>
          <w:r>
            <w:tab/>
          </w:r>
          <w:r>
            <w:fldChar w:fldCharType="begin"/>
          </w:r>
          <w:r>
            <w:instrText xml:space="preserve"> PAGEREF _Toc15480 \h </w:instrText>
          </w:r>
          <w:r>
            <w:fldChar w:fldCharType="separate"/>
          </w:r>
          <w:r>
            <w:t>3</w:t>
          </w:r>
          <w:r>
            <w:fldChar w:fldCharType="end"/>
          </w:r>
          <w:r>
            <w:rPr>
              <w:rFonts w:ascii="Times New Roman"/>
              <w:color w:val="auto"/>
              <w:szCs w:val="40"/>
              <w:highlight w:val="none"/>
            </w:rPr>
            <w:fldChar w:fldCharType="end"/>
          </w:r>
        </w:p>
        <w:p w14:paraId="4EAE0DEB">
          <w:pPr>
            <w:pStyle w:val="15"/>
            <w:tabs>
              <w:tab w:val="right" w:leader="dot" w:pos="8300"/>
              <w:tab w:val="clear" w:pos="8296"/>
            </w:tabs>
          </w:pPr>
          <w:r>
            <w:rPr>
              <w:rFonts w:ascii="Times New Roman"/>
              <w:color w:val="auto"/>
              <w:szCs w:val="40"/>
              <w:highlight w:val="none"/>
              <w:lang w:val="zh-CN"/>
            </w:rPr>
            <w:fldChar w:fldCharType="begin"/>
          </w:r>
          <w:r>
            <w:rPr>
              <w:rFonts w:ascii="Times New Roman"/>
              <w:szCs w:val="40"/>
              <w:highlight w:val="none"/>
              <w:lang w:val="zh-CN"/>
            </w:rPr>
            <w:instrText xml:space="preserve"> HYPERLINK \l _Toc28832 </w:instrText>
          </w:r>
          <w:r>
            <w:rPr>
              <w:rFonts w:ascii="Times New Roman"/>
              <w:szCs w:val="40"/>
              <w:highlight w:val="none"/>
              <w:lang w:val="zh-CN"/>
            </w:rPr>
            <w:fldChar w:fldCharType="separate"/>
          </w:r>
          <w:r>
            <w:rPr>
              <w:rFonts w:hint="eastAsia" w:hAnsi="宋体" w:cs="宋体"/>
              <w:szCs w:val="32"/>
              <w:highlight w:val="none"/>
            </w:rPr>
            <w:t>第二章 用户需求</w:t>
          </w:r>
          <w:r>
            <w:tab/>
          </w:r>
          <w:r>
            <w:fldChar w:fldCharType="begin"/>
          </w:r>
          <w:r>
            <w:instrText xml:space="preserve"> PAGEREF _Toc28832 \h </w:instrText>
          </w:r>
          <w:r>
            <w:fldChar w:fldCharType="separate"/>
          </w:r>
          <w:r>
            <w:t>5</w:t>
          </w:r>
          <w:r>
            <w:fldChar w:fldCharType="end"/>
          </w:r>
          <w:r>
            <w:rPr>
              <w:rFonts w:ascii="Times New Roman"/>
              <w:color w:val="auto"/>
              <w:szCs w:val="40"/>
              <w:highlight w:val="none"/>
              <w:lang w:val="zh-CN"/>
            </w:rPr>
            <w:fldChar w:fldCharType="end"/>
          </w:r>
        </w:p>
        <w:p w14:paraId="7BBA8E83">
          <w:pPr>
            <w:pStyle w:val="15"/>
            <w:tabs>
              <w:tab w:val="right" w:leader="dot" w:pos="8300"/>
              <w:tab w:val="clear" w:pos="8296"/>
            </w:tabs>
          </w:pPr>
          <w:r>
            <w:rPr>
              <w:rFonts w:ascii="Times New Roman"/>
              <w:color w:val="auto"/>
              <w:szCs w:val="40"/>
              <w:highlight w:val="none"/>
              <w:lang w:val="zh-CN"/>
            </w:rPr>
            <w:fldChar w:fldCharType="begin"/>
          </w:r>
          <w:r>
            <w:rPr>
              <w:rFonts w:ascii="Times New Roman"/>
              <w:szCs w:val="40"/>
              <w:highlight w:val="none"/>
              <w:lang w:val="zh-CN"/>
            </w:rPr>
            <w:instrText xml:space="preserve"> HYPERLINK \l _Toc30244 </w:instrText>
          </w:r>
          <w:r>
            <w:rPr>
              <w:rFonts w:ascii="Times New Roman"/>
              <w:szCs w:val="40"/>
              <w:highlight w:val="none"/>
              <w:lang w:val="zh-CN"/>
            </w:rPr>
            <w:fldChar w:fldCharType="separate"/>
          </w:r>
          <w:r>
            <w:rPr>
              <w:rFonts w:hint="eastAsia" w:hAnsi="宋体" w:cs="宋体"/>
              <w:szCs w:val="32"/>
              <w:highlight w:val="none"/>
            </w:rPr>
            <w:t>第三章 合同条款</w:t>
          </w:r>
          <w:r>
            <w:tab/>
          </w:r>
          <w:r>
            <w:fldChar w:fldCharType="begin"/>
          </w:r>
          <w:r>
            <w:instrText xml:space="preserve"> PAGEREF _Toc30244 \h </w:instrText>
          </w:r>
          <w:r>
            <w:fldChar w:fldCharType="separate"/>
          </w:r>
          <w:r>
            <w:t>11</w:t>
          </w:r>
          <w:r>
            <w:fldChar w:fldCharType="end"/>
          </w:r>
          <w:r>
            <w:rPr>
              <w:rFonts w:ascii="Times New Roman"/>
              <w:color w:val="auto"/>
              <w:szCs w:val="40"/>
              <w:highlight w:val="none"/>
              <w:lang w:val="zh-CN"/>
            </w:rPr>
            <w:fldChar w:fldCharType="end"/>
          </w:r>
        </w:p>
        <w:p w14:paraId="5AAFF311">
          <w:pPr>
            <w:pStyle w:val="15"/>
            <w:tabs>
              <w:tab w:val="right" w:leader="dot" w:pos="8300"/>
              <w:tab w:val="clear" w:pos="8296"/>
            </w:tabs>
          </w:pPr>
          <w:r>
            <w:rPr>
              <w:rFonts w:ascii="Times New Roman"/>
              <w:color w:val="auto"/>
              <w:szCs w:val="40"/>
              <w:highlight w:val="none"/>
              <w:lang w:val="zh-CN"/>
            </w:rPr>
            <w:fldChar w:fldCharType="begin"/>
          </w:r>
          <w:r>
            <w:rPr>
              <w:rFonts w:ascii="Times New Roman"/>
              <w:szCs w:val="40"/>
              <w:highlight w:val="none"/>
              <w:lang w:val="zh-CN"/>
            </w:rPr>
            <w:instrText xml:space="preserve"> HYPERLINK \l _Toc4686 </w:instrText>
          </w:r>
          <w:r>
            <w:rPr>
              <w:rFonts w:ascii="Times New Roman"/>
              <w:szCs w:val="40"/>
              <w:highlight w:val="none"/>
              <w:lang w:val="zh-CN"/>
            </w:rPr>
            <w:fldChar w:fldCharType="separate"/>
          </w:r>
          <w:r>
            <w:rPr>
              <w:rFonts w:hint="eastAsia" w:hAnsi="宋体" w:cs="宋体"/>
              <w:szCs w:val="32"/>
              <w:highlight w:val="none"/>
            </w:rPr>
            <w:t>第四章 报价须知</w:t>
          </w:r>
          <w:r>
            <w:tab/>
          </w:r>
          <w:r>
            <w:fldChar w:fldCharType="begin"/>
          </w:r>
          <w:r>
            <w:instrText xml:space="preserve"> PAGEREF _Toc4686 \h </w:instrText>
          </w:r>
          <w:r>
            <w:fldChar w:fldCharType="separate"/>
          </w:r>
          <w:r>
            <w:t>31</w:t>
          </w:r>
          <w:r>
            <w:fldChar w:fldCharType="end"/>
          </w:r>
          <w:r>
            <w:rPr>
              <w:rFonts w:ascii="Times New Roman"/>
              <w:color w:val="auto"/>
              <w:szCs w:val="40"/>
              <w:highlight w:val="none"/>
              <w:lang w:val="zh-CN"/>
            </w:rPr>
            <w:fldChar w:fldCharType="end"/>
          </w:r>
        </w:p>
        <w:p w14:paraId="5153F41A">
          <w:pPr>
            <w:pStyle w:val="15"/>
            <w:tabs>
              <w:tab w:val="right" w:leader="dot" w:pos="8300"/>
              <w:tab w:val="clear" w:pos="8296"/>
            </w:tabs>
          </w:pPr>
          <w:r>
            <w:rPr>
              <w:rFonts w:ascii="Times New Roman"/>
              <w:color w:val="auto"/>
              <w:szCs w:val="40"/>
              <w:highlight w:val="none"/>
              <w:lang w:val="zh-CN"/>
            </w:rPr>
            <w:fldChar w:fldCharType="begin"/>
          </w:r>
          <w:r>
            <w:rPr>
              <w:rFonts w:ascii="Times New Roman"/>
              <w:szCs w:val="40"/>
              <w:highlight w:val="none"/>
              <w:lang w:val="zh-CN"/>
            </w:rPr>
            <w:instrText xml:space="preserve"> HYPERLINK \l _Toc16353 </w:instrText>
          </w:r>
          <w:r>
            <w:rPr>
              <w:rFonts w:ascii="Times New Roman"/>
              <w:szCs w:val="40"/>
              <w:highlight w:val="none"/>
              <w:lang w:val="zh-CN"/>
            </w:rPr>
            <w:fldChar w:fldCharType="separate"/>
          </w:r>
          <w:r>
            <w:rPr>
              <w:rFonts w:hint="eastAsia" w:hAnsi="宋体" w:cs="宋体"/>
              <w:szCs w:val="32"/>
              <w:highlight w:val="none"/>
            </w:rPr>
            <w:t>第五章 报价文件（格式）</w:t>
          </w:r>
          <w:r>
            <w:tab/>
          </w:r>
          <w:r>
            <w:fldChar w:fldCharType="begin"/>
          </w:r>
          <w:r>
            <w:instrText xml:space="preserve"> PAGEREF _Toc16353 \h </w:instrText>
          </w:r>
          <w:r>
            <w:fldChar w:fldCharType="separate"/>
          </w:r>
          <w:r>
            <w:t>33</w:t>
          </w:r>
          <w:r>
            <w:fldChar w:fldCharType="end"/>
          </w:r>
          <w:r>
            <w:rPr>
              <w:rFonts w:ascii="Times New Roman"/>
              <w:color w:val="auto"/>
              <w:szCs w:val="40"/>
              <w:highlight w:val="none"/>
              <w:lang w:val="zh-CN"/>
            </w:rPr>
            <w:fldChar w:fldCharType="end"/>
          </w:r>
        </w:p>
        <w:p w14:paraId="26734DA7">
          <w:pPr>
            <w:spacing w:line="360" w:lineRule="auto"/>
            <w:rPr>
              <w:rFonts w:ascii="Times New Roman"/>
              <w:color w:val="auto"/>
              <w:sz w:val="32"/>
              <w:szCs w:val="32"/>
              <w:highlight w:val="none"/>
            </w:rPr>
            <w:sectPr>
              <w:pgSz w:w="11906" w:h="16838"/>
              <w:pgMar w:top="1440" w:right="1803" w:bottom="1440" w:left="1803" w:header="851" w:footer="992" w:gutter="0"/>
              <w:cols w:space="0" w:num="1"/>
              <w:docGrid w:type="lines" w:linePitch="332" w:charSpace="0"/>
            </w:sectPr>
          </w:pPr>
          <w:r>
            <w:rPr>
              <w:rFonts w:ascii="Times New Roman"/>
              <w:color w:val="auto"/>
              <w:szCs w:val="40"/>
              <w:highlight w:val="none"/>
              <w:lang w:val="zh-CN"/>
            </w:rPr>
            <w:fldChar w:fldCharType="end"/>
          </w:r>
        </w:p>
      </w:sdtContent>
    </w:sdt>
    <w:p w14:paraId="3076CB0C">
      <w:pPr>
        <w:pStyle w:val="3"/>
        <w:spacing w:before="0" w:after="0"/>
        <w:jc w:val="center"/>
        <w:rPr>
          <w:rFonts w:hAnsi="宋体" w:cs="宋体"/>
          <w:b w:val="0"/>
          <w:bCs w:val="0"/>
          <w:color w:val="auto"/>
          <w:szCs w:val="32"/>
          <w:highlight w:val="none"/>
        </w:rPr>
      </w:pPr>
      <w:bookmarkStart w:id="1" w:name="_Toc15480"/>
      <w:r>
        <w:rPr>
          <w:rFonts w:hint="eastAsia" w:hAnsi="宋体" w:cs="宋体"/>
          <w:color w:val="auto"/>
          <w:szCs w:val="32"/>
          <w:highlight w:val="none"/>
        </w:rPr>
        <w:t>第一章 询价邀请函</w:t>
      </w:r>
      <w:bookmarkEnd w:id="1"/>
    </w:p>
    <w:p w14:paraId="080183D3">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int="eastAsia" w:hAnsi="宋体" w:cs="宋体"/>
          <w:color w:val="auto"/>
          <w:highlight w:val="none"/>
        </w:rPr>
      </w:pPr>
    </w:p>
    <w:p w14:paraId="58585ADB">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Ansi="宋体" w:cs="宋体"/>
          <w:color w:val="auto"/>
          <w:highlight w:val="none"/>
        </w:rPr>
      </w:pPr>
      <w:r>
        <w:rPr>
          <w:rFonts w:hint="eastAsia" w:hAnsi="宋体" w:cs="宋体"/>
          <w:color w:val="auto"/>
          <w:highlight w:val="none"/>
        </w:rPr>
        <w:t>各供应商：</w:t>
      </w:r>
    </w:p>
    <w:p w14:paraId="50A2790C">
      <w:pPr>
        <w:keepNext w:val="0"/>
        <w:keepLines w:val="0"/>
        <w:pageBreakBefore w:val="0"/>
        <w:widowControl w:val="0"/>
        <w:kinsoku/>
        <w:overflowPunct/>
        <w:topLinePunct w:val="0"/>
        <w:autoSpaceDE w:val="0"/>
        <w:autoSpaceDN w:val="0"/>
        <w:bidi w:val="0"/>
        <w:adjustRightInd w:val="0"/>
        <w:snapToGrid/>
        <w:spacing w:line="360" w:lineRule="auto"/>
        <w:ind w:firstLine="480" w:firstLineChars="200"/>
        <w:textAlignment w:val="auto"/>
        <w:rPr>
          <w:rFonts w:hAnsi="宋体" w:cs="宋体"/>
          <w:color w:val="auto"/>
          <w:highlight w:val="none"/>
        </w:rPr>
      </w:pPr>
      <w:r>
        <w:rPr>
          <w:rFonts w:hint="eastAsia" w:hAnsi="宋体" w:cs="宋体"/>
          <w:color w:val="auto"/>
          <w:highlight w:val="none"/>
        </w:rPr>
        <w:t>我公司的</w:t>
      </w:r>
      <w:r>
        <w:rPr>
          <w:rFonts w:hint="eastAsia" w:hAnsi="宋体" w:cs="宋体"/>
          <w:color w:val="auto"/>
          <w:highlight w:val="none"/>
          <w:u w:val="single"/>
        </w:rPr>
        <w:t>“</w:t>
      </w:r>
      <w:r>
        <w:rPr>
          <w:rFonts w:hint="eastAsia" w:hAnsi="宋体" w:cs="宋体"/>
          <w:color w:val="auto"/>
          <w:highlight w:val="none"/>
          <w:u w:val="single"/>
          <w:lang w:eastAsia="zh-CN"/>
        </w:rPr>
        <w:t>东莞市污泥集中处理处置项目尿素采购项目</w:t>
      </w:r>
      <w:r>
        <w:rPr>
          <w:rFonts w:hint="eastAsia" w:hAnsi="宋体" w:cs="宋体"/>
          <w:color w:val="auto"/>
          <w:highlight w:val="none"/>
          <w:u w:val="single"/>
        </w:rPr>
        <w:t>”</w:t>
      </w:r>
      <w:r>
        <w:rPr>
          <w:rFonts w:hint="eastAsia" w:hAnsi="宋体" w:cs="宋体"/>
          <w:color w:val="auto"/>
          <w:highlight w:val="none"/>
        </w:rPr>
        <w:t>正式开展，现邀请贵司参与本项目的询价采购。具体采购信息如下：</w:t>
      </w:r>
    </w:p>
    <w:p w14:paraId="040A9402">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int="default" w:hAnsi="宋体" w:eastAsia="宋体" w:cs="宋体"/>
          <w:color w:val="auto"/>
          <w:highlight w:val="none"/>
          <w:lang w:val="en-US" w:eastAsia="zh-CN"/>
        </w:rPr>
      </w:pPr>
      <w:r>
        <w:rPr>
          <w:rFonts w:hint="eastAsia" w:hAnsi="宋体" w:cs="宋体"/>
          <w:color w:val="auto"/>
          <w:highlight w:val="none"/>
        </w:rPr>
        <w:t>一、采购项目编号：</w:t>
      </w:r>
      <w:r>
        <w:rPr>
          <w:rFonts w:hint="eastAsia" w:ascii="Times New Roman" w:cs="宋体"/>
          <w:color w:val="auto"/>
          <w:highlight w:val="none"/>
          <w:lang w:eastAsia="zh-CN"/>
        </w:rPr>
        <w:t>JS-2025-1</w:t>
      </w:r>
      <w:r>
        <w:rPr>
          <w:rFonts w:hint="eastAsia" w:ascii="Times New Roman" w:cs="宋体"/>
          <w:color w:val="auto"/>
          <w:highlight w:val="none"/>
          <w:lang w:val="en-US" w:eastAsia="zh-CN"/>
        </w:rPr>
        <w:t>63</w:t>
      </w:r>
    </w:p>
    <w:p w14:paraId="24DCD19E">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int="eastAsia" w:hAnsi="宋体" w:eastAsia="宋体" w:cs="宋体"/>
          <w:color w:val="auto"/>
          <w:highlight w:val="none"/>
          <w:lang w:eastAsia="zh-CN"/>
        </w:rPr>
      </w:pPr>
      <w:r>
        <w:rPr>
          <w:rFonts w:hint="eastAsia" w:hAnsi="宋体" w:cs="宋体"/>
          <w:color w:val="auto"/>
          <w:highlight w:val="none"/>
        </w:rPr>
        <w:t>二、采购项目名称：</w:t>
      </w:r>
      <w:r>
        <w:rPr>
          <w:rFonts w:hint="eastAsia" w:ascii="Times New Roman" w:cs="宋体"/>
          <w:color w:val="auto"/>
          <w:highlight w:val="none"/>
          <w:u w:val="single"/>
          <w:lang w:eastAsia="zh-CN"/>
        </w:rPr>
        <w:t>东莞市污泥集中处理处置项目尿素采购项目</w:t>
      </w:r>
    </w:p>
    <w:p w14:paraId="4662596A">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int="eastAsia" w:ascii="Times New Roman" w:cs="宋体"/>
          <w:color w:val="auto"/>
          <w:highlight w:val="none"/>
        </w:rPr>
      </w:pPr>
      <w:r>
        <w:rPr>
          <w:rFonts w:hint="eastAsia" w:hAnsi="宋体" w:cs="宋体"/>
          <w:color w:val="auto"/>
          <w:highlight w:val="none"/>
        </w:rPr>
        <w:t>三、采购</w:t>
      </w:r>
      <w:r>
        <w:rPr>
          <w:rFonts w:hint="eastAsia" w:ascii="Times New Roman" w:cs="宋体"/>
          <w:color w:val="auto"/>
          <w:highlight w:val="none"/>
        </w:rPr>
        <w:t>预算：</w:t>
      </w:r>
      <w:r>
        <w:rPr>
          <w:rFonts w:hint="eastAsia" w:hAnsi="宋体" w:cs="宋体"/>
          <w:b/>
          <w:bCs/>
          <w:sz w:val="24"/>
          <w:szCs w:val="24"/>
        </w:rPr>
        <w:t>不含税综合单价最高限价</w:t>
      </w:r>
      <w:r>
        <w:rPr>
          <w:rFonts w:hint="eastAsia" w:hAnsi="宋体" w:cs="宋体"/>
          <w:b/>
          <w:bCs/>
          <w:sz w:val="24"/>
          <w:szCs w:val="24"/>
          <w:lang w:val="en-US" w:eastAsia="zh-CN"/>
        </w:rPr>
        <w:t>为2060.03元/吨，对应暂定不含税预算金额352,265.13元</w:t>
      </w:r>
      <w:r>
        <w:rPr>
          <w:rFonts w:hint="eastAsia" w:ascii="Times New Roman" w:cs="宋体"/>
          <w:color w:val="auto"/>
          <w:highlight w:val="none"/>
        </w:rPr>
        <w:t>。</w:t>
      </w:r>
    </w:p>
    <w:p w14:paraId="460D0821">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rPr>
        <w:t>四、采购内容：</w:t>
      </w:r>
      <w:r>
        <w:rPr>
          <w:rFonts w:hint="eastAsia" w:ascii="Times New Roman" w:cs="宋体"/>
          <w:color w:val="auto"/>
          <w:highlight w:val="none"/>
          <w:u w:val="single"/>
          <w:lang w:eastAsia="zh-CN"/>
        </w:rPr>
        <w:t>尿素</w:t>
      </w:r>
      <w:r>
        <w:rPr>
          <w:rFonts w:hint="eastAsia" w:hAnsi="宋体" w:cs="宋体"/>
          <w:color w:val="auto"/>
          <w:highlight w:val="none"/>
        </w:rPr>
        <w:t>（具体详见用户需求书）</w:t>
      </w:r>
    </w:p>
    <w:p w14:paraId="19F5496E">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bookmarkStart w:id="2" w:name="_Hlk27138410"/>
      <w:r>
        <w:rPr>
          <w:rFonts w:hint="eastAsia" w:hAnsi="宋体" w:cs="宋体"/>
          <w:color w:val="auto"/>
          <w:highlight w:val="none"/>
        </w:rPr>
        <w:t>五、资质要求：</w:t>
      </w:r>
    </w:p>
    <w:p w14:paraId="35AD0F7E">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Ansi="宋体" w:cs="宋体"/>
          <w:color w:val="auto"/>
          <w:highlight w:val="none"/>
        </w:rPr>
        <w:t>1.</w:t>
      </w:r>
      <w:r>
        <w:rPr>
          <w:rFonts w:hint="eastAsia" w:hAnsi="宋体" w:cs="宋体"/>
          <w:color w:val="auto"/>
          <w:highlight w:val="none"/>
        </w:rPr>
        <w:t>报价人</w:t>
      </w:r>
      <w:r>
        <w:rPr>
          <w:rFonts w:ascii="Times New Roman"/>
          <w:color w:val="auto"/>
          <w:highlight w:val="none"/>
        </w:rPr>
        <w:t>自2022年1月1日以来，至少具备一</w:t>
      </w:r>
      <w:r>
        <w:rPr>
          <w:rFonts w:hint="eastAsia" w:ascii="Times New Roman"/>
          <w:color w:val="auto"/>
          <w:highlight w:val="none"/>
          <w:lang w:val="en-US" w:eastAsia="zh-CN"/>
        </w:rPr>
        <w:t>份</w:t>
      </w:r>
      <w:r>
        <w:rPr>
          <w:rFonts w:hint="eastAsia" w:ascii="Times New Roman" w:cs="宋体"/>
          <w:color w:val="auto"/>
          <w:highlight w:val="none"/>
          <w:u w:val="single"/>
          <w:lang w:eastAsia="zh-CN"/>
        </w:rPr>
        <w:t>尿素</w:t>
      </w:r>
      <w:r>
        <w:rPr>
          <w:rFonts w:hint="eastAsia" w:ascii="Times New Roman" w:cs="宋体"/>
          <w:color w:val="auto"/>
          <w:highlight w:val="none"/>
          <w:u w:val="single"/>
          <w:lang w:val="en-US" w:eastAsia="zh-CN"/>
        </w:rPr>
        <w:t>供货</w:t>
      </w:r>
      <w:r>
        <w:rPr>
          <w:rFonts w:hint="eastAsia" w:hAnsi="宋体" w:cs="宋体"/>
          <w:color w:val="auto"/>
          <w:highlight w:val="none"/>
          <w:u w:val="none"/>
          <w:lang w:val="en-US" w:eastAsia="zh-CN"/>
        </w:rPr>
        <w:t>相关</w:t>
      </w:r>
      <w:r>
        <w:rPr>
          <w:rFonts w:ascii="Times New Roman"/>
          <w:color w:val="auto"/>
          <w:highlight w:val="none"/>
        </w:rPr>
        <w:t>业绩（合同签订日期为2022年1月1日或以后</w:t>
      </w:r>
      <w:r>
        <w:rPr>
          <w:rFonts w:hint="eastAsia" w:hAnsi="宋体" w:cs="宋体"/>
          <w:color w:val="auto"/>
          <w:highlight w:val="none"/>
        </w:rPr>
        <w:t>）；</w:t>
      </w:r>
    </w:p>
    <w:p w14:paraId="6F99D709">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Ansi="宋体" w:cs="宋体"/>
          <w:color w:val="auto"/>
          <w:highlight w:val="none"/>
        </w:rPr>
        <w:t>2.</w:t>
      </w:r>
      <w:r>
        <w:rPr>
          <w:rFonts w:hint="eastAsia" w:hAnsi="宋体" w:cs="宋体"/>
          <w:color w:val="auto"/>
          <w:highlight w:val="none"/>
        </w:rPr>
        <w:t>报价人未被列入“信用中国”网站（www.creditchina.gov.cn）失信被执行人、重大税收违法失信主体、政府采购严重违法失信行为记录名单（处罚期限届满的除外）。</w:t>
      </w:r>
    </w:p>
    <w:p w14:paraId="6CFC1788">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int="eastAsia" w:hAnsi="宋体" w:eastAsia="宋体" w:cs="宋体"/>
          <w:color w:val="auto"/>
          <w:highlight w:val="none"/>
          <w:lang w:eastAsia="zh-CN"/>
        </w:rPr>
      </w:pPr>
      <w:r>
        <w:rPr>
          <w:rFonts w:hint="eastAsia" w:hAnsi="宋体" w:cs="宋体"/>
          <w:color w:val="auto"/>
          <w:highlight w:val="none"/>
          <w:lang w:val="en-US" w:eastAsia="zh-CN"/>
        </w:rPr>
        <w:t>六</w:t>
      </w:r>
      <w:r>
        <w:rPr>
          <w:rFonts w:hint="eastAsia" w:hAnsi="宋体" w:cs="宋体"/>
          <w:color w:val="auto"/>
          <w:highlight w:val="none"/>
        </w:rPr>
        <w:t>、</w:t>
      </w:r>
      <w:r>
        <w:rPr>
          <w:rFonts w:hint="eastAsia" w:hAnsi="宋体" w:cs="宋体"/>
          <w:b/>
          <w:bCs/>
          <w:color w:val="auto"/>
          <w:highlight w:val="none"/>
        </w:rPr>
        <w:t>成交原则：从实质性满足采购需求的供应商中，按不含税价最低成交原则确定成交供应商</w:t>
      </w:r>
      <w:r>
        <w:rPr>
          <w:rFonts w:hint="eastAsia" w:hAnsi="宋体" w:cs="宋体"/>
          <w:b/>
          <w:bCs/>
          <w:color w:val="auto"/>
          <w:highlight w:val="none"/>
          <w:lang w:eastAsia="zh-CN"/>
        </w:rPr>
        <w:t>。</w:t>
      </w:r>
    </w:p>
    <w:p w14:paraId="4FB13E3C">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七</w:t>
      </w:r>
      <w:r>
        <w:rPr>
          <w:rFonts w:hint="eastAsia" w:hAnsi="宋体" w:cs="宋体"/>
          <w:color w:val="auto"/>
          <w:highlight w:val="none"/>
        </w:rPr>
        <w:t>、报价文件递交截止时间：</w:t>
      </w:r>
      <w:bookmarkStart w:id="3" w:name="_Hlk27138379"/>
      <w:r>
        <w:rPr>
          <w:rFonts w:ascii="Times New Roman"/>
          <w:color w:val="auto"/>
          <w:highlight w:val="none"/>
        </w:rPr>
        <w:t>202</w:t>
      </w:r>
      <w:r>
        <w:rPr>
          <w:rFonts w:hint="eastAsia" w:ascii="Times New Roman"/>
          <w:color w:val="auto"/>
          <w:highlight w:val="none"/>
          <w:lang w:val="en-US" w:eastAsia="zh-CN"/>
        </w:rPr>
        <w:t>6</w:t>
      </w:r>
      <w:r>
        <w:rPr>
          <w:rFonts w:ascii="Times New Roman"/>
          <w:color w:val="auto"/>
          <w:highlight w:val="none"/>
        </w:rPr>
        <w:t>年</w:t>
      </w:r>
      <w:bookmarkEnd w:id="3"/>
      <w:r>
        <w:rPr>
          <w:rFonts w:hint="eastAsia" w:ascii="Times New Roman"/>
          <w:color w:val="000000" w:themeColor="text1"/>
          <w:lang w:val="en-US" w:eastAsia="zh-CN"/>
          <w14:textFill>
            <w14:solidFill>
              <w14:schemeClr w14:val="tx1"/>
            </w14:solidFill>
          </w14:textFill>
        </w:rPr>
        <w:t>1</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8</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15</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30</w:t>
      </w:r>
      <w:r>
        <w:rPr>
          <w:rFonts w:ascii="Times New Roman"/>
          <w:color w:val="000000" w:themeColor="text1"/>
          <w14:textFill>
            <w14:solidFill>
              <w14:schemeClr w14:val="tx1"/>
            </w14:solidFill>
          </w14:textFill>
        </w:rPr>
        <w:t>分</w:t>
      </w:r>
      <w:bookmarkStart w:id="44" w:name="_GoBack"/>
      <w:bookmarkEnd w:id="44"/>
      <w:r>
        <w:rPr>
          <w:rFonts w:hint="eastAsia" w:hAnsi="宋体" w:cs="宋体"/>
          <w:color w:val="auto"/>
          <w:highlight w:val="none"/>
        </w:rPr>
        <w:t>。</w:t>
      </w:r>
    </w:p>
    <w:p w14:paraId="490239E9">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八</w:t>
      </w:r>
      <w:r>
        <w:rPr>
          <w:rFonts w:hint="eastAsia" w:hAnsi="宋体" w:cs="宋体"/>
          <w:color w:val="auto"/>
          <w:highlight w:val="none"/>
        </w:rPr>
        <w:t>、报价文件递交地点：</w:t>
      </w:r>
      <w:r>
        <w:rPr>
          <w:rFonts w:hint="eastAsia" w:hAnsi="宋体" w:cs="宋体"/>
          <w:color w:val="auto"/>
          <w:highlight w:val="none"/>
          <w:lang w:eastAsia="zh-CN"/>
        </w:rPr>
        <w:t>东莞市水务环境投资控股集团净水有限公司招标成本部</w:t>
      </w:r>
      <w:r>
        <w:rPr>
          <w:rFonts w:hint="eastAsia" w:hAnsi="宋体" w:cs="宋体"/>
          <w:color w:val="auto"/>
          <w:highlight w:val="none"/>
        </w:rPr>
        <w:t>。</w:t>
      </w:r>
    </w:p>
    <w:p w14:paraId="2F70F025">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九</w:t>
      </w:r>
      <w:r>
        <w:rPr>
          <w:rFonts w:hint="eastAsia" w:hAnsi="宋体" w:cs="宋体"/>
          <w:color w:val="auto"/>
          <w:highlight w:val="none"/>
        </w:rPr>
        <w:t>、报价文件开封时间：</w:t>
      </w:r>
      <w:r>
        <w:rPr>
          <w:rFonts w:ascii="Times New Roman"/>
          <w:color w:val="auto"/>
          <w:highlight w:val="none"/>
        </w:rPr>
        <w:t>202</w:t>
      </w:r>
      <w:r>
        <w:rPr>
          <w:rFonts w:hint="eastAsia" w:ascii="Times New Roman"/>
          <w:color w:val="auto"/>
          <w:highlight w:val="none"/>
          <w:lang w:val="en-US" w:eastAsia="zh-CN"/>
        </w:rPr>
        <w:t>6</w:t>
      </w:r>
      <w:r>
        <w:rPr>
          <w:rFonts w:ascii="Times New Roman"/>
          <w:color w:val="auto"/>
          <w:highlight w:val="none"/>
        </w:rPr>
        <w:t>年</w:t>
      </w:r>
      <w:r>
        <w:rPr>
          <w:rFonts w:hint="eastAsia" w:ascii="Times New Roman"/>
          <w:color w:val="000000" w:themeColor="text1"/>
          <w:lang w:val="en-US" w:eastAsia="zh-CN"/>
          <w14:textFill>
            <w14:solidFill>
              <w14:schemeClr w14:val="tx1"/>
            </w14:solidFill>
          </w14:textFill>
        </w:rPr>
        <w:t>1</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8</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15</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30</w:t>
      </w:r>
      <w:r>
        <w:rPr>
          <w:rFonts w:ascii="Times New Roman"/>
          <w:color w:val="000000" w:themeColor="text1"/>
          <w14:textFill>
            <w14:solidFill>
              <w14:schemeClr w14:val="tx1"/>
            </w14:solidFill>
          </w14:textFill>
        </w:rPr>
        <w:t>分</w:t>
      </w:r>
      <w:r>
        <w:rPr>
          <w:rFonts w:hint="eastAsia" w:hAnsi="宋体" w:cs="宋体"/>
          <w:color w:val="auto"/>
          <w:highlight w:val="none"/>
        </w:rPr>
        <w:t>。</w:t>
      </w:r>
    </w:p>
    <w:p w14:paraId="0F0D8763">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十</w:t>
      </w:r>
      <w:r>
        <w:rPr>
          <w:rFonts w:hint="eastAsia" w:hAnsi="宋体" w:cs="宋体"/>
          <w:color w:val="auto"/>
          <w:highlight w:val="none"/>
        </w:rPr>
        <w:t>、开封地点：</w:t>
      </w:r>
      <w:r>
        <w:rPr>
          <w:rFonts w:hint="eastAsia" w:hAnsi="宋体" w:cs="宋体"/>
          <w:color w:val="auto"/>
          <w:highlight w:val="none"/>
          <w:lang w:eastAsia="zh-CN"/>
        </w:rPr>
        <w:t>东莞市水务环境投资控股集团净水有限公司</w:t>
      </w:r>
      <w:r>
        <w:rPr>
          <w:rFonts w:hint="eastAsia" w:hAnsi="宋体" w:cs="宋体"/>
          <w:color w:val="auto"/>
          <w:highlight w:val="none"/>
        </w:rPr>
        <w:t>4楼开标室。</w:t>
      </w:r>
    </w:p>
    <w:p w14:paraId="5077372E">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十一</w:t>
      </w:r>
      <w:r>
        <w:rPr>
          <w:rFonts w:hint="eastAsia" w:hAnsi="宋体" w:cs="宋体"/>
          <w:color w:val="auto"/>
          <w:highlight w:val="none"/>
        </w:rPr>
        <w:t>、采购人联系方式：</w:t>
      </w:r>
    </w:p>
    <w:p w14:paraId="461F6ED6">
      <w:pPr>
        <w:keepNext w:val="0"/>
        <w:keepLines w:val="0"/>
        <w:pageBreakBefore w:val="0"/>
        <w:widowControl w:val="0"/>
        <w:kinsoku/>
        <w:overflowPunct/>
        <w:topLinePunct w:val="0"/>
        <w:autoSpaceDE w:val="0"/>
        <w:autoSpaceDN w:val="0"/>
        <w:bidi w:val="0"/>
        <w:adjustRightInd w:val="0"/>
        <w:snapToGrid/>
        <w:spacing w:line="360" w:lineRule="auto"/>
        <w:ind w:left="566" w:leftChars="236" w:firstLine="285"/>
        <w:textAlignment w:val="auto"/>
        <w:rPr>
          <w:rFonts w:hint="eastAsia" w:hAnsi="宋体" w:eastAsia="宋体" w:cs="宋体"/>
          <w:color w:val="auto"/>
          <w:highlight w:val="none"/>
          <w:lang w:eastAsia="zh-CN"/>
        </w:rPr>
      </w:pPr>
      <w:bookmarkStart w:id="4" w:name="_Hlk27138405"/>
      <w:r>
        <w:rPr>
          <w:rFonts w:hint="eastAsia" w:hAnsi="宋体" w:cs="宋体"/>
          <w:color w:val="auto"/>
          <w:highlight w:val="none"/>
        </w:rPr>
        <w:t>采购联系人：</w:t>
      </w:r>
      <w:r>
        <w:rPr>
          <w:rFonts w:hint="eastAsia" w:hAnsi="宋体" w:cs="宋体"/>
          <w:color w:val="auto"/>
          <w:highlight w:val="none"/>
          <w:lang w:val="en-US" w:eastAsia="zh-CN"/>
        </w:rPr>
        <w:t>黄工</w:t>
      </w:r>
    </w:p>
    <w:p w14:paraId="47DFADB2">
      <w:pPr>
        <w:keepNext w:val="0"/>
        <w:keepLines w:val="0"/>
        <w:pageBreakBefore w:val="0"/>
        <w:widowControl w:val="0"/>
        <w:kinsoku/>
        <w:overflowPunct/>
        <w:topLinePunct w:val="0"/>
        <w:autoSpaceDE w:val="0"/>
        <w:autoSpaceDN w:val="0"/>
        <w:bidi w:val="0"/>
        <w:adjustRightInd w:val="0"/>
        <w:snapToGrid/>
        <w:spacing w:line="360" w:lineRule="auto"/>
        <w:ind w:left="566" w:leftChars="236" w:firstLine="285"/>
        <w:textAlignment w:val="auto"/>
        <w:rPr>
          <w:rFonts w:hAnsi="宋体" w:cs="宋体"/>
          <w:color w:val="auto"/>
          <w:highlight w:val="none"/>
        </w:rPr>
      </w:pPr>
      <w:r>
        <w:rPr>
          <w:rFonts w:hint="eastAsia" w:hAnsi="宋体" w:cs="宋体"/>
          <w:color w:val="auto"/>
          <w:highlight w:val="none"/>
        </w:rPr>
        <w:t>联系电话：</w:t>
      </w:r>
      <w:r>
        <w:rPr>
          <w:rFonts w:ascii="Times New Roman" w:cs="宋体"/>
          <w:color w:val="auto"/>
          <w:highlight w:val="none"/>
        </w:rPr>
        <w:t>0769</w:t>
      </w:r>
      <w:r>
        <w:rPr>
          <w:rFonts w:hint="eastAsia" w:ascii="Times New Roman" w:cs="宋体"/>
          <w:color w:val="auto"/>
          <w:highlight w:val="none"/>
        </w:rPr>
        <w:t>-23286160</w:t>
      </w:r>
    </w:p>
    <w:p w14:paraId="786BE32B">
      <w:pPr>
        <w:keepNext w:val="0"/>
        <w:keepLines w:val="0"/>
        <w:pageBreakBefore w:val="0"/>
        <w:widowControl w:val="0"/>
        <w:kinsoku/>
        <w:overflowPunct/>
        <w:topLinePunct w:val="0"/>
        <w:autoSpaceDE w:val="0"/>
        <w:autoSpaceDN w:val="0"/>
        <w:bidi w:val="0"/>
        <w:adjustRightInd w:val="0"/>
        <w:snapToGrid/>
        <w:spacing w:line="360" w:lineRule="auto"/>
        <w:ind w:left="566" w:leftChars="236" w:firstLine="285"/>
        <w:textAlignment w:val="auto"/>
        <w:rPr>
          <w:rFonts w:hAnsi="宋体" w:cs="宋体"/>
          <w:color w:val="auto"/>
          <w:highlight w:val="none"/>
        </w:rPr>
      </w:pPr>
      <w:r>
        <w:rPr>
          <w:rFonts w:hint="eastAsia" w:hAnsi="宋体" w:cs="宋体"/>
          <w:color w:val="auto"/>
          <w:highlight w:val="none"/>
        </w:rPr>
        <w:t>联系地址：东莞市南城街道滨河路</w:t>
      </w:r>
      <w:r>
        <w:rPr>
          <w:rFonts w:ascii="Times New Roman"/>
          <w:color w:val="auto"/>
          <w:highlight w:val="none"/>
        </w:rPr>
        <w:t>100</w:t>
      </w:r>
      <w:r>
        <w:rPr>
          <w:rFonts w:hint="eastAsia" w:hAnsi="宋体" w:cs="宋体"/>
          <w:color w:val="auto"/>
          <w:highlight w:val="none"/>
        </w:rPr>
        <w:t>号（</w:t>
      </w:r>
      <w:r>
        <w:rPr>
          <w:rFonts w:hint="eastAsia" w:hAnsi="宋体" w:cs="宋体"/>
          <w:color w:val="auto"/>
          <w:highlight w:val="none"/>
          <w:lang w:eastAsia="zh-CN"/>
        </w:rPr>
        <w:t>东莞市水务环境投资控股集团净水有限公司</w:t>
      </w:r>
      <w:r>
        <w:rPr>
          <w:rFonts w:hint="eastAsia" w:hAnsi="宋体" w:cs="宋体"/>
          <w:color w:val="auto"/>
          <w:highlight w:val="none"/>
        </w:rPr>
        <w:t>）</w:t>
      </w:r>
    </w:p>
    <w:bookmarkEnd w:id="4"/>
    <w:p w14:paraId="7AD09594">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Ansi="宋体" w:cs="宋体"/>
          <w:color w:val="auto"/>
          <w:highlight w:val="none"/>
        </w:rPr>
      </w:pPr>
    </w:p>
    <w:p w14:paraId="68A1A502">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Ansi="宋体" w:cs="宋体"/>
          <w:color w:val="auto"/>
          <w:highlight w:val="none"/>
        </w:rPr>
      </w:pPr>
    </w:p>
    <w:p w14:paraId="11964BA0">
      <w:pPr>
        <w:keepNext w:val="0"/>
        <w:keepLines w:val="0"/>
        <w:pageBreakBefore w:val="0"/>
        <w:widowControl w:val="0"/>
        <w:kinsoku/>
        <w:overflowPunct/>
        <w:topLinePunct w:val="0"/>
        <w:autoSpaceDE w:val="0"/>
        <w:autoSpaceDN w:val="0"/>
        <w:bidi w:val="0"/>
        <w:adjustRightInd w:val="0"/>
        <w:snapToGrid/>
        <w:spacing w:line="360" w:lineRule="auto"/>
        <w:jc w:val="right"/>
        <w:textAlignment w:val="auto"/>
        <w:rPr>
          <w:rFonts w:hAnsi="宋体" w:cs="宋体"/>
          <w:color w:val="auto"/>
          <w:highlight w:val="none"/>
        </w:rPr>
      </w:pPr>
      <w:r>
        <w:rPr>
          <w:rFonts w:hint="eastAsia" w:hAnsi="宋体" w:cs="宋体"/>
          <w:color w:val="auto"/>
          <w:highlight w:val="none"/>
        </w:rPr>
        <w:t>东莞市水务环境投资控股集团净水有限公司</w:t>
      </w:r>
    </w:p>
    <w:p w14:paraId="76D22EC7">
      <w:pPr>
        <w:keepNext w:val="0"/>
        <w:keepLines w:val="0"/>
        <w:pageBreakBefore w:val="0"/>
        <w:widowControl w:val="0"/>
        <w:kinsoku/>
        <w:wordWrap w:val="0"/>
        <w:overflowPunct/>
        <w:topLinePunct w:val="0"/>
        <w:autoSpaceDE w:val="0"/>
        <w:autoSpaceDN w:val="0"/>
        <w:bidi w:val="0"/>
        <w:adjustRightInd w:val="0"/>
        <w:snapToGrid/>
        <w:spacing w:line="360" w:lineRule="auto"/>
        <w:jc w:val="right"/>
        <w:textAlignment w:val="auto"/>
        <w:rPr>
          <w:rFonts w:hAnsi="宋体" w:cs="宋体"/>
          <w:color w:val="auto"/>
          <w:highlight w:val="none"/>
        </w:rPr>
      </w:pPr>
      <w:r>
        <w:rPr>
          <w:rFonts w:hint="eastAsia" w:ascii="Times New Roman"/>
          <w:color w:val="auto"/>
          <w:highlight w:val="none"/>
          <w:lang w:eastAsia="zh-CN"/>
        </w:rPr>
        <w:t>202</w:t>
      </w:r>
      <w:r>
        <w:rPr>
          <w:rFonts w:hint="eastAsia" w:ascii="Times New Roman"/>
          <w:color w:val="auto"/>
          <w:highlight w:val="none"/>
          <w:lang w:val="en-US" w:eastAsia="zh-CN"/>
        </w:rPr>
        <w:t>6</w:t>
      </w:r>
      <w:r>
        <w:rPr>
          <w:rFonts w:hint="eastAsia" w:ascii="Times New Roman"/>
          <w:color w:val="auto"/>
          <w:highlight w:val="none"/>
          <w:lang w:eastAsia="zh-CN"/>
        </w:rPr>
        <w:t>年1月</w:t>
      </w:r>
      <w:r>
        <w:rPr>
          <w:rFonts w:hint="eastAsia" w:ascii="Times New Roman"/>
          <w:color w:val="auto"/>
          <w:highlight w:val="none"/>
          <w:lang w:val="en-US" w:eastAsia="zh-CN"/>
        </w:rPr>
        <w:t>5</w:t>
      </w:r>
      <w:r>
        <w:rPr>
          <w:rFonts w:hint="eastAsia" w:ascii="Times New Roman"/>
          <w:color w:val="auto"/>
          <w:highlight w:val="none"/>
          <w:lang w:eastAsia="zh-CN"/>
        </w:rPr>
        <w:t>日</w:t>
      </w:r>
      <w:r>
        <w:rPr>
          <w:rFonts w:hint="eastAsia" w:ascii="Times New Roman"/>
          <w:color w:val="auto"/>
          <w:highlight w:val="none"/>
        </w:rPr>
        <w:t xml:space="preserve">       </w:t>
      </w:r>
      <w:bookmarkEnd w:id="2"/>
    </w:p>
    <w:p w14:paraId="785991C9">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Ansi="宋体" w:cs="宋体"/>
          <w:color w:val="auto"/>
          <w:highlight w:val="none"/>
        </w:rPr>
        <w:sectPr>
          <w:pgSz w:w="11906" w:h="16838"/>
          <w:pgMar w:top="1440" w:right="1803" w:bottom="1440" w:left="1803" w:header="851" w:footer="992" w:gutter="0"/>
          <w:cols w:space="0" w:num="1"/>
          <w:docGrid w:type="lines" w:linePitch="332" w:charSpace="0"/>
        </w:sectPr>
      </w:pPr>
    </w:p>
    <w:p w14:paraId="1F3AB1D9">
      <w:pPr>
        <w:pStyle w:val="3"/>
        <w:spacing w:before="0" w:after="0"/>
        <w:jc w:val="center"/>
        <w:rPr>
          <w:rFonts w:hAnsi="宋体" w:cs="宋体"/>
          <w:color w:val="auto"/>
          <w:szCs w:val="32"/>
          <w:highlight w:val="none"/>
        </w:rPr>
      </w:pPr>
      <w:bookmarkStart w:id="5" w:name="_Toc28832"/>
      <w:r>
        <w:rPr>
          <w:rFonts w:hint="eastAsia" w:hAnsi="宋体" w:cs="宋体"/>
          <w:color w:val="auto"/>
          <w:szCs w:val="32"/>
          <w:highlight w:val="none"/>
        </w:rPr>
        <w:t>第二章 用户需求</w:t>
      </w:r>
      <w:bookmarkEnd w:id="5"/>
    </w:p>
    <w:p w14:paraId="548B809A">
      <w:pPr>
        <w:rPr>
          <w:rFonts w:hAnsi="宋体"/>
          <w:b/>
          <w:color w:val="auto"/>
          <w:highlight w:val="none"/>
        </w:rPr>
      </w:pPr>
      <w:bookmarkStart w:id="6" w:name="_Toc447044476"/>
      <w:bookmarkStart w:id="7" w:name="_Toc447044600"/>
      <w:bookmarkStart w:id="8" w:name="_Toc447045087"/>
    </w:p>
    <w:p w14:paraId="2F8E6BFC">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sz w:val="21"/>
          <w:szCs w:val="21"/>
        </w:rPr>
      </w:pPr>
      <w:r>
        <w:rPr>
          <w:rFonts w:hint="eastAsia" w:ascii="宋体" w:hAnsi="宋体" w:eastAsia="宋体" w:cs="宋体"/>
          <w:b/>
          <w:bCs/>
          <w:kern w:val="2"/>
          <w:sz w:val="21"/>
          <w:szCs w:val="21"/>
        </w:rPr>
        <w:t>一、总体要求</w:t>
      </w:r>
    </w:p>
    <w:p w14:paraId="6A9C501A">
      <w:pPr>
        <w:keepNext w:val="0"/>
        <w:keepLines w:val="0"/>
        <w:pageBreakBefore w:val="0"/>
        <w:widowControl w:val="0"/>
        <w:kinsoku/>
        <w:wordWrap/>
        <w:overflowPunct/>
        <w:topLinePunct w:val="0"/>
        <w:autoSpaceDE/>
        <w:autoSpaceDN/>
        <w:bidi w:val="0"/>
        <w:adjustRightInd/>
        <w:snapToGrid/>
        <w:spacing w:before="50" w:after="60"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供货单位</w:t>
      </w:r>
      <w:r>
        <w:rPr>
          <w:rFonts w:hint="eastAsia" w:ascii="宋体" w:hAnsi="宋体" w:eastAsia="宋体" w:cs="宋体"/>
          <w:sz w:val="21"/>
          <w:szCs w:val="21"/>
        </w:rPr>
        <w:t>所</w:t>
      </w:r>
      <w:bookmarkStart w:id="9" w:name="OLE_LINK4"/>
      <w:r>
        <w:rPr>
          <w:rFonts w:hint="eastAsia" w:ascii="宋体" w:hAnsi="宋体" w:eastAsia="宋体" w:cs="宋体"/>
          <w:sz w:val="21"/>
          <w:szCs w:val="21"/>
        </w:rPr>
        <w:t>供</w:t>
      </w:r>
      <w:bookmarkEnd w:id="9"/>
      <w:r>
        <w:rPr>
          <w:rFonts w:hint="eastAsia" w:ascii="宋体" w:hAnsi="宋体" w:eastAsia="宋体" w:cs="宋体"/>
          <w:sz w:val="21"/>
          <w:szCs w:val="21"/>
        </w:rPr>
        <w:t>尿素必须适用于市政污泥焚烧烟气净化系统，用于SNCR+SCR系统，脱除烟气中的NOX。尿素与软水配比成10%和30%浓度的尿素溶液。</w:t>
      </w:r>
    </w:p>
    <w:p w14:paraId="7311E1E6">
      <w:pPr>
        <w:keepNext w:val="0"/>
        <w:keepLines w:val="0"/>
        <w:pageBreakBefore w:val="0"/>
        <w:widowControl w:val="0"/>
        <w:kinsoku/>
        <w:wordWrap/>
        <w:overflowPunct/>
        <w:topLinePunct w:val="0"/>
        <w:autoSpaceDE/>
        <w:autoSpaceDN/>
        <w:bidi w:val="0"/>
        <w:adjustRightInd/>
        <w:snapToGrid/>
        <w:spacing w:before="50" w:after="60" w:line="360" w:lineRule="auto"/>
        <w:ind w:firstLine="420" w:firstLineChars="200"/>
        <w:jc w:val="both"/>
        <w:textAlignment w:val="auto"/>
        <w:rPr>
          <w:rFonts w:hint="eastAsia" w:ascii="宋体" w:hAnsi="宋体" w:eastAsia="宋体" w:cs="宋体"/>
          <w:sz w:val="21"/>
          <w:szCs w:val="21"/>
        </w:rPr>
      </w:pPr>
      <w:bookmarkStart w:id="10" w:name="_Toc81879430"/>
      <w:r>
        <w:rPr>
          <w:rFonts w:hint="eastAsia" w:ascii="宋体" w:hAnsi="宋体" w:eastAsia="宋体" w:cs="宋体"/>
          <w:sz w:val="21"/>
          <w:szCs w:val="21"/>
          <w:lang w:val="en-US" w:eastAsia="zh-CN"/>
        </w:rPr>
        <w:t>2、</w:t>
      </w:r>
      <w:r>
        <w:rPr>
          <w:rFonts w:hint="eastAsia" w:ascii="宋体" w:hAnsi="宋体" w:eastAsia="宋体" w:cs="宋体"/>
          <w:sz w:val="21"/>
          <w:szCs w:val="21"/>
        </w:rPr>
        <w:t>具体供货量根据实际运营需求，并结合采购人使用成交单位提供的药剂样品所做的小试、中试及实际使用后的情况选用。</w:t>
      </w:r>
    </w:p>
    <w:p w14:paraId="5EF282A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kern w:val="2"/>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供货期：</w:t>
      </w:r>
      <w:r>
        <w:rPr>
          <w:rFonts w:hint="eastAsia" w:ascii="宋体" w:hAnsi="宋体" w:eastAsia="宋体" w:cs="宋体"/>
          <w:sz w:val="21"/>
          <w:szCs w:val="21"/>
          <w:lang w:val="en-US" w:eastAsia="zh-CN"/>
        </w:rPr>
        <w:t>供货期从合同签订之日至2026年12月31日</w:t>
      </w:r>
      <w:r>
        <w:rPr>
          <w:rFonts w:hint="eastAsia" w:ascii="宋体" w:hAnsi="宋体" w:eastAsia="宋体" w:cs="宋体"/>
          <w:color w:val="000000"/>
          <w:kern w:val="2"/>
          <w:sz w:val="21"/>
          <w:szCs w:val="21"/>
        </w:rPr>
        <w:t>，具体供货起始日期以采购人书面通知为准，供货单位收到采购人通知后必须无条件按照采购人的要求开始供货。</w:t>
      </w:r>
    </w:p>
    <w:bookmarkEnd w:id="10"/>
    <w:p w14:paraId="6D7E64C2">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kern w:val="2"/>
          <w:sz w:val="21"/>
          <w:szCs w:val="21"/>
        </w:rPr>
      </w:pPr>
      <w:r>
        <w:rPr>
          <w:rFonts w:hint="eastAsia" w:ascii="宋体" w:hAnsi="宋体" w:eastAsia="宋体" w:cs="宋体"/>
          <w:b/>
          <w:bCs/>
          <w:kern w:val="2"/>
          <w:sz w:val="21"/>
          <w:szCs w:val="21"/>
        </w:rPr>
        <w:t>二、药剂要求</w:t>
      </w:r>
    </w:p>
    <w:p w14:paraId="2CF471D6">
      <w:pPr>
        <w:keepNext w:val="0"/>
        <w:keepLines w:val="0"/>
        <w:pageBreakBefore w:val="0"/>
        <w:widowControl w:val="0"/>
        <w:kinsoku/>
        <w:wordWrap/>
        <w:overflowPunct/>
        <w:topLinePunct w:val="0"/>
        <w:autoSpaceDE/>
        <w:autoSpaceDN/>
        <w:bidi w:val="0"/>
        <w:adjustRightInd/>
        <w:snapToGrid/>
        <w:spacing w:before="50" w:after="60"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1、产品名称：尿素</w:t>
      </w:r>
    </w:p>
    <w:p w14:paraId="41D72DE3">
      <w:pPr>
        <w:keepNext w:val="0"/>
        <w:keepLines w:val="0"/>
        <w:pageBreakBefore w:val="0"/>
        <w:widowControl w:val="0"/>
        <w:kinsoku/>
        <w:wordWrap/>
        <w:overflowPunct/>
        <w:topLinePunct w:val="0"/>
        <w:autoSpaceDE/>
        <w:autoSpaceDN/>
        <w:bidi w:val="0"/>
        <w:adjustRightInd/>
        <w:snapToGrid/>
        <w:spacing w:before="50" w:after="60" w:line="36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sz w:val="21"/>
          <w:szCs w:val="21"/>
          <w:lang w:val="en-US" w:eastAsia="zh-CN"/>
        </w:rPr>
        <w:t>2、分子式：CO(NH2</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vertAlign w:val="subscript"/>
        </w:rPr>
        <w:t>2</w:t>
      </w:r>
    </w:p>
    <w:p w14:paraId="01DD182F">
      <w:pPr>
        <w:keepNext w:val="0"/>
        <w:keepLines w:val="0"/>
        <w:pageBreakBefore w:val="0"/>
        <w:widowControl w:val="0"/>
        <w:kinsoku/>
        <w:wordWrap/>
        <w:overflowPunct/>
        <w:topLinePunct w:val="0"/>
        <w:autoSpaceDE/>
        <w:autoSpaceDN/>
        <w:bidi w:val="0"/>
        <w:adjustRightInd/>
        <w:snapToGrid/>
        <w:spacing w:before="50" w:after="60"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b/>
          <w:bCs/>
          <w:sz w:val="21"/>
          <w:szCs w:val="21"/>
          <w:lang w:val="en-US" w:eastAsia="zh-CN"/>
        </w:rPr>
        <w:t>采购数量：171吨（暂定</w:t>
      </w:r>
      <w:r>
        <w:rPr>
          <w:rFonts w:hint="eastAsia" w:ascii="宋体" w:hAnsi="宋体" w:eastAsia="宋体" w:cs="宋体"/>
          <w:sz w:val="21"/>
          <w:szCs w:val="21"/>
          <w:lang w:val="en-US" w:eastAsia="zh-CN"/>
        </w:rPr>
        <w:t>）</w:t>
      </w:r>
    </w:p>
    <w:p w14:paraId="1BCEC498">
      <w:pPr>
        <w:keepNext w:val="0"/>
        <w:keepLines w:val="0"/>
        <w:pageBreakBefore w:val="0"/>
        <w:widowControl w:val="0"/>
        <w:kinsoku/>
        <w:wordWrap/>
        <w:overflowPunct/>
        <w:topLinePunct w:val="0"/>
        <w:autoSpaceDE/>
        <w:autoSpaceDN/>
        <w:bidi w:val="0"/>
        <w:adjustRightInd/>
        <w:snapToGrid/>
        <w:spacing w:before="50" w:after="60"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 主要技术指标</w:t>
      </w:r>
    </w:p>
    <w:p w14:paraId="08E2286D">
      <w:pPr>
        <w:keepNext w:val="0"/>
        <w:keepLines w:val="0"/>
        <w:pageBreakBefore w:val="0"/>
        <w:widowControl w:val="0"/>
        <w:kinsoku/>
        <w:wordWrap/>
        <w:overflowPunct/>
        <w:topLinePunct w:val="0"/>
        <w:autoSpaceDE/>
        <w:autoSpaceDN/>
        <w:bidi w:val="0"/>
        <w:adjustRightInd/>
        <w:snapToGrid/>
        <w:spacing w:before="50" w:after="60"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（1）产品必须符合GB/T 2440-2017 《尿素》品质量及检测标准。</w:t>
      </w:r>
    </w:p>
    <w:p w14:paraId="52A392EE">
      <w:pPr>
        <w:pStyle w:val="30"/>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表1   尿素主要技术指标</w:t>
      </w:r>
    </w:p>
    <w:tbl>
      <w:tblPr>
        <w:tblStyle w:val="22"/>
        <w:tblW w:w="7579"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791"/>
        <w:gridCol w:w="2788"/>
      </w:tblGrid>
      <w:tr w14:paraId="252EE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21" w:hRule="atLeast"/>
          <w:tblCellSpacing w:w="0" w:type="dxa"/>
          <w:jc w:val="center"/>
        </w:trPr>
        <w:tc>
          <w:tcPr>
            <w:tcW w:w="4791" w:type="dxa"/>
            <w:vAlign w:val="center"/>
          </w:tcPr>
          <w:p w14:paraId="03A7A816">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项目</w:t>
            </w:r>
          </w:p>
        </w:tc>
        <w:tc>
          <w:tcPr>
            <w:tcW w:w="2788" w:type="dxa"/>
            <w:vAlign w:val="center"/>
          </w:tcPr>
          <w:p w14:paraId="3B5B68CB">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指标要求</w:t>
            </w:r>
          </w:p>
        </w:tc>
      </w:tr>
      <w:tr w14:paraId="72220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21" w:hRule="atLeast"/>
          <w:tblCellSpacing w:w="0" w:type="dxa"/>
          <w:jc w:val="center"/>
        </w:trPr>
        <w:tc>
          <w:tcPr>
            <w:tcW w:w="4791" w:type="dxa"/>
            <w:vAlign w:val="center"/>
          </w:tcPr>
          <w:p w14:paraId="410973BD">
            <w:pPr>
              <w:keepNext w:val="0"/>
              <w:keepLines w:val="0"/>
              <w:pageBreakBefore w:val="0"/>
              <w:widowControl w:val="0"/>
              <w:kinsoku/>
              <w:wordWrap/>
              <w:overflowPunct/>
              <w:topLinePunct w:val="0"/>
              <w:bidi w:val="0"/>
              <w:snapToGrid/>
              <w:spacing w:line="360" w:lineRule="auto"/>
              <w:jc w:val="center"/>
              <w:textAlignment w:val="auto"/>
              <w:outlineLvl w:val="1"/>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总氮(N)的质量分数</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w:t>
            </w:r>
          </w:p>
        </w:tc>
        <w:tc>
          <w:tcPr>
            <w:tcW w:w="2788" w:type="dxa"/>
            <w:vAlign w:val="center"/>
          </w:tcPr>
          <w:p w14:paraId="3874EA0B">
            <w:pPr>
              <w:keepNext w:val="0"/>
              <w:keepLines w:val="0"/>
              <w:pageBreakBefore w:val="0"/>
              <w:widowControl w:val="0"/>
              <w:kinsoku/>
              <w:wordWrap/>
              <w:overflowPunct/>
              <w:topLinePunct w:val="0"/>
              <w:bidi w:val="0"/>
              <w:snapToGrid/>
              <w:spacing w:line="360" w:lineRule="auto"/>
              <w:jc w:val="center"/>
              <w:textAlignment w:val="auto"/>
              <w:outlineLvl w:val="1"/>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≥46.0</w:t>
            </w:r>
          </w:p>
        </w:tc>
      </w:tr>
      <w:tr w14:paraId="06A75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21" w:hRule="atLeast"/>
          <w:tblCellSpacing w:w="0" w:type="dxa"/>
          <w:jc w:val="center"/>
        </w:trPr>
        <w:tc>
          <w:tcPr>
            <w:tcW w:w="4791" w:type="dxa"/>
            <w:vAlign w:val="center"/>
          </w:tcPr>
          <w:p w14:paraId="62BA2760">
            <w:pPr>
              <w:keepNext w:val="0"/>
              <w:keepLines w:val="0"/>
              <w:pageBreakBefore w:val="0"/>
              <w:widowControl w:val="0"/>
              <w:kinsoku/>
              <w:wordWrap/>
              <w:overflowPunct/>
              <w:topLinePunct w:val="0"/>
              <w:bidi w:val="0"/>
              <w:snapToGrid/>
              <w:spacing w:line="360" w:lineRule="auto"/>
              <w:jc w:val="center"/>
              <w:textAlignment w:val="auto"/>
              <w:outlineLvl w:val="1"/>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粒度</w:t>
            </w:r>
            <w:r>
              <w:rPr>
                <w:rFonts w:hint="eastAsia" w:ascii="宋体" w:hAnsi="宋体" w:eastAsia="宋体" w:cs="宋体"/>
                <w:color w:val="auto"/>
                <w:kern w:val="2"/>
                <w:sz w:val="21"/>
                <w:szCs w:val="21"/>
                <w:highlight w:val="none"/>
                <w:lang w:eastAsia="zh-CN"/>
              </w:rPr>
              <w:t>，d·0.85~2.80mm，%</w:t>
            </w:r>
          </w:p>
        </w:tc>
        <w:tc>
          <w:tcPr>
            <w:tcW w:w="2788" w:type="dxa"/>
            <w:vAlign w:val="center"/>
          </w:tcPr>
          <w:p w14:paraId="0959212B">
            <w:pPr>
              <w:keepNext w:val="0"/>
              <w:keepLines w:val="0"/>
              <w:pageBreakBefore w:val="0"/>
              <w:widowControl w:val="0"/>
              <w:kinsoku/>
              <w:wordWrap/>
              <w:overflowPunct/>
              <w:topLinePunct w:val="0"/>
              <w:bidi w:val="0"/>
              <w:snapToGrid/>
              <w:spacing w:line="360" w:lineRule="auto"/>
              <w:jc w:val="center"/>
              <w:textAlignment w:val="auto"/>
              <w:outlineLvl w:val="1"/>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93</w:t>
            </w:r>
          </w:p>
        </w:tc>
      </w:tr>
    </w:tbl>
    <w:p w14:paraId="79F42A2C">
      <w:pPr>
        <w:keepNext w:val="0"/>
        <w:keepLines w:val="0"/>
        <w:pageBreakBefore w:val="0"/>
        <w:widowControl w:val="0"/>
        <w:kinsoku/>
        <w:wordWrap/>
        <w:overflowPunct/>
        <w:topLinePunct w:val="0"/>
        <w:autoSpaceDE/>
        <w:autoSpaceDN/>
        <w:bidi w:val="0"/>
        <w:adjustRightInd/>
        <w:snapToGrid/>
        <w:spacing w:before="50" w:after="60"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（2）外观：白色固态颗粒。</w:t>
      </w:r>
    </w:p>
    <w:p w14:paraId="31451A8A">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三、供货要求</w:t>
      </w:r>
    </w:p>
    <w:p w14:paraId="71A91B31">
      <w:pPr>
        <w:keepNext w:val="0"/>
        <w:keepLines w:val="0"/>
        <w:pageBreakBefore w:val="0"/>
        <w:widowControl w:val="0"/>
        <w:kinsoku/>
        <w:wordWrap/>
        <w:overflowPunct/>
        <w:topLinePunct w:val="0"/>
        <w:autoSpaceDE/>
        <w:autoSpaceDN/>
        <w:bidi w:val="0"/>
        <w:adjustRightInd/>
        <w:snapToGrid/>
        <w:spacing w:before="50" w:after="60"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1、交货地点：东莞市污泥集中处理处置项目现场（广东省东莞市沙田镇立沙中路）。</w:t>
      </w:r>
    </w:p>
    <w:p w14:paraId="77B56B6E">
      <w:pPr>
        <w:keepNext w:val="0"/>
        <w:keepLines w:val="0"/>
        <w:pageBreakBefore w:val="0"/>
        <w:widowControl w:val="0"/>
        <w:kinsoku/>
        <w:wordWrap/>
        <w:overflowPunct/>
        <w:topLinePunct w:val="0"/>
        <w:autoSpaceDE/>
        <w:autoSpaceDN/>
        <w:bidi w:val="0"/>
        <w:adjustRightInd/>
        <w:snapToGrid/>
        <w:spacing w:before="50" w:after="60"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供货单位与采购人签订合同后，供货单位按采购人供货计划进行供货；供货单位接到采购人的供货通知后须48小时内送达，并负责送至储药间。如采购人要求加急供货，供货单位应在24小时内将货物送达采购人指定地点，且采购人无需因加急供货而额外支付任何费用。</w:t>
      </w:r>
    </w:p>
    <w:p w14:paraId="55F250E5">
      <w:pPr>
        <w:keepNext w:val="0"/>
        <w:keepLines w:val="0"/>
        <w:pageBreakBefore w:val="0"/>
        <w:widowControl w:val="0"/>
        <w:kinsoku/>
        <w:wordWrap/>
        <w:overflowPunct/>
        <w:topLinePunct w:val="0"/>
        <w:autoSpaceDE/>
        <w:autoSpaceDN/>
        <w:bidi w:val="0"/>
        <w:adjustRightInd/>
        <w:snapToGrid/>
        <w:spacing w:before="50" w:after="60"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3、产品包装：袋装。规格50kg/袋，适用于电动葫芦吊装。</w:t>
      </w:r>
    </w:p>
    <w:p w14:paraId="4D1B4F6B">
      <w:pPr>
        <w:keepNext w:val="0"/>
        <w:keepLines w:val="0"/>
        <w:pageBreakBefore w:val="0"/>
        <w:widowControl w:val="0"/>
        <w:kinsoku/>
        <w:wordWrap/>
        <w:overflowPunct/>
        <w:topLinePunct w:val="0"/>
        <w:autoSpaceDE/>
        <w:autoSpaceDN/>
        <w:bidi w:val="0"/>
        <w:adjustRightInd/>
        <w:snapToGrid/>
        <w:spacing w:before="50" w:after="60"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 产品运输、装卸：袋装的尿素使用专用货车运输，运输过程中不得与其他货物混装（放），防止混入其他有毒或有害的物质。货物装卸，需结合现场条件，使用人工或叉车方式装卸，卸料至指定厂区尿素储存位置。</w:t>
      </w:r>
    </w:p>
    <w:p w14:paraId="44FB0BE0">
      <w:pPr>
        <w:keepNext w:val="0"/>
        <w:keepLines w:val="0"/>
        <w:pageBreakBefore w:val="0"/>
        <w:widowControl w:val="0"/>
        <w:kinsoku/>
        <w:wordWrap/>
        <w:overflowPunct/>
        <w:topLinePunct w:val="0"/>
        <w:autoSpaceDE/>
        <w:autoSpaceDN/>
        <w:bidi w:val="0"/>
        <w:adjustRightInd/>
        <w:snapToGrid/>
        <w:spacing w:before="50" w:after="60"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 供货单位自行负责将尿素运送至指定位置（储药间），并承担相应</w:t>
      </w:r>
      <w:r>
        <w:rPr>
          <w:rFonts w:hint="eastAsia" w:ascii="宋体" w:hAnsi="宋体" w:eastAsia="宋体" w:cs="宋体"/>
          <w:color w:val="auto"/>
          <w:kern w:val="2"/>
          <w:sz w:val="21"/>
          <w:szCs w:val="21"/>
          <w:highlight w:val="none"/>
        </w:rPr>
        <w:t>的运输、装卸、二次搬运等费用，</w:t>
      </w:r>
      <w:r>
        <w:rPr>
          <w:rFonts w:hint="eastAsia" w:ascii="宋体" w:hAnsi="宋体" w:eastAsia="宋体" w:cs="宋体"/>
          <w:sz w:val="21"/>
          <w:szCs w:val="21"/>
          <w:lang w:val="en-US" w:eastAsia="zh-CN"/>
        </w:rPr>
        <w:t>运输人员应配备足够防护器具。如在运输及装卸过程中，发生泄漏，应由供货单位负责清理收集，避免造成人员伤害或环境污染。</w:t>
      </w:r>
    </w:p>
    <w:p w14:paraId="6C23652B">
      <w:pPr>
        <w:keepNext w:val="0"/>
        <w:keepLines w:val="0"/>
        <w:pageBreakBefore w:val="0"/>
        <w:widowControl w:val="0"/>
        <w:kinsoku/>
        <w:wordWrap/>
        <w:overflowPunct/>
        <w:topLinePunct w:val="0"/>
        <w:autoSpaceDE/>
        <w:autoSpaceDN/>
        <w:bidi w:val="0"/>
        <w:adjustRightInd/>
        <w:snapToGrid/>
        <w:spacing w:before="50" w:after="60"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6、每次送货到交货地方和卸货离开后，须经过污泥项目厂内的电子地磅进行称重，实际供货数量以污泥项目电子地磅出具的称重单为准。</w:t>
      </w:r>
    </w:p>
    <w:p w14:paraId="0940CCA4">
      <w:pPr>
        <w:keepNext w:val="0"/>
        <w:keepLines w:val="0"/>
        <w:pageBreakBefore w:val="0"/>
        <w:widowControl w:val="0"/>
        <w:kinsoku/>
        <w:wordWrap/>
        <w:overflowPunct/>
        <w:topLinePunct w:val="0"/>
        <w:autoSpaceDE/>
        <w:autoSpaceDN/>
        <w:bidi w:val="0"/>
        <w:adjustRightInd/>
        <w:snapToGrid/>
        <w:spacing w:before="50" w:after="60"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到货验收时，供货单位必须提供货物的出厂证明、产品合格证等证明文件。每批货物须经采购人检验合格后方可办理相关到货手续。供货单位提供的货物如不能通过采购人验收的，供货单位应该按照采购人要求无条件予以退换货，并承担相应责任和费用。</w:t>
      </w:r>
    </w:p>
    <w:p w14:paraId="2973B255">
      <w:pPr>
        <w:keepNext w:val="0"/>
        <w:keepLines w:val="0"/>
        <w:pageBreakBefore w:val="0"/>
        <w:widowControl w:val="0"/>
        <w:kinsoku/>
        <w:wordWrap/>
        <w:overflowPunct/>
        <w:topLinePunct w:val="0"/>
        <w:autoSpaceDE/>
        <w:autoSpaceDN/>
        <w:bidi w:val="0"/>
        <w:adjustRightInd/>
        <w:snapToGrid/>
        <w:spacing w:before="50" w:after="60"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8、未收到采购人正式送货通知前，供货单位无需为合同履行准备工作，因此造成的损失采购人不负任何责任。</w:t>
      </w:r>
    </w:p>
    <w:p w14:paraId="62807AA5">
      <w:pPr>
        <w:keepNext w:val="0"/>
        <w:keepLines w:val="0"/>
        <w:pageBreakBefore w:val="0"/>
        <w:widowControl w:val="0"/>
        <w:kinsoku/>
        <w:wordWrap/>
        <w:overflowPunct/>
        <w:topLinePunct w:val="0"/>
        <w:autoSpaceDE/>
        <w:autoSpaceDN/>
        <w:bidi w:val="0"/>
        <w:adjustRightInd/>
        <w:snapToGrid/>
        <w:spacing w:before="50" w:after="60"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供货期间，采购人有权根据项目实际情况及有关法律法规、政策的规定进行合法变更调整。在变更调整后，供货单位应遵照执行。采购人的实际需求数量以采购人各项目现场每次的供货通知为准，在供货期内供货单位不得因采购人项目现场实际采购数量的减少或增加而要求提供任何形式的补偿或赔偿，或要求采购人按暂定数量采购相应货物。</w:t>
      </w:r>
    </w:p>
    <w:p w14:paraId="2EB5B9F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四、验收要求</w:t>
      </w:r>
    </w:p>
    <w:p w14:paraId="17BF9CAE">
      <w:pPr>
        <w:keepNext w:val="0"/>
        <w:keepLines w:val="0"/>
        <w:pageBreakBefore w:val="0"/>
        <w:widowControl w:val="0"/>
        <w:kinsoku/>
        <w:wordWrap/>
        <w:overflowPunct/>
        <w:topLinePunct w:val="0"/>
        <w:autoSpaceDE/>
        <w:autoSpaceDN/>
        <w:bidi w:val="0"/>
        <w:adjustRightInd/>
        <w:snapToGrid/>
        <w:spacing w:before="50" w:after="60"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1、验收分为货到交货地点的初步验收和货物检验合格后的最终验收。</w:t>
      </w:r>
    </w:p>
    <w:p w14:paraId="55A72C36">
      <w:pPr>
        <w:keepNext w:val="0"/>
        <w:keepLines w:val="0"/>
        <w:pageBreakBefore w:val="0"/>
        <w:widowControl w:val="0"/>
        <w:kinsoku/>
        <w:wordWrap/>
        <w:overflowPunct/>
        <w:topLinePunct w:val="0"/>
        <w:autoSpaceDE/>
        <w:autoSpaceDN/>
        <w:bidi w:val="0"/>
        <w:adjustRightInd/>
        <w:snapToGrid/>
        <w:spacing w:before="50" w:after="60"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（1）初步验收：</w:t>
      </w:r>
    </w:p>
    <w:p w14:paraId="389C185A">
      <w:pPr>
        <w:keepNext w:val="0"/>
        <w:keepLines w:val="0"/>
        <w:pageBreakBefore w:val="0"/>
        <w:widowControl w:val="0"/>
        <w:kinsoku/>
        <w:wordWrap/>
        <w:overflowPunct/>
        <w:topLinePunct w:val="0"/>
        <w:autoSpaceDE/>
        <w:autoSpaceDN/>
        <w:bidi w:val="0"/>
        <w:adjustRightInd/>
        <w:snapToGrid/>
        <w:spacing w:before="50" w:after="60"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货物运抵交货地点，采购人、供货单位共同验货。采购人按照本项目合同及用户需求书，对货物的数量、品种、随车产品质量检验报告（包含本需求书表1的全部技术指标）、产品合格证、供货单据等进行核对。</w:t>
      </w:r>
    </w:p>
    <w:p w14:paraId="53E5EAF9">
      <w:pPr>
        <w:keepNext w:val="0"/>
        <w:keepLines w:val="0"/>
        <w:pageBreakBefore w:val="0"/>
        <w:widowControl w:val="0"/>
        <w:kinsoku/>
        <w:wordWrap/>
        <w:overflowPunct/>
        <w:topLinePunct w:val="0"/>
        <w:autoSpaceDE/>
        <w:autoSpaceDN/>
        <w:bidi w:val="0"/>
        <w:adjustRightInd/>
        <w:snapToGrid/>
        <w:spacing w:before="50" w:after="60"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核对完成后，双方对随车产品质量检验报告、供货单据进行书面签字确认视为完成初步验收，初步验收仅限于双方共同对中标人所供货物数量、品种、随车产品质量检验报告、供货单据等符合合同技术指标要求的书面确认。</w:t>
      </w:r>
    </w:p>
    <w:p w14:paraId="06260011">
      <w:pPr>
        <w:keepNext w:val="0"/>
        <w:keepLines w:val="0"/>
        <w:pageBreakBefore w:val="0"/>
        <w:widowControl w:val="0"/>
        <w:kinsoku/>
        <w:wordWrap/>
        <w:overflowPunct/>
        <w:topLinePunct w:val="0"/>
        <w:autoSpaceDE/>
        <w:autoSpaceDN/>
        <w:bidi w:val="0"/>
        <w:adjustRightInd/>
        <w:snapToGrid/>
        <w:spacing w:before="50" w:after="60"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（2）最终验收</w:t>
      </w:r>
    </w:p>
    <w:p w14:paraId="42D8A48F">
      <w:pPr>
        <w:keepNext w:val="0"/>
        <w:keepLines w:val="0"/>
        <w:pageBreakBefore w:val="0"/>
        <w:widowControl w:val="0"/>
        <w:kinsoku/>
        <w:wordWrap/>
        <w:overflowPunct/>
        <w:topLinePunct w:val="0"/>
        <w:autoSpaceDE/>
        <w:autoSpaceDN/>
        <w:bidi w:val="0"/>
        <w:adjustRightInd/>
        <w:snapToGrid/>
        <w:spacing w:before="50" w:after="60"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采购人对每次供货货物检验，检验指标由采购人在根据需要选择，货物按需检验指标由采购人根据采购人关于药剂的管理制度及要求适时调整。每次货到现场时可由双方共同取样，供货货物合格判定以采购人实验室检验结果为准。采购人根据需要可委托具有检测产品CMA认证资质的第三方检测机构检测，采购人委托的具有检测产品CMA认证资质的第三方检测机构的检验结果与采购人实验室不一致的，该次的供货货物质量判定以采购人委托的具有检测产品CMA认证资质的第三方检测机构的检验结果为准。</w:t>
      </w:r>
    </w:p>
    <w:p w14:paraId="3E6656E4">
      <w:pPr>
        <w:keepNext w:val="0"/>
        <w:keepLines w:val="0"/>
        <w:pageBreakBefore w:val="0"/>
        <w:widowControl w:val="0"/>
        <w:kinsoku/>
        <w:wordWrap/>
        <w:overflowPunct/>
        <w:topLinePunct w:val="0"/>
        <w:autoSpaceDE/>
        <w:autoSpaceDN/>
        <w:bidi w:val="0"/>
        <w:adjustRightInd/>
        <w:snapToGrid/>
        <w:spacing w:before="50" w:after="60"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2)供货期间，如有发布最新的行业标准或国家标准，货物检验方法按发布的最新行业标准或国家标准执行。</w:t>
      </w:r>
    </w:p>
    <w:p w14:paraId="1C4A2F3F">
      <w:pPr>
        <w:keepNext w:val="0"/>
        <w:keepLines w:val="0"/>
        <w:pageBreakBefore w:val="0"/>
        <w:widowControl w:val="0"/>
        <w:kinsoku/>
        <w:wordWrap/>
        <w:overflowPunct/>
        <w:topLinePunct w:val="0"/>
        <w:autoSpaceDE/>
        <w:autoSpaceDN/>
        <w:bidi w:val="0"/>
        <w:adjustRightInd/>
        <w:snapToGrid/>
        <w:spacing w:before="50" w:after="60"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货物按上述程序验收后，采购人向供货单位出具书面的验收报告并由双方对验收报告共同签字确认，且供货单位需对验收报告加盖公章或业务章确认，验收报告(模板)见用户需求书附件。验收报告作为对货物供货数量及主要技术指标验收的证明，不代表对货物使用效果的认可。</w:t>
      </w:r>
    </w:p>
    <w:p w14:paraId="109D18D3">
      <w:pPr>
        <w:keepNext w:val="0"/>
        <w:keepLines w:val="0"/>
        <w:pageBreakBefore w:val="0"/>
        <w:widowControl w:val="0"/>
        <w:kinsoku/>
        <w:wordWrap/>
        <w:overflowPunct/>
        <w:topLinePunct w:val="0"/>
        <w:autoSpaceDE/>
        <w:autoSpaceDN/>
        <w:bidi w:val="0"/>
        <w:adjustRightInd/>
        <w:snapToGrid/>
        <w:spacing w:before="50" w:after="60"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3、采购人根据本条规定对货物所做出的验收，仅作为起算付款及质保期之用，不视为双方对于货物质量的最终认可，供货单位仍应在质保期内对产品质量承担保证责任。</w:t>
      </w:r>
    </w:p>
    <w:p w14:paraId="74B2624E">
      <w:pPr>
        <w:keepNext w:val="0"/>
        <w:keepLines w:val="0"/>
        <w:pageBreakBefore w:val="0"/>
        <w:widowControl w:val="0"/>
        <w:kinsoku/>
        <w:wordWrap/>
        <w:overflowPunct/>
        <w:topLinePunct w:val="0"/>
        <w:autoSpaceDE/>
        <w:autoSpaceDN/>
        <w:bidi w:val="0"/>
        <w:adjustRightInd/>
        <w:snapToGrid/>
        <w:spacing w:before="50" w:after="60"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货物在经最终验收合格前，其损耗、毁损、灭失等风险及责任由供货单位承担，如因发生前述情形，导致供货单位所提供的货物不能通过采购人验收的，供货单位应按采购人要求无条件予以退换货，给采购人造成损失的供货单位须承担全部的赔偿责任。</w:t>
      </w:r>
    </w:p>
    <w:p w14:paraId="1D7B556D">
      <w:pPr>
        <w:keepNext w:val="0"/>
        <w:keepLines w:val="0"/>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b/>
          <w:kern w:val="2"/>
          <w:sz w:val="21"/>
          <w:szCs w:val="21"/>
          <w:highlight w:val="none"/>
        </w:rPr>
      </w:pPr>
      <w:r>
        <w:rPr>
          <w:rFonts w:hint="eastAsia" w:ascii="宋体" w:hAnsi="宋体" w:eastAsia="宋体" w:cs="宋体"/>
          <w:b/>
          <w:kern w:val="2"/>
          <w:sz w:val="21"/>
          <w:szCs w:val="21"/>
          <w:lang w:val="en-US" w:eastAsia="zh-CN"/>
        </w:rPr>
        <w:t>五</w:t>
      </w:r>
      <w:r>
        <w:rPr>
          <w:rFonts w:hint="eastAsia" w:ascii="宋体" w:hAnsi="宋体" w:eastAsia="宋体" w:cs="宋体"/>
          <w:b/>
          <w:kern w:val="2"/>
          <w:sz w:val="21"/>
          <w:szCs w:val="21"/>
        </w:rPr>
        <w:t>、质量</w:t>
      </w:r>
      <w:r>
        <w:rPr>
          <w:rFonts w:hint="eastAsia" w:ascii="宋体" w:hAnsi="宋体" w:eastAsia="宋体" w:cs="宋体"/>
          <w:b/>
          <w:kern w:val="2"/>
          <w:sz w:val="21"/>
          <w:szCs w:val="21"/>
          <w:highlight w:val="none"/>
        </w:rPr>
        <w:t>保证及售后要求</w:t>
      </w:r>
    </w:p>
    <w:p w14:paraId="3D297CE9">
      <w:pPr>
        <w:keepNext w:val="0"/>
        <w:keepLines w:val="0"/>
        <w:pageBreakBefore w:val="0"/>
        <w:widowControl w:val="0"/>
        <w:kinsoku/>
        <w:wordWrap/>
        <w:overflowPunct/>
        <w:topLinePunct w:val="0"/>
        <w:autoSpaceDE/>
        <w:autoSpaceDN/>
        <w:bidi w:val="0"/>
        <w:adjustRightInd/>
        <w:snapToGrid/>
        <w:spacing w:before="50" w:after="60"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1、保质期：以货到现场之日起计不少于三个月，保质期内产品质量须达到用户需求书所有技术指标要求。</w:t>
      </w:r>
    </w:p>
    <w:p w14:paraId="53C90C71">
      <w:pPr>
        <w:keepNext w:val="0"/>
        <w:keepLines w:val="0"/>
        <w:pageBreakBefore w:val="0"/>
        <w:widowControl w:val="0"/>
        <w:kinsoku/>
        <w:wordWrap/>
        <w:overflowPunct/>
        <w:topLinePunct w:val="0"/>
        <w:autoSpaceDE/>
        <w:autoSpaceDN/>
        <w:bidi w:val="0"/>
        <w:adjustRightInd/>
        <w:snapToGrid/>
        <w:spacing w:before="50" w:after="60"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2、供货单位应具有相应的技术人员，具备供货及售前售后的服务能力。</w:t>
      </w:r>
    </w:p>
    <w:p w14:paraId="7DADED04">
      <w:pPr>
        <w:keepNext w:val="0"/>
        <w:keepLines w:val="0"/>
        <w:pageBreakBefore w:val="0"/>
        <w:widowControl w:val="0"/>
        <w:kinsoku/>
        <w:wordWrap/>
        <w:overflowPunct/>
        <w:topLinePunct w:val="0"/>
        <w:autoSpaceDE/>
        <w:autoSpaceDN/>
        <w:bidi w:val="0"/>
        <w:adjustRightInd/>
        <w:snapToGrid/>
        <w:spacing w:before="50" w:after="60"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3、供货单位在接到质量问题通知后24小时内自费派工程师到达现场对问题进行处理。</w:t>
      </w:r>
    </w:p>
    <w:p w14:paraId="2BA8545E">
      <w:pPr>
        <w:keepNext w:val="0"/>
        <w:keepLines w:val="0"/>
        <w:pageBreakBefore w:val="0"/>
        <w:widowControl w:val="0"/>
        <w:kinsoku/>
        <w:wordWrap/>
        <w:overflowPunct/>
        <w:topLinePunct w:val="0"/>
        <w:autoSpaceDE/>
        <w:autoSpaceDN/>
        <w:bidi w:val="0"/>
        <w:adjustRightInd/>
        <w:snapToGrid/>
        <w:spacing w:before="50" w:after="60"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在交货或合同履行过程中，若因所交货物（包括但不限于品种、型号、规格、质量）不符合采购人要求、或货物使用过程中出现质量问题，导致供货单位提供的生产药剂不能通过采购人验收的，采购人可拒绝收货或要求供货单位承担退换货责任。原则上供货单位应该在不影响采购人正常生产的情况下，自采购人通知后24小时内无条件予以退换货，采购人不承担因验收造成的货物损耗及运输等一切费用且不对货物承担保管责任，因此产生的费用及风险由供货单位承担。</w:t>
      </w:r>
    </w:p>
    <w:p w14:paraId="45B0AEC8">
      <w:pPr>
        <w:keepNext w:val="0"/>
        <w:keepLines w:val="0"/>
        <w:pageBreakBefore w:val="0"/>
        <w:widowControl w:val="0"/>
        <w:kinsoku/>
        <w:wordWrap/>
        <w:overflowPunct/>
        <w:topLinePunct w:val="0"/>
        <w:autoSpaceDE/>
        <w:autoSpaceDN/>
        <w:bidi w:val="0"/>
        <w:adjustRightInd/>
        <w:snapToGrid/>
        <w:spacing w:before="50" w:after="60"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自采购人通知货物检验不合格或货物使用过程中出现质量问题而要求供货单位按照前述条款进行退换货后24小时内供货单位未将不合格货物运离采购人仓库，采购人可自行或委托第三方对不合格货物进行处置，供货单位须承担采购人处置该次不合格货物所需的全部费用，以及给采购人造成的一切损失。</w:t>
      </w:r>
    </w:p>
    <w:p w14:paraId="1D313D92">
      <w:pPr>
        <w:keepNext w:val="0"/>
        <w:keepLines w:val="0"/>
        <w:pageBreakBefore w:val="0"/>
        <w:widowControl w:val="0"/>
        <w:kinsoku/>
        <w:wordWrap/>
        <w:overflowPunct/>
        <w:topLinePunct w:val="0"/>
        <w:autoSpaceDE/>
        <w:autoSpaceDN/>
        <w:bidi w:val="0"/>
        <w:adjustRightInd/>
        <w:snapToGrid/>
        <w:spacing w:before="50" w:after="60"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6、自采购人通知供货单位货物检验不合格或货物使用过程中出现质量问题后，采购人有权要求供货单位按照加急供货的规定，将等量的合格货物送交采购人，否则按加急供货的违约规定进行处理。</w:t>
      </w:r>
    </w:p>
    <w:p w14:paraId="29E25EA7">
      <w:pPr>
        <w:keepNext w:val="0"/>
        <w:keepLines w:val="0"/>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b/>
          <w:kern w:val="2"/>
          <w:sz w:val="21"/>
          <w:szCs w:val="21"/>
          <w:lang w:val="en-US" w:eastAsia="zh-CN"/>
        </w:rPr>
      </w:pPr>
      <w:r>
        <w:rPr>
          <w:rFonts w:hint="eastAsia" w:ascii="宋体" w:hAnsi="宋体" w:eastAsia="宋体" w:cs="宋体"/>
          <w:b/>
          <w:kern w:val="2"/>
          <w:sz w:val="21"/>
          <w:szCs w:val="21"/>
          <w:lang w:val="en-US" w:eastAsia="zh-CN"/>
        </w:rPr>
        <w:t>六</w:t>
      </w:r>
      <w:r>
        <w:rPr>
          <w:rFonts w:hint="eastAsia" w:ascii="宋体" w:hAnsi="宋体" w:eastAsia="宋体" w:cs="宋体"/>
          <w:b/>
          <w:kern w:val="2"/>
          <w:sz w:val="21"/>
          <w:szCs w:val="21"/>
        </w:rPr>
        <w:t>、</w:t>
      </w:r>
      <w:r>
        <w:rPr>
          <w:rFonts w:hint="eastAsia" w:ascii="宋体" w:hAnsi="宋体" w:eastAsia="宋体" w:cs="宋体"/>
          <w:b/>
          <w:kern w:val="2"/>
          <w:sz w:val="21"/>
          <w:szCs w:val="21"/>
          <w:lang w:val="en-US" w:eastAsia="zh-CN"/>
        </w:rPr>
        <w:t>付款方式</w:t>
      </w:r>
    </w:p>
    <w:p w14:paraId="3A9D0BB4">
      <w:pPr>
        <w:keepNext w:val="0"/>
        <w:keepLines w:val="0"/>
        <w:pageBreakBefore w:val="0"/>
        <w:widowControl w:val="0"/>
        <w:kinsoku/>
        <w:wordWrap/>
        <w:overflowPunct/>
        <w:topLinePunct w:val="0"/>
        <w:autoSpaceDE/>
        <w:autoSpaceDN/>
        <w:bidi w:val="0"/>
        <w:adjustRightInd/>
        <w:snapToGrid/>
        <w:spacing w:before="50" w:after="60"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1、货物的款项按月支付，在收到货物并最终验收合格后，每月中旬办理支付上月实际供货量的100%货款。</w:t>
      </w:r>
    </w:p>
    <w:p w14:paraId="53559B5C">
      <w:pPr>
        <w:keepNext w:val="0"/>
        <w:keepLines w:val="0"/>
        <w:pageBreakBefore w:val="0"/>
        <w:widowControl w:val="0"/>
        <w:kinsoku/>
        <w:wordWrap/>
        <w:overflowPunct/>
        <w:topLinePunct w:val="0"/>
        <w:autoSpaceDE/>
        <w:autoSpaceDN/>
        <w:bidi w:val="0"/>
        <w:adjustRightInd/>
        <w:snapToGrid/>
        <w:spacing w:before="50" w:after="60"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2、每次付款前，投标人需提交请款报告和增值税专用发票，招标人在收到请款报告和增值税专用发票后30 个工作日内支付货款。</w:t>
      </w:r>
    </w:p>
    <w:p w14:paraId="3876BEC2">
      <w:pPr>
        <w:keepNext w:val="0"/>
        <w:keepLines w:val="0"/>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b/>
          <w:bCs w:val="0"/>
          <w:kern w:val="2"/>
          <w:sz w:val="21"/>
          <w:szCs w:val="21"/>
          <w:lang w:val="en-US" w:eastAsia="zh-CN"/>
        </w:rPr>
      </w:pPr>
      <w:r>
        <w:rPr>
          <w:rFonts w:hint="eastAsia" w:ascii="宋体" w:hAnsi="宋体" w:eastAsia="宋体" w:cs="宋体"/>
          <w:b/>
          <w:bCs w:val="0"/>
          <w:kern w:val="2"/>
          <w:sz w:val="21"/>
          <w:szCs w:val="21"/>
          <w:lang w:val="en-US" w:eastAsia="zh-CN"/>
        </w:rPr>
        <w:t>七、其他要求</w:t>
      </w:r>
    </w:p>
    <w:p w14:paraId="1EA86D35">
      <w:pPr>
        <w:keepNext w:val="0"/>
        <w:keepLines w:val="0"/>
        <w:pageBreakBefore w:val="0"/>
        <w:widowControl w:val="0"/>
        <w:kinsoku/>
        <w:wordWrap/>
        <w:overflowPunct/>
        <w:topLinePunct w:val="0"/>
        <w:autoSpaceDE/>
        <w:autoSpaceDN/>
        <w:bidi w:val="0"/>
        <w:adjustRightInd/>
        <w:snapToGrid/>
        <w:spacing w:before="50" w:after="60"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1、本项目采用不含税综合单价进行报价。</w:t>
      </w:r>
    </w:p>
    <w:p w14:paraId="5116746C">
      <w:pPr>
        <w:keepNext w:val="0"/>
        <w:keepLines w:val="0"/>
        <w:pageBreakBefore w:val="0"/>
        <w:widowControl w:val="0"/>
        <w:kinsoku/>
        <w:wordWrap/>
        <w:overflowPunct/>
        <w:topLinePunct w:val="0"/>
        <w:autoSpaceDE/>
        <w:autoSpaceDN/>
        <w:bidi w:val="0"/>
        <w:adjustRightInd/>
        <w:snapToGrid/>
        <w:spacing w:before="50" w:after="60" w:line="360" w:lineRule="auto"/>
        <w:ind w:firstLine="420" w:firstLineChars="200"/>
        <w:jc w:val="both"/>
        <w:textAlignment w:val="auto"/>
        <w:rPr>
          <w:rFonts w:hint="eastAsia" w:ascii="宋体" w:hAnsi="宋体" w:eastAsia="宋体" w:cs="宋体"/>
          <w:b w:val="0"/>
          <w:bCs/>
          <w:kern w:val="2"/>
          <w:sz w:val="21"/>
          <w:szCs w:val="21"/>
          <w:lang w:val="en-US" w:eastAsia="zh-CN"/>
        </w:rPr>
      </w:pPr>
      <w:r>
        <w:rPr>
          <w:rFonts w:hint="eastAsia" w:ascii="宋体" w:hAnsi="宋体" w:eastAsia="宋体" w:cs="宋体"/>
          <w:sz w:val="21"/>
          <w:szCs w:val="21"/>
          <w:lang w:val="en-US" w:eastAsia="zh-CN"/>
        </w:rPr>
        <w:t>2、采购人每月在付款手续前对供货单位的履约情况进行评价，填写《供应商履约评价表》。考核评分满分为100分，考核评分分数低于80分、达到60分时，供货单位应按该月货物含税结算货款的20%向采购人支付违约金；考核评分分数低于60分时，供货单位应按该月货物含税结算货款的30%向采购人支付违约金。若供货期内累计出现3次（含）以上评审结论为不合格的，采购人有权取消供货单位的供货资格并单方解除合同</w:t>
      </w:r>
      <w:r>
        <w:rPr>
          <w:rFonts w:hint="eastAsia" w:ascii="宋体" w:hAnsi="宋体" w:eastAsia="宋体" w:cs="宋体"/>
          <w:b w:val="0"/>
          <w:bCs/>
          <w:kern w:val="2"/>
          <w:sz w:val="21"/>
          <w:szCs w:val="21"/>
          <w:lang w:val="en-US" w:eastAsia="zh-CN"/>
        </w:rPr>
        <w:t>。</w:t>
      </w:r>
    </w:p>
    <w:p w14:paraId="58C15FB3">
      <w:pPr>
        <w:pStyle w:val="5"/>
        <w:rPr>
          <w:rFonts w:hint="eastAsia" w:ascii="宋体" w:hAnsi="宋体" w:eastAsia="宋体" w:cs="宋体"/>
          <w:sz w:val="21"/>
          <w:szCs w:val="21"/>
          <w:lang w:val="zh-CN"/>
        </w:rPr>
      </w:pPr>
    </w:p>
    <w:p w14:paraId="0C2A3377">
      <w:pPr>
        <w:keepNext w:val="0"/>
        <w:keepLines w:val="0"/>
        <w:pageBreakBefore/>
        <w:widowControl w:val="0"/>
        <w:kinsoku/>
        <w:wordWrap/>
        <w:overflowPunct/>
        <w:topLinePunct w:val="0"/>
        <w:autoSpaceDE w:val="0"/>
        <w:autoSpaceDN w:val="0"/>
        <w:bidi w:val="0"/>
        <w:adjustRightInd w:val="0"/>
        <w:snapToGrid/>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验收报告</w:t>
      </w:r>
    </w:p>
    <w:tbl>
      <w:tblPr>
        <w:tblStyle w:val="22"/>
        <w:tblpPr w:leftFromText="180" w:rightFromText="180" w:vertAnchor="text" w:horzAnchor="page" w:tblpXSpec="center" w:tblpY="292"/>
        <w:tblOverlap w:val="never"/>
        <w:tblW w:w="10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1"/>
        <w:gridCol w:w="1072"/>
        <w:gridCol w:w="1572"/>
        <w:gridCol w:w="1572"/>
        <w:gridCol w:w="1572"/>
        <w:gridCol w:w="632"/>
        <w:gridCol w:w="940"/>
        <w:gridCol w:w="1576"/>
      </w:tblGrid>
      <w:tr w14:paraId="4CCEC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8DDC153">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合同名称</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3A0F57BD">
            <w:pPr>
              <w:widowControl/>
              <w:jc w:val="center"/>
              <w:textAlignment w:val="center"/>
              <w:rPr>
                <w:rFonts w:hint="eastAsia" w:ascii="宋体" w:hAnsi="宋体" w:eastAsia="宋体" w:cs="宋体"/>
                <w:b/>
                <w:color w:val="000000"/>
                <w:sz w:val="21"/>
                <w:szCs w:val="21"/>
              </w:rPr>
            </w:pPr>
          </w:p>
        </w:tc>
      </w:tr>
      <w:tr w14:paraId="1D917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7BF5768">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合同编号</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2E093CD">
            <w:pPr>
              <w:widowControl/>
              <w:jc w:val="center"/>
              <w:textAlignment w:val="center"/>
              <w:rPr>
                <w:rFonts w:hint="eastAsia" w:ascii="宋体" w:hAnsi="宋体" w:eastAsia="宋体" w:cs="宋体"/>
                <w:b/>
                <w:color w:val="000000"/>
                <w:sz w:val="21"/>
                <w:szCs w:val="21"/>
              </w:rPr>
            </w:pPr>
          </w:p>
        </w:tc>
      </w:tr>
      <w:tr w14:paraId="7E019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034E576">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供货单位</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3105E2D">
            <w:pPr>
              <w:widowControl/>
              <w:jc w:val="center"/>
              <w:textAlignment w:val="center"/>
              <w:rPr>
                <w:rFonts w:hint="eastAsia" w:ascii="宋体" w:hAnsi="宋体" w:eastAsia="宋体" w:cs="宋体"/>
                <w:b/>
                <w:color w:val="000000"/>
                <w:sz w:val="21"/>
                <w:szCs w:val="21"/>
              </w:rPr>
            </w:pPr>
          </w:p>
        </w:tc>
      </w:tr>
      <w:tr w14:paraId="43EDA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B68E20B">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合同供货期</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BF567F4">
            <w:pPr>
              <w:widowControl/>
              <w:jc w:val="center"/>
              <w:textAlignment w:val="center"/>
              <w:rPr>
                <w:rFonts w:hint="eastAsia" w:ascii="宋体" w:hAnsi="宋体" w:eastAsia="宋体" w:cs="宋体"/>
                <w:b/>
                <w:color w:val="000000"/>
                <w:sz w:val="21"/>
                <w:szCs w:val="21"/>
              </w:rPr>
            </w:pPr>
          </w:p>
        </w:tc>
      </w:tr>
      <w:tr w14:paraId="1B4E9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31C304E2">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药剂名称</w:t>
            </w:r>
          </w:p>
        </w:tc>
        <w:tc>
          <w:tcPr>
            <w:tcW w:w="314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5FA4E72">
            <w:pPr>
              <w:widowControl/>
              <w:jc w:val="center"/>
              <w:textAlignment w:val="center"/>
              <w:rPr>
                <w:rFonts w:hint="eastAsia" w:ascii="宋体" w:hAnsi="宋体" w:eastAsia="宋体" w:cs="宋体"/>
                <w:b/>
                <w:color w:val="000000"/>
                <w:sz w:val="21"/>
                <w:szCs w:val="21"/>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1C2889C">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品    牌</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37F9EEA6">
            <w:pPr>
              <w:widowControl/>
              <w:jc w:val="center"/>
              <w:textAlignment w:val="center"/>
              <w:rPr>
                <w:rFonts w:hint="eastAsia" w:ascii="宋体" w:hAnsi="宋体" w:eastAsia="宋体" w:cs="宋体"/>
                <w:b/>
                <w:color w:val="000000"/>
                <w:sz w:val="21"/>
                <w:szCs w:val="21"/>
              </w:rPr>
            </w:pPr>
          </w:p>
        </w:tc>
      </w:tr>
      <w:tr w14:paraId="2864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D4CD273">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供货时间</w:t>
            </w:r>
          </w:p>
        </w:tc>
        <w:tc>
          <w:tcPr>
            <w:tcW w:w="314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B9D2F74">
            <w:pPr>
              <w:widowControl/>
              <w:jc w:val="center"/>
              <w:textAlignment w:val="center"/>
              <w:rPr>
                <w:rFonts w:hint="eastAsia" w:ascii="宋体" w:hAnsi="宋体" w:eastAsia="宋体" w:cs="宋体"/>
                <w:b/>
                <w:color w:val="000000"/>
                <w:sz w:val="21"/>
                <w:szCs w:val="21"/>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7B396A10">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供货数量（吨）</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D89F3F1">
            <w:pPr>
              <w:widowControl/>
              <w:jc w:val="center"/>
              <w:textAlignment w:val="center"/>
              <w:rPr>
                <w:rFonts w:hint="eastAsia" w:ascii="宋体" w:hAnsi="宋体" w:eastAsia="宋体" w:cs="宋体"/>
                <w:b/>
                <w:color w:val="000000"/>
                <w:sz w:val="21"/>
                <w:szCs w:val="21"/>
              </w:rPr>
            </w:pPr>
          </w:p>
        </w:tc>
      </w:tr>
      <w:tr w14:paraId="6C6BB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25EA125">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序号</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7AC7B93">
            <w:pPr>
              <w:widowControl/>
              <w:jc w:val="center"/>
              <w:textAlignment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指标信息</w:t>
            </w: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C994C80">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合同值</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FA86D9F">
            <w:pPr>
              <w:widowControl/>
              <w:jc w:val="center"/>
              <w:textAlignment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检测值</w:t>
            </w:r>
          </w:p>
        </w:tc>
      </w:tr>
      <w:tr w14:paraId="4CAB1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C80A6DC">
            <w:pPr>
              <w:widowControl/>
              <w:jc w:val="center"/>
              <w:textAlignment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1</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73FAA175">
            <w:pPr>
              <w:widowControl/>
              <w:jc w:val="center"/>
              <w:textAlignment w:val="center"/>
              <w:rPr>
                <w:rFonts w:hint="eastAsia" w:ascii="宋体" w:hAnsi="宋体" w:eastAsia="宋体" w:cs="宋体"/>
                <w:b/>
                <w:bCs/>
                <w:color w:val="000000"/>
                <w:sz w:val="21"/>
                <w:szCs w:val="21"/>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734EE12F">
            <w:pPr>
              <w:widowControl/>
              <w:jc w:val="center"/>
              <w:textAlignment w:val="center"/>
              <w:rPr>
                <w:rFonts w:hint="eastAsia" w:ascii="宋体" w:hAnsi="宋体" w:eastAsia="宋体" w:cs="宋体"/>
                <w:b/>
                <w:color w:val="000000"/>
                <w:sz w:val="21"/>
                <w:szCs w:val="21"/>
              </w:rPr>
            </w:pP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321F5C74">
            <w:pPr>
              <w:widowControl/>
              <w:jc w:val="center"/>
              <w:textAlignment w:val="center"/>
              <w:rPr>
                <w:rFonts w:hint="eastAsia" w:ascii="宋体" w:hAnsi="宋体" w:eastAsia="宋体" w:cs="宋体"/>
                <w:color w:val="000000"/>
                <w:sz w:val="21"/>
                <w:szCs w:val="21"/>
              </w:rPr>
            </w:pPr>
          </w:p>
        </w:tc>
      </w:tr>
      <w:tr w14:paraId="625C4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2972C68">
            <w:pPr>
              <w:widowControl/>
              <w:jc w:val="center"/>
              <w:textAlignment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2</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28C30B2">
            <w:pPr>
              <w:widowControl/>
              <w:jc w:val="center"/>
              <w:textAlignment w:val="center"/>
              <w:rPr>
                <w:rFonts w:hint="eastAsia" w:ascii="宋体" w:hAnsi="宋体" w:eastAsia="宋体" w:cs="宋体"/>
                <w:b/>
                <w:bCs/>
                <w:color w:val="000000"/>
                <w:sz w:val="21"/>
                <w:szCs w:val="21"/>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62035CA">
            <w:pPr>
              <w:widowControl/>
              <w:jc w:val="center"/>
              <w:textAlignment w:val="center"/>
              <w:rPr>
                <w:rFonts w:hint="eastAsia" w:ascii="宋体" w:hAnsi="宋体" w:eastAsia="宋体" w:cs="宋体"/>
                <w:b/>
                <w:color w:val="000000"/>
                <w:sz w:val="21"/>
                <w:szCs w:val="21"/>
              </w:rPr>
            </w:pP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CAA60DC">
            <w:pPr>
              <w:widowControl/>
              <w:jc w:val="center"/>
              <w:textAlignment w:val="center"/>
              <w:rPr>
                <w:rFonts w:hint="eastAsia" w:ascii="宋体" w:hAnsi="宋体" w:eastAsia="宋体" w:cs="宋体"/>
                <w:color w:val="000000"/>
                <w:sz w:val="21"/>
                <w:szCs w:val="21"/>
              </w:rPr>
            </w:pPr>
          </w:p>
        </w:tc>
      </w:tr>
      <w:tr w14:paraId="560C3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78D8113">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验收结论</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12EB11D">
            <w:pPr>
              <w:widowControl/>
              <w:jc w:val="center"/>
              <w:textAlignment w:val="center"/>
              <w:rPr>
                <w:rFonts w:hint="eastAsia" w:ascii="宋体" w:hAnsi="宋体" w:eastAsia="宋体" w:cs="宋体"/>
                <w:color w:val="000000"/>
                <w:sz w:val="21"/>
                <w:szCs w:val="21"/>
              </w:rPr>
            </w:pPr>
          </w:p>
        </w:tc>
      </w:tr>
      <w:tr w14:paraId="2C787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1ADCF53">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备注</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7F706B4E">
            <w:pPr>
              <w:widowControl/>
              <w:jc w:val="center"/>
              <w:textAlignment w:val="center"/>
              <w:rPr>
                <w:rFonts w:hint="eastAsia" w:ascii="宋体" w:hAnsi="宋体" w:eastAsia="宋体" w:cs="宋体"/>
                <w:color w:val="000000"/>
                <w:sz w:val="21"/>
                <w:szCs w:val="21"/>
              </w:rPr>
            </w:pPr>
          </w:p>
        </w:tc>
      </w:tr>
      <w:tr w14:paraId="706AE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2483A36">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合同单价</w:t>
            </w: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3ECB4CF">
            <w:pPr>
              <w:widowControl/>
              <w:jc w:val="center"/>
              <w:textAlignment w:val="center"/>
              <w:rPr>
                <w:rFonts w:hint="eastAsia" w:ascii="宋体" w:hAnsi="宋体" w:eastAsia="宋体" w:cs="宋体"/>
                <w:color w:val="000000"/>
                <w:sz w:val="21"/>
                <w:szCs w:val="21"/>
              </w:rPr>
            </w:pP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39A0BAF">
            <w:pPr>
              <w:widowControl/>
              <w:jc w:val="center"/>
              <w:textAlignment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验收单价</w:t>
            </w: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F780EA2">
            <w:pPr>
              <w:widowControl/>
              <w:jc w:val="center"/>
              <w:textAlignment w:val="center"/>
              <w:rPr>
                <w:rFonts w:hint="eastAsia" w:ascii="宋体" w:hAnsi="宋体" w:eastAsia="宋体" w:cs="宋体"/>
                <w:color w:val="000000"/>
                <w:sz w:val="21"/>
                <w:szCs w:val="21"/>
              </w:rPr>
            </w:pPr>
          </w:p>
        </w:tc>
        <w:tc>
          <w:tcPr>
            <w:tcW w:w="1572"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70197FFA">
            <w:pPr>
              <w:widowControl/>
              <w:jc w:val="center"/>
              <w:textAlignment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验收金额</w:t>
            </w:r>
          </w:p>
        </w:tc>
        <w:tc>
          <w:tcPr>
            <w:tcW w:w="1576"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C25F6C2">
            <w:pPr>
              <w:widowControl/>
              <w:jc w:val="center"/>
              <w:textAlignment w:val="center"/>
              <w:rPr>
                <w:rFonts w:hint="eastAsia" w:ascii="宋体" w:hAnsi="宋体" w:eastAsia="宋体" w:cs="宋体"/>
                <w:color w:val="000000"/>
                <w:sz w:val="21"/>
                <w:szCs w:val="21"/>
              </w:rPr>
            </w:pPr>
          </w:p>
        </w:tc>
      </w:tr>
      <w:tr w14:paraId="2BEC7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1" w:hRule="atLeast"/>
          <w:jc w:val="center"/>
        </w:trPr>
        <w:tc>
          <w:tcPr>
            <w:tcW w:w="5287" w:type="dxa"/>
            <w:gridSpan w:val="4"/>
            <w:shd w:val="clear" w:color="auto" w:fill="auto"/>
            <w:noWrap/>
            <w:tcMar>
              <w:top w:w="15" w:type="dxa"/>
              <w:left w:w="15" w:type="dxa"/>
              <w:right w:w="15" w:type="dxa"/>
            </w:tcMar>
          </w:tcPr>
          <w:p w14:paraId="07E9D79E">
            <w:pPr>
              <w:jc w:val="center"/>
              <w:rPr>
                <w:rFonts w:hint="eastAsia" w:ascii="宋体" w:hAnsi="宋体" w:eastAsia="宋体" w:cs="宋体"/>
                <w:b/>
                <w:bCs/>
                <w:sz w:val="21"/>
                <w:szCs w:val="21"/>
              </w:rPr>
            </w:pPr>
          </w:p>
          <w:p w14:paraId="41681FD5">
            <w:pPr>
              <w:widowControl/>
              <w:ind w:firstLine="211" w:firstLineChars="100"/>
              <w:jc w:val="left"/>
              <w:textAlignment w:val="center"/>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验收单位：</w:t>
            </w:r>
          </w:p>
          <w:p w14:paraId="2D1F162C">
            <w:pPr>
              <w:widowControl/>
              <w:ind w:firstLine="0" w:firstLineChars="0"/>
              <w:jc w:val="left"/>
              <w:textAlignment w:val="center"/>
              <w:rPr>
                <w:rFonts w:hint="eastAsia" w:ascii="宋体" w:hAnsi="宋体" w:eastAsia="宋体" w:cs="宋体"/>
                <w:b/>
                <w:bCs w:val="0"/>
                <w:color w:val="000000"/>
                <w:sz w:val="21"/>
                <w:szCs w:val="21"/>
              </w:rPr>
            </w:pPr>
          </w:p>
          <w:p w14:paraId="232A9D99">
            <w:pPr>
              <w:widowControl/>
              <w:ind w:firstLine="211" w:firstLineChars="100"/>
              <w:jc w:val="left"/>
              <w:textAlignment w:val="center"/>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生产主管（签名）：</w:t>
            </w:r>
          </w:p>
          <w:p w14:paraId="42B1B71E">
            <w:pPr>
              <w:widowControl/>
              <w:ind w:firstLine="0" w:firstLineChars="0"/>
              <w:jc w:val="left"/>
              <w:textAlignment w:val="center"/>
              <w:rPr>
                <w:rFonts w:hint="eastAsia" w:ascii="宋体" w:hAnsi="宋体" w:eastAsia="宋体" w:cs="宋体"/>
                <w:b/>
                <w:bCs w:val="0"/>
                <w:color w:val="000000"/>
                <w:sz w:val="21"/>
                <w:szCs w:val="21"/>
              </w:rPr>
            </w:pPr>
          </w:p>
          <w:p w14:paraId="58D35C47">
            <w:pPr>
              <w:widowControl/>
              <w:jc w:val="left"/>
              <w:textAlignment w:val="center"/>
              <w:rPr>
                <w:rFonts w:hint="eastAsia" w:ascii="宋体" w:hAnsi="宋体" w:eastAsia="宋体" w:cs="宋体"/>
                <w:b/>
                <w:bCs/>
                <w:sz w:val="21"/>
                <w:szCs w:val="21"/>
              </w:rPr>
            </w:pPr>
            <w:r>
              <w:rPr>
                <w:rFonts w:hint="eastAsia" w:ascii="宋体" w:hAnsi="宋体" w:eastAsia="宋体" w:cs="宋体"/>
                <w:b/>
                <w:color w:val="000000"/>
                <w:sz w:val="21"/>
                <w:szCs w:val="21"/>
                <w:lang w:val="en-US" w:eastAsia="zh-CN"/>
              </w:rPr>
              <w:t>项目</w:t>
            </w:r>
            <w:r>
              <w:rPr>
                <w:rFonts w:hint="eastAsia" w:ascii="宋体" w:hAnsi="宋体" w:eastAsia="宋体" w:cs="宋体"/>
                <w:b/>
                <w:bCs w:val="0"/>
                <w:color w:val="000000"/>
                <w:sz w:val="21"/>
                <w:szCs w:val="21"/>
              </w:rPr>
              <w:t xml:space="preserve">负责人（签名）： </w:t>
            </w:r>
          </w:p>
        </w:tc>
        <w:tc>
          <w:tcPr>
            <w:tcW w:w="4720" w:type="dxa"/>
            <w:gridSpan w:val="4"/>
            <w:shd w:val="clear" w:color="auto" w:fill="auto"/>
            <w:noWrap/>
            <w:tcMar>
              <w:top w:w="15" w:type="dxa"/>
              <w:left w:w="15" w:type="dxa"/>
              <w:right w:w="15" w:type="dxa"/>
            </w:tcMar>
          </w:tcPr>
          <w:p w14:paraId="165A5F3B">
            <w:pPr>
              <w:jc w:val="center"/>
              <w:rPr>
                <w:rFonts w:hint="eastAsia" w:ascii="宋体" w:hAnsi="宋体" w:eastAsia="宋体" w:cs="宋体"/>
                <w:b/>
                <w:bCs/>
                <w:sz w:val="21"/>
                <w:szCs w:val="21"/>
              </w:rPr>
            </w:pPr>
          </w:p>
          <w:p w14:paraId="0131087D">
            <w:pPr>
              <w:ind w:firstLine="211" w:firstLineChars="100"/>
              <w:jc w:val="left"/>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供货单位（盖章）：</w:t>
            </w:r>
          </w:p>
          <w:p w14:paraId="33FF42AD">
            <w:pPr>
              <w:ind w:firstLine="211" w:firstLineChars="100"/>
              <w:jc w:val="left"/>
              <w:rPr>
                <w:rFonts w:hint="eastAsia" w:ascii="宋体" w:hAnsi="宋体" w:eastAsia="宋体" w:cs="宋体"/>
                <w:b/>
                <w:bCs w:val="0"/>
                <w:color w:val="000000"/>
                <w:sz w:val="21"/>
                <w:szCs w:val="21"/>
                <w:lang w:val="en-US" w:eastAsia="zh-CN"/>
              </w:rPr>
            </w:pPr>
          </w:p>
          <w:p w14:paraId="05CF5C6F">
            <w:pPr>
              <w:ind w:firstLine="211" w:firstLineChars="100"/>
              <w:jc w:val="left"/>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lang w:val="en-US" w:eastAsia="zh-CN"/>
              </w:rPr>
              <w:t>供货单位代表</w:t>
            </w:r>
            <w:r>
              <w:rPr>
                <w:rFonts w:hint="eastAsia" w:ascii="宋体" w:hAnsi="宋体" w:eastAsia="宋体" w:cs="宋体"/>
                <w:b/>
                <w:bCs w:val="0"/>
                <w:color w:val="000000"/>
                <w:sz w:val="21"/>
                <w:szCs w:val="21"/>
              </w:rPr>
              <w:t>（签名）</w:t>
            </w:r>
            <w:r>
              <w:rPr>
                <w:rFonts w:hint="eastAsia" w:ascii="宋体" w:hAnsi="宋体" w:eastAsia="宋体" w:cs="宋体"/>
                <w:b/>
                <w:bCs w:val="0"/>
                <w:color w:val="000000"/>
                <w:sz w:val="21"/>
                <w:szCs w:val="21"/>
                <w:lang w:val="en-US" w:eastAsia="zh-CN"/>
              </w:rPr>
              <w:t>：</w:t>
            </w:r>
          </w:p>
        </w:tc>
      </w:tr>
      <w:tr w14:paraId="4F922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jc w:val="center"/>
        </w:trPr>
        <w:tc>
          <w:tcPr>
            <w:tcW w:w="5287" w:type="dxa"/>
            <w:gridSpan w:val="4"/>
            <w:shd w:val="clear" w:color="auto" w:fill="auto"/>
            <w:noWrap/>
            <w:tcMar>
              <w:top w:w="15" w:type="dxa"/>
              <w:left w:w="15" w:type="dxa"/>
              <w:right w:w="15" w:type="dxa"/>
            </w:tcMar>
            <w:vAlign w:val="center"/>
          </w:tcPr>
          <w:p w14:paraId="4AD636C8">
            <w:pPr>
              <w:ind w:firstLine="422" w:firstLineChars="200"/>
              <w:rPr>
                <w:rFonts w:hint="eastAsia" w:ascii="宋体" w:hAnsi="宋体" w:eastAsia="宋体" w:cs="宋体"/>
                <w:color w:val="000000"/>
                <w:sz w:val="21"/>
                <w:szCs w:val="21"/>
              </w:rPr>
            </w:pPr>
            <w:r>
              <w:rPr>
                <w:rFonts w:hint="eastAsia" w:ascii="宋体" w:hAnsi="宋体" w:eastAsia="宋体" w:cs="宋体"/>
                <w:b/>
                <w:bCs w:val="0"/>
                <w:color w:val="000000"/>
                <w:sz w:val="21"/>
                <w:szCs w:val="21"/>
              </w:rPr>
              <w:t>日期：</w:t>
            </w:r>
          </w:p>
        </w:tc>
        <w:tc>
          <w:tcPr>
            <w:tcW w:w="4720" w:type="dxa"/>
            <w:gridSpan w:val="4"/>
            <w:shd w:val="clear" w:color="auto" w:fill="auto"/>
            <w:noWrap/>
            <w:tcMar>
              <w:top w:w="15" w:type="dxa"/>
              <w:left w:w="15" w:type="dxa"/>
              <w:right w:w="15" w:type="dxa"/>
            </w:tcMar>
            <w:vAlign w:val="center"/>
          </w:tcPr>
          <w:p w14:paraId="7E6CB49A">
            <w:pPr>
              <w:ind w:firstLine="422" w:firstLineChars="200"/>
              <w:rPr>
                <w:rFonts w:hint="eastAsia" w:ascii="宋体" w:hAnsi="宋体" w:eastAsia="宋体" w:cs="宋体"/>
                <w:color w:val="000000"/>
                <w:sz w:val="21"/>
                <w:szCs w:val="21"/>
              </w:rPr>
            </w:pPr>
            <w:r>
              <w:rPr>
                <w:rFonts w:hint="eastAsia" w:ascii="宋体" w:hAnsi="宋体" w:eastAsia="宋体" w:cs="宋体"/>
                <w:b/>
                <w:bCs w:val="0"/>
                <w:color w:val="000000"/>
                <w:sz w:val="21"/>
                <w:szCs w:val="21"/>
              </w:rPr>
              <w:t>日期：</w:t>
            </w:r>
          </w:p>
        </w:tc>
      </w:tr>
    </w:tbl>
    <w:p w14:paraId="59FB457C">
      <w:pPr>
        <w:rPr>
          <w:rFonts w:hint="eastAsia" w:ascii="宋体" w:hAnsi="宋体" w:eastAsia="宋体" w:cs="宋体"/>
          <w:sz w:val="21"/>
          <w:szCs w:val="21"/>
          <w:lang w:val="zh-CN"/>
        </w:rPr>
        <w:sectPr>
          <w:footerReference r:id="rId5" w:type="first"/>
          <w:footerReference r:id="rId4" w:type="default"/>
          <w:pgSz w:w="12240" w:h="15840"/>
          <w:pgMar w:top="1191" w:right="1043" w:bottom="1191" w:left="1043" w:header="720" w:footer="720" w:gutter="0"/>
          <w:cols w:space="720" w:num="1"/>
          <w:titlePg/>
          <w:docGrid w:linePitch="326" w:charSpace="0"/>
        </w:sectPr>
      </w:pPr>
    </w:p>
    <w:p w14:paraId="7A08B3A2">
      <w:pPr>
        <w:spacing w:line="360" w:lineRule="auto"/>
        <w:jc w:val="center"/>
        <w:rPr>
          <w:rFonts w:hint="eastAsia" w:ascii="宋体" w:hAnsi="宋体" w:eastAsia="宋体" w:cs="宋体"/>
          <w:b/>
          <w:sz w:val="21"/>
          <w:szCs w:val="21"/>
          <w:highlight w:val="none"/>
        </w:rPr>
      </w:pPr>
      <w:r>
        <w:rPr>
          <w:rFonts w:hint="eastAsia" w:ascii="宋体" w:hAnsi="宋体" w:eastAsia="宋体" w:cs="宋体"/>
          <w:b/>
          <w:sz w:val="32"/>
          <w:szCs w:val="32"/>
          <w:highlight w:val="none"/>
        </w:rPr>
        <w:t>供应商履约评价表</w:t>
      </w:r>
    </w:p>
    <w:tbl>
      <w:tblPr>
        <w:tblStyle w:val="22"/>
        <w:tblW w:w="9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735"/>
        <w:gridCol w:w="3785"/>
        <w:gridCol w:w="55"/>
        <w:gridCol w:w="1824"/>
        <w:gridCol w:w="733"/>
        <w:gridCol w:w="705"/>
        <w:gridCol w:w="719"/>
        <w:gridCol w:w="6"/>
      </w:tblGrid>
      <w:tr w14:paraId="720F7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160" w:type="dxa"/>
            <w:gridSpan w:val="2"/>
            <w:vAlign w:val="center"/>
          </w:tcPr>
          <w:p w14:paraId="52F54941">
            <w:pPr>
              <w:widowControl/>
              <w:snapToGrid w:val="0"/>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合同名称</w:t>
            </w:r>
          </w:p>
        </w:tc>
        <w:tc>
          <w:tcPr>
            <w:tcW w:w="7821" w:type="dxa"/>
            <w:gridSpan w:val="6"/>
            <w:vAlign w:val="center"/>
          </w:tcPr>
          <w:p w14:paraId="7BB00DA3">
            <w:pPr>
              <w:widowControl/>
              <w:snapToGrid w:val="0"/>
              <w:jc w:val="center"/>
              <w:rPr>
                <w:rFonts w:hint="eastAsia" w:ascii="宋体" w:hAnsi="宋体" w:eastAsia="宋体" w:cs="宋体"/>
                <w:sz w:val="21"/>
                <w:szCs w:val="21"/>
                <w:highlight w:val="none"/>
                <w:lang w:val="en-US" w:eastAsia="zh-CN"/>
              </w:rPr>
            </w:pPr>
          </w:p>
        </w:tc>
      </w:tr>
      <w:tr w14:paraId="6DC28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160" w:type="dxa"/>
            <w:gridSpan w:val="2"/>
            <w:vAlign w:val="center"/>
          </w:tcPr>
          <w:p w14:paraId="361BDE68">
            <w:pPr>
              <w:widowControl/>
              <w:snapToGrid w:val="0"/>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合同编号</w:t>
            </w:r>
          </w:p>
        </w:tc>
        <w:tc>
          <w:tcPr>
            <w:tcW w:w="7821" w:type="dxa"/>
            <w:gridSpan w:val="6"/>
            <w:vAlign w:val="center"/>
          </w:tcPr>
          <w:p w14:paraId="0F191EB9">
            <w:pPr>
              <w:widowControl/>
              <w:snapToGrid w:val="0"/>
              <w:rPr>
                <w:rFonts w:hint="eastAsia" w:ascii="宋体" w:hAnsi="宋体" w:eastAsia="宋体" w:cs="宋体"/>
                <w:sz w:val="21"/>
                <w:szCs w:val="21"/>
                <w:highlight w:val="none"/>
              </w:rPr>
            </w:pPr>
          </w:p>
        </w:tc>
      </w:tr>
      <w:tr w14:paraId="50B62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160" w:type="dxa"/>
            <w:gridSpan w:val="2"/>
            <w:vAlign w:val="center"/>
          </w:tcPr>
          <w:p w14:paraId="49D9C607">
            <w:pPr>
              <w:widowControl/>
              <w:snapToGrid w:val="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甲方名称</w:t>
            </w:r>
          </w:p>
        </w:tc>
        <w:tc>
          <w:tcPr>
            <w:tcW w:w="7821" w:type="dxa"/>
            <w:gridSpan w:val="6"/>
            <w:vAlign w:val="center"/>
          </w:tcPr>
          <w:p w14:paraId="2E792CBA">
            <w:pPr>
              <w:widowControl/>
              <w:snapToGrid w:val="0"/>
              <w:jc w:val="center"/>
              <w:rPr>
                <w:rFonts w:hint="eastAsia" w:ascii="宋体" w:hAnsi="宋体" w:eastAsia="宋体" w:cs="宋体"/>
                <w:sz w:val="21"/>
                <w:szCs w:val="21"/>
                <w:highlight w:val="none"/>
              </w:rPr>
            </w:pPr>
          </w:p>
        </w:tc>
      </w:tr>
      <w:tr w14:paraId="37F17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160" w:type="dxa"/>
            <w:gridSpan w:val="2"/>
            <w:vAlign w:val="center"/>
          </w:tcPr>
          <w:p w14:paraId="5F324300">
            <w:pPr>
              <w:widowControl/>
              <w:snapToGrid w:val="0"/>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供应商</w:t>
            </w:r>
            <w:r>
              <w:rPr>
                <w:rFonts w:hint="eastAsia" w:ascii="宋体" w:hAnsi="宋体" w:eastAsia="宋体" w:cs="宋体"/>
                <w:sz w:val="21"/>
                <w:szCs w:val="21"/>
                <w:highlight w:val="none"/>
              </w:rPr>
              <w:t>名称</w:t>
            </w:r>
          </w:p>
        </w:tc>
        <w:tc>
          <w:tcPr>
            <w:tcW w:w="7821" w:type="dxa"/>
            <w:gridSpan w:val="6"/>
            <w:vAlign w:val="center"/>
          </w:tcPr>
          <w:p w14:paraId="16B3E462">
            <w:pPr>
              <w:widowControl/>
              <w:snapToGrid w:val="0"/>
              <w:jc w:val="center"/>
              <w:rPr>
                <w:rFonts w:hint="eastAsia" w:ascii="宋体" w:hAnsi="宋体" w:eastAsia="宋体" w:cs="宋体"/>
                <w:sz w:val="21"/>
                <w:szCs w:val="21"/>
                <w:highlight w:val="none"/>
              </w:rPr>
            </w:pPr>
          </w:p>
        </w:tc>
      </w:tr>
      <w:tr w14:paraId="27CCC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160" w:type="dxa"/>
            <w:gridSpan w:val="2"/>
            <w:vAlign w:val="center"/>
          </w:tcPr>
          <w:p w14:paraId="08DE68A5">
            <w:pPr>
              <w:widowControl/>
              <w:snapToGrid w:val="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供应货物名称</w:t>
            </w:r>
          </w:p>
        </w:tc>
        <w:tc>
          <w:tcPr>
            <w:tcW w:w="7821" w:type="dxa"/>
            <w:gridSpan w:val="6"/>
            <w:vAlign w:val="center"/>
          </w:tcPr>
          <w:p w14:paraId="2557C54D">
            <w:pPr>
              <w:widowControl/>
              <w:snapToGrid w:val="0"/>
              <w:jc w:val="center"/>
              <w:rPr>
                <w:rFonts w:hint="eastAsia" w:ascii="宋体" w:hAnsi="宋体" w:eastAsia="宋体" w:cs="宋体"/>
                <w:bCs/>
                <w:sz w:val="21"/>
                <w:szCs w:val="21"/>
                <w:highlight w:val="none"/>
              </w:rPr>
            </w:pPr>
          </w:p>
        </w:tc>
      </w:tr>
      <w:tr w14:paraId="0932A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160" w:type="dxa"/>
            <w:gridSpan w:val="2"/>
            <w:vAlign w:val="center"/>
          </w:tcPr>
          <w:p w14:paraId="2FA1F88C">
            <w:pPr>
              <w:widowControl/>
              <w:snapToGrid w:val="0"/>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交货地点</w:t>
            </w:r>
          </w:p>
        </w:tc>
        <w:tc>
          <w:tcPr>
            <w:tcW w:w="7821" w:type="dxa"/>
            <w:gridSpan w:val="6"/>
            <w:vAlign w:val="center"/>
          </w:tcPr>
          <w:p w14:paraId="55B2F08B">
            <w:pPr>
              <w:widowControl/>
              <w:snapToGrid w:val="0"/>
              <w:jc w:val="center"/>
              <w:rPr>
                <w:rFonts w:hint="eastAsia" w:ascii="宋体" w:hAnsi="宋体" w:eastAsia="宋体" w:cs="宋体"/>
                <w:bCs/>
                <w:sz w:val="21"/>
                <w:szCs w:val="21"/>
                <w:highlight w:val="none"/>
              </w:rPr>
            </w:pPr>
          </w:p>
        </w:tc>
      </w:tr>
      <w:tr w14:paraId="5C222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19" w:hRule="atLeast"/>
          <w:jc w:val="center"/>
        </w:trPr>
        <w:tc>
          <w:tcPr>
            <w:tcW w:w="425" w:type="dxa"/>
            <w:vAlign w:val="center"/>
          </w:tcPr>
          <w:p w14:paraId="12C9487C">
            <w:pPr>
              <w:widowControl/>
              <w:snapToGrid w:val="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序号</w:t>
            </w:r>
          </w:p>
        </w:tc>
        <w:tc>
          <w:tcPr>
            <w:tcW w:w="1735" w:type="dxa"/>
            <w:vAlign w:val="center"/>
          </w:tcPr>
          <w:p w14:paraId="4532A554">
            <w:pPr>
              <w:widowControl/>
              <w:snapToGrid w:val="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履约评价项目</w:t>
            </w:r>
          </w:p>
        </w:tc>
        <w:tc>
          <w:tcPr>
            <w:tcW w:w="3785" w:type="dxa"/>
            <w:vAlign w:val="center"/>
          </w:tcPr>
          <w:p w14:paraId="3A0305AB">
            <w:pPr>
              <w:widowControl/>
              <w:snapToGrid w:val="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评价标准</w:t>
            </w:r>
          </w:p>
        </w:tc>
        <w:tc>
          <w:tcPr>
            <w:tcW w:w="1879" w:type="dxa"/>
            <w:gridSpan w:val="2"/>
            <w:vAlign w:val="center"/>
          </w:tcPr>
          <w:p w14:paraId="607D2CEF">
            <w:pPr>
              <w:widowControl/>
              <w:snapToGrid w:val="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评分说明</w:t>
            </w:r>
          </w:p>
        </w:tc>
        <w:tc>
          <w:tcPr>
            <w:tcW w:w="733" w:type="dxa"/>
            <w:vAlign w:val="center"/>
          </w:tcPr>
          <w:p w14:paraId="7470028E">
            <w:pPr>
              <w:widowControl/>
              <w:snapToGrid w:val="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分值</w:t>
            </w:r>
          </w:p>
        </w:tc>
        <w:tc>
          <w:tcPr>
            <w:tcW w:w="705" w:type="dxa"/>
            <w:vAlign w:val="center"/>
          </w:tcPr>
          <w:p w14:paraId="15B3D083">
            <w:pPr>
              <w:widowControl/>
              <w:snapToGrid w:val="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实得分</w:t>
            </w:r>
          </w:p>
        </w:tc>
        <w:tc>
          <w:tcPr>
            <w:tcW w:w="719" w:type="dxa"/>
            <w:vAlign w:val="center"/>
          </w:tcPr>
          <w:p w14:paraId="48F4904D">
            <w:pPr>
              <w:widowControl/>
              <w:rPr>
                <w:rFonts w:hint="eastAsia" w:ascii="宋体" w:hAnsi="宋体" w:eastAsia="宋体" w:cs="宋体"/>
                <w:bCs/>
                <w:sz w:val="21"/>
                <w:szCs w:val="21"/>
                <w:highlight w:val="none"/>
              </w:rPr>
            </w:pPr>
            <w:r>
              <w:rPr>
                <w:rFonts w:hint="eastAsia" w:ascii="宋体" w:hAnsi="宋体" w:eastAsia="宋体" w:cs="宋体"/>
                <w:bCs/>
                <w:sz w:val="21"/>
                <w:szCs w:val="21"/>
                <w:highlight w:val="none"/>
              </w:rPr>
              <w:t>扣分情况说明</w:t>
            </w:r>
          </w:p>
        </w:tc>
      </w:tr>
      <w:tr w14:paraId="11D6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218" w:hRule="atLeast"/>
          <w:jc w:val="center"/>
        </w:trPr>
        <w:tc>
          <w:tcPr>
            <w:tcW w:w="425" w:type="dxa"/>
            <w:vAlign w:val="center"/>
          </w:tcPr>
          <w:p w14:paraId="0D8461E6">
            <w:pPr>
              <w:widowControl/>
              <w:snapToGrid w:val="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1</w:t>
            </w:r>
          </w:p>
        </w:tc>
        <w:tc>
          <w:tcPr>
            <w:tcW w:w="1735" w:type="dxa"/>
            <w:vAlign w:val="center"/>
          </w:tcPr>
          <w:p w14:paraId="36C2FB7D">
            <w:pPr>
              <w:widowControl/>
              <w:snapToGrid w:val="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质量</w:t>
            </w:r>
          </w:p>
        </w:tc>
        <w:tc>
          <w:tcPr>
            <w:tcW w:w="3785" w:type="dxa"/>
            <w:vAlign w:val="center"/>
          </w:tcPr>
          <w:p w14:paraId="2CC64063">
            <w:pPr>
              <w:widowControl/>
              <w:snapToGrid w:val="0"/>
              <w:rPr>
                <w:rFonts w:hint="eastAsia" w:ascii="宋体" w:hAnsi="宋体" w:eastAsia="宋体" w:cs="宋体"/>
                <w:bCs/>
                <w:sz w:val="21"/>
                <w:szCs w:val="21"/>
                <w:highlight w:val="none"/>
              </w:rPr>
            </w:pPr>
            <w:r>
              <w:rPr>
                <w:rFonts w:hint="eastAsia" w:ascii="宋体" w:hAnsi="宋体" w:eastAsia="宋体" w:cs="宋体"/>
                <w:bCs/>
                <w:sz w:val="21"/>
                <w:szCs w:val="21"/>
                <w:highlight w:val="none"/>
              </w:rPr>
              <w:t>（1）货物未出现全部拒收或换货等质量问题；</w:t>
            </w:r>
          </w:p>
          <w:p w14:paraId="731CFFD0">
            <w:pPr>
              <w:widowControl/>
              <w:snapToGrid w:val="0"/>
              <w:rPr>
                <w:rFonts w:hint="eastAsia" w:ascii="宋体" w:hAnsi="宋体" w:eastAsia="宋体" w:cs="宋体"/>
                <w:bCs/>
                <w:sz w:val="21"/>
                <w:szCs w:val="21"/>
                <w:highlight w:val="none"/>
              </w:rPr>
            </w:pPr>
            <w:r>
              <w:rPr>
                <w:rFonts w:hint="eastAsia" w:ascii="宋体" w:hAnsi="宋体" w:eastAsia="宋体" w:cs="宋体"/>
                <w:bCs/>
                <w:sz w:val="21"/>
                <w:szCs w:val="21"/>
                <w:highlight w:val="none"/>
              </w:rPr>
              <w:t>（2）货物主要技术指标符合合同规定；</w:t>
            </w:r>
          </w:p>
          <w:p w14:paraId="145C44F5">
            <w:pPr>
              <w:widowControl/>
              <w:snapToGrid w:val="0"/>
              <w:rPr>
                <w:rFonts w:hint="eastAsia" w:ascii="宋体" w:hAnsi="宋体" w:eastAsia="宋体" w:cs="宋体"/>
                <w:bCs/>
                <w:sz w:val="21"/>
                <w:szCs w:val="21"/>
                <w:highlight w:val="none"/>
              </w:rPr>
            </w:pPr>
            <w:r>
              <w:rPr>
                <w:rFonts w:hint="eastAsia" w:ascii="宋体" w:hAnsi="宋体" w:eastAsia="宋体" w:cs="宋体"/>
                <w:bCs/>
                <w:sz w:val="21"/>
                <w:szCs w:val="21"/>
                <w:highlight w:val="none"/>
              </w:rPr>
              <w:t>（3）每次货物质量稳定，投加效果良好，未出现由于每次货物质量参差不齐导致厂区药剂投加量增加或</w:t>
            </w:r>
            <w:r>
              <w:rPr>
                <w:rFonts w:hint="eastAsia" w:ascii="宋体" w:hAnsi="宋体" w:eastAsia="宋体" w:cs="宋体"/>
                <w:bCs/>
                <w:sz w:val="21"/>
                <w:szCs w:val="21"/>
                <w:highlight w:val="none"/>
                <w:lang w:val="en-US" w:eastAsia="zh-CN"/>
              </w:rPr>
              <w:t>出现污染排放超标</w:t>
            </w:r>
            <w:r>
              <w:rPr>
                <w:rFonts w:hint="eastAsia" w:ascii="宋体" w:hAnsi="宋体" w:eastAsia="宋体" w:cs="宋体"/>
                <w:bCs/>
                <w:sz w:val="21"/>
                <w:szCs w:val="21"/>
                <w:highlight w:val="none"/>
              </w:rPr>
              <w:t>风险等情况。</w:t>
            </w:r>
          </w:p>
        </w:tc>
        <w:tc>
          <w:tcPr>
            <w:tcW w:w="1879" w:type="dxa"/>
            <w:gridSpan w:val="2"/>
            <w:vAlign w:val="center"/>
          </w:tcPr>
          <w:p w14:paraId="32354C94">
            <w:pPr>
              <w:widowControl/>
              <w:snapToGrid w:val="0"/>
              <w:rPr>
                <w:rFonts w:hint="eastAsia" w:ascii="宋体" w:hAnsi="宋体" w:eastAsia="宋体" w:cs="宋体"/>
                <w:sz w:val="21"/>
                <w:szCs w:val="21"/>
                <w:highlight w:val="none"/>
              </w:rPr>
            </w:pPr>
            <w:r>
              <w:rPr>
                <w:rFonts w:hint="eastAsia" w:ascii="宋体" w:hAnsi="宋体" w:eastAsia="宋体" w:cs="宋体"/>
                <w:bCs/>
                <w:sz w:val="21"/>
                <w:szCs w:val="21"/>
                <w:highlight w:val="none"/>
              </w:rPr>
              <w:t>达到标准的得满分，每月每次货物有一项未达到标准的扣4分，每次货物最多扣4分。</w:t>
            </w:r>
          </w:p>
        </w:tc>
        <w:tc>
          <w:tcPr>
            <w:tcW w:w="733" w:type="dxa"/>
            <w:vAlign w:val="center"/>
          </w:tcPr>
          <w:p w14:paraId="7359E3EB">
            <w:pPr>
              <w:widowControl/>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w:t>
            </w:r>
          </w:p>
        </w:tc>
        <w:tc>
          <w:tcPr>
            <w:tcW w:w="705" w:type="dxa"/>
            <w:vAlign w:val="center"/>
          </w:tcPr>
          <w:p w14:paraId="6A97B967">
            <w:pPr>
              <w:widowControl/>
              <w:snapToGrid w:val="0"/>
              <w:jc w:val="center"/>
              <w:rPr>
                <w:rFonts w:hint="eastAsia" w:ascii="宋体" w:hAnsi="宋体" w:eastAsia="宋体" w:cs="宋体"/>
                <w:bCs/>
                <w:sz w:val="21"/>
                <w:szCs w:val="21"/>
                <w:highlight w:val="none"/>
              </w:rPr>
            </w:pPr>
          </w:p>
        </w:tc>
        <w:tc>
          <w:tcPr>
            <w:tcW w:w="719" w:type="dxa"/>
            <w:vAlign w:val="center"/>
          </w:tcPr>
          <w:p w14:paraId="17E8AB76">
            <w:pPr>
              <w:widowControl/>
              <w:snapToGrid w:val="0"/>
              <w:jc w:val="center"/>
              <w:rPr>
                <w:rFonts w:hint="eastAsia" w:ascii="宋体" w:hAnsi="宋体" w:eastAsia="宋体" w:cs="宋体"/>
                <w:bCs/>
                <w:sz w:val="21"/>
                <w:szCs w:val="21"/>
                <w:highlight w:val="none"/>
              </w:rPr>
            </w:pPr>
          </w:p>
        </w:tc>
      </w:tr>
      <w:tr w14:paraId="39412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252" w:hRule="atLeast"/>
          <w:jc w:val="center"/>
        </w:trPr>
        <w:tc>
          <w:tcPr>
            <w:tcW w:w="425" w:type="dxa"/>
            <w:vAlign w:val="center"/>
          </w:tcPr>
          <w:p w14:paraId="1BEA4582">
            <w:pPr>
              <w:widowControl/>
              <w:snapToGrid w:val="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2</w:t>
            </w:r>
          </w:p>
        </w:tc>
        <w:tc>
          <w:tcPr>
            <w:tcW w:w="1735" w:type="dxa"/>
            <w:vAlign w:val="center"/>
          </w:tcPr>
          <w:p w14:paraId="0403B2AA">
            <w:pPr>
              <w:widowControl/>
              <w:snapToGrid w:val="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包装、运输</w:t>
            </w:r>
          </w:p>
        </w:tc>
        <w:tc>
          <w:tcPr>
            <w:tcW w:w="3785" w:type="dxa"/>
            <w:vAlign w:val="center"/>
          </w:tcPr>
          <w:p w14:paraId="615A2185">
            <w:pPr>
              <w:widowControl/>
              <w:snapToGrid w:val="0"/>
              <w:rPr>
                <w:rFonts w:hint="eastAsia" w:ascii="宋体" w:hAnsi="宋体" w:eastAsia="宋体" w:cs="宋体"/>
                <w:bCs/>
                <w:sz w:val="21"/>
                <w:szCs w:val="21"/>
                <w:highlight w:val="none"/>
              </w:rPr>
            </w:pPr>
            <w:r>
              <w:rPr>
                <w:rFonts w:hint="eastAsia" w:ascii="宋体" w:hAnsi="宋体" w:eastAsia="宋体" w:cs="宋体"/>
                <w:bCs/>
                <w:sz w:val="21"/>
                <w:szCs w:val="21"/>
                <w:highlight w:val="none"/>
              </w:rPr>
              <w:t>货物的包装、运输符合合同规定及国家、行业有关标准规范；未出现由于包装、运输方式不当造成以下不良后果：</w:t>
            </w:r>
          </w:p>
          <w:p w14:paraId="6D3D96A9">
            <w:pPr>
              <w:widowControl/>
              <w:snapToGrid w:val="0"/>
              <w:rPr>
                <w:rFonts w:hint="eastAsia" w:ascii="宋体" w:hAnsi="宋体" w:eastAsia="宋体" w:cs="宋体"/>
                <w:bCs/>
                <w:sz w:val="21"/>
                <w:szCs w:val="21"/>
                <w:highlight w:val="none"/>
              </w:rPr>
            </w:pPr>
            <w:r>
              <w:rPr>
                <w:rFonts w:hint="eastAsia" w:ascii="宋体" w:hAnsi="宋体" w:eastAsia="宋体" w:cs="宋体"/>
                <w:bCs/>
                <w:sz w:val="21"/>
                <w:szCs w:val="21"/>
                <w:highlight w:val="none"/>
              </w:rPr>
              <w:t>（1）影响货物输送或储存质量；</w:t>
            </w:r>
          </w:p>
          <w:p w14:paraId="2DD0722B">
            <w:pPr>
              <w:widowControl/>
              <w:snapToGrid w:val="0"/>
              <w:rPr>
                <w:rFonts w:hint="eastAsia" w:ascii="宋体" w:hAnsi="宋体" w:eastAsia="宋体" w:cs="宋体"/>
                <w:bCs/>
                <w:sz w:val="21"/>
                <w:szCs w:val="21"/>
                <w:highlight w:val="none"/>
              </w:rPr>
            </w:pPr>
            <w:r>
              <w:rPr>
                <w:rFonts w:hint="eastAsia" w:ascii="宋体" w:hAnsi="宋体" w:eastAsia="宋体" w:cs="宋体"/>
                <w:bCs/>
                <w:sz w:val="21"/>
                <w:szCs w:val="21"/>
                <w:highlight w:val="none"/>
              </w:rPr>
              <w:t>（2）货物质量下降；</w:t>
            </w:r>
          </w:p>
          <w:p w14:paraId="0BE809E6">
            <w:pPr>
              <w:widowControl/>
              <w:snapToGrid w:val="0"/>
              <w:rPr>
                <w:rFonts w:hint="eastAsia" w:ascii="宋体" w:hAnsi="宋体" w:eastAsia="宋体" w:cs="宋体"/>
                <w:bCs/>
                <w:sz w:val="21"/>
                <w:szCs w:val="21"/>
                <w:highlight w:val="none"/>
              </w:rPr>
            </w:pPr>
            <w:r>
              <w:rPr>
                <w:rFonts w:hint="eastAsia" w:ascii="宋体" w:hAnsi="宋体" w:eastAsia="宋体" w:cs="宋体"/>
                <w:bCs/>
                <w:sz w:val="21"/>
                <w:szCs w:val="21"/>
                <w:highlight w:val="none"/>
              </w:rPr>
              <w:t>（3）货物泄漏导致供货量不足；</w:t>
            </w:r>
          </w:p>
          <w:p w14:paraId="6BDC23CF">
            <w:pPr>
              <w:widowControl/>
              <w:snapToGrid w:val="0"/>
              <w:rPr>
                <w:rFonts w:hint="eastAsia" w:ascii="宋体" w:hAnsi="宋体" w:eastAsia="宋体" w:cs="宋体"/>
                <w:bCs/>
                <w:sz w:val="21"/>
                <w:szCs w:val="21"/>
                <w:highlight w:val="none"/>
              </w:rPr>
            </w:pPr>
            <w:r>
              <w:rPr>
                <w:rFonts w:hint="eastAsia" w:ascii="宋体" w:hAnsi="宋体" w:eastAsia="宋体" w:cs="宋体"/>
                <w:bCs/>
                <w:sz w:val="21"/>
                <w:szCs w:val="21"/>
                <w:highlight w:val="none"/>
              </w:rPr>
              <w:t>（4）造成环境污染。</w:t>
            </w:r>
          </w:p>
        </w:tc>
        <w:tc>
          <w:tcPr>
            <w:tcW w:w="1879" w:type="dxa"/>
            <w:gridSpan w:val="2"/>
            <w:vAlign w:val="center"/>
          </w:tcPr>
          <w:p w14:paraId="748D956D">
            <w:pPr>
              <w:widowControl/>
              <w:snapToGrid w:val="0"/>
              <w:rPr>
                <w:rFonts w:hint="eastAsia" w:ascii="宋体" w:hAnsi="宋体" w:eastAsia="宋体" w:cs="宋体"/>
                <w:bCs/>
                <w:sz w:val="21"/>
                <w:szCs w:val="21"/>
                <w:highlight w:val="none"/>
              </w:rPr>
            </w:pPr>
            <w:r>
              <w:rPr>
                <w:rFonts w:hint="eastAsia" w:ascii="宋体" w:hAnsi="宋体" w:eastAsia="宋体" w:cs="宋体"/>
                <w:bCs/>
                <w:sz w:val="21"/>
                <w:szCs w:val="21"/>
                <w:highlight w:val="none"/>
              </w:rPr>
              <w:t>达到标准的得满分，每月每次货物有一项未达到标准的扣3分，每次货物最多扣3分。</w:t>
            </w:r>
          </w:p>
        </w:tc>
        <w:tc>
          <w:tcPr>
            <w:tcW w:w="733" w:type="dxa"/>
            <w:vAlign w:val="center"/>
          </w:tcPr>
          <w:p w14:paraId="3CF0633E">
            <w:pPr>
              <w:widowControl/>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705" w:type="dxa"/>
            <w:vAlign w:val="center"/>
          </w:tcPr>
          <w:p w14:paraId="49E3F952">
            <w:pPr>
              <w:widowControl/>
              <w:snapToGrid w:val="0"/>
              <w:jc w:val="center"/>
              <w:rPr>
                <w:rFonts w:hint="eastAsia" w:ascii="宋体" w:hAnsi="宋体" w:eastAsia="宋体" w:cs="宋体"/>
                <w:bCs/>
                <w:sz w:val="21"/>
                <w:szCs w:val="21"/>
                <w:highlight w:val="none"/>
              </w:rPr>
            </w:pPr>
          </w:p>
        </w:tc>
        <w:tc>
          <w:tcPr>
            <w:tcW w:w="719" w:type="dxa"/>
            <w:vAlign w:val="center"/>
          </w:tcPr>
          <w:p w14:paraId="1F11FCDF">
            <w:pPr>
              <w:widowControl/>
              <w:snapToGrid w:val="0"/>
              <w:jc w:val="center"/>
              <w:rPr>
                <w:rFonts w:hint="eastAsia" w:ascii="宋体" w:hAnsi="宋体" w:eastAsia="宋体" w:cs="宋体"/>
                <w:bCs/>
                <w:sz w:val="21"/>
                <w:szCs w:val="21"/>
                <w:highlight w:val="none"/>
              </w:rPr>
            </w:pPr>
          </w:p>
        </w:tc>
      </w:tr>
      <w:tr w14:paraId="2404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14:paraId="64447537">
            <w:pPr>
              <w:widowControl/>
              <w:snapToGrid w:val="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3</w:t>
            </w:r>
          </w:p>
        </w:tc>
        <w:tc>
          <w:tcPr>
            <w:tcW w:w="1735" w:type="dxa"/>
            <w:vAlign w:val="center"/>
          </w:tcPr>
          <w:p w14:paraId="62DB978C">
            <w:pPr>
              <w:widowControl/>
              <w:snapToGrid w:val="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货物交付</w:t>
            </w:r>
          </w:p>
        </w:tc>
        <w:tc>
          <w:tcPr>
            <w:tcW w:w="3785" w:type="dxa"/>
            <w:vAlign w:val="center"/>
          </w:tcPr>
          <w:p w14:paraId="4182EF16">
            <w:pPr>
              <w:widowControl/>
              <w:rPr>
                <w:rFonts w:hint="eastAsia" w:ascii="宋体" w:hAnsi="宋体" w:eastAsia="宋体" w:cs="宋体"/>
                <w:bCs/>
                <w:sz w:val="21"/>
                <w:szCs w:val="21"/>
                <w:highlight w:val="none"/>
              </w:rPr>
            </w:pPr>
            <w:r>
              <w:rPr>
                <w:rFonts w:hint="eastAsia" w:ascii="宋体" w:hAnsi="宋体" w:eastAsia="宋体" w:cs="宋体"/>
                <w:bCs/>
                <w:sz w:val="21"/>
                <w:szCs w:val="21"/>
                <w:highlight w:val="none"/>
              </w:rPr>
              <w:t>（1）按合同要求的期限供货（包括加急供货）；</w:t>
            </w:r>
          </w:p>
          <w:p w14:paraId="3241EA9C">
            <w:pPr>
              <w:rPr>
                <w:rFonts w:hint="eastAsia" w:ascii="宋体" w:hAnsi="宋体" w:eastAsia="宋体" w:cs="宋体"/>
                <w:bCs/>
                <w:sz w:val="21"/>
                <w:szCs w:val="21"/>
                <w:highlight w:val="none"/>
              </w:rPr>
            </w:pP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2</w:t>
            </w:r>
            <w:r>
              <w:rPr>
                <w:rFonts w:hint="eastAsia" w:ascii="宋体" w:hAnsi="宋体" w:eastAsia="宋体" w:cs="宋体"/>
                <w:bCs/>
                <w:sz w:val="21"/>
                <w:szCs w:val="21"/>
                <w:highlight w:val="none"/>
              </w:rPr>
              <w:t>）每次供货配合提供出厂检验报告或质量合格证等技术资料；</w:t>
            </w:r>
          </w:p>
          <w:p w14:paraId="31DF7BD7">
            <w:pPr>
              <w:widowControl/>
              <w:rPr>
                <w:rFonts w:hint="eastAsia" w:ascii="宋体" w:hAnsi="宋体" w:eastAsia="宋体" w:cs="宋体"/>
                <w:bCs/>
                <w:sz w:val="21"/>
                <w:szCs w:val="21"/>
                <w:highlight w:val="none"/>
              </w:rPr>
            </w:pP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3</w:t>
            </w:r>
            <w:r>
              <w:rPr>
                <w:rFonts w:hint="eastAsia" w:ascii="宋体" w:hAnsi="宋体" w:eastAsia="宋体" w:cs="宋体"/>
                <w:bCs/>
                <w:sz w:val="21"/>
                <w:szCs w:val="21"/>
                <w:highlight w:val="none"/>
              </w:rPr>
              <w:t>）交付人员专业性强，工作效率高，熟悉交付操作流程；</w:t>
            </w:r>
          </w:p>
          <w:p w14:paraId="7FBA20B2">
            <w:pPr>
              <w:widowControl/>
              <w:rPr>
                <w:rFonts w:hint="eastAsia" w:ascii="宋体" w:hAnsi="宋体" w:eastAsia="宋体" w:cs="宋体"/>
                <w:bCs/>
                <w:sz w:val="21"/>
                <w:szCs w:val="21"/>
                <w:highlight w:val="none"/>
              </w:rPr>
            </w:pP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4</w:t>
            </w:r>
            <w:r>
              <w:rPr>
                <w:rFonts w:hint="eastAsia" w:ascii="宋体" w:hAnsi="宋体" w:eastAsia="宋体" w:cs="宋体"/>
                <w:bCs/>
                <w:sz w:val="21"/>
                <w:szCs w:val="21"/>
                <w:highlight w:val="none"/>
              </w:rPr>
              <w:t>）未出现因库存、运力不足等原因影响供货量的情况。</w:t>
            </w:r>
          </w:p>
        </w:tc>
        <w:tc>
          <w:tcPr>
            <w:tcW w:w="1879" w:type="dxa"/>
            <w:gridSpan w:val="2"/>
            <w:vAlign w:val="center"/>
          </w:tcPr>
          <w:p w14:paraId="0AFC439F">
            <w:pPr>
              <w:widowControl/>
              <w:snapToGrid w:val="0"/>
              <w:rPr>
                <w:rFonts w:hint="eastAsia" w:ascii="宋体" w:hAnsi="宋体" w:eastAsia="宋体" w:cs="宋体"/>
                <w:sz w:val="21"/>
                <w:szCs w:val="21"/>
                <w:highlight w:val="none"/>
              </w:rPr>
            </w:pPr>
            <w:r>
              <w:rPr>
                <w:rFonts w:hint="eastAsia" w:ascii="宋体" w:hAnsi="宋体" w:eastAsia="宋体" w:cs="宋体"/>
                <w:bCs/>
                <w:sz w:val="21"/>
                <w:szCs w:val="21"/>
                <w:highlight w:val="none"/>
              </w:rPr>
              <w:t>达到标准的得满分，每月每次货物有一项未达到标准的扣3分，每次货物最多扣3分。</w:t>
            </w:r>
          </w:p>
        </w:tc>
        <w:tc>
          <w:tcPr>
            <w:tcW w:w="733" w:type="dxa"/>
            <w:vAlign w:val="center"/>
          </w:tcPr>
          <w:p w14:paraId="06F4CCEF">
            <w:pPr>
              <w:widowControl/>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w:t>
            </w:r>
          </w:p>
        </w:tc>
        <w:tc>
          <w:tcPr>
            <w:tcW w:w="705" w:type="dxa"/>
            <w:vAlign w:val="center"/>
          </w:tcPr>
          <w:p w14:paraId="08FF151F">
            <w:pPr>
              <w:widowControl/>
              <w:snapToGrid w:val="0"/>
              <w:jc w:val="center"/>
              <w:rPr>
                <w:rFonts w:hint="eastAsia" w:ascii="宋体" w:hAnsi="宋体" w:eastAsia="宋体" w:cs="宋体"/>
                <w:bCs/>
                <w:sz w:val="21"/>
                <w:szCs w:val="21"/>
                <w:highlight w:val="none"/>
              </w:rPr>
            </w:pPr>
          </w:p>
        </w:tc>
        <w:tc>
          <w:tcPr>
            <w:tcW w:w="719" w:type="dxa"/>
            <w:vAlign w:val="center"/>
          </w:tcPr>
          <w:p w14:paraId="454D1CD8">
            <w:pPr>
              <w:widowControl/>
              <w:snapToGrid w:val="0"/>
              <w:jc w:val="center"/>
              <w:rPr>
                <w:rFonts w:hint="eastAsia" w:ascii="宋体" w:hAnsi="宋体" w:eastAsia="宋体" w:cs="宋体"/>
                <w:bCs/>
                <w:sz w:val="21"/>
                <w:szCs w:val="21"/>
                <w:highlight w:val="none"/>
              </w:rPr>
            </w:pPr>
          </w:p>
        </w:tc>
      </w:tr>
      <w:tr w14:paraId="3272F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14:paraId="380C6798">
            <w:pPr>
              <w:widowControl/>
              <w:snapToGrid w:val="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4</w:t>
            </w:r>
          </w:p>
        </w:tc>
        <w:tc>
          <w:tcPr>
            <w:tcW w:w="1735" w:type="dxa"/>
            <w:vAlign w:val="center"/>
          </w:tcPr>
          <w:p w14:paraId="755B6BE5">
            <w:pPr>
              <w:widowControl/>
              <w:snapToGrid w:val="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验收</w:t>
            </w:r>
          </w:p>
        </w:tc>
        <w:tc>
          <w:tcPr>
            <w:tcW w:w="3785" w:type="dxa"/>
            <w:vAlign w:val="center"/>
          </w:tcPr>
          <w:p w14:paraId="667972C3">
            <w:pPr>
              <w:widowControl/>
              <w:snapToGrid w:val="0"/>
              <w:rPr>
                <w:rFonts w:hint="eastAsia" w:ascii="宋体" w:hAnsi="宋体" w:eastAsia="宋体" w:cs="宋体"/>
                <w:bCs/>
                <w:sz w:val="21"/>
                <w:szCs w:val="21"/>
                <w:highlight w:val="none"/>
              </w:rPr>
            </w:pPr>
            <w:r>
              <w:rPr>
                <w:rFonts w:hint="eastAsia" w:ascii="宋体" w:hAnsi="宋体" w:eastAsia="宋体" w:cs="宋体"/>
                <w:bCs/>
                <w:sz w:val="21"/>
                <w:szCs w:val="21"/>
                <w:highlight w:val="none"/>
              </w:rPr>
              <w:t>（1）及时提供货物的各项技术资料，技术资料齐全、规范；</w:t>
            </w:r>
          </w:p>
          <w:p w14:paraId="152A4BCB">
            <w:pPr>
              <w:widowControl/>
              <w:snapToGrid w:val="0"/>
              <w:rPr>
                <w:rFonts w:hint="eastAsia" w:ascii="宋体" w:hAnsi="宋体" w:eastAsia="宋体" w:cs="宋体"/>
                <w:bCs/>
                <w:sz w:val="21"/>
                <w:szCs w:val="21"/>
                <w:highlight w:val="none"/>
              </w:rPr>
            </w:pPr>
            <w:r>
              <w:rPr>
                <w:rFonts w:hint="eastAsia" w:ascii="宋体" w:hAnsi="宋体" w:eastAsia="宋体" w:cs="宋体"/>
                <w:bCs/>
                <w:sz w:val="21"/>
                <w:szCs w:val="21"/>
                <w:highlight w:val="none"/>
              </w:rPr>
              <w:t>（2）未出现因对检测结果存在异议而影响供货的情况；</w:t>
            </w:r>
          </w:p>
          <w:p w14:paraId="68734BC0">
            <w:pPr>
              <w:widowControl/>
              <w:snapToGrid w:val="0"/>
              <w:rPr>
                <w:rFonts w:hint="eastAsia" w:ascii="宋体" w:hAnsi="宋体" w:eastAsia="宋体" w:cs="宋体"/>
                <w:bCs/>
                <w:sz w:val="21"/>
                <w:szCs w:val="21"/>
                <w:highlight w:val="none"/>
              </w:rPr>
            </w:pPr>
            <w:r>
              <w:rPr>
                <w:rFonts w:hint="eastAsia" w:ascii="宋体" w:hAnsi="宋体" w:eastAsia="宋体" w:cs="宋体"/>
                <w:bCs/>
                <w:sz w:val="21"/>
                <w:szCs w:val="21"/>
                <w:highlight w:val="none"/>
              </w:rPr>
              <w:t>（3）未出现因货物检验不合格，或因货物不合格影响厂区生产效果的情况。</w:t>
            </w:r>
          </w:p>
        </w:tc>
        <w:tc>
          <w:tcPr>
            <w:tcW w:w="1879" w:type="dxa"/>
            <w:gridSpan w:val="2"/>
            <w:vAlign w:val="center"/>
          </w:tcPr>
          <w:p w14:paraId="5E6A41BD">
            <w:pPr>
              <w:widowControl/>
              <w:snapToGrid w:val="0"/>
              <w:rPr>
                <w:rFonts w:hint="eastAsia" w:ascii="宋体" w:hAnsi="宋体" w:eastAsia="宋体" w:cs="宋体"/>
                <w:bCs/>
                <w:sz w:val="21"/>
                <w:szCs w:val="21"/>
                <w:highlight w:val="none"/>
              </w:rPr>
            </w:pPr>
            <w:r>
              <w:rPr>
                <w:rFonts w:hint="eastAsia" w:ascii="宋体" w:hAnsi="宋体" w:eastAsia="宋体" w:cs="宋体"/>
                <w:bCs/>
                <w:sz w:val="21"/>
                <w:szCs w:val="21"/>
                <w:highlight w:val="none"/>
              </w:rPr>
              <w:t>达到标准的得满分，每月每次货物有一项未达到标准的扣4分，每次货物最多扣4分。</w:t>
            </w:r>
          </w:p>
        </w:tc>
        <w:tc>
          <w:tcPr>
            <w:tcW w:w="733" w:type="dxa"/>
            <w:vAlign w:val="center"/>
          </w:tcPr>
          <w:p w14:paraId="24FEB1DC">
            <w:pPr>
              <w:widowControl/>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w:t>
            </w:r>
          </w:p>
        </w:tc>
        <w:tc>
          <w:tcPr>
            <w:tcW w:w="705" w:type="dxa"/>
            <w:vAlign w:val="center"/>
          </w:tcPr>
          <w:p w14:paraId="5A1F7FF8">
            <w:pPr>
              <w:widowControl/>
              <w:snapToGrid w:val="0"/>
              <w:jc w:val="center"/>
              <w:rPr>
                <w:rFonts w:hint="eastAsia" w:ascii="宋体" w:hAnsi="宋体" w:eastAsia="宋体" w:cs="宋体"/>
                <w:bCs/>
                <w:sz w:val="21"/>
                <w:szCs w:val="21"/>
                <w:highlight w:val="none"/>
              </w:rPr>
            </w:pPr>
          </w:p>
        </w:tc>
        <w:tc>
          <w:tcPr>
            <w:tcW w:w="719" w:type="dxa"/>
            <w:vAlign w:val="center"/>
          </w:tcPr>
          <w:p w14:paraId="548503CA">
            <w:pPr>
              <w:widowControl/>
              <w:snapToGrid w:val="0"/>
              <w:jc w:val="center"/>
              <w:rPr>
                <w:rFonts w:hint="eastAsia" w:ascii="宋体" w:hAnsi="宋体" w:eastAsia="宋体" w:cs="宋体"/>
                <w:bCs/>
                <w:sz w:val="21"/>
                <w:szCs w:val="21"/>
                <w:highlight w:val="none"/>
              </w:rPr>
            </w:pPr>
          </w:p>
        </w:tc>
      </w:tr>
      <w:tr w14:paraId="49A88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14:paraId="422E2F27">
            <w:pPr>
              <w:widowControl/>
              <w:snapToGrid w:val="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5</w:t>
            </w:r>
          </w:p>
        </w:tc>
        <w:tc>
          <w:tcPr>
            <w:tcW w:w="1735" w:type="dxa"/>
            <w:vAlign w:val="center"/>
          </w:tcPr>
          <w:p w14:paraId="50D81E08">
            <w:pPr>
              <w:widowControl/>
              <w:snapToGrid w:val="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安全</w:t>
            </w:r>
          </w:p>
        </w:tc>
        <w:tc>
          <w:tcPr>
            <w:tcW w:w="3785" w:type="dxa"/>
            <w:vAlign w:val="center"/>
          </w:tcPr>
          <w:p w14:paraId="48EB9BEA">
            <w:pPr>
              <w:widowControl/>
              <w:snapToGrid w:val="0"/>
              <w:rPr>
                <w:rFonts w:hint="eastAsia" w:ascii="宋体" w:hAnsi="宋体" w:eastAsia="宋体" w:cs="宋体"/>
                <w:bCs/>
                <w:sz w:val="21"/>
                <w:szCs w:val="21"/>
                <w:highlight w:val="none"/>
              </w:rPr>
            </w:pPr>
            <w:r>
              <w:rPr>
                <w:rFonts w:hint="eastAsia" w:ascii="宋体" w:hAnsi="宋体" w:eastAsia="宋体" w:cs="宋体"/>
                <w:bCs/>
                <w:sz w:val="21"/>
                <w:szCs w:val="21"/>
                <w:highlight w:val="none"/>
              </w:rPr>
              <w:t>（1）运输服务商资质、运输人员、运输车辆符合合同规定及国家相关法律法规要求；</w:t>
            </w:r>
          </w:p>
          <w:p w14:paraId="609442B3">
            <w:pPr>
              <w:widowControl/>
              <w:snapToGrid w:val="0"/>
              <w:rPr>
                <w:rFonts w:hint="eastAsia" w:ascii="宋体" w:hAnsi="宋体" w:eastAsia="宋体" w:cs="宋体"/>
                <w:bCs/>
                <w:sz w:val="21"/>
                <w:szCs w:val="21"/>
                <w:highlight w:val="none"/>
              </w:rPr>
            </w:pPr>
            <w:r>
              <w:rPr>
                <w:rFonts w:hint="eastAsia" w:ascii="宋体" w:hAnsi="宋体" w:eastAsia="宋体" w:cs="宋体"/>
                <w:bCs/>
                <w:sz w:val="21"/>
                <w:szCs w:val="21"/>
                <w:highlight w:val="none"/>
              </w:rPr>
              <w:t>（2）未出现超载或非法运输等情况；</w:t>
            </w:r>
          </w:p>
          <w:p w14:paraId="08612161">
            <w:pPr>
              <w:widowControl/>
              <w:snapToGrid w:val="0"/>
              <w:rPr>
                <w:rFonts w:hint="eastAsia" w:ascii="宋体" w:hAnsi="宋体" w:eastAsia="宋体" w:cs="宋体"/>
                <w:bCs/>
                <w:sz w:val="21"/>
                <w:szCs w:val="21"/>
                <w:highlight w:val="none"/>
              </w:rPr>
            </w:pPr>
            <w:r>
              <w:rPr>
                <w:rFonts w:hint="eastAsia" w:ascii="宋体" w:hAnsi="宋体" w:eastAsia="宋体" w:cs="宋体"/>
                <w:bCs/>
                <w:sz w:val="21"/>
                <w:szCs w:val="21"/>
                <w:highlight w:val="none"/>
              </w:rPr>
              <w:t>（3）未出现由于运输服务商资质不符、超载或非法运输、未按厂区指示行驶及停放造成第三方或厂区事故、损失的情况；</w:t>
            </w:r>
          </w:p>
          <w:p w14:paraId="62A7D8E8">
            <w:pPr>
              <w:outlineLvl w:val="2"/>
              <w:rPr>
                <w:rFonts w:hint="eastAsia" w:ascii="宋体" w:hAnsi="宋体" w:eastAsia="宋体" w:cs="宋体"/>
                <w:sz w:val="21"/>
                <w:szCs w:val="21"/>
                <w:highlight w:val="none"/>
              </w:rPr>
            </w:pPr>
            <w:bookmarkStart w:id="11" w:name="_Toc95729751"/>
            <w:bookmarkStart w:id="12" w:name="_Toc146625412"/>
            <w:bookmarkStart w:id="13" w:name="_Toc174612491"/>
            <w:r>
              <w:rPr>
                <w:rFonts w:hint="eastAsia" w:ascii="宋体" w:hAnsi="宋体" w:eastAsia="宋体" w:cs="宋体"/>
                <w:bCs/>
                <w:sz w:val="21"/>
                <w:szCs w:val="21"/>
                <w:highlight w:val="none"/>
              </w:rPr>
              <w:t>（4）未出现卸货安全事故。</w:t>
            </w:r>
            <w:bookmarkEnd w:id="11"/>
            <w:bookmarkEnd w:id="12"/>
            <w:bookmarkEnd w:id="13"/>
          </w:p>
        </w:tc>
        <w:tc>
          <w:tcPr>
            <w:tcW w:w="1879" w:type="dxa"/>
            <w:gridSpan w:val="2"/>
            <w:vAlign w:val="center"/>
          </w:tcPr>
          <w:p w14:paraId="1E1CB4A6">
            <w:pPr>
              <w:widowControl/>
              <w:snapToGrid w:val="0"/>
              <w:rPr>
                <w:rFonts w:hint="eastAsia" w:ascii="宋体" w:hAnsi="宋体" w:eastAsia="宋体" w:cs="宋体"/>
                <w:bCs/>
                <w:sz w:val="21"/>
                <w:szCs w:val="21"/>
                <w:highlight w:val="none"/>
              </w:rPr>
            </w:pPr>
            <w:r>
              <w:rPr>
                <w:rFonts w:hint="eastAsia" w:ascii="宋体" w:hAnsi="宋体" w:eastAsia="宋体" w:cs="宋体"/>
                <w:bCs/>
                <w:sz w:val="21"/>
                <w:szCs w:val="21"/>
                <w:highlight w:val="none"/>
              </w:rPr>
              <w:t>达到标准的得满分，每月每次货物有一项未达到标准的扣3分，每次货物最多扣3分。</w:t>
            </w:r>
          </w:p>
        </w:tc>
        <w:tc>
          <w:tcPr>
            <w:tcW w:w="733" w:type="dxa"/>
            <w:vAlign w:val="center"/>
          </w:tcPr>
          <w:p w14:paraId="30BD5C14">
            <w:pPr>
              <w:widowControl/>
              <w:snapToGrid w:val="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15</w:t>
            </w:r>
          </w:p>
        </w:tc>
        <w:tc>
          <w:tcPr>
            <w:tcW w:w="705" w:type="dxa"/>
            <w:vAlign w:val="center"/>
          </w:tcPr>
          <w:p w14:paraId="2DB83877">
            <w:pPr>
              <w:widowControl/>
              <w:snapToGrid w:val="0"/>
              <w:jc w:val="center"/>
              <w:rPr>
                <w:rFonts w:hint="eastAsia" w:ascii="宋体" w:hAnsi="宋体" w:eastAsia="宋体" w:cs="宋体"/>
                <w:bCs/>
                <w:sz w:val="21"/>
                <w:szCs w:val="21"/>
                <w:highlight w:val="none"/>
              </w:rPr>
            </w:pPr>
          </w:p>
        </w:tc>
        <w:tc>
          <w:tcPr>
            <w:tcW w:w="719" w:type="dxa"/>
            <w:vAlign w:val="center"/>
          </w:tcPr>
          <w:p w14:paraId="3CC084DE">
            <w:pPr>
              <w:widowControl/>
              <w:snapToGrid w:val="0"/>
              <w:jc w:val="center"/>
              <w:rPr>
                <w:rFonts w:hint="eastAsia" w:ascii="宋体" w:hAnsi="宋体" w:eastAsia="宋体" w:cs="宋体"/>
                <w:bCs/>
                <w:sz w:val="21"/>
                <w:szCs w:val="21"/>
                <w:highlight w:val="none"/>
              </w:rPr>
            </w:pPr>
          </w:p>
        </w:tc>
      </w:tr>
      <w:tr w14:paraId="792E3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14:paraId="040DA1DD">
            <w:pPr>
              <w:widowControl/>
              <w:snapToGrid w:val="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6</w:t>
            </w:r>
          </w:p>
        </w:tc>
        <w:tc>
          <w:tcPr>
            <w:tcW w:w="1735" w:type="dxa"/>
            <w:vAlign w:val="center"/>
          </w:tcPr>
          <w:p w14:paraId="075AE1EB">
            <w:pPr>
              <w:widowControl/>
              <w:snapToGrid w:val="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售后服务</w:t>
            </w:r>
          </w:p>
        </w:tc>
        <w:tc>
          <w:tcPr>
            <w:tcW w:w="3785" w:type="dxa"/>
            <w:vAlign w:val="center"/>
          </w:tcPr>
          <w:p w14:paraId="0B7DDCEF">
            <w:pPr>
              <w:widowControl/>
              <w:snapToGrid w:val="0"/>
              <w:rPr>
                <w:rFonts w:hint="eastAsia" w:ascii="宋体" w:hAnsi="宋体" w:eastAsia="宋体" w:cs="宋体"/>
                <w:bCs/>
                <w:sz w:val="21"/>
                <w:szCs w:val="21"/>
                <w:highlight w:val="none"/>
              </w:rPr>
            </w:pPr>
            <w:r>
              <w:rPr>
                <w:rFonts w:hint="eastAsia" w:ascii="宋体" w:hAnsi="宋体" w:eastAsia="宋体" w:cs="宋体"/>
                <w:bCs/>
                <w:sz w:val="21"/>
                <w:szCs w:val="21"/>
                <w:highlight w:val="none"/>
              </w:rPr>
              <w:t>（1）人员：</w:t>
            </w:r>
          </w:p>
          <w:p w14:paraId="52CE6A04">
            <w:pPr>
              <w:widowControl/>
              <w:snapToGrid w:val="0"/>
              <w:rPr>
                <w:rFonts w:hint="eastAsia" w:ascii="宋体" w:hAnsi="宋体" w:eastAsia="宋体" w:cs="宋体"/>
                <w:bCs/>
                <w:sz w:val="21"/>
                <w:szCs w:val="21"/>
                <w:highlight w:val="none"/>
              </w:rPr>
            </w:pPr>
            <w:r>
              <w:rPr>
                <w:rFonts w:hint="eastAsia" w:ascii="宋体" w:hAnsi="宋体" w:eastAsia="宋体" w:cs="宋体"/>
                <w:bCs/>
                <w:sz w:val="21"/>
                <w:szCs w:val="21"/>
                <w:highlight w:val="none"/>
              </w:rPr>
              <w:t>①管理、技术及服务人员均符合申请文件的承诺，服务队伍稳定，人员充足、专业性强，充分配合甲方供货需求；</w:t>
            </w:r>
          </w:p>
          <w:p w14:paraId="2A66C8C2">
            <w:pPr>
              <w:widowControl/>
              <w:snapToGrid w:val="0"/>
              <w:rPr>
                <w:rFonts w:hint="eastAsia" w:ascii="宋体" w:hAnsi="宋体" w:eastAsia="宋体" w:cs="宋体"/>
                <w:bCs/>
                <w:sz w:val="21"/>
                <w:szCs w:val="21"/>
                <w:highlight w:val="none"/>
              </w:rPr>
            </w:pPr>
            <w:r>
              <w:rPr>
                <w:rFonts w:hint="eastAsia" w:ascii="宋体" w:hAnsi="宋体" w:eastAsia="宋体" w:cs="宋体"/>
                <w:bCs/>
                <w:sz w:val="21"/>
                <w:szCs w:val="21"/>
                <w:highlight w:val="none"/>
              </w:rPr>
              <w:t>②对接人员与甲方沟通良好、理解到位、执行力强，能及时发现、解决问题，并未雨绸缪地因应各厂区实际情况提供合理化的供配货建议；</w:t>
            </w:r>
          </w:p>
          <w:p w14:paraId="16F8FE06">
            <w:pPr>
              <w:widowControl/>
              <w:snapToGrid w:val="0"/>
              <w:rPr>
                <w:rFonts w:hint="eastAsia" w:ascii="宋体" w:hAnsi="宋体" w:eastAsia="宋体" w:cs="宋体"/>
                <w:bCs/>
                <w:sz w:val="21"/>
                <w:szCs w:val="21"/>
                <w:highlight w:val="none"/>
              </w:rPr>
            </w:pPr>
            <w:r>
              <w:rPr>
                <w:rFonts w:hint="eastAsia" w:ascii="宋体" w:hAnsi="宋体" w:eastAsia="宋体" w:cs="宋体"/>
                <w:bCs/>
                <w:sz w:val="21"/>
                <w:szCs w:val="21"/>
                <w:highlight w:val="none"/>
              </w:rPr>
              <w:t>③未出现推诿，借故不肯签署合同规定的文件或者敷衍了事、置之不理等情况。</w:t>
            </w:r>
          </w:p>
          <w:p w14:paraId="0E3184F2">
            <w:pPr>
              <w:widowControl/>
              <w:snapToGrid w:val="0"/>
              <w:rPr>
                <w:rFonts w:hint="eastAsia" w:ascii="宋体" w:hAnsi="宋体" w:eastAsia="宋体" w:cs="宋体"/>
                <w:bCs/>
                <w:sz w:val="21"/>
                <w:szCs w:val="21"/>
                <w:highlight w:val="none"/>
              </w:rPr>
            </w:pPr>
            <w:r>
              <w:rPr>
                <w:rFonts w:hint="eastAsia" w:ascii="宋体" w:hAnsi="宋体" w:eastAsia="宋体" w:cs="宋体"/>
                <w:bCs/>
                <w:sz w:val="21"/>
                <w:szCs w:val="21"/>
                <w:highlight w:val="none"/>
              </w:rPr>
              <w:t>（2）配合：</w:t>
            </w:r>
          </w:p>
          <w:p w14:paraId="559FADC6">
            <w:pPr>
              <w:widowControl/>
              <w:snapToGrid w:val="0"/>
              <w:rPr>
                <w:rFonts w:hint="eastAsia" w:ascii="宋体" w:hAnsi="宋体" w:eastAsia="宋体" w:cs="宋体"/>
                <w:bCs/>
                <w:sz w:val="21"/>
                <w:szCs w:val="21"/>
                <w:highlight w:val="none"/>
              </w:rPr>
            </w:pPr>
            <w:r>
              <w:rPr>
                <w:rFonts w:hint="eastAsia" w:ascii="宋体" w:hAnsi="宋体" w:eastAsia="宋体" w:cs="宋体"/>
                <w:bCs/>
                <w:sz w:val="21"/>
                <w:szCs w:val="21"/>
                <w:highlight w:val="none"/>
              </w:rPr>
              <w:t>①售后服务流程完善，跟踪到位，响应速度快；</w:t>
            </w:r>
          </w:p>
          <w:p w14:paraId="33559F56">
            <w:pPr>
              <w:widowControl/>
              <w:snapToGrid w:val="0"/>
              <w:rPr>
                <w:rFonts w:hint="eastAsia" w:ascii="宋体" w:hAnsi="宋体" w:eastAsia="宋体" w:cs="宋体"/>
                <w:bCs/>
                <w:sz w:val="21"/>
                <w:szCs w:val="21"/>
                <w:highlight w:val="none"/>
              </w:rPr>
            </w:pPr>
            <w:r>
              <w:rPr>
                <w:rFonts w:hint="eastAsia" w:ascii="宋体" w:hAnsi="宋体" w:eastAsia="宋体" w:cs="宋体"/>
                <w:bCs/>
                <w:sz w:val="21"/>
                <w:szCs w:val="21"/>
                <w:highlight w:val="none"/>
              </w:rPr>
              <w:t>②就货物储存保质方式、方法提出合理化建议并能提供专业技术指导；</w:t>
            </w:r>
          </w:p>
          <w:p w14:paraId="063A6938">
            <w:pPr>
              <w:widowControl/>
              <w:snapToGrid w:val="0"/>
              <w:rPr>
                <w:rFonts w:hint="eastAsia" w:ascii="宋体" w:hAnsi="宋体" w:eastAsia="宋体" w:cs="宋体"/>
                <w:bCs/>
                <w:sz w:val="21"/>
                <w:szCs w:val="21"/>
                <w:highlight w:val="none"/>
              </w:rPr>
            </w:pPr>
            <w:r>
              <w:rPr>
                <w:rFonts w:hint="eastAsia" w:ascii="宋体" w:hAnsi="宋体" w:eastAsia="宋体" w:cs="宋体"/>
                <w:bCs/>
                <w:sz w:val="21"/>
                <w:szCs w:val="21"/>
                <w:highlight w:val="none"/>
              </w:rPr>
              <w:t>③积极配合甲方进行试验、积极协助甲方接受政府管理部门的检查工作及提供各类资质证明材料；</w:t>
            </w:r>
          </w:p>
          <w:p w14:paraId="0F6855AF">
            <w:pPr>
              <w:widowControl/>
              <w:snapToGrid w:val="0"/>
              <w:rPr>
                <w:rFonts w:hint="eastAsia" w:ascii="宋体" w:hAnsi="宋体" w:eastAsia="宋体" w:cs="宋体"/>
                <w:bCs/>
                <w:sz w:val="21"/>
                <w:szCs w:val="21"/>
                <w:highlight w:val="none"/>
              </w:rPr>
            </w:pPr>
            <w:r>
              <w:rPr>
                <w:rFonts w:hint="eastAsia" w:ascii="宋体" w:hAnsi="宋体" w:eastAsia="宋体" w:cs="宋体"/>
                <w:bCs/>
                <w:sz w:val="21"/>
                <w:szCs w:val="21"/>
                <w:highlight w:val="none"/>
              </w:rPr>
              <w:t>④能根据甲方要求提供专业培训。</w:t>
            </w:r>
          </w:p>
          <w:p w14:paraId="6394BD79">
            <w:pPr>
              <w:outlineLvl w:val="2"/>
              <w:rPr>
                <w:rFonts w:hint="eastAsia" w:ascii="宋体" w:hAnsi="宋体" w:eastAsia="宋体" w:cs="宋体"/>
                <w:sz w:val="21"/>
                <w:szCs w:val="21"/>
                <w:highlight w:val="none"/>
              </w:rPr>
            </w:pPr>
            <w:bookmarkStart w:id="14" w:name="_Toc95729752"/>
            <w:bookmarkStart w:id="15" w:name="_Toc146625413"/>
            <w:bookmarkStart w:id="16" w:name="_Toc174612492"/>
            <w:r>
              <w:rPr>
                <w:rFonts w:hint="eastAsia" w:ascii="宋体" w:hAnsi="宋体" w:eastAsia="宋体" w:cs="宋体"/>
                <w:bCs/>
                <w:sz w:val="21"/>
                <w:szCs w:val="21"/>
                <w:highlight w:val="none"/>
              </w:rPr>
              <w:t>⑤高效处理退换货工作、态度良好。</w:t>
            </w:r>
            <w:bookmarkEnd w:id="14"/>
            <w:bookmarkEnd w:id="15"/>
            <w:bookmarkEnd w:id="16"/>
          </w:p>
        </w:tc>
        <w:tc>
          <w:tcPr>
            <w:tcW w:w="1879" w:type="dxa"/>
            <w:gridSpan w:val="2"/>
            <w:vAlign w:val="center"/>
          </w:tcPr>
          <w:p w14:paraId="12058F3A">
            <w:pPr>
              <w:widowControl/>
              <w:snapToGrid w:val="0"/>
              <w:rPr>
                <w:rFonts w:hint="eastAsia" w:ascii="宋体" w:hAnsi="宋体" w:eastAsia="宋体" w:cs="宋体"/>
                <w:bCs/>
                <w:sz w:val="21"/>
                <w:szCs w:val="21"/>
                <w:highlight w:val="none"/>
              </w:rPr>
            </w:pPr>
            <w:r>
              <w:rPr>
                <w:rFonts w:hint="eastAsia" w:ascii="宋体" w:hAnsi="宋体" w:eastAsia="宋体" w:cs="宋体"/>
                <w:bCs/>
                <w:sz w:val="21"/>
                <w:szCs w:val="21"/>
                <w:highlight w:val="none"/>
              </w:rPr>
              <w:t>达到标准的得满分，每月每次货物有一项未达到标准的扣2分，每次货物最多扣2分。</w:t>
            </w:r>
          </w:p>
        </w:tc>
        <w:tc>
          <w:tcPr>
            <w:tcW w:w="733" w:type="dxa"/>
            <w:vAlign w:val="center"/>
          </w:tcPr>
          <w:p w14:paraId="00BAAF53">
            <w:pPr>
              <w:widowControl/>
              <w:snapToGrid w:val="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10</w:t>
            </w:r>
          </w:p>
        </w:tc>
        <w:tc>
          <w:tcPr>
            <w:tcW w:w="705" w:type="dxa"/>
            <w:vAlign w:val="center"/>
          </w:tcPr>
          <w:p w14:paraId="33B1EAA4">
            <w:pPr>
              <w:widowControl/>
              <w:snapToGrid w:val="0"/>
              <w:jc w:val="center"/>
              <w:rPr>
                <w:rFonts w:hint="eastAsia" w:ascii="宋体" w:hAnsi="宋体" w:eastAsia="宋体" w:cs="宋体"/>
                <w:bCs/>
                <w:sz w:val="21"/>
                <w:szCs w:val="21"/>
                <w:highlight w:val="none"/>
              </w:rPr>
            </w:pPr>
          </w:p>
        </w:tc>
        <w:tc>
          <w:tcPr>
            <w:tcW w:w="719" w:type="dxa"/>
            <w:vAlign w:val="center"/>
          </w:tcPr>
          <w:p w14:paraId="583B4DF9">
            <w:pPr>
              <w:widowControl/>
              <w:snapToGrid w:val="0"/>
              <w:jc w:val="center"/>
              <w:rPr>
                <w:rFonts w:hint="eastAsia" w:ascii="宋体" w:hAnsi="宋体" w:eastAsia="宋体" w:cs="宋体"/>
                <w:bCs/>
                <w:sz w:val="21"/>
                <w:szCs w:val="21"/>
                <w:highlight w:val="none"/>
              </w:rPr>
            </w:pPr>
          </w:p>
        </w:tc>
      </w:tr>
      <w:tr w14:paraId="6A431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0" w:hRule="atLeast"/>
          <w:jc w:val="center"/>
        </w:trPr>
        <w:tc>
          <w:tcPr>
            <w:tcW w:w="7824" w:type="dxa"/>
            <w:gridSpan w:val="5"/>
            <w:vAlign w:val="center"/>
          </w:tcPr>
          <w:p w14:paraId="1F3E9A72">
            <w:pPr>
              <w:widowControl/>
              <w:snapToGrid w:val="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合计</w:t>
            </w:r>
          </w:p>
        </w:tc>
        <w:tc>
          <w:tcPr>
            <w:tcW w:w="733" w:type="dxa"/>
            <w:vAlign w:val="center"/>
          </w:tcPr>
          <w:p w14:paraId="27E55C44">
            <w:pPr>
              <w:widowControl/>
              <w:snapToGrid w:val="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100</w:t>
            </w:r>
          </w:p>
        </w:tc>
        <w:tc>
          <w:tcPr>
            <w:tcW w:w="705" w:type="dxa"/>
            <w:vAlign w:val="center"/>
          </w:tcPr>
          <w:p w14:paraId="5FD9D7AB">
            <w:pPr>
              <w:widowControl/>
              <w:snapToGrid w:val="0"/>
              <w:jc w:val="center"/>
              <w:rPr>
                <w:rFonts w:hint="eastAsia" w:ascii="宋体" w:hAnsi="宋体" w:eastAsia="宋体" w:cs="宋体"/>
                <w:bCs/>
                <w:sz w:val="21"/>
                <w:szCs w:val="21"/>
                <w:highlight w:val="none"/>
              </w:rPr>
            </w:pPr>
          </w:p>
        </w:tc>
        <w:tc>
          <w:tcPr>
            <w:tcW w:w="719" w:type="dxa"/>
            <w:vAlign w:val="center"/>
          </w:tcPr>
          <w:p w14:paraId="14A2A64F">
            <w:pPr>
              <w:widowControl/>
              <w:snapToGrid w:val="0"/>
              <w:jc w:val="center"/>
              <w:rPr>
                <w:rFonts w:hint="eastAsia" w:ascii="宋体" w:hAnsi="宋体" w:eastAsia="宋体" w:cs="宋体"/>
                <w:bCs/>
                <w:sz w:val="21"/>
                <w:szCs w:val="21"/>
                <w:highlight w:val="none"/>
              </w:rPr>
            </w:pPr>
          </w:p>
        </w:tc>
      </w:tr>
      <w:tr w14:paraId="3E22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59" w:hRule="atLeast"/>
          <w:jc w:val="center"/>
        </w:trPr>
        <w:tc>
          <w:tcPr>
            <w:tcW w:w="2160" w:type="dxa"/>
            <w:gridSpan w:val="2"/>
            <w:vAlign w:val="center"/>
          </w:tcPr>
          <w:p w14:paraId="363843C9">
            <w:pPr>
              <w:widowControl/>
              <w:snapToGrid w:val="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评审结论</w:t>
            </w:r>
          </w:p>
        </w:tc>
        <w:tc>
          <w:tcPr>
            <w:tcW w:w="7821" w:type="dxa"/>
            <w:gridSpan w:val="6"/>
          </w:tcPr>
          <w:p w14:paraId="63B37CCD">
            <w:pPr>
              <w:widowControl/>
              <w:snapToGrid w:val="0"/>
              <w:rPr>
                <w:rFonts w:hint="eastAsia" w:ascii="宋体" w:hAnsi="宋体" w:eastAsia="宋体" w:cs="宋体"/>
                <w:bCs/>
                <w:sz w:val="21"/>
                <w:szCs w:val="21"/>
                <w:highlight w:val="none"/>
              </w:rPr>
            </w:pPr>
            <w:r>
              <w:rPr>
                <w:rFonts w:hint="eastAsia" w:ascii="宋体" w:hAnsi="宋体" w:eastAsia="宋体" w:cs="宋体"/>
                <w:bCs/>
                <w:sz w:val="21"/>
                <w:szCs w:val="21"/>
                <w:highlight w:val="none"/>
              </w:rPr>
              <w:t>□合计分值不低于80的，评审结论合格</w:t>
            </w:r>
            <w:r>
              <w:rPr>
                <w:rFonts w:hint="eastAsia" w:ascii="宋体" w:hAnsi="宋体" w:eastAsia="宋体" w:cs="宋体"/>
                <w:bCs/>
                <w:sz w:val="21"/>
                <w:szCs w:val="21"/>
                <w:highlight w:val="none"/>
              </w:rPr>
              <w:br w:type="textWrapping"/>
            </w:r>
            <w:r>
              <w:rPr>
                <w:rFonts w:hint="eastAsia" w:ascii="宋体" w:hAnsi="宋体" w:eastAsia="宋体" w:cs="宋体"/>
                <w:bCs/>
                <w:sz w:val="21"/>
                <w:szCs w:val="21"/>
                <w:highlight w:val="none"/>
              </w:rPr>
              <w:t>□评审结论不合格，说明：</w:t>
            </w:r>
            <w:r>
              <w:rPr>
                <w:rFonts w:hint="eastAsia" w:ascii="宋体" w:hAnsi="宋体" w:eastAsia="宋体" w:cs="宋体"/>
                <w:bCs/>
                <w:sz w:val="21"/>
                <w:szCs w:val="21"/>
                <w:highlight w:val="none"/>
                <w:u w:val="single"/>
              </w:rPr>
              <w:t xml:space="preserve">              </w:t>
            </w:r>
          </w:p>
        </w:tc>
      </w:tr>
      <w:tr w14:paraId="6B30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2160" w:type="dxa"/>
            <w:gridSpan w:val="2"/>
            <w:vMerge w:val="restart"/>
            <w:vAlign w:val="center"/>
          </w:tcPr>
          <w:p w14:paraId="58E6BCE2">
            <w:pPr>
              <w:widowControl/>
              <w:snapToGrid w:val="0"/>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履约评审运营项目</w:t>
            </w:r>
            <w:r>
              <w:rPr>
                <w:rFonts w:hint="eastAsia" w:ascii="宋体" w:hAnsi="宋体" w:eastAsia="宋体" w:cs="宋体"/>
                <w:sz w:val="21"/>
                <w:szCs w:val="21"/>
                <w:highlight w:val="none"/>
              </w:rPr>
              <w:t>其他</w:t>
            </w:r>
            <w:r>
              <w:rPr>
                <w:rFonts w:hint="eastAsia" w:ascii="宋体" w:hAnsi="宋体" w:eastAsia="宋体" w:cs="宋体"/>
                <w:bCs/>
                <w:sz w:val="21"/>
                <w:szCs w:val="21"/>
                <w:highlight w:val="none"/>
              </w:rPr>
              <w:t>意见及签署</w:t>
            </w:r>
          </w:p>
        </w:tc>
        <w:tc>
          <w:tcPr>
            <w:tcW w:w="3840" w:type="dxa"/>
            <w:gridSpan w:val="2"/>
            <w:vAlign w:val="center"/>
          </w:tcPr>
          <w:p w14:paraId="1BA4CD7E">
            <w:pPr>
              <w:widowControl/>
              <w:snapToGrid w:val="0"/>
              <w:rPr>
                <w:rFonts w:hint="eastAsia" w:ascii="宋体" w:hAnsi="宋体" w:eastAsia="宋体" w:cs="宋体"/>
                <w:sz w:val="21"/>
                <w:szCs w:val="21"/>
                <w:highlight w:val="none"/>
              </w:rPr>
            </w:pPr>
            <w:r>
              <w:rPr>
                <w:rFonts w:hint="eastAsia" w:ascii="宋体" w:hAnsi="宋体" w:eastAsia="宋体" w:cs="宋体"/>
                <w:bCs/>
                <w:sz w:val="21"/>
                <w:szCs w:val="21"/>
                <w:highlight w:val="none"/>
              </w:rPr>
              <w:t>经办人</w:t>
            </w:r>
          </w:p>
        </w:tc>
        <w:tc>
          <w:tcPr>
            <w:tcW w:w="3987" w:type="dxa"/>
            <w:gridSpan w:val="5"/>
            <w:vAlign w:val="center"/>
          </w:tcPr>
          <w:p w14:paraId="27C992BE">
            <w:pPr>
              <w:widowControl/>
              <w:snapToGrid w:val="0"/>
              <w:rPr>
                <w:rFonts w:hint="eastAsia" w:ascii="宋体" w:hAnsi="宋体" w:eastAsia="宋体" w:cs="宋体"/>
                <w:bCs/>
                <w:sz w:val="21"/>
                <w:szCs w:val="21"/>
                <w:highlight w:val="none"/>
              </w:rPr>
            </w:pPr>
          </w:p>
        </w:tc>
      </w:tr>
      <w:tr w14:paraId="4D61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160" w:type="dxa"/>
            <w:gridSpan w:val="2"/>
            <w:vMerge w:val="continue"/>
          </w:tcPr>
          <w:p w14:paraId="6C99F13E">
            <w:pPr>
              <w:widowControl/>
              <w:snapToGrid w:val="0"/>
              <w:rPr>
                <w:rFonts w:hint="eastAsia" w:ascii="宋体" w:hAnsi="宋体" w:eastAsia="宋体" w:cs="宋体"/>
                <w:bCs/>
                <w:sz w:val="21"/>
                <w:szCs w:val="21"/>
                <w:highlight w:val="none"/>
              </w:rPr>
            </w:pPr>
          </w:p>
        </w:tc>
        <w:tc>
          <w:tcPr>
            <w:tcW w:w="3840" w:type="dxa"/>
            <w:gridSpan w:val="2"/>
            <w:vAlign w:val="center"/>
          </w:tcPr>
          <w:p w14:paraId="27AA5122">
            <w:pPr>
              <w:widowControl/>
              <w:snapToGrid w:val="0"/>
              <w:rPr>
                <w:rFonts w:hint="eastAsia" w:ascii="宋体" w:hAnsi="宋体" w:eastAsia="宋体" w:cs="宋体"/>
                <w:bCs/>
                <w:sz w:val="21"/>
                <w:szCs w:val="21"/>
                <w:highlight w:val="none"/>
              </w:rPr>
            </w:pPr>
            <w:r>
              <w:rPr>
                <w:rFonts w:hint="eastAsia" w:ascii="宋体" w:hAnsi="宋体" w:eastAsia="宋体" w:cs="宋体"/>
                <w:bCs/>
                <w:sz w:val="21"/>
                <w:szCs w:val="21"/>
                <w:highlight w:val="none"/>
              </w:rPr>
              <w:t>运营项目负责人</w:t>
            </w:r>
          </w:p>
        </w:tc>
        <w:tc>
          <w:tcPr>
            <w:tcW w:w="3987" w:type="dxa"/>
            <w:gridSpan w:val="5"/>
            <w:vAlign w:val="center"/>
          </w:tcPr>
          <w:p w14:paraId="1574C8CD">
            <w:pPr>
              <w:widowControl/>
              <w:snapToGrid w:val="0"/>
              <w:rPr>
                <w:rFonts w:hint="eastAsia" w:ascii="宋体" w:hAnsi="宋体" w:eastAsia="宋体" w:cs="宋体"/>
                <w:bCs/>
                <w:sz w:val="21"/>
                <w:szCs w:val="21"/>
                <w:highlight w:val="none"/>
              </w:rPr>
            </w:pPr>
          </w:p>
        </w:tc>
      </w:tr>
    </w:tbl>
    <w:p w14:paraId="060F7072">
      <w:pPr>
        <w:rPr>
          <w:rFonts w:hint="eastAsia" w:ascii="宋体" w:hAnsi="宋体" w:eastAsia="宋体" w:cs="宋体"/>
          <w:sz w:val="21"/>
          <w:szCs w:val="21"/>
          <w:highlight w:val="none"/>
        </w:rPr>
      </w:pPr>
    </w:p>
    <w:p w14:paraId="5B14DF12">
      <w:pPr>
        <w:bidi w:val="0"/>
        <w:jc w:val="left"/>
        <w:rPr>
          <w:rFonts w:hint="eastAsia" w:ascii="宋体" w:hAnsi="宋体" w:eastAsia="宋体" w:cs="宋体"/>
          <w:color w:val="auto"/>
          <w:sz w:val="21"/>
          <w:szCs w:val="21"/>
          <w:highlight w:val="none"/>
          <w:lang w:val="en-US" w:eastAsia="zh-CN"/>
        </w:rPr>
      </w:pPr>
    </w:p>
    <w:p w14:paraId="4CE908C9">
      <w:pPr>
        <w:spacing w:line="360" w:lineRule="auto"/>
        <w:ind w:firstLine="480" w:firstLineChars="200"/>
        <w:rPr>
          <w:rFonts w:ascii="Times New Roman"/>
          <w:color w:val="auto"/>
          <w:szCs w:val="21"/>
          <w:highlight w:val="none"/>
        </w:rPr>
      </w:pPr>
    </w:p>
    <w:p w14:paraId="3F0FA82A">
      <w:pPr>
        <w:spacing w:line="360" w:lineRule="auto"/>
        <w:ind w:firstLine="480" w:firstLineChars="200"/>
        <w:rPr>
          <w:rFonts w:ascii="Times New Roman"/>
          <w:color w:val="auto"/>
          <w:szCs w:val="21"/>
          <w:highlight w:val="none"/>
        </w:rPr>
      </w:pPr>
    </w:p>
    <w:p w14:paraId="5A41F2E7">
      <w:pPr>
        <w:spacing w:line="360" w:lineRule="auto"/>
        <w:ind w:firstLine="480" w:firstLineChars="200"/>
        <w:rPr>
          <w:rFonts w:ascii="Times New Roman"/>
          <w:color w:val="auto"/>
          <w:szCs w:val="21"/>
          <w:highlight w:val="none"/>
        </w:rPr>
      </w:pPr>
    </w:p>
    <w:p w14:paraId="30A75FCC">
      <w:pPr>
        <w:spacing w:line="360" w:lineRule="auto"/>
        <w:ind w:firstLine="480" w:firstLineChars="200"/>
        <w:rPr>
          <w:rFonts w:ascii="Times New Roman"/>
          <w:color w:val="auto"/>
          <w:szCs w:val="21"/>
          <w:highlight w:val="none"/>
        </w:rPr>
      </w:pPr>
    </w:p>
    <w:bookmarkEnd w:id="6"/>
    <w:bookmarkEnd w:id="7"/>
    <w:bookmarkEnd w:id="8"/>
    <w:p w14:paraId="32A89517">
      <w:pPr>
        <w:rPr>
          <w:rFonts w:hint="eastAsia" w:hAnsi="宋体" w:cs="宋体"/>
          <w:color w:val="auto"/>
          <w:szCs w:val="32"/>
          <w:highlight w:val="none"/>
        </w:rPr>
      </w:pPr>
      <w:bookmarkStart w:id="17" w:name="_Toc30244"/>
      <w:bookmarkStart w:id="18" w:name="_Toc27990830"/>
      <w:r>
        <w:rPr>
          <w:rFonts w:hint="eastAsia" w:hAnsi="宋体" w:cs="宋体"/>
          <w:color w:val="auto"/>
          <w:szCs w:val="32"/>
          <w:highlight w:val="none"/>
        </w:rPr>
        <w:br w:type="page"/>
      </w:r>
    </w:p>
    <w:p w14:paraId="17C457CD">
      <w:pPr>
        <w:pStyle w:val="3"/>
        <w:spacing w:before="0" w:after="0"/>
        <w:jc w:val="center"/>
        <w:rPr>
          <w:rFonts w:hAnsi="宋体" w:cs="宋体"/>
          <w:color w:val="auto"/>
          <w:szCs w:val="32"/>
          <w:highlight w:val="none"/>
        </w:rPr>
      </w:pPr>
      <w:r>
        <w:rPr>
          <w:rFonts w:hint="eastAsia" w:hAnsi="宋体" w:cs="宋体"/>
          <w:color w:val="auto"/>
          <w:szCs w:val="32"/>
          <w:highlight w:val="none"/>
        </w:rPr>
        <w:t>第三章 合同条款</w:t>
      </w:r>
      <w:bookmarkEnd w:id="17"/>
      <w:bookmarkEnd w:id="18"/>
    </w:p>
    <w:p w14:paraId="3FAF0DE2">
      <w:pPr>
        <w:spacing w:line="360" w:lineRule="auto"/>
        <w:jc w:val="center"/>
        <w:rPr>
          <w:b/>
          <w:color w:val="auto"/>
          <w:highlight w:val="none"/>
        </w:rPr>
      </w:pPr>
    </w:p>
    <w:p w14:paraId="076ECF86">
      <w:pPr>
        <w:jc w:val="center"/>
        <w:rPr>
          <w:rFonts w:ascii="宋体" w:hAnsi="宋体"/>
          <w:b/>
          <w:color w:val="auto"/>
          <w:szCs w:val="21"/>
          <w:highlight w:val="none"/>
        </w:rPr>
      </w:pPr>
      <w:r>
        <w:rPr>
          <w:rFonts w:hint="eastAsia"/>
          <w:color w:val="auto"/>
          <w:highlight w:val="none"/>
          <w:lang w:val="en-US" w:eastAsia="zh-CN"/>
        </w:rPr>
        <w:t xml:space="preserve">                                    </w:t>
      </w:r>
      <w:r>
        <w:rPr>
          <w:rFonts w:hint="eastAsia" w:ascii="宋体" w:hAnsi="宋体"/>
          <w:b/>
          <w:color w:val="auto"/>
          <w:szCs w:val="21"/>
          <w:highlight w:val="none"/>
          <w:lang w:val="en-US" w:eastAsia="zh-CN"/>
        </w:rPr>
        <w:t xml:space="preserve"> </w:t>
      </w:r>
    </w:p>
    <w:p w14:paraId="5F65498A">
      <w:pPr>
        <w:wordWrap w:val="0"/>
        <w:spacing w:line="360" w:lineRule="auto"/>
        <w:jc w:val="right"/>
        <w:rPr>
          <w:rFonts w:hint="default" w:ascii="Times New Roman" w:hAnsi="Times New Roman" w:cs="Times New Roman"/>
        </w:rPr>
      </w:pPr>
      <w:r>
        <w:rPr>
          <w:rFonts w:hint="default" w:ascii="Times New Roman" w:hAnsi="Times New Roman" w:cs="Times New Roman"/>
          <w:b/>
          <w:bCs/>
        </w:rPr>
        <w:t xml:space="preserve">合同编号：        </w:t>
      </w:r>
      <w:r>
        <w:rPr>
          <w:rFonts w:hint="default" w:ascii="Times New Roman" w:hAnsi="Times New Roman" w:cs="Times New Roman"/>
        </w:rPr>
        <w:t xml:space="preserve">   </w:t>
      </w:r>
    </w:p>
    <w:p w14:paraId="54E238C3">
      <w:pPr>
        <w:spacing w:line="1000" w:lineRule="exact"/>
        <w:ind w:left="-1" w:leftChars="-100" w:hanging="239" w:hangingChars="54"/>
        <w:jc w:val="center"/>
        <w:rPr>
          <w:rFonts w:hint="default" w:ascii="Times New Roman" w:hAnsi="Times New Roman" w:cs="Times New Roman"/>
          <w:b/>
          <w:bCs/>
          <w:sz w:val="44"/>
          <w:szCs w:val="44"/>
        </w:rPr>
      </w:pPr>
    </w:p>
    <w:p w14:paraId="7A4EC8DA">
      <w:pPr>
        <w:spacing w:line="600" w:lineRule="auto"/>
        <w:jc w:val="center"/>
        <w:outlineLvl w:val="0"/>
        <w:rPr>
          <w:rFonts w:hint="eastAsia" w:ascii="Times New Roman" w:cs="Times New Roman"/>
          <w:b/>
          <w:bCs/>
          <w:color w:val="000000" w:themeColor="text1"/>
          <w:kern w:val="0"/>
          <w:sz w:val="48"/>
          <w:szCs w:val="48"/>
          <w:lang w:val="en-US" w:eastAsia="zh-CN"/>
          <w14:textFill>
            <w14:solidFill>
              <w14:schemeClr w14:val="tx1"/>
            </w14:solidFill>
          </w14:textFill>
        </w:rPr>
      </w:pPr>
      <w:r>
        <w:rPr>
          <w:rFonts w:hint="eastAsia" w:ascii="Times New Roman" w:cs="Times New Roman"/>
          <w:b/>
          <w:bCs/>
          <w:color w:val="000000" w:themeColor="text1"/>
          <w:kern w:val="0"/>
          <w:sz w:val="48"/>
          <w:szCs w:val="48"/>
          <w:lang w:val="en-US" w:eastAsia="zh-CN"/>
          <w14:textFill>
            <w14:solidFill>
              <w14:schemeClr w14:val="tx1"/>
            </w14:solidFill>
          </w14:textFill>
        </w:rPr>
        <w:t>东莞市污泥集中处理处置项目尿素</w:t>
      </w:r>
    </w:p>
    <w:p w14:paraId="176D63B3">
      <w:pPr>
        <w:spacing w:line="600" w:lineRule="auto"/>
        <w:jc w:val="center"/>
        <w:outlineLvl w:val="0"/>
        <w:rPr>
          <w:rFonts w:hint="default" w:ascii="Times New Roman" w:hAnsi="Times New Roman" w:cs="Times New Roman"/>
          <w:b/>
          <w:bCs/>
          <w:sz w:val="44"/>
          <w:szCs w:val="44"/>
        </w:rPr>
      </w:pPr>
      <w:r>
        <w:rPr>
          <w:rFonts w:hint="eastAsia" w:ascii="Times New Roman" w:cs="Times New Roman"/>
          <w:b/>
          <w:bCs/>
          <w:color w:val="000000" w:themeColor="text1"/>
          <w:kern w:val="0"/>
          <w:sz w:val="48"/>
          <w:szCs w:val="48"/>
          <w:lang w:val="en-US" w:eastAsia="zh-CN"/>
          <w14:textFill>
            <w14:solidFill>
              <w14:schemeClr w14:val="tx1"/>
            </w14:solidFill>
          </w14:textFill>
        </w:rPr>
        <w:t>采购项目</w:t>
      </w:r>
      <w:r>
        <w:rPr>
          <w:rFonts w:hint="default" w:ascii="Times New Roman" w:hAnsi="Times New Roman" w:eastAsia="宋体" w:cs="Times New Roman"/>
          <w:b/>
          <w:bCs/>
          <w:color w:val="000000" w:themeColor="text1"/>
          <w:kern w:val="0"/>
          <w:sz w:val="48"/>
          <w:szCs w:val="48"/>
          <w:lang w:val="en-US" w:eastAsia="zh-CN"/>
          <w14:textFill>
            <w14:solidFill>
              <w14:schemeClr w14:val="tx1"/>
            </w14:solidFill>
          </w14:textFill>
        </w:rPr>
        <w:t>合同</w:t>
      </w:r>
    </w:p>
    <w:p w14:paraId="371638DD">
      <w:pPr>
        <w:spacing w:line="360" w:lineRule="auto"/>
        <w:rPr>
          <w:rFonts w:hint="default" w:ascii="Times New Roman" w:hAnsi="Times New Roman" w:cs="Times New Roman"/>
        </w:rPr>
      </w:pPr>
    </w:p>
    <w:p w14:paraId="6504F396">
      <w:pPr>
        <w:spacing w:line="360" w:lineRule="auto"/>
        <w:rPr>
          <w:rFonts w:hint="default" w:ascii="Times New Roman" w:hAnsi="Times New Roman" w:cs="Times New Roman"/>
        </w:rPr>
      </w:pPr>
    </w:p>
    <w:p w14:paraId="428507CC">
      <w:pPr>
        <w:spacing w:line="360" w:lineRule="auto"/>
        <w:rPr>
          <w:rFonts w:hint="default" w:ascii="Times New Roman" w:hAnsi="Times New Roman" w:cs="Times New Roman"/>
        </w:rPr>
      </w:pPr>
    </w:p>
    <w:p w14:paraId="77CA2FB8">
      <w:pPr>
        <w:spacing w:line="360" w:lineRule="auto"/>
        <w:rPr>
          <w:rFonts w:hint="default" w:ascii="Times New Roman" w:hAnsi="Times New Roman" w:cs="Times New Roman"/>
        </w:rPr>
      </w:pPr>
    </w:p>
    <w:p w14:paraId="3EA509F7">
      <w:pPr>
        <w:spacing w:line="360" w:lineRule="auto"/>
        <w:jc w:val="center"/>
        <w:rPr>
          <w:rFonts w:hint="default" w:ascii="Times New Roman" w:hAnsi="Times New Roman" w:cs="Times New Roman"/>
        </w:rPr>
      </w:pPr>
    </w:p>
    <w:p w14:paraId="44B9C2E8">
      <w:pPr>
        <w:spacing w:line="360" w:lineRule="auto"/>
        <w:jc w:val="center"/>
        <w:rPr>
          <w:rFonts w:hint="default" w:ascii="Times New Roman" w:hAnsi="Times New Roman" w:cs="Times New Roman"/>
        </w:rPr>
      </w:pPr>
    </w:p>
    <w:p w14:paraId="65C30F4E">
      <w:pPr>
        <w:pStyle w:val="2"/>
        <w:rPr>
          <w:rFonts w:hint="default" w:ascii="Times New Roman" w:hAnsi="Times New Roman" w:cs="Times New Roman"/>
        </w:rPr>
      </w:pPr>
    </w:p>
    <w:p w14:paraId="329F0444">
      <w:pPr>
        <w:pStyle w:val="2"/>
        <w:rPr>
          <w:rFonts w:hint="default" w:ascii="Times New Roman" w:hAnsi="Times New Roman" w:cs="Times New Roman"/>
        </w:rPr>
      </w:pPr>
    </w:p>
    <w:p w14:paraId="4FB89BC0">
      <w:pPr>
        <w:pStyle w:val="2"/>
        <w:rPr>
          <w:rFonts w:hint="default" w:ascii="Times New Roman" w:hAnsi="Times New Roman" w:cs="Times New Roman"/>
        </w:rPr>
      </w:pPr>
    </w:p>
    <w:p w14:paraId="48E47894">
      <w:pPr>
        <w:spacing w:line="360" w:lineRule="auto"/>
        <w:rPr>
          <w:rFonts w:hint="default" w:ascii="Times New Roman" w:hAnsi="Times New Roman" w:cs="Times New Roman"/>
        </w:rPr>
      </w:pPr>
    </w:p>
    <w:p w14:paraId="38FE704B">
      <w:pPr>
        <w:spacing w:line="360" w:lineRule="auto"/>
        <w:rPr>
          <w:rFonts w:hint="default" w:ascii="Times New Roman" w:hAnsi="Times New Roman" w:cs="Times New Roman"/>
        </w:rPr>
      </w:pPr>
    </w:p>
    <w:p w14:paraId="4A316BB3">
      <w:pPr>
        <w:spacing w:line="360" w:lineRule="auto"/>
        <w:rPr>
          <w:rFonts w:hint="default" w:ascii="Times New Roman" w:hAnsi="Times New Roman" w:cs="Times New Roman"/>
        </w:rPr>
      </w:pPr>
    </w:p>
    <w:p w14:paraId="0D1BEE4B">
      <w:pPr>
        <w:spacing w:line="360" w:lineRule="auto"/>
        <w:ind w:firstLine="1800" w:firstLineChars="600"/>
        <w:rPr>
          <w:rFonts w:hint="default" w:ascii="Times New Roman" w:hAnsi="Times New Roman" w:cs="Times New Roman"/>
          <w:sz w:val="30"/>
          <w:szCs w:val="30"/>
        </w:rPr>
      </w:pPr>
    </w:p>
    <w:p w14:paraId="4ACD1CC3">
      <w:pPr>
        <w:spacing w:line="720" w:lineRule="auto"/>
        <w:ind w:firstLine="1800" w:firstLineChars="600"/>
        <w:rPr>
          <w:rFonts w:hint="default" w:ascii="Times New Roman" w:hAnsi="Times New Roman" w:cs="Times New Roman"/>
          <w:color w:val="000000" w:themeColor="text1"/>
          <w:sz w:val="30"/>
          <w:szCs w:val="30"/>
          <w:u w:val="single"/>
          <w14:textFill>
            <w14:solidFill>
              <w14:schemeClr w14:val="tx1"/>
            </w14:solidFill>
          </w14:textFill>
        </w:rPr>
      </w:pPr>
      <w:r>
        <w:rPr>
          <w:rFonts w:hint="default" w:ascii="Times New Roman" w:hAnsi="Times New Roman" w:cs="Times New Roman"/>
          <w:sz w:val="30"/>
          <w:szCs w:val="30"/>
        </w:rPr>
        <w:t>甲方：</w:t>
      </w:r>
      <w:r>
        <w:rPr>
          <w:rFonts w:hint="eastAsia" w:ascii="Times New Roman" w:cs="Times New Roman"/>
          <w:color w:val="000000" w:themeColor="text1"/>
          <w:sz w:val="30"/>
          <w:szCs w:val="30"/>
          <w:u w:val="single"/>
          <w:lang w:val="en-US" w:eastAsia="zh-CN"/>
          <w14:textFill>
            <w14:solidFill>
              <w14:schemeClr w14:val="tx1"/>
            </w14:solidFill>
          </w14:textFill>
        </w:rPr>
        <w:t>东莞市尚源环能科技</w:t>
      </w:r>
      <w:r>
        <w:rPr>
          <w:rFonts w:hint="default" w:ascii="Times New Roman" w:hAnsi="Times New Roman" w:cs="Times New Roman"/>
          <w:color w:val="000000" w:themeColor="text1"/>
          <w:sz w:val="30"/>
          <w:szCs w:val="30"/>
          <w:u w:val="single"/>
          <w14:textFill>
            <w14:solidFill>
              <w14:schemeClr w14:val="tx1"/>
            </w14:solidFill>
          </w14:textFill>
        </w:rPr>
        <w:t>有限公司</w:t>
      </w:r>
    </w:p>
    <w:p w14:paraId="42AF04AE">
      <w:pPr>
        <w:spacing w:line="720" w:lineRule="auto"/>
        <w:ind w:firstLine="1800" w:firstLineChars="600"/>
        <w:rPr>
          <w:rFonts w:hint="default" w:ascii="Times New Roman" w:hAnsi="Times New Roman" w:cs="Times New Roman"/>
          <w:sz w:val="30"/>
          <w:szCs w:val="30"/>
        </w:rPr>
      </w:pPr>
    </w:p>
    <w:p w14:paraId="69FC2CD2">
      <w:pPr>
        <w:spacing w:line="720" w:lineRule="auto"/>
        <w:ind w:firstLine="1800" w:firstLineChars="600"/>
        <w:rPr>
          <w:rFonts w:hint="default" w:ascii="Times New Roman" w:hAnsi="Times New Roman" w:cs="Times New Roman"/>
          <w:sz w:val="30"/>
          <w:szCs w:val="30"/>
          <w:u w:val="single"/>
        </w:rPr>
      </w:pPr>
      <w:r>
        <w:rPr>
          <w:rFonts w:hint="default" w:ascii="Times New Roman" w:hAnsi="Times New Roman" w:cs="Times New Roman"/>
          <w:sz w:val="30"/>
          <w:szCs w:val="30"/>
        </w:rPr>
        <w:t>乙方：</w:t>
      </w:r>
      <w:r>
        <w:rPr>
          <w:rFonts w:hint="default" w:ascii="Times New Roman" w:hAnsi="Times New Roman" w:cs="Times New Roman"/>
          <w:sz w:val="30"/>
          <w:szCs w:val="30"/>
          <w:u w:val="single"/>
        </w:rPr>
        <w:t xml:space="preserve">               </w:t>
      </w:r>
      <w:r>
        <w:rPr>
          <w:rFonts w:hint="default" w:ascii="Times New Roman" w:hAnsi="Times New Roman" w:cs="Times New Roman"/>
          <w:sz w:val="30"/>
          <w:szCs w:val="30"/>
          <w:u w:val="single"/>
          <w:lang w:val="en-US" w:eastAsia="zh-CN"/>
        </w:rPr>
        <w:t xml:space="preserve">    </w:t>
      </w:r>
      <w:r>
        <w:rPr>
          <w:rFonts w:hint="default" w:ascii="Times New Roman" w:hAnsi="Times New Roman" w:cs="Times New Roman"/>
          <w:sz w:val="30"/>
          <w:szCs w:val="30"/>
          <w:u w:val="single"/>
        </w:rPr>
        <w:t xml:space="preserve">       </w:t>
      </w:r>
    </w:p>
    <w:p w14:paraId="4DFF863B">
      <w:pPr>
        <w:spacing w:line="360" w:lineRule="auto"/>
        <w:ind w:firstLine="1800" w:firstLineChars="600"/>
        <w:rPr>
          <w:rFonts w:hint="default" w:ascii="Times New Roman" w:hAnsi="Times New Roman" w:cs="Times New Roman"/>
          <w:sz w:val="30"/>
          <w:szCs w:val="30"/>
        </w:rPr>
      </w:pPr>
    </w:p>
    <w:p w14:paraId="2EC1FE99">
      <w:pPr>
        <w:jc w:val="center"/>
        <w:rPr>
          <w:rFonts w:hint="default" w:ascii="Times New Roman" w:hAnsi="Times New Roman" w:cs="Times New Roman"/>
          <w:sz w:val="30"/>
          <w:szCs w:val="30"/>
        </w:rPr>
        <w:sectPr>
          <w:pgSz w:w="11906" w:h="16838"/>
          <w:pgMar w:top="1440" w:right="1800" w:bottom="1440" w:left="1800" w:header="851" w:footer="992" w:gutter="0"/>
          <w:cols w:space="425" w:num="1"/>
          <w:docGrid w:type="lines" w:linePitch="312" w:charSpace="0"/>
        </w:sectPr>
      </w:pPr>
    </w:p>
    <w:p w14:paraId="2FCFB6D1">
      <w:pPr>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u w:val="single"/>
        </w:rPr>
      </w:pPr>
      <w:r>
        <w:rPr>
          <w:rFonts w:hint="eastAsia" w:ascii="宋体" w:hAnsi="宋体" w:eastAsia="宋体" w:cs="宋体"/>
          <w:b/>
          <w:sz w:val="21"/>
          <w:szCs w:val="21"/>
        </w:rPr>
        <w:t>甲方：</w:t>
      </w:r>
      <w:r>
        <w:rPr>
          <w:rFonts w:hint="eastAsia" w:ascii="宋体" w:hAnsi="宋体" w:eastAsia="宋体" w:cs="宋体"/>
          <w:b/>
          <w:sz w:val="21"/>
          <w:szCs w:val="21"/>
          <w:lang w:val="en-US" w:eastAsia="zh-CN"/>
        </w:rPr>
        <w:t>东莞市尚源环能科技</w:t>
      </w:r>
      <w:r>
        <w:rPr>
          <w:rFonts w:hint="eastAsia" w:ascii="宋体" w:hAnsi="宋体" w:eastAsia="宋体" w:cs="宋体"/>
          <w:b/>
          <w:sz w:val="21"/>
          <w:szCs w:val="21"/>
        </w:rPr>
        <w:t>有限公司</w:t>
      </w:r>
    </w:p>
    <w:p w14:paraId="67711097">
      <w:pPr>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rPr>
        <w:t>地址：</w:t>
      </w:r>
      <w:r>
        <w:rPr>
          <w:rFonts w:hint="eastAsia" w:ascii="宋体" w:hAnsi="宋体" w:eastAsia="宋体" w:cs="宋体"/>
          <w:sz w:val="21"/>
          <w:szCs w:val="21"/>
          <w:u w:val="single"/>
        </w:rPr>
        <w:t>广东省东莞市</w:t>
      </w:r>
      <w:r>
        <w:rPr>
          <w:rFonts w:hint="eastAsia" w:ascii="宋体" w:hAnsi="宋体" w:eastAsia="宋体" w:cs="宋体"/>
          <w:sz w:val="21"/>
          <w:szCs w:val="21"/>
          <w:u w:val="single"/>
          <w:lang w:val="en-US" w:eastAsia="zh-CN"/>
        </w:rPr>
        <w:t>沙田镇立沙中路</w:t>
      </w:r>
    </w:p>
    <w:p w14:paraId="77DD7024">
      <w:pPr>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b/>
          <w:sz w:val="21"/>
          <w:szCs w:val="21"/>
        </w:rPr>
        <w:t>乙方：</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p>
    <w:p w14:paraId="104CCE28">
      <w:pPr>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u w:val="single"/>
        </w:rPr>
      </w:pPr>
      <w:r>
        <w:rPr>
          <w:rFonts w:hint="eastAsia" w:ascii="宋体" w:hAnsi="宋体" w:eastAsia="宋体" w:cs="宋体"/>
          <w:sz w:val="21"/>
          <w:szCs w:val="21"/>
        </w:rPr>
        <w:t>地址：</w:t>
      </w:r>
      <w:r>
        <w:rPr>
          <w:rFonts w:hint="eastAsia" w:ascii="宋体" w:hAnsi="宋体" w:eastAsia="宋体" w:cs="宋体"/>
          <w:sz w:val="21"/>
          <w:szCs w:val="21"/>
          <w:u w:val="single"/>
        </w:rPr>
        <w:t xml:space="preserve">                                   </w:t>
      </w:r>
    </w:p>
    <w:p w14:paraId="4921F3B7">
      <w:pPr>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rPr>
      </w:pPr>
    </w:p>
    <w:p w14:paraId="19DDC555">
      <w:pPr>
        <w:pStyle w:val="2"/>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经甲方询价采购，现确定甲方向乙方采购</w:t>
      </w:r>
      <w:r>
        <w:rPr>
          <w:rFonts w:hint="eastAsia" w:ascii="宋体" w:hAnsi="宋体" w:eastAsia="宋体" w:cs="宋体"/>
          <w:sz w:val="21"/>
          <w:szCs w:val="21"/>
          <w:lang w:val="en-US" w:eastAsia="zh-CN"/>
        </w:rPr>
        <w:t>生产药剂</w:t>
      </w:r>
      <w:r>
        <w:rPr>
          <w:rFonts w:hint="eastAsia" w:ascii="宋体" w:hAnsi="宋体" w:eastAsia="宋体" w:cs="宋体"/>
          <w:sz w:val="21"/>
          <w:szCs w:val="21"/>
          <w:u w:val="single"/>
          <w:lang w:val="en-US" w:eastAsia="zh-CN"/>
        </w:rPr>
        <w:t>固体尿素</w:t>
      </w:r>
      <w:r>
        <w:rPr>
          <w:rFonts w:hint="eastAsia" w:ascii="宋体" w:hAnsi="宋体" w:eastAsia="宋体" w:cs="宋体"/>
          <w:sz w:val="21"/>
          <w:szCs w:val="21"/>
        </w:rPr>
        <w:t>一批。根据《中华人民共和国</w:t>
      </w:r>
      <w:r>
        <w:rPr>
          <w:rFonts w:hint="eastAsia" w:ascii="宋体" w:hAnsi="宋体" w:eastAsia="宋体" w:cs="宋体"/>
          <w:sz w:val="21"/>
          <w:szCs w:val="21"/>
          <w:lang w:val="en-US" w:eastAsia="zh-CN"/>
        </w:rPr>
        <w:t>民法典</w:t>
      </w:r>
      <w:r>
        <w:rPr>
          <w:rFonts w:hint="eastAsia" w:ascii="宋体" w:hAnsi="宋体" w:eastAsia="宋体" w:cs="宋体"/>
          <w:sz w:val="21"/>
          <w:szCs w:val="21"/>
        </w:rPr>
        <w:t>》等法律、法规的规定，经双方平等协商，双方就</w:t>
      </w:r>
      <w:r>
        <w:rPr>
          <w:rFonts w:hint="eastAsia" w:ascii="宋体" w:hAnsi="宋体" w:eastAsia="宋体" w:cs="宋体"/>
          <w:sz w:val="21"/>
          <w:szCs w:val="21"/>
          <w:lang w:val="en-US" w:eastAsia="zh-CN"/>
        </w:rPr>
        <w:t>生产药剂</w:t>
      </w:r>
      <w:r>
        <w:rPr>
          <w:rFonts w:hint="eastAsia" w:ascii="宋体" w:hAnsi="宋体" w:eastAsia="宋体" w:cs="宋体"/>
          <w:sz w:val="21"/>
          <w:szCs w:val="21"/>
          <w:u w:val="single"/>
          <w:lang w:val="en-US" w:eastAsia="zh-CN"/>
        </w:rPr>
        <w:t>固体尿素</w:t>
      </w:r>
      <w:r>
        <w:rPr>
          <w:rFonts w:hint="eastAsia" w:ascii="宋体" w:hAnsi="宋体" w:eastAsia="宋体" w:cs="宋体"/>
          <w:sz w:val="21"/>
          <w:szCs w:val="21"/>
        </w:rPr>
        <w:t>（以下称“货物”）采购事宜，签订本合同。</w:t>
      </w:r>
    </w:p>
    <w:p w14:paraId="5D77DF69">
      <w:pPr>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p>
    <w:p w14:paraId="577C2965">
      <w:pPr>
        <w:pStyle w:val="30"/>
        <w:keepNext w:val="0"/>
        <w:keepLines w:val="0"/>
        <w:pageBreakBefore w:val="0"/>
        <w:numPr>
          <w:ilvl w:val="0"/>
          <w:numId w:val="1"/>
        </w:numPr>
        <w:kinsoku/>
        <w:wordWrap/>
        <w:overflowPunct/>
        <w:topLinePunct w:val="0"/>
        <w:bidi w:val="0"/>
        <w:spacing w:line="360" w:lineRule="auto"/>
        <w:ind w:firstLineChars="0"/>
        <w:textAlignment w:val="auto"/>
        <w:outlineLvl w:val="1"/>
        <w:rPr>
          <w:rFonts w:hint="eastAsia" w:ascii="宋体" w:hAnsi="宋体" w:eastAsia="宋体" w:cs="宋体"/>
          <w:b/>
          <w:sz w:val="21"/>
          <w:szCs w:val="21"/>
          <w:lang w:val="en-US"/>
        </w:rPr>
      </w:pPr>
      <w:r>
        <w:rPr>
          <w:rFonts w:hint="eastAsia" w:ascii="宋体" w:hAnsi="宋体" w:eastAsia="宋体" w:cs="宋体"/>
          <w:b/>
          <w:sz w:val="21"/>
          <w:szCs w:val="21"/>
          <w:lang w:val="en-US" w:eastAsia="zh-CN"/>
        </w:rPr>
        <w:t>采购药剂</w:t>
      </w:r>
    </w:p>
    <w:p w14:paraId="197507CE">
      <w:pPr>
        <w:keepNext w:val="0"/>
        <w:keepLines w:val="0"/>
        <w:pageBreakBefore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rPr>
        <w:t>1、产品名称：</w:t>
      </w:r>
      <w:r>
        <w:rPr>
          <w:rFonts w:hint="eastAsia" w:ascii="宋体" w:hAnsi="宋体" w:eastAsia="宋体" w:cs="宋体"/>
          <w:color w:val="000000"/>
          <w:kern w:val="2"/>
          <w:sz w:val="21"/>
          <w:szCs w:val="21"/>
          <w:lang w:val="en-US" w:eastAsia="zh-CN"/>
        </w:rPr>
        <w:t>尿素</w:t>
      </w:r>
    </w:p>
    <w:p w14:paraId="531B4126">
      <w:pPr>
        <w:keepNext w:val="0"/>
        <w:keepLines w:val="0"/>
        <w:pageBreakBefore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rPr>
        <w:t>2、暂定采购数量：</w:t>
      </w:r>
      <w:r>
        <w:rPr>
          <w:rFonts w:hint="eastAsia" w:ascii="宋体" w:hAnsi="宋体" w:eastAsia="宋体" w:cs="宋体"/>
          <w:color w:val="000000"/>
          <w:kern w:val="2"/>
          <w:sz w:val="21"/>
          <w:szCs w:val="21"/>
          <w:lang w:val="en-US" w:eastAsia="zh-CN"/>
        </w:rPr>
        <w:t>171</w:t>
      </w:r>
      <w:r>
        <w:rPr>
          <w:rFonts w:hint="eastAsia" w:ascii="宋体" w:hAnsi="宋体" w:eastAsia="宋体" w:cs="宋体"/>
          <w:color w:val="000000"/>
          <w:kern w:val="2"/>
          <w:sz w:val="21"/>
          <w:szCs w:val="21"/>
        </w:rPr>
        <w:t>吨。</w:t>
      </w:r>
    </w:p>
    <w:p w14:paraId="435BB05B">
      <w:pPr>
        <w:keepNext w:val="0"/>
        <w:keepLines w:val="0"/>
        <w:pageBreakBefore w:val="0"/>
        <w:kinsoku/>
        <w:wordWrap/>
        <w:overflowPunct/>
        <w:topLinePunct w:val="0"/>
        <w:autoSpaceDE/>
        <w:autoSpaceDN/>
        <w:bidi w:val="0"/>
        <w:adjustRightInd/>
        <w:spacing w:line="360" w:lineRule="auto"/>
        <w:ind w:firstLine="422" w:firstLineChars="200"/>
        <w:jc w:val="both"/>
        <w:textAlignment w:val="auto"/>
        <w:rPr>
          <w:rFonts w:hint="eastAsia" w:ascii="宋体" w:hAnsi="宋体" w:eastAsia="宋体" w:cs="宋体"/>
          <w:color w:val="000000"/>
          <w:kern w:val="2"/>
          <w:sz w:val="21"/>
          <w:szCs w:val="21"/>
        </w:rPr>
      </w:pPr>
      <w:r>
        <w:rPr>
          <w:rFonts w:hint="eastAsia" w:ascii="宋体" w:hAnsi="宋体" w:eastAsia="宋体" w:cs="宋体"/>
          <w:b/>
          <w:color w:val="000000"/>
          <w:kern w:val="2"/>
          <w:sz w:val="21"/>
          <w:szCs w:val="21"/>
        </w:rPr>
        <w:t>3、本次采购涉及采购数量为暂定，仅为便于计算暂定合同</w:t>
      </w:r>
      <w:r>
        <w:rPr>
          <w:rFonts w:hint="eastAsia" w:ascii="宋体" w:hAnsi="宋体" w:eastAsia="宋体" w:cs="宋体"/>
          <w:b/>
          <w:color w:val="000000"/>
          <w:kern w:val="2"/>
          <w:sz w:val="21"/>
          <w:szCs w:val="21"/>
          <w:lang w:val="en-US" w:eastAsia="zh-CN"/>
        </w:rPr>
        <w:t>总</w:t>
      </w:r>
      <w:r>
        <w:rPr>
          <w:rFonts w:hint="eastAsia" w:ascii="宋体" w:hAnsi="宋体" w:eastAsia="宋体" w:cs="宋体"/>
          <w:b/>
          <w:color w:val="000000"/>
          <w:kern w:val="2"/>
          <w:sz w:val="21"/>
          <w:szCs w:val="21"/>
        </w:rPr>
        <w:t>价使用，不作为</w:t>
      </w:r>
      <w:r>
        <w:rPr>
          <w:rFonts w:hint="eastAsia" w:ascii="宋体" w:hAnsi="宋体" w:eastAsia="宋体" w:cs="宋体"/>
          <w:b/>
          <w:color w:val="000000"/>
          <w:kern w:val="2"/>
          <w:sz w:val="21"/>
          <w:szCs w:val="21"/>
          <w:lang w:eastAsia="zh-CN"/>
        </w:rPr>
        <w:t>甲方</w:t>
      </w:r>
      <w:r>
        <w:rPr>
          <w:rFonts w:hint="eastAsia" w:ascii="宋体" w:hAnsi="宋体" w:eastAsia="宋体" w:cs="宋体"/>
          <w:b/>
          <w:color w:val="000000"/>
          <w:kern w:val="2"/>
          <w:sz w:val="21"/>
          <w:szCs w:val="21"/>
        </w:rPr>
        <w:t>最终采购数量的保证。</w:t>
      </w:r>
      <w:r>
        <w:rPr>
          <w:rFonts w:hint="eastAsia" w:ascii="宋体" w:hAnsi="宋体" w:eastAsia="宋体" w:cs="宋体"/>
          <w:b/>
          <w:color w:val="000000"/>
          <w:kern w:val="2"/>
          <w:sz w:val="21"/>
          <w:szCs w:val="21"/>
          <w:lang w:eastAsia="zh-CN"/>
        </w:rPr>
        <w:t>甲方</w:t>
      </w:r>
      <w:r>
        <w:rPr>
          <w:rFonts w:hint="eastAsia" w:ascii="宋体" w:hAnsi="宋体" w:eastAsia="宋体" w:cs="宋体"/>
          <w:b/>
          <w:color w:val="000000"/>
          <w:kern w:val="2"/>
          <w:sz w:val="21"/>
          <w:szCs w:val="21"/>
        </w:rPr>
        <w:t>的实际需求数量以每次的供货通知为准，在供货期内</w:t>
      </w:r>
      <w:r>
        <w:rPr>
          <w:rFonts w:hint="eastAsia" w:ascii="宋体" w:hAnsi="宋体" w:eastAsia="宋体" w:cs="宋体"/>
          <w:b/>
          <w:color w:val="000000"/>
          <w:kern w:val="2"/>
          <w:sz w:val="21"/>
          <w:szCs w:val="21"/>
          <w:lang w:eastAsia="zh-CN"/>
        </w:rPr>
        <w:t>乙方</w:t>
      </w:r>
      <w:r>
        <w:rPr>
          <w:rFonts w:hint="eastAsia" w:ascii="宋体" w:hAnsi="宋体" w:eastAsia="宋体" w:cs="宋体"/>
          <w:b/>
          <w:color w:val="000000"/>
          <w:kern w:val="2"/>
          <w:sz w:val="21"/>
          <w:szCs w:val="21"/>
        </w:rPr>
        <w:t>不得因</w:t>
      </w:r>
      <w:r>
        <w:rPr>
          <w:rFonts w:hint="eastAsia" w:ascii="宋体" w:hAnsi="宋体" w:eastAsia="宋体" w:cs="宋体"/>
          <w:b/>
          <w:color w:val="000000"/>
          <w:kern w:val="2"/>
          <w:sz w:val="21"/>
          <w:szCs w:val="21"/>
          <w:lang w:eastAsia="zh-CN"/>
        </w:rPr>
        <w:t>甲方</w:t>
      </w:r>
      <w:r>
        <w:rPr>
          <w:rFonts w:hint="eastAsia" w:ascii="宋体" w:hAnsi="宋体" w:eastAsia="宋体" w:cs="宋体"/>
          <w:b/>
          <w:color w:val="000000"/>
          <w:kern w:val="2"/>
          <w:sz w:val="21"/>
          <w:szCs w:val="21"/>
        </w:rPr>
        <w:t>实际采购数量的减少或增加而要求提供任何形式的补偿或赔偿，或要求</w:t>
      </w:r>
      <w:r>
        <w:rPr>
          <w:rFonts w:hint="eastAsia" w:ascii="宋体" w:hAnsi="宋体" w:eastAsia="宋体" w:cs="宋体"/>
          <w:b/>
          <w:color w:val="000000"/>
          <w:kern w:val="2"/>
          <w:sz w:val="21"/>
          <w:szCs w:val="21"/>
          <w:lang w:eastAsia="zh-CN"/>
        </w:rPr>
        <w:t>甲方</w:t>
      </w:r>
      <w:r>
        <w:rPr>
          <w:rFonts w:hint="eastAsia" w:ascii="宋体" w:hAnsi="宋体" w:eastAsia="宋体" w:cs="宋体"/>
          <w:b/>
          <w:color w:val="000000"/>
          <w:kern w:val="2"/>
          <w:sz w:val="21"/>
          <w:szCs w:val="21"/>
        </w:rPr>
        <w:t>按暂定采购数量采购相应货物。</w:t>
      </w:r>
    </w:p>
    <w:p w14:paraId="1BE6E909">
      <w:pPr>
        <w:keepNext w:val="0"/>
        <w:keepLines w:val="0"/>
        <w:pageBreakBefore w:val="0"/>
        <w:kinsoku/>
        <w:wordWrap/>
        <w:overflowPunct/>
        <w:topLinePunct w:val="0"/>
        <w:autoSpaceDE/>
        <w:autoSpaceDN/>
        <w:bidi w:val="0"/>
        <w:adjustRightInd/>
        <w:spacing w:line="360" w:lineRule="auto"/>
        <w:ind w:firstLine="422" w:firstLineChars="200"/>
        <w:jc w:val="both"/>
        <w:textAlignment w:val="auto"/>
        <w:rPr>
          <w:rFonts w:hint="eastAsia" w:ascii="宋体" w:hAnsi="宋体" w:eastAsia="宋体" w:cs="宋体"/>
          <w:b/>
          <w:color w:val="000000"/>
          <w:kern w:val="2"/>
          <w:sz w:val="21"/>
          <w:szCs w:val="21"/>
        </w:rPr>
      </w:pPr>
      <w:r>
        <w:rPr>
          <w:rFonts w:hint="eastAsia" w:ascii="宋体" w:hAnsi="宋体" w:eastAsia="宋体" w:cs="宋体"/>
          <w:b/>
          <w:color w:val="000000"/>
          <w:kern w:val="2"/>
          <w:sz w:val="21"/>
          <w:szCs w:val="21"/>
        </w:rPr>
        <w:t>4、主要技术指标</w:t>
      </w:r>
    </w:p>
    <w:p w14:paraId="144F32F1">
      <w:pPr>
        <w:pStyle w:val="30"/>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rPr>
      </w:pPr>
      <w:bookmarkStart w:id="19" w:name="_Toc12795"/>
      <w:bookmarkStart w:id="20" w:name="_Toc7208"/>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产品必须符合GB/T 2440-2017 《尿素》品质量及检测标准</w:t>
      </w:r>
      <w:bookmarkEnd w:id="19"/>
      <w:bookmarkEnd w:id="20"/>
      <w:r>
        <w:rPr>
          <w:rFonts w:hint="eastAsia" w:ascii="宋体" w:hAnsi="宋体" w:eastAsia="宋体" w:cs="宋体"/>
          <w:sz w:val="21"/>
          <w:szCs w:val="21"/>
        </w:rPr>
        <w:t>：</w:t>
      </w:r>
    </w:p>
    <w:p w14:paraId="78ECE413">
      <w:pPr>
        <w:pStyle w:val="30"/>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rPr>
        <w:t>表1   尿素主要技术指标</w:t>
      </w:r>
    </w:p>
    <w:tbl>
      <w:tblPr>
        <w:tblStyle w:val="22"/>
        <w:tblW w:w="7579"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791"/>
        <w:gridCol w:w="2788"/>
      </w:tblGrid>
      <w:tr w14:paraId="7EA47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21" w:hRule="atLeast"/>
          <w:tblCellSpacing w:w="0" w:type="dxa"/>
          <w:jc w:val="center"/>
        </w:trPr>
        <w:tc>
          <w:tcPr>
            <w:tcW w:w="4791" w:type="dxa"/>
            <w:vAlign w:val="center"/>
          </w:tcPr>
          <w:p w14:paraId="4AB8DC25">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项目</w:t>
            </w:r>
          </w:p>
        </w:tc>
        <w:tc>
          <w:tcPr>
            <w:tcW w:w="2788" w:type="dxa"/>
            <w:vAlign w:val="center"/>
          </w:tcPr>
          <w:p w14:paraId="56DD58BD">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指标要求</w:t>
            </w:r>
          </w:p>
        </w:tc>
      </w:tr>
      <w:tr w14:paraId="1110F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21" w:hRule="atLeast"/>
          <w:tblCellSpacing w:w="0" w:type="dxa"/>
          <w:jc w:val="center"/>
        </w:trPr>
        <w:tc>
          <w:tcPr>
            <w:tcW w:w="4791" w:type="dxa"/>
            <w:vAlign w:val="center"/>
          </w:tcPr>
          <w:p w14:paraId="6E3FCC15">
            <w:pPr>
              <w:keepNext w:val="0"/>
              <w:keepLines w:val="0"/>
              <w:pageBreakBefore w:val="0"/>
              <w:kinsoku/>
              <w:wordWrap/>
              <w:overflowPunct/>
              <w:topLinePunct w:val="0"/>
              <w:bidi w:val="0"/>
              <w:spacing w:line="360" w:lineRule="auto"/>
              <w:jc w:val="center"/>
              <w:textAlignment w:val="auto"/>
              <w:outlineLvl w:val="1"/>
              <w:rPr>
                <w:rFonts w:hint="eastAsia" w:ascii="宋体" w:hAnsi="宋体" w:eastAsia="宋体" w:cs="宋体"/>
                <w:color w:val="auto"/>
                <w:kern w:val="2"/>
                <w:sz w:val="21"/>
                <w:szCs w:val="21"/>
                <w:highlight w:val="none"/>
                <w:lang w:val="en-US" w:eastAsia="zh-CN"/>
              </w:rPr>
            </w:pPr>
            <w:bookmarkStart w:id="21" w:name="_Toc45110748"/>
            <w:bookmarkStart w:id="22" w:name="_Toc45110872"/>
            <w:bookmarkStart w:id="23" w:name="_Toc12153"/>
            <w:r>
              <w:rPr>
                <w:rFonts w:hint="eastAsia" w:ascii="宋体" w:hAnsi="宋体" w:eastAsia="宋体" w:cs="宋体"/>
                <w:color w:val="auto"/>
                <w:kern w:val="2"/>
                <w:sz w:val="21"/>
                <w:szCs w:val="21"/>
                <w:highlight w:val="none"/>
              </w:rPr>
              <w:t>总氮(N)的质量分数</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w:t>
            </w:r>
          </w:p>
        </w:tc>
        <w:tc>
          <w:tcPr>
            <w:tcW w:w="2788" w:type="dxa"/>
            <w:vAlign w:val="center"/>
          </w:tcPr>
          <w:p w14:paraId="6A50DDF7">
            <w:pPr>
              <w:keepNext w:val="0"/>
              <w:keepLines w:val="0"/>
              <w:pageBreakBefore w:val="0"/>
              <w:kinsoku/>
              <w:wordWrap/>
              <w:overflowPunct/>
              <w:topLinePunct w:val="0"/>
              <w:bidi w:val="0"/>
              <w:spacing w:line="360" w:lineRule="auto"/>
              <w:jc w:val="center"/>
              <w:textAlignment w:val="auto"/>
              <w:outlineLvl w:val="1"/>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≥46.0</w:t>
            </w:r>
          </w:p>
        </w:tc>
      </w:tr>
      <w:tr w14:paraId="5C34B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21" w:hRule="atLeast"/>
          <w:tblCellSpacing w:w="0" w:type="dxa"/>
          <w:jc w:val="center"/>
        </w:trPr>
        <w:tc>
          <w:tcPr>
            <w:tcW w:w="4791" w:type="dxa"/>
            <w:vAlign w:val="center"/>
          </w:tcPr>
          <w:p w14:paraId="34CEC781">
            <w:pPr>
              <w:keepNext w:val="0"/>
              <w:keepLines w:val="0"/>
              <w:pageBreakBefore w:val="0"/>
              <w:kinsoku/>
              <w:wordWrap/>
              <w:overflowPunct/>
              <w:topLinePunct w:val="0"/>
              <w:bidi w:val="0"/>
              <w:spacing w:line="360" w:lineRule="auto"/>
              <w:jc w:val="center"/>
              <w:textAlignment w:val="auto"/>
              <w:outlineLvl w:val="1"/>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粒度</w:t>
            </w:r>
            <w:r>
              <w:rPr>
                <w:rFonts w:hint="eastAsia" w:ascii="宋体" w:hAnsi="宋体" w:eastAsia="宋体" w:cs="宋体"/>
                <w:color w:val="auto"/>
                <w:kern w:val="2"/>
                <w:sz w:val="21"/>
                <w:szCs w:val="21"/>
                <w:highlight w:val="none"/>
                <w:lang w:eastAsia="zh-CN"/>
              </w:rPr>
              <w:t>，d·0.85~2.80mm，%</w:t>
            </w:r>
          </w:p>
        </w:tc>
        <w:tc>
          <w:tcPr>
            <w:tcW w:w="2788" w:type="dxa"/>
            <w:vAlign w:val="center"/>
          </w:tcPr>
          <w:p w14:paraId="5B6FF1EA">
            <w:pPr>
              <w:keepNext w:val="0"/>
              <w:keepLines w:val="0"/>
              <w:pageBreakBefore w:val="0"/>
              <w:kinsoku/>
              <w:wordWrap/>
              <w:overflowPunct/>
              <w:topLinePunct w:val="0"/>
              <w:bidi w:val="0"/>
              <w:spacing w:line="360" w:lineRule="auto"/>
              <w:jc w:val="center"/>
              <w:textAlignment w:val="auto"/>
              <w:outlineLvl w:val="1"/>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93</w:t>
            </w:r>
          </w:p>
        </w:tc>
      </w:tr>
      <w:bookmarkEnd w:id="21"/>
      <w:bookmarkEnd w:id="22"/>
      <w:bookmarkEnd w:id="23"/>
    </w:tbl>
    <w:p w14:paraId="52687A5A">
      <w:pPr>
        <w:pStyle w:val="30"/>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（2）外观：白色固态颗粒</w:t>
      </w:r>
      <w:r>
        <w:rPr>
          <w:rFonts w:hint="eastAsia" w:ascii="宋体" w:hAnsi="宋体" w:eastAsia="宋体" w:cs="宋体"/>
          <w:sz w:val="21"/>
          <w:szCs w:val="21"/>
          <w:lang w:eastAsia="zh-CN"/>
        </w:rPr>
        <w:t>。</w:t>
      </w:r>
    </w:p>
    <w:p w14:paraId="69A9B312">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（3）供货期间，如有发布最新的行业标准或国家标准，</w:t>
      </w:r>
      <w:r>
        <w:rPr>
          <w:rFonts w:hint="eastAsia" w:ascii="宋体" w:hAnsi="宋体" w:eastAsia="宋体" w:cs="宋体"/>
          <w:sz w:val="21"/>
          <w:szCs w:val="21"/>
          <w:lang w:eastAsia="zh-CN"/>
        </w:rPr>
        <w:t>甲方</w:t>
      </w:r>
      <w:r>
        <w:rPr>
          <w:rFonts w:hint="eastAsia" w:ascii="宋体" w:hAnsi="宋体" w:eastAsia="宋体" w:cs="宋体"/>
          <w:sz w:val="21"/>
          <w:szCs w:val="21"/>
        </w:rPr>
        <w:t>有权根据有关行业标准或国家标准对合同的主要技术指标进行变更调整，</w:t>
      </w:r>
      <w:r>
        <w:rPr>
          <w:rFonts w:hint="eastAsia" w:ascii="宋体" w:hAnsi="宋体" w:eastAsia="宋体" w:cs="宋体"/>
          <w:sz w:val="21"/>
          <w:szCs w:val="21"/>
          <w:lang w:eastAsia="zh-CN"/>
        </w:rPr>
        <w:t>乙方</w:t>
      </w:r>
      <w:r>
        <w:rPr>
          <w:rFonts w:hint="eastAsia" w:ascii="宋体" w:hAnsi="宋体" w:eastAsia="宋体" w:cs="宋体"/>
          <w:sz w:val="21"/>
          <w:szCs w:val="21"/>
        </w:rPr>
        <w:t>应无条件接受。</w:t>
      </w:r>
    </w:p>
    <w:p w14:paraId="0ECA9630">
      <w:pPr>
        <w:keepNext w:val="0"/>
        <w:keepLines w:val="0"/>
        <w:pageBreakBefore w:val="0"/>
        <w:kinsoku/>
        <w:wordWrap/>
        <w:overflowPunct/>
        <w:topLinePunct w:val="0"/>
        <w:autoSpaceDE w:val="0"/>
        <w:autoSpaceDN w:val="0"/>
        <w:bidi w:val="0"/>
        <w:adjustRightInd w:val="0"/>
        <w:spacing w:line="360" w:lineRule="auto"/>
        <w:ind w:firstLine="48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（4）乙方所供产品的真实质量，必须满足本</w:t>
      </w:r>
      <w:r>
        <w:rPr>
          <w:rFonts w:hint="eastAsia" w:ascii="宋体" w:hAnsi="宋体" w:eastAsia="宋体" w:cs="宋体"/>
          <w:sz w:val="21"/>
          <w:szCs w:val="21"/>
          <w:lang w:val="en-US" w:eastAsia="zh-CN"/>
        </w:rPr>
        <w:t>合同</w:t>
      </w:r>
      <w:r>
        <w:rPr>
          <w:rFonts w:hint="eastAsia" w:ascii="宋体" w:hAnsi="宋体" w:eastAsia="宋体" w:cs="宋体"/>
          <w:sz w:val="21"/>
          <w:szCs w:val="21"/>
          <w:lang w:val="zh-CN"/>
        </w:rPr>
        <w:t>的所有技术指标。</w:t>
      </w:r>
    </w:p>
    <w:p w14:paraId="2F7C25DD">
      <w:pPr>
        <w:keepNext w:val="0"/>
        <w:keepLines w:val="0"/>
        <w:pageBreakBefore w:val="0"/>
        <w:kinsoku/>
        <w:wordWrap/>
        <w:overflowPunct/>
        <w:topLinePunct w:val="0"/>
        <w:autoSpaceDE w:val="0"/>
        <w:autoSpaceDN w:val="0"/>
        <w:bidi w:val="0"/>
        <w:adjustRightInd w:val="0"/>
        <w:spacing w:line="360" w:lineRule="auto"/>
        <w:ind w:firstLine="48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w:t>
      </w:r>
      <w:r>
        <w:rPr>
          <w:rFonts w:hint="eastAsia" w:ascii="宋体" w:hAnsi="宋体" w:eastAsia="宋体" w:cs="宋体"/>
          <w:sz w:val="21"/>
          <w:szCs w:val="21"/>
        </w:rPr>
        <w:t>5</w:t>
      </w:r>
      <w:r>
        <w:rPr>
          <w:rFonts w:hint="eastAsia" w:ascii="宋体" w:hAnsi="宋体" w:eastAsia="宋体" w:cs="宋体"/>
          <w:sz w:val="21"/>
          <w:szCs w:val="21"/>
          <w:lang w:val="zh-CN"/>
        </w:rPr>
        <w:t>）乙方须根据甲方的情况，提供满足</w:t>
      </w:r>
      <w:r>
        <w:rPr>
          <w:rFonts w:hint="eastAsia" w:ascii="宋体" w:hAnsi="宋体" w:eastAsia="宋体" w:cs="宋体"/>
          <w:sz w:val="21"/>
          <w:szCs w:val="21"/>
        </w:rPr>
        <w:t>厂区</w:t>
      </w:r>
      <w:r>
        <w:rPr>
          <w:rFonts w:hint="eastAsia" w:ascii="宋体" w:hAnsi="宋体" w:eastAsia="宋体" w:cs="宋体"/>
          <w:sz w:val="21"/>
          <w:szCs w:val="21"/>
          <w:lang w:val="zh-CN"/>
        </w:rPr>
        <w:t>正常生产运营的产品。</w:t>
      </w:r>
    </w:p>
    <w:p w14:paraId="3F89EEB1">
      <w:pPr>
        <w:pStyle w:val="2"/>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lang w:val="en-US" w:eastAsia="zh-CN"/>
        </w:rPr>
      </w:pPr>
    </w:p>
    <w:p w14:paraId="53B2F570">
      <w:pPr>
        <w:pStyle w:val="30"/>
        <w:keepNext w:val="0"/>
        <w:keepLines w:val="0"/>
        <w:pageBreakBefore w:val="0"/>
        <w:numPr>
          <w:ilvl w:val="0"/>
          <w:numId w:val="1"/>
        </w:numPr>
        <w:kinsoku/>
        <w:wordWrap/>
        <w:overflowPunct/>
        <w:topLinePunct w:val="0"/>
        <w:bidi w:val="0"/>
        <w:spacing w:line="360" w:lineRule="auto"/>
        <w:ind w:firstLineChars="0"/>
        <w:textAlignment w:val="auto"/>
        <w:outlineLvl w:val="1"/>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交货要求</w:t>
      </w:r>
    </w:p>
    <w:p w14:paraId="7CD39A30">
      <w:pPr>
        <w:pStyle w:val="30"/>
        <w:keepNext w:val="0"/>
        <w:keepLines w:val="0"/>
        <w:pageBreakBefore w:val="0"/>
        <w:numPr>
          <w:ilvl w:val="0"/>
          <w:numId w:val="0"/>
        </w:numPr>
        <w:kinsoku/>
        <w:wordWrap/>
        <w:overflowPunct/>
        <w:topLinePunct w:val="0"/>
        <w:bidi w:val="0"/>
        <w:spacing w:line="360" w:lineRule="auto"/>
        <w:ind w:firstLine="400" w:firstLineChars="0"/>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sz w:val="21"/>
          <w:szCs w:val="21"/>
        </w:rPr>
        <w:t>服务期：供货期从合同签订之日至2026年12月31日，具体供货日期以</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书面通知为准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lang w:eastAsia="zh-CN"/>
        </w:rPr>
        <w:t>收到甲方通知后必须无条件按照</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lang w:eastAsia="zh-CN"/>
        </w:rPr>
        <w:t>的要求开始供货</w:t>
      </w:r>
      <w:r>
        <w:rPr>
          <w:rFonts w:hint="eastAsia" w:ascii="宋体" w:hAnsi="宋体" w:eastAsia="宋体" w:cs="宋体"/>
          <w:color w:val="auto"/>
          <w:sz w:val="21"/>
          <w:szCs w:val="21"/>
        </w:rPr>
        <w:t>。</w:t>
      </w:r>
    </w:p>
    <w:p w14:paraId="3260E895">
      <w:pPr>
        <w:keepNext w:val="0"/>
        <w:keepLines w:val="0"/>
        <w:pageBreakBefore w:val="0"/>
        <w:widowControl/>
        <w:kinsoku/>
        <w:wordWrap/>
        <w:overflowPunct/>
        <w:topLinePunct w:val="0"/>
        <w:bidi w:val="0"/>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auto"/>
          <w:kern w:val="2"/>
          <w:sz w:val="21"/>
          <w:szCs w:val="21"/>
          <w:highlight w:val="none"/>
          <w:lang w:val="en-US" w:eastAsia="zh-CN"/>
        </w:rPr>
        <w:t>2、交货地点：</w:t>
      </w:r>
      <w:r>
        <w:rPr>
          <w:rFonts w:hint="eastAsia" w:ascii="宋体" w:hAnsi="宋体" w:eastAsia="宋体" w:cs="宋体"/>
          <w:sz w:val="21"/>
          <w:szCs w:val="21"/>
        </w:rPr>
        <w:t>东莞市污泥集中处理处置项目现场（广东省东莞市沙田镇立沙中路</w:t>
      </w:r>
      <w:r>
        <w:rPr>
          <w:rFonts w:hint="eastAsia" w:ascii="宋体" w:hAnsi="宋体" w:eastAsia="宋体" w:cs="宋体"/>
          <w:color w:val="000000"/>
          <w:sz w:val="21"/>
          <w:szCs w:val="21"/>
        </w:rPr>
        <w:t>）</w:t>
      </w:r>
      <w:r>
        <w:rPr>
          <w:rFonts w:hint="eastAsia" w:ascii="宋体" w:hAnsi="宋体" w:eastAsia="宋体" w:cs="宋体"/>
          <w:color w:val="000000"/>
          <w:kern w:val="0"/>
          <w:sz w:val="21"/>
          <w:szCs w:val="21"/>
          <w:lang w:val="en-US" w:eastAsia="zh-CN"/>
        </w:rPr>
        <w:t>。</w:t>
      </w:r>
    </w:p>
    <w:p w14:paraId="000E9FB7">
      <w:pPr>
        <w:keepNext w:val="0"/>
        <w:keepLines w:val="0"/>
        <w:pageBreakBefore w:val="0"/>
        <w:widowControl/>
        <w:kinsoku/>
        <w:wordWrap/>
        <w:overflowPunct/>
        <w:topLinePunct w:val="0"/>
        <w:bidi w:val="0"/>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3、交货时间：日常供货（非加急供货)为接到供货通知48小时内，加急供货为接到供货通知24小时内，具体交货时间以甲方供货通知为准。甲方无需因加急供货而额外支付任何费用。</w:t>
      </w:r>
    </w:p>
    <w:p w14:paraId="0858D215">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产品包装：袋装。规格50kg/袋，适用于电动葫芦吊装</w:t>
      </w:r>
      <w:r>
        <w:rPr>
          <w:rFonts w:hint="eastAsia" w:ascii="宋体" w:hAnsi="宋体" w:eastAsia="宋体" w:cs="宋体"/>
          <w:color w:val="000000"/>
          <w:sz w:val="21"/>
          <w:szCs w:val="21"/>
          <w:lang w:eastAsia="zh-CN"/>
        </w:rPr>
        <w:t>。</w:t>
      </w:r>
    </w:p>
    <w:p w14:paraId="05C8AB1F">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产品运输、装卸的要求：袋装的尿素使用专用货车运输，运输过程中不得与其他货物混装（放），防止混入其他有毒或有害的物质。货物装卸，需结合现场条件，使用人工或叉车方式装卸，卸料至指定厂区尿素储存位置。</w:t>
      </w:r>
    </w:p>
    <w:p w14:paraId="08288B65">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自行负责将生产药剂运送至</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指定位置（储药间）。</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承担相应的运输、装卸、二次搬运等费用，运输人员应配备足够防护器具。如在运输及装卸过程中，生产药剂发生泄漏，应由</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负责清理收集，避免造成人员伤害或环境污染。</w:t>
      </w:r>
    </w:p>
    <w:p w14:paraId="3E31E487">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rPr>
        <w:t>、每次送货到交货地方和卸货离开后，须经过污泥项目厂内的电子地磅进行称重，实际供货数量以污泥项目电子地磅出具的称重单为准。</w:t>
      </w:r>
    </w:p>
    <w:p w14:paraId="5FE4516F">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w:t>
      </w:r>
      <w:r>
        <w:rPr>
          <w:rFonts w:hint="eastAsia" w:ascii="宋体" w:hAnsi="宋体" w:eastAsia="宋体" w:cs="宋体"/>
          <w:color w:val="000000"/>
          <w:sz w:val="21"/>
          <w:szCs w:val="21"/>
        </w:rPr>
        <w:t>、每次送货，</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须随货提供</w:t>
      </w:r>
      <w:r>
        <w:rPr>
          <w:rFonts w:hint="eastAsia" w:ascii="宋体" w:hAnsi="宋体" w:eastAsia="宋体" w:cs="宋体"/>
          <w:color w:val="000000"/>
          <w:sz w:val="21"/>
          <w:szCs w:val="21"/>
          <w:lang w:val="en-US" w:eastAsia="zh-CN"/>
        </w:rPr>
        <w:t>货物的</w:t>
      </w:r>
      <w:r>
        <w:rPr>
          <w:rFonts w:hint="eastAsia" w:ascii="宋体" w:hAnsi="宋体" w:eastAsia="宋体" w:cs="宋体"/>
          <w:color w:val="000000"/>
          <w:sz w:val="21"/>
          <w:szCs w:val="21"/>
        </w:rPr>
        <w:t>出厂证明、产品合格证等证明文件</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每批货物须经</w:t>
      </w:r>
      <w:r>
        <w:rPr>
          <w:rFonts w:hint="eastAsia" w:ascii="宋体" w:hAnsi="宋体" w:eastAsia="宋体" w:cs="宋体"/>
          <w:color w:val="000000"/>
          <w:sz w:val="21"/>
          <w:szCs w:val="21"/>
          <w:lang w:val="en-US" w:eastAsia="zh-CN"/>
        </w:rPr>
        <w:t>甲方</w:t>
      </w:r>
      <w:r>
        <w:rPr>
          <w:rFonts w:hint="eastAsia" w:ascii="宋体" w:hAnsi="宋体" w:eastAsia="宋体" w:cs="宋体"/>
          <w:color w:val="000000"/>
          <w:sz w:val="21"/>
          <w:szCs w:val="21"/>
        </w:rPr>
        <w:t>检验合格后方可办理相关到货手续。</w:t>
      </w:r>
      <w:r>
        <w:rPr>
          <w:rFonts w:hint="eastAsia" w:ascii="宋体" w:hAnsi="宋体" w:eastAsia="宋体" w:cs="宋体"/>
          <w:color w:val="000000"/>
          <w:sz w:val="21"/>
          <w:szCs w:val="21"/>
          <w:lang w:val="en-US" w:eastAsia="zh-CN"/>
        </w:rPr>
        <w:t>乙方</w:t>
      </w:r>
      <w:r>
        <w:rPr>
          <w:rFonts w:hint="eastAsia" w:ascii="宋体" w:hAnsi="宋体" w:eastAsia="宋体" w:cs="宋体"/>
          <w:color w:val="000000"/>
          <w:sz w:val="21"/>
          <w:szCs w:val="21"/>
        </w:rPr>
        <w:t>提供的货物如不能通过</w:t>
      </w:r>
      <w:r>
        <w:rPr>
          <w:rFonts w:hint="eastAsia" w:ascii="宋体" w:hAnsi="宋体" w:eastAsia="宋体" w:cs="宋体"/>
          <w:color w:val="000000"/>
          <w:sz w:val="21"/>
          <w:szCs w:val="21"/>
          <w:lang w:val="en-US" w:eastAsia="zh-CN"/>
        </w:rPr>
        <w:t>甲方</w:t>
      </w:r>
      <w:r>
        <w:rPr>
          <w:rFonts w:hint="eastAsia" w:ascii="宋体" w:hAnsi="宋体" w:eastAsia="宋体" w:cs="宋体"/>
          <w:color w:val="000000"/>
          <w:sz w:val="21"/>
          <w:szCs w:val="21"/>
        </w:rPr>
        <w:t>验收的，</w:t>
      </w:r>
      <w:r>
        <w:rPr>
          <w:rFonts w:hint="eastAsia" w:ascii="宋体" w:hAnsi="宋体" w:eastAsia="宋体" w:cs="宋体"/>
          <w:color w:val="000000"/>
          <w:sz w:val="21"/>
          <w:szCs w:val="21"/>
          <w:lang w:val="en-US" w:eastAsia="zh-CN"/>
        </w:rPr>
        <w:t>乙方</w:t>
      </w:r>
      <w:r>
        <w:rPr>
          <w:rFonts w:hint="eastAsia" w:ascii="宋体" w:hAnsi="宋体" w:eastAsia="宋体" w:cs="宋体"/>
          <w:color w:val="000000"/>
          <w:sz w:val="21"/>
          <w:szCs w:val="21"/>
        </w:rPr>
        <w:t>应该按照</w:t>
      </w:r>
      <w:r>
        <w:rPr>
          <w:rFonts w:hint="eastAsia" w:ascii="宋体" w:hAnsi="宋体" w:eastAsia="宋体" w:cs="宋体"/>
          <w:color w:val="000000"/>
          <w:sz w:val="21"/>
          <w:szCs w:val="21"/>
          <w:lang w:val="en-US" w:eastAsia="zh-CN"/>
        </w:rPr>
        <w:t>甲方</w:t>
      </w:r>
      <w:r>
        <w:rPr>
          <w:rFonts w:hint="eastAsia" w:ascii="宋体" w:hAnsi="宋体" w:eastAsia="宋体" w:cs="宋体"/>
          <w:color w:val="000000"/>
          <w:sz w:val="21"/>
          <w:szCs w:val="21"/>
        </w:rPr>
        <w:t>要求无条件予以退换货，并承担相应责任和费用。</w:t>
      </w:r>
    </w:p>
    <w:p w14:paraId="41718137">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9</w:t>
      </w:r>
      <w:r>
        <w:rPr>
          <w:rFonts w:hint="eastAsia" w:ascii="宋体" w:hAnsi="宋体" w:eastAsia="宋体" w:cs="宋体"/>
          <w:color w:val="000000"/>
          <w:sz w:val="21"/>
          <w:szCs w:val="21"/>
        </w:rPr>
        <w:t>、供货期间，在收到</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供货通知前，</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无需为合同履行做准备工作，因此造成的损失</w:t>
      </w:r>
      <w:r>
        <w:rPr>
          <w:rFonts w:hint="eastAsia" w:ascii="宋体" w:hAnsi="宋体" w:eastAsia="宋体" w:cs="宋体"/>
          <w:color w:val="000000"/>
          <w:sz w:val="21"/>
          <w:szCs w:val="21"/>
          <w:lang w:val="en-US" w:eastAsia="zh-CN"/>
        </w:rPr>
        <w:t>甲方</w:t>
      </w:r>
      <w:r>
        <w:rPr>
          <w:rFonts w:hint="eastAsia" w:ascii="宋体" w:hAnsi="宋体" w:eastAsia="宋体" w:cs="宋体"/>
          <w:color w:val="000000"/>
          <w:sz w:val="21"/>
          <w:szCs w:val="21"/>
        </w:rPr>
        <w:t>不负任何责任。</w:t>
      </w:r>
    </w:p>
    <w:p w14:paraId="3EE5674E">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000000"/>
          <w:sz w:val="21"/>
          <w:szCs w:val="21"/>
          <w:lang w:val="en-US" w:eastAsia="zh-CN"/>
        </w:rPr>
      </w:pPr>
    </w:p>
    <w:p w14:paraId="55CB497F">
      <w:pPr>
        <w:pStyle w:val="30"/>
        <w:keepNext w:val="0"/>
        <w:keepLines w:val="0"/>
        <w:pageBreakBefore w:val="0"/>
        <w:numPr>
          <w:ilvl w:val="0"/>
          <w:numId w:val="1"/>
        </w:numPr>
        <w:kinsoku/>
        <w:wordWrap/>
        <w:overflowPunct/>
        <w:topLinePunct w:val="0"/>
        <w:bidi w:val="0"/>
        <w:spacing w:line="360" w:lineRule="auto"/>
        <w:ind w:firstLineChars="0"/>
        <w:textAlignment w:val="auto"/>
        <w:outlineLvl w:val="1"/>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验收要求</w:t>
      </w:r>
    </w:p>
    <w:p w14:paraId="2FCF3789">
      <w:pPr>
        <w:pStyle w:val="30"/>
        <w:keepNext w:val="0"/>
        <w:keepLines w:val="0"/>
        <w:pageBreakBefore w:val="0"/>
        <w:kinsoku/>
        <w:wordWrap/>
        <w:overflowPunct/>
        <w:topLinePunct w:val="0"/>
        <w:bidi w:val="0"/>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1、验收分为货到交货地点的初步验收，和货物检验合格后的最终验收。</w:t>
      </w:r>
    </w:p>
    <w:p w14:paraId="001B0E3F">
      <w:pPr>
        <w:pStyle w:val="30"/>
        <w:keepNext w:val="0"/>
        <w:keepLines w:val="0"/>
        <w:pageBreakBefore w:val="0"/>
        <w:kinsoku/>
        <w:wordWrap/>
        <w:overflowPunct/>
        <w:topLinePunct w:val="0"/>
        <w:bidi w:val="0"/>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（1）初步验收：</w:t>
      </w:r>
    </w:p>
    <w:p w14:paraId="03C03BB7">
      <w:pPr>
        <w:pStyle w:val="30"/>
        <w:keepNext w:val="0"/>
        <w:keepLines w:val="0"/>
        <w:pageBreakBefore w:val="0"/>
        <w:kinsoku/>
        <w:wordWrap/>
        <w:overflowPunct/>
        <w:topLinePunct w:val="0"/>
        <w:bidi w:val="0"/>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1）货物运抵交货地点，</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共同验货。</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按照本项目合同及用户需求书，对货物的数量、品种、随车产品质量检验报告（包含</w:t>
      </w:r>
      <w:r>
        <w:rPr>
          <w:rFonts w:hint="eastAsia" w:ascii="宋体" w:hAnsi="宋体" w:eastAsia="宋体" w:cs="宋体"/>
          <w:color w:val="000000"/>
          <w:sz w:val="21"/>
          <w:szCs w:val="21"/>
          <w:lang w:val="en-US" w:eastAsia="zh-CN"/>
        </w:rPr>
        <w:t>用户</w:t>
      </w:r>
      <w:r>
        <w:rPr>
          <w:rFonts w:hint="eastAsia" w:ascii="宋体" w:hAnsi="宋体" w:eastAsia="宋体" w:cs="宋体"/>
          <w:color w:val="000000"/>
          <w:sz w:val="21"/>
          <w:szCs w:val="21"/>
        </w:rPr>
        <w:t>需求书表1的全部技术指标）、产品合格证、供货单据等进行核对。</w:t>
      </w:r>
    </w:p>
    <w:p w14:paraId="5D25F5E0">
      <w:pPr>
        <w:pStyle w:val="30"/>
        <w:keepNext w:val="0"/>
        <w:keepLines w:val="0"/>
        <w:pageBreakBefore w:val="0"/>
        <w:kinsoku/>
        <w:wordWrap/>
        <w:overflowPunct/>
        <w:topLinePunct w:val="0"/>
        <w:bidi w:val="0"/>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核对完成</w:t>
      </w:r>
      <w:r>
        <w:rPr>
          <w:rFonts w:hint="eastAsia" w:ascii="宋体" w:hAnsi="宋体" w:eastAsia="宋体" w:cs="宋体"/>
          <w:color w:val="000000"/>
          <w:sz w:val="21"/>
          <w:szCs w:val="21"/>
        </w:rPr>
        <w:t>后，双方</w:t>
      </w:r>
      <w:r>
        <w:rPr>
          <w:rFonts w:hint="eastAsia" w:ascii="宋体" w:hAnsi="宋体" w:eastAsia="宋体" w:cs="宋体"/>
          <w:color w:val="000000"/>
          <w:sz w:val="21"/>
          <w:szCs w:val="21"/>
          <w:lang w:val="en-US" w:eastAsia="zh-CN"/>
        </w:rPr>
        <w:t>对</w:t>
      </w:r>
      <w:r>
        <w:rPr>
          <w:rFonts w:hint="eastAsia" w:ascii="宋体" w:hAnsi="宋体" w:eastAsia="宋体" w:cs="宋体"/>
          <w:color w:val="000000"/>
          <w:sz w:val="21"/>
          <w:szCs w:val="21"/>
        </w:rPr>
        <w:t>随车产品质量检验报告、供货单据进行书面签字确认</w:t>
      </w:r>
      <w:r>
        <w:rPr>
          <w:rFonts w:hint="eastAsia" w:ascii="宋体" w:hAnsi="宋体" w:eastAsia="宋体" w:cs="宋体"/>
          <w:color w:val="000000"/>
          <w:sz w:val="21"/>
          <w:szCs w:val="21"/>
          <w:lang w:val="en-US" w:eastAsia="zh-CN"/>
        </w:rPr>
        <w:t>视为完成初步验收，初步验收仅限于</w:t>
      </w:r>
      <w:r>
        <w:rPr>
          <w:rFonts w:hint="eastAsia" w:ascii="宋体" w:hAnsi="宋体" w:eastAsia="宋体" w:cs="宋体"/>
          <w:color w:val="000000"/>
          <w:sz w:val="21"/>
          <w:szCs w:val="21"/>
        </w:rPr>
        <w:t>双方共同</w:t>
      </w:r>
      <w:r>
        <w:rPr>
          <w:rFonts w:hint="eastAsia" w:ascii="宋体" w:hAnsi="宋体" w:eastAsia="宋体" w:cs="宋体"/>
          <w:color w:val="000000"/>
          <w:sz w:val="21"/>
          <w:szCs w:val="21"/>
          <w:lang w:val="en-US" w:eastAsia="zh-CN"/>
        </w:rPr>
        <w:t>对乙方所供货物数量、品种、</w:t>
      </w:r>
      <w:r>
        <w:rPr>
          <w:rFonts w:hint="eastAsia" w:ascii="宋体" w:hAnsi="宋体" w:eastAsia="宋体" w:cs="宋体"/>
          <w:color w:val="000000"/>
          <w:sz w:val="21"/>
          <w:szCs w:val="21"/>
        </w:rPr>
        <w:t>随车产品质量检验报告</w:t>
      </w:r>
      <w:r>
        <w:rPr>
          <w:rFonts w:hint="eastAsia" w:ascii="宋体" w:hAnsi="宋体" w:eastAsia="宋体" w:cs="宋体"/>
          <w:color w:val="000000"/>
          <w:sz w:val="21"/>
          <w:szCs w:val="21"/>
          <w:lang w:eastAsia="zh-CN"/>
        </w:rPr>
        <w:t>、供货单据</w:t>
      </w:r>
      <w:r>
        <w:rPr>
          <w:rFonts w:hint="eastAsia" w:ascii="宋体" w:hAnsi="宋体" w:eastAsia="宋体" w:cs="宋体"/>
          <w:color w:val="000000"/>
          <w:sz w:val="21"/>
          <w:szCs w:val="21"/>
          <w:lang w:val="en-US" w:eastAsia="zh-CN"/>
        </w:rPr>
        <w:t>等符合合同技术指标要求的</w:t>
      </w:r>
      <w:r>
        <w:rPr>
          <w:rFonts w:hint="eastAsia" w:ascii="宋体" w:hAnsi="宋体" w:eastAsia="宋体" w:cs="宋体"/>
          <w:color w:val="000000"/>
          <w:sz w:val="21"/>
          <w:szCs w:val="21"/>
        </w:rPr>
        <w:t>书面确认。</w:t>
      </w:r>
    </w:p>
    <w:p w14:paraId="2A26FC34">
      <w:pPr>
        <w:pStyle w:val="30"/>
        <w:keepNext w:val="0"/>
        <w:keepLines w:val="0"/>
        <w:pageBreakBefore w:val="0"/>
        <w:kinsoku/>
        <w:wordWrap/>
        <w:overflowPunct/>
        <w:topLinePunct w:val="0"/>
        <w:bidi w:val="0"/>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（2）最终验收</w:t>
      </w:r>
    </w:p>
    <w:p w14:paraId="7EEAF697">
      <w:pPr>
        <w:pStyle w:val="30"/>
        <w:keepNext w:val="0"/>
        <w:keepLines w:val="0"/>
        <w:pageBreakBefore w:val="0"/>
        <w:kinsoku/>
        <w:wordWrap/>
        <w:overflowPunct/>
        <w:topLinePunct w:val="0"/>
        <w:bidi w:val="0"/>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对每次供货货物检验，检验指标由</w:t>
      </w:r>
      <w:r>
        <w:rPr>
          <w:rFonts w:hint="eastAsia" w:ascii="宋体" w:hAnsi="宋体" w:eastAsia="宋体" w:cs="宋体"/>
          <w:color w:val="000000"/>
          <w:sz w:val="21"/>
          <w:szCs w:val="21"/>
          <w:lang w:eastAsia="zh-CN"/>
        </w:rPr>
        <w:t>甲方根据需要选择</w:t>
      </w:r>
      <w:r>
        <w:rPr>
          <w:rFonts w:hint="eastAsia" w:ascii="宋体" w:hAnsi="宋体" w:eastAsia="宋体" w:cs="宋体"/>
          <w:color w:val="000000"/>
          <w:sz w:val="21"/>
          <w:szCs w:val="21"/>
        </w:rPr>
        <w:t>，货物按需检验指标由</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根据</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关于药剂的管理制度及要求适时调整。每次货到现场时可由双方共同取样，供货货物合格判定以</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实验室检验结果为准。</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根据需要可委托具有检测产品CMA认证资质的第三方检测机构检测，</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委托的具有检测产品CMA认证资质的第三方检测机构的检验结果与</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实验室不一致的，该次的供货货物质量判定以</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委托的具有检测产品CMA认证资质的第三方检测机构的检验结果为准。</w:t>
      </w:r>
    </w:p>
    <w:p w14:paraId="23CF9536">
      <w:pPr>
        <w:pStyle w:val="30"/>
        <w:keepNext w:val="0"/>
        <w:keepLines w:val="0"/>
        <w:pageBreakBefore w:val="0"/>
        <w:kinsoku/>
        <w:wordWrap/>
        <w:overflowPunct/>
        <w:topLinePunct w:val="0"/>
        <w:bidi w:val="0"/>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2）货物检验方法按照</w:t>
      </w:r>
      <w:r>
        <w:rPr>
          <w:rFonts w:hint="eastAsia" w:ascii="宋体" w:hAnsi="宋体" w:eastAsia="宋体" w:cs="宋体"/>
          <w:color w:val="000000"/>
          <w:sz w:val="21"/>
          <w:szCs w:val="21"/>
          <w:lang w:val="en-US" w:eastAsia="zh-CN"/>
        </w:rPr>
        <w:t>现国家或行业标准</w:t>
      </w:r>
      <w:r>
        <w:rPr>
          <w:rFonts w:hint="eastAsia" w:ascii="宋体" w:hAnsi="宋体" w:eastAsia="宋体" w:cs="宋体"/>
          <w:sz w:val="21"/>
          <w:szCs w:val="21"/>
        </w:rPr>
        <w:t>测</w:t>
      </w:r>
      <w:r>
        <w:rPr>
          <w:rFonts w:hint="eastAsia" w:ascii="宋体" w:hAnsi="宋体" w:eastAsia="宋体" w:cs="宋体"/>
          <w:color w:val="000000"/>
          <w:sz w:val="21"/>
          <w:szCs w:val="21"/>
        </w:rPr>
        <w:t>定。供货期间，如有发布最新的行业标准或国家标准，货物检验方法按发布的最新行业标准或国家标准执行。</w:t>
      </w:r>
    </w:p>
    <w:p w14:paraId="0D4A2D91">
      <w:pPr>
        <w:pStyle w:val="30"/>
        <w:keepNext w:val="0"/>
        <w:keepLines w:val="0"/>
        <w:pageBreakBefore w:val="0"/>
        <w:kinsoku/>
        <w:wordWrap/>
        <w:overflowPunct/>
        <w:topLinePunct w:val="0"/>
        <w:bidi w:val="0"/>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货物按上述程序验收后，甲方向乙方出具书面的验收报告并由甲乙双方对验收报告共同签字确认，且乙方需对验收报告加盖公章或业务章确认，验收报告(模板)见用户需求书附件。验收报告作为对货物供货数量及主要技术指标验收的证明，不代表对货物使用效果的认可。</w:t>
      </w:r>
    </w:p>
    <w:p w14:paraId="044BB70A">
      <w:pPr>
        <w:pStyle w:val="30"/>
        <w:keepNext w:val="0"/>
        <w:keepLines w:val="0"/>
        <w:pageBreakBefore w:val="0"/>
        <w:kinsoku/>
        <w:wordWrap/>
        <w:overflowPunct/>
        <w:topLinePunct w:val="0"/>
        <w:bidi w:val="0"/>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根据本条规定对货物所做出的验收，仅作为起算付款及质保期之用，不视为双方对于货物质量的最终认可，</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仍应在质保期内对产品质量承担保证责任。</w:t>
      </w:r>
    </w:p>
    <w:p w14:paraId="6966827D">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4、货物在经最终验收</w:t>
      </w:r>
      <w:r>
        <w:rPr>
          <w:rFonts w:hint="eastAsia" w:ascii="宋体" w:hAnsi="宋体" w:eastAsia="宋体" w:cs="宋体"/>
          <w:color w:val="000000"/>
          <w:sz w:val="21"/>
          <w:szCs w:val="21"/>
          <w:lang w:val="en-US"/>
        </w:rPr>
        <w:t>合格</w:t>
      </w:r>
      <w:r>
        <w:rPr>
          <w:rFonts w:hint="eastAsia" w:ascii="宋体" w:hAnsi="宋体" w:eastAsia="宋体" w:cs="宋体"/>
          <w:color w:val="000000"/>
          <w:sz w:val="21"/>
          <w:szCs w:val="21"/>
        </w:rPr>
        <w:t>前，其损耗、毁损、灭失等风险及责任由</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承担，如因发生前述情形，导致</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所提供的货物不能通过</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验收的，</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应按</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要求无条件予以退换货，给</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造成损失的</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须承担全部的赔偿责任。</w:t>
      </w:r>
    </w:p>
    <w:p w14:paraId="12A02E53">
      <w:pPr>
        <w:pStyle w:val="2"/>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lang w:val="en-US" w:eastAsia="zh-CN"/>
        </w:rPr>
      </w:pPr>
    </w:p>
    <w:p w14:paraId="1B4BFA15">
      <w:pPr>
        <w:pStyle w:val="30"/>
        <w:keepNext w:val="0"/>
        <w:keepLines w:val="0"/>
        <w:pageBreakBefore w:val="0"/>
        <w:numPr>
          <w:ilvl w:val="0"/>
          <w:numId w:val="1"/>
        </w:numPr>
        <w:kinsoku/>
        <w:wordWrap/>
        <w:overflowPunct/>
        <w:topLinePunct w:val="0"/>
        <w:bidi w:val="0"/>
        <w:spacing w:line="360" w:lineRule="auto"/>
        <w:ind w:firstLineChars="0"/>
        <w:textAlignment w:val="auto"/>
        <w:outlineLvl w:val="1"/>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资料要求</w:t>
      </w:r>
    </w:p>
    <w:p w14:paraId="5330505B">
      <w:pPr>
        <w:keepNext w:val="0"/>
        <w:keepLines w:val="0"/>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需向</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提供但不限于下述技术资料：</w:t>
      </w:r>
    </w:p>
    <w:p w14:paraId="044C06F1">
      <w:pPr>
        <w:keepNext w:val="0"/>
        <w:keepLines w:val="0"/>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color w:val="000000"/>
          <w:sz w:val="21"/>
          <w:szCs w:val="21"/>
        </w:rPr>
        <w:t>（1）符合第</w:t>
      </w:r>
      <w:r>
        <w:rPr>
          <w:rFonts w:hint="eastAsia" w:ascii="宋体" w:hAnsi="宋体" w:eastAsia="宋体" w:cs="宋体"/>
          <w:color w:val="000000"/>
          <w:sz w:val="21"/>
          <w:szCs w:val="21"/>
          <w:lang w:val="en-US" w:eastAsia="zh-CN"/>
        </w:rPr>
        <w:t>二</w:t>
      </w:r>
      <w:r>
        <w:rPr>
          <w:rFonts w:hint="eastAsia" w:ascii="宋体" w:hAnsi="宋体" w:eastAsia="宋体" w:cs="宋体"/>
          <w:color w:val="000000"/>
          <w:sz w:val="21"/>
          <w:szCs w:val="21"/>
        </w:rPr>
        <w:t>条交货要求</w:t>
      </w:r>
      <w:r>
        <w:rPr>
          <w:rFonts w:hint="eastAsia" w:ascii="宋体" w:hAnsi="宋体" w:eastAsia="宋体" w:cs="宋体"/>
          <w:sz w:val="21"/>
          <w:szCs w:val="21"/>
        </w:rPr>
        <w:t>第</w:t>
      </w:r>
      <w:r>
        <w:rPr>
          <w:rFonts w:hint="eastAsia" w:ascii="宋体" w:hAnsi="宋体" w:eastAsia="宋体" w:cs="宋体"/>
          <w:sz w:val="21"/>
          <w:szCs w:val="21"/>
          <w:lang w:val="en-US" w:eastAsia="zh-CN"/>
        </w:rPr>
        <w:t>8款</w:t>
      </w:r>
      <w:r>
        <w:rPr>
          <w:rFonts w:hint="eastAsia" w:ascii="宋体" w:hAnsi="宋体" w:eastAsia="宋体" w:cs="宋体"/>
          <w:sz w:val="21"/>
          <w:szCs w:val="21"/>
        </w:rPr>
        <w:t>要求的产品质量检验报告（如出厂检验报告、质量检验报告等）、供货单据；</w:t>
      </w:r>
    </w:p>
    <w:p w14:paraId="6E953B5C">
      <w:pPr>
        <w:keepNext w:val="0"/>
        <w:keepLines w:val="0"/>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（2）验收报告（由</w:t>
      </w:r>
      <w:r>
        <w:rPr>
          <w:rFonts w:hint="eastAsia" w:ascii="宋体" w:hAnsi="宋体" w:eastAsia="宋体" w:cs="宋体"/>
          <w:color w:val="000000"/>
          <w:sz w:val="21"/>
          <w:szCs w:val="21"/>
          <w:lang w:val="en-US"/>
        </w:rPr>
        <w:t>甲方提供，乙方</w:t>
      </w:r>
      <w:r>
        <w:rPr>
          <w:rFonts w:hint="eastAsia" w:ascii="宋体" w:hAnsi="宋体" w:eastAsia="宋体" w:cs="宋体"/>
          <w:color w:val="000000"/>
          <w:sz w:val="21"/>
          <w:szCs w:val="21"/>
        </w:rPr>
        <w:t>盖章确认）；</w:t>
      </w:r>
    </w:p>
    <w:p w14:paraId="5F5ECEA0">
      <w:pPr>
        <w:keepNext w:val="0"/>
        <w:keepLines w:val="0"/>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（3）与货物使用相关的其他文件；</w:t>
      </w:r>
    </w:p>
    <w:p w14:paraId="00A3DFD4">
      <w:pPr>
        <w:keepNext w:val="0"/>
        <w:keepLines w:val="0"/>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要求提供的其他技术资料。</w:t>
      </w:r>
    </w:p>
    <w:p w14:paraId="11E43F62">
      <w:pPr>
        <w:keepNext w:val="0"/>
        <w:keepLines w:val="0"/>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b/>
          <w:bCs/>
          <w:color w:val="000000"/>
          <w:sz w:val="21"/>
          <w:szCs w:val="21"/>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需将上述资料（若上述资料为复印件的，则须加盖</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公章）在交货时交给</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，有关资料的收集和整理由</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负责，</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予以配合。</w:t>
      </w:r>
    </w:p>
    <w:p w14:paraId="62947043">
      <w:pPr>
        <w:keepNext w:val="0"/>
        <w:keepLines w:val="0"/>
        <w:pageBreakBefore w:val="0"/>
        <w:kinsoku/>
        <w:wordWrap/>
        <w:overflowPunct/>
        <w:topLinePunct w:val="0"/>
        <w:bidi w:val="0"/>
        <w:spacing w:line="360" w:lineRule="auto"/>
        <w:ind w:firstLine="42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提交的技术资料在出现遗漏或发现错误时，应及时补充或更正后提交</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w:t>
      </w:r>
    </w:p>
    <w:p w14:paraId="141213B9">
      <w:pPr>
        <w:pStyle w:val="2"/>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rPr>
      </w:pPr>
    </w:p>
    <w:p w14:paraId="067CA3D0">
      <w:pPr>
        <w:pStyle w:val="30"/>
        <w:keepNext w:val="0"/>
        <w:keepLines w:val="0"/>
        <w:pageBreakBefore w:val="0"/>
        <w:numPr>
          <w:ilvl w:val="0"/>
          <w:numId w:val="1"/>
        </w:numPr>
        <w:kinsoku/>
        <w:wordWrap/>
        <w:overflowPunct/>
        <w:topLinePunct w:val="0"/>
        <w:bidi w:val="0"/>
        <w:spacing w:line="360" w:lineRule="auto"/>
        <w:ind w:firstLineChars="0"/>
        <w:textAlignment w:val="auto"/>
        <w:outlineLvl w:val="1"/>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质量保证及售后要求</w:t>
      </w:r>
    </w:p>
    <w:p w14:paraId="4C6C190A">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1、保质期：</w:t>
      </w:r>
      <w:r>
        <w:rPr>
          <w:rFonts w:hint="eastAsia" w:ascii="宋体" w:hAnsi="宋体" w:eastAsia="宋体" w:cs="宋体"/>
          <w:b/>
          <w:bCs/>
          <w:color w:val="000000"/>
          <w:sz w:val="21"/>
          <w:szCs w:val="21"/>
        </w:rPr>
        <w:t>以货到现场之日起计不少于三个月</w:t>
      </w:r>
      <w:r>
        <w:rPr>
          <w:rFonts w:hint="eastAsia" w:ascii="宋体" w:hAnsi="宋体" w:eastAsia="宋体" w:cs="宋体"/>
          <w:color w:val="000000"/>
          <w:sz w:val="21"/>
          <w:szCs w:val="21"/>
        </w:rPr>
        <w:t>，保质期内产品质量须达到本合同所有技术指标要求。</w:t>
      </w:r>
    </w:p>
    <w:p w14:paraId="2A042242">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应具有相应的技术人员，具备供货及售前售后的服务能力。</w:t>
      </w:r>
    </w:p>
    <w:p w14:paraId="12C9A62A">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在接到质量问题通知后</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4小时内自费派工程师到达现场对问题进行处理。</w:t>
      </w:r>
    </w:p>
    <w:p w14:paraId="210DB91A">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、在交货或合同履行过程中，若因所交货物（包括但不限于品种、型号、规格、质量）不符合</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要求、或货物使用过程中出现质量问题，导致</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提供的生产药剂如不能通过</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验收的，</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可拒绝收货或要求</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承担退换货责任。原则上</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应该在不影响</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正常生产的情况下，自</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通知后</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4小时内无条件予以退换货，</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不承担因验收造成的货物损耗及运输等一切费用且不对货物承担保管责任，因此产生的费用及风险由</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承担。</w:t>
      </w:r>
    </w:p>
    <w:p w14:paraId="5F970B3D">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、自</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通知货物检验不合格或货物使用过程中出现质量问题而要求</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按照前述条款进行退换货后</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4小时内</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未将不合格货物运离</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仓库，</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可自行或委托第三方对不合格货物进行处置，</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须承担</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处置该次不合格货物所需的全部费用，以及给</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造成的一切损失。</w:t>
      </w:r>
    </w:p>
    <w:p w14:paraId="4B3992E4">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、自</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通知</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货物检验不合格或货物使用过程中出现质量问题后，</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有权要求</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按照加急供货的规定，将等量的合格货物送交</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，否则按加急供货的违约规定进行处理。</w:t>
      </w:r>
    </w:p>
    <w:p w14:paraId="2118F9B1">
      <w:pPr>
        <w:pStyle w:val="2"/>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lang w:val="en-US" w:eastAsia="zh-CN"/>
        </w:rPr>
      </w:pPr>
    </w:p>
    <w:p w14:paraId="3906D0D0">
      <w:pPr>
        <w:pStyle w:val="30"/>
        <w:keepNext w:val="0"/>
        <w:keepLines w:val="0"/>
        <w:pageBreakBefore w:val="0"/>
        <w:numPr>
          <w:ilvl w:val="0"/>
          <w:numId w:val="1"/>
        </w:numPr>
        <w:kinsoku/>
        <w:wordWrap/>
        <w:overflowPunct/>
        <w:topLinePunct w:val="0"/>
        <w:bidi w:val="0"/>
        <w:spacing w:line="360" w:lineRule="auto"/>
        <w:ind w:firstLineChars="0"/>
        <w:textAlignment w:val="auto"/>
        <w:outlineLvl w:val="1"/>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价款要求及付款方式</w:t>
      </w:r>
    </w:p>
    <w:p w14:paraId="48728101">
      <w:pPr>
        <w:keepNext w:val="0"/>
        <w:keepLines w:val="0"/>
        <w:pageBreakBefore w:val="0"/>
        <w:kinsoku/>
        <w:wordWrap/>
        <w:overflowPunct/>
        <w:topLinePunct w:val="0"/>
        <w:bidi w:val="0"/>
        <w:spacing w:line="360" w:lineRule="auto"/>
        <w:ind w:firstLine="420" w:firstLineChars="200"/>
        <w:jc w:val="both"/>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1、本合同综合单价（即销售额，不含乙方销项税额）为¥</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lang w:val="en-US" w:eastAsia="zh-CN"/>
        </w:rPr>
        <w:t>元/吨（大写人民币每吨</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lang w:val="en-US" w:eastAsia="zh-CN"/>
        </w:rPr>
        <w:t>）。在本合同履行过程中，综合单价（即销售额，不含乙方销项税额）固定不变，不因材料、成分比例调整、劳务成本、运输成本、货物、乙方销项税以外的税费等行业标准或国家标准的变动等其他理由予以变更。未经甲方书面确认，乙方无权增加任何费用。</w:t>
      </w:r>
    </w:p>
    <w:p w14:paraId="0F3648BD">
      <w:pPr>
        <w:keepNext w:val="0"/>
        <w:keepLines w:val="0"/>
        <w:pageBreakBefore w:val="0"/>
        <w:kinsoku/>
        <w:wordWrap/>
        <w:overflowPunct/>
        <w:topLinePunct w:val="0"/>
        <w:bidi w:val="0"/>
        <w:spacing w:line="360" w:lineRule="auto"/>
        <w:ind w:firstLine="420" w:firstLineChars="200"/>
        <w:jc w:val="both"/>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2、依法计得并根据本合同约定确定的销项税额由甲方承担。根据《中华人民共和国增值税暂行条例》（国务院令第691号修订版）及当前税务部门的相关规定，本合同项目的增值税税率为</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lang w:val="en-US" w:eastAsia="zh-CN"/>
        </w:rPr>
        <w:t>%，对应的销项税额为¥</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sz w:val="21"/>
          <w:szCs w:val="21"/>
        </w:rPr>
        <w:t>元/吨</w:t>
      </w:r>
      <w:r>
        <w:rPr>
          <w:rFonts w:hint="eastAsia" w:ascii="宋体" w:hAnsi="宋体" w:eastAsia="宋体" w:cs="宋体"/>
          <w:color w:val="000000"/>
          <w:sz w:val="21"/>
          <w:szCs w:val="21"/>
          <w:lang w:val="en-US" w:eastAsia="zh-CN"/>
        </w:rPr>
        <w:t>（大写人民币每吨</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lang w:val="en-US" w:eastAsia="zh-CN"/>
        </w:rPr>
        <w:t>）、。在本合同履行过程中，税收政策变动导致增值税税率调整，依法应调整销项税额的，依法调整；但因乙方未按合同约定供货、未根据合同约定提供合法、完整的请款资料、货物验收不合格导致的返工或退货、货物验收合格前的非正常损耗等原因导致销项税额增加的，相应损失由乙方承担。</w:t>
      </w:r>
    </w:p>
    <w:p w14:paraId="4451372B">
      <w:pPr>
        <w:keepNext w:val="0"/>
        <w:keepLines w:val="0"/>
        <w:pageBreakBefore w:val="0"/>
        <w:kinsoku/>
        <w:wordWrap/>
        <w:overflowPunct/>
        <w:topLinePunct w:val="0"/>
        <w:bidi w:val="0"/>
        <w:spacing w:line="360" w:lineRule="auto"/>
        <w:ind w:firstLine="420" w:firstLineChars="200"/>
        <w:jc w:val="both"/>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因乙方未按法定税率计算税额或未根据本合同约定出具对应税额的增值税专用发票等乙方原因导致甲方多支付税额的，乙方必须退还甲方，给甲方造成损失的，乙方须向甲方赔偿相应损失。</w:t>
      </w:r>
    </w:p>
    <w:p w14:paraId="5439A664">
      <w:pPr>
        <w:keepNext w:val="0"/>
        <w:keepLines w:val="0"/>
        <w:pageBreakBefore w:val="0"/>
        <w:kinsoku/>
        <w:wordWrap/>
        <w:overflowPunct/>
        <w:topLinePunct w:val="0"/>
        <w:bidi w:val="0"/>
        <w:spacing w:line="360" w:lineRule="auto"/>
        <w:ind w:firstLine="420" w:firstLineChars="200"/>
        <w:jc w:val="both"/>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3、合同综合单价价税合计为¥</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sz w:val="21"/>
          <w:szCs w:val="21"/>
        </w:rPr>
        <w:t>元/吨</w:t>
      </w:r>
      <w:r>
        <w:rPr>
          <w:rFonts w:hint="eastAsia" w:ascii="宋体" w:hAnsi="宋体" w:eastAsia="宋体" w:cs="宋体"/>
          <w:color w:val="000000"/>
          <w:sz w:val="21"/>
          <w:szCs w:val="21"/>
          <w:lang w:val="en-US" w:eastAsia="zh-CN"/>
        </w:rPr>
        <w:t>（大写人民币每吨</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lang w:val="en-US" w:eastAsia="zh-CN"/>
        </w:rPr>
        <w:t>），合同履行期间根据本条第2项规定调整销项税额的，结算合同价税合计对应调整。</w:t>
      </w:r>
    </w:p>
    <w:p w14:paraId="0554994D">
      <w:pPr>
        <w:keepNext w:val="0"/>
        <w:keepLines w:val="0"/>
        <w:pageBreakBefore w:val="0"/>
        <w:kinsoku/>
        <w:wordWrap/>
        <w:overflowPunct/>
        <w:topLinePunct w:val="0"/>
        <w:bidi w:val="0"/>
        <w:spacing w:line="360" w:lineRule="auto"/>
        <w:ind w:firstLine="420" w:firstLineChars="200"/>
        <w:jc w:val="both"/>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4、采购合同下暂定采购数量对应的暂定合同价为¥</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lang w:val="en-US" w:eastAsia="zh-CN"/>
        </w:rPr>
        <w:t>元（大写人民币</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lang w:val="en-US" w:eastAsia="zh-CN"/>
        </w:rPr>
        <w:t>，不含增值税）；暂定采购数量对应的暂定合同价税合计为¥</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lang w:val="en-US" w:eastAsia="zh-CN"/>
        </w:rPr>
        <w:t>元（大写人民币</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lang w:val="en-US" w:eastAsia="zh-CN"/>
        </w:rPr>
        <w:t>）。</w:t>
      </w:r>
    </w:p>
    <w:p w14:paraId="555C754F">
      <w:pPr>
        <w:pStyle w:val="2"/>
        <w:keepNext w:val="0"/>
        <w:keepLines w:val="0"/>
        <w:pageBreakBefore w:val="0"/>
        <w:kinsoku/>
        <w:wordWrap/>
        <w:overflowPunct/>
        <w:topLinePunct w:val="0"/>
        <w:bidi w:val="0"/>
        <w:spacing w:line="360" w:lineRule="auto"/>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lang w:val="en-US" w:eastAsia="zh-CN" w:bidi="ar-SA"/>
        </w:rPr>
        <w:t>、货物结算</w:t>
      </w:r>
    </w:p>
    <w:p w14:paraId="550AE850">
      <w:pPr>
        <w:pStyle w:val="30"/>
        <w:keepNext w:val="0"/>
        <w:keepLines w:val="0"/>
        <w:pageBreakBefore w:val="0"/>
        <w:kinsoku/>
        <w:wordWrap/>
        <w:overflowPunct/>
        <w:topLinePunct w:val="0"/>
        <w:bidi w:val="0"/>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双方一致同意，</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通过以下方式以人民币支付合同款项给</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w:t>
      </w:r>
    </w:p>
    <w:p w14:paraId="79AF9B48">
      <w:pPr>
        <w:pStyle w:val="30"/>
        <w:keepNext w:val="0"/>
        <w:keepLines w:val="0"/>
        <w:pageBreakBefore w:val="0"/>
        <w:kinsoku/>
        <w:wordWrap/>
        <w:overflowPunct/>
        <w:topLinePunct w:val="0"/>
        <w:bidi w:val="0"/>
        <w:spacing w:line="360" w:lineRule="auto"/>
        <w:textAlignment w:val="auto"/>
        <w:rPr>
          <w:rFonts w:hint="eastAsia" w:ascii="宋体" w:hAnsi="宋体" w:eastAsia="宋体" w:cs="宋体"/>
          <w:color w:val="000000"/>
          <w:sz w:val="21"/>
          <w:szCs w:val="21"/>
        </w:rPr>
      </w:pPr>
      <w:bookmarkStart w:id="24" w:name="_Hlk142640500"/>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1</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合同的履约过程中，</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根据本项目合同书约定需向</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支付违约金、赔偿金、或其他应付费用等款项的，</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必须向</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支付完相关款项后，</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才根据合同书约定向</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支付合同价和税额。若因</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未能支付前述费用，影响项目实施的，</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有权直接从未付合同款项中直接扣除，且</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必须按照扣除前述费用前的合同价（销售额）开具增值税专用发票，保证增值税税额符合法律规定。</w:t>
      </w:r>
    </w:p>
    <w:p w14:paraId="07382D26">
      <w:pPr>
        <w:pStyle w:val="30"/>
        <w:keepNext w:val="0"/>
        <w:keepLines w:val="0"/>
        <w:pageBreakBefore w:val="0"/>
        <w:kinsoku/>
        <w:wordWrap/>
        <w:overflowPunct/>
        <w:topLinePunct w:val="0"/>
        <w:bidi w:val="0"/>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2</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货物供货的款项按</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要求进行支付、结算。货物供货的款项每月按实结算，每月中旬办理支付上月实际供货量的款项。</w:t>
      </w:r>
    </w:p>
    <w:p w14:paraId="0C50463D">
      <w:pPr>
        <w:pStyle w:val="30"/>
        <w:keepNext w:val="0"/>
        <w:keepLines w:val="0"/>
        <w:pageBreakBefore w:val="0"/>
        <w:kinsoku/>
        <w:wordWrap/>
        <w:overflowPunct/>
        <w:topLinePunct w:val="0"/>
        <w:bidi w:val="0"/>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3</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向</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提交请款报告和请款金额等额的合法、有效的增值税专用发票，</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在收到前述材料并确认无误后30个工作日内支付结算上月实际供货量的货款和该货款对应的税额给</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w:t>
      </w:r>
    </w:p>
    <w:p w14:paraId="58153CE9">
      <w:pPr>
        <w:pStyle w:val="30"/>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rPr>
        <w:t>4</w:t>
      </w:r>
      <w:r>
        <w:rPr>
          <w:rFonts w:hint="eastAsia" w:ascii="宋体" w:hAnsi="宋体" w:eastAsia="宋体" w:cs="宋体"/>
          <w:sz w:val="21"/>
          <w:szCs w:val="21"/>
          <w:lang w:eastAsia="zh-CN"/>
        </w:rPr>
        <w:t>）</w:t>
      </w:r>
      <w:r>
        <w:rPr>
          <w:rFonts w:hint="eastAsia" w:ascii="宋体" w:hAnsi="宋体" w:eastAsia="宋体" w:cs="宋体"/>
          <w:sz w:val="21"/>
          <w:szCs w:val="21"/>
        </w:rPr>
        <w:t>支付方式：支付方式为银行转账或银行承兑汇票，汇票期限不超过三个月，每期款项支付方式由</w:t>
      </w:r>
      <w:r>
        <w:rPr>
          <w:rFonts w:hint="eastAsia" w:ascii="宋体" w:hAnsi="宋体" w:eastAsia="宋体" w:cs="宋体"/>
          <w:sz w:val="21"/>
          <w:szCs w:val="21"/>
          <w:lang w:eastAsia="zh-CN"/>
        </w:rPr>
        <w:t>甲方</w:t>
      </w:r>
      <w:r>
        <w:rPr>
          <w:rFonts w:hint="eastAsia" w:ascii="宋体" w:hAnsi="宋体" w:eastAsia="宋体" w:cs="宋体"/>
          <w:sz w:val="21"/>
          <w:szCs w:val="21"/>
        </w:rPr>
        <w:t>决定。</w:t>
      </w:r>
    </w:p>
    <w:p w14:paraId="62A13578">
      <w:pPr>
        <w:pStyle w:val="2"/>
        <w:keepNext w:val="0"/>
        <w:keepLines w:val="0"/>
        <w:pageBreakBefore w:val="0"/>
        <w:kinsoku/>
        <w:wordWrap/>
        <w:overflowPunct/>
        <w:topLinePunct w:val="0"/>
        <w:bidi w:val="0"/>
        <w:spacing w:line="360" w:lineRule="auto"/>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5</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迟延提供发票或提供的请款报告、发票不符合要求的，</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的付款时间可相应顺延，且</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不因此承担任何责任。因支付产生的相关银行手续费用，根据有关银行规定执行。由于</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提供的发票不符合税法规定，给</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造成的损失由</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承担全部的赔偿责任</w:t>
      </w:r>
      <w:bookmarkEnd w:id="24"/>
      <w:r>
        <w:rPr>
          <w:rFonts w:hint="eastAsia" w:ascii="宋体" w:hAnsi="宋体" w:eastAsia="宋体" w:cs="宋体"/>
          <w:color w:val="000000"/>
          <w:sz w:val="21"/>
          <w:szCs w:val="21"/>
          <w:lang w:val="en-US" w:eastAsia="zh-CN" w:bidi="ar-SA"/>
        </w:rPr>
        <w:t>。</w:t>
      </w:r>
    </w:p>
    <w:p w14:paraId="662B323C">
      <w:pPr>
        <w:pStyle w:val="2"/>
        <w:keepNext w:val="0"/>
        <w:keepLines w:val="0"/>
        <w:pageBreakBefore w:val="0"/>
        <w:kinsoku/>
        <w:wordWrap/>
        <w:overflowPunct/>
        <w:topLinePunct w:val="0"/>
        <w:bidi w:val="0"/>
        <w:spacing w:line="360" w:lineRule="auto"/>
        <w:textAlignment w:val="auto"/>
        <w:rPr>
          <w:rFonts w:hint="eastAsia" w:ascii="宋体" w:hAnsi="宋体" w:eastAsia="宋体" w:cs="宋体"/>
          <w:color w:val="000000"/>
          <w:sz w:val="21"/>
          <w:szCs w:val="21"/>
          <w:lang w:val="en-US" w:eastAsia="zh-CN" w:bidi="ar-SA"/>
        </w:rPr>
      </w:pPr>
    </w:p>
    <w:p w14:paraId="740C8754">
      <w:pPr>
        <w:pStyle w:val="30"/>
        <w:keepNext w:val="0"/>
        <w:keepLines w:val="0"/>
        <w:pageBreakBefore w:val="0"/>
        <w:numPr>
          <w:ilvl w:val="0"/>
          <w:numId w:val="1"/>
        </w:numPr>
        <w:kinsoku/>
        <w:wordWrap/>
        <w:overflowPunct/>
        <w:topLinePunct w:val="0"/>
        <w:bidi w:val="0"/>
        <w:spacing w:line="360" w:lineRule="auto"/>
        <w:ind w:firstLineChars="0"/>
        <w:textAlignment w:val="auto"/>
        <w:outlineLvl w:val="1"/>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违约责任及其他要求</w:t>
      </w:r>
    </w:p>
    <w:p w14:paraId="70E37420">
      <w:pPr>
        <w:pStyle w:val="30"/>
        <w:keepNext w:val="0"/>
        <w:keepLines w:val="0"/>
        <w:pageBreakBefore w:val="0"/>
        <w:kinsoku/>
        <w:wordWrap/>
        <w:overflowPunct/>
        <w:topLinePunct w:val="0"/>
        <w:bidi w:val="0"/>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1、日常供货（非加急供货）时，</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未在约定的时间内完成交货，或未在规定的时间内承担相应的更换、退货责任的，每逾期2小时，</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有权要求</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按该次货物含税结算货款的1%向</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支付违约金</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逾期违约金累计总额最高不超过该次货物含税结算货款的【30】%</w:t>
      </w:r>
      <w:r>
        <w:rPr>
          <w:rFonts w:hint="eastAsia" w:ascii="宋体" w:hAnsi="宋体" w:eastAsia="宋体" w:cs="宋体"/>
          <w:color w:val="000000"/>
          <w:sz w:val="21"/>
          <w:szCs w:val="21"/>
        </w:rPr>
        <w:t>。</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逾期超过12小时的，</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有权单方解除合同，且</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除支付前述逾期违约金外，</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有权要求</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额外按该次货物含税结算货款的5%向</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支付违约金，违约金不足以赔偿</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损失的，</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需另行赔偿。</w:t>
      </w:r>
    </w:p>
    <w:p w14:paraId="619C429F">
      <w:pPr>
        <w:pStyle w:val="30"/>
        <w:keepNext w:val="0"/>
        <w:keepLines w:val="0"/>
        <w:pageBreakBefore w:val="0"/>
        <w:kinsoku/>
        <w:wordWrap/>
        <w:overflowPunct/>
        <w:topLinePunct w:val="0"/>
        <w:bidi w:val="0"/>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2、加急供货时，</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未在约定的时间内完成交货的，或未在规定的时间内承担相应的更换、退货责任的，每逾期1小时，</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有权要求</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按该次货物含税结算货款的10%向</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支付违约金</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逾期违约金累计总额最高不超过该次货物含税结算货款的</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30</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逾期超过4小时的，</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有权单方解除合同，且</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除前述逾期违约金外，</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有权要求</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额外按该次货物含税结算货款的20%向</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支付违约金，违约金不足以赔偿</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损失的，</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需另行赔偿。</w:t>
      </w:r>
    </w:p>
    <w:p w14:paraId="36C85D7C">
      <w:pPr>
        <w:pStyle w:val="30"/>
        <w:keepNext w:val="0"/>
        <w:keepLines w:val="0"/>
        <w:pageBreakBefore w:val="0"/>
        <w:kinsoku/>
        <w:wordWrap/>
        <w:overflowPunct/>
        <w:topLinePunct w:val="0"/>
        <w:bidi w:val="0"/>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w:t>
      </w:r>
      <w:bookmarkStart w:id="25" w:name="_Hlk142640625"/>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所交货物经</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实验室或</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委托的第三方检测机构检验累计出现3次（含）以上不合格的，</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有权单方中止或解除合同，暂停或取消</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的供货资格，</w:t>
      </w:r>
      <w:bookmarkEnd w:id="25"/>
      <w:r>
        <w:rPr>
          <w:rFonts w:hint="eastAsia" w:ascii="宋体" w:hAnsi="宋体" w:eastAsia="宋体" w:cs="宋体"/>
          <w:color w:val="000000"/>
          <w:sz w:val="21"/>
          <w:szCs w:val="21"/>
        </w:rPr>
        <w:t>同时</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有权追究因为使用</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所提供的未达到所承诺质量标准产品而产生的所有损失和责任。</w:t>
      </w:r>
    </w:p>
    <w:p w14:paraId="32F5276C">
      <w:pPr>
        <w:pStyle w:val="30"/>
        <w:keepNext w:val="0"/>
        <w:keepLines w:val="0"/>
        <w:pageBreakBefore w:val="0"/>
        <w:kinsoku/>
        <w:wordWrap/>
        <w:overflowPunct/>
        <w:topLinePunct w:val="0"/>
        <w:bidi w:val="0"/>
        <w:spacing w:line="360" w:lineRule="auto"/>
        <w:textAlignment w:val="auto"/>
        <w:rPr>
          <w:rFonts w:hint="eastAsia" w:ascii="宋体" w:hAnsi="宋体" w:eastAsia="宋体" w:cs="宋体"/>
          <w:color w:val="000000"/>
          <w:sz w:val="21"/>
          <w:szCs w:val="21"/>
        </w:rPr>
      </w:pPr>
      <w:bookmarkStart w:id="26" w:name="_Hlk142640642"/>
      <w:r>
        <w:rPr>
          <w:rFonts w:hint="eastAsia" w:ascii="宋体" w:hAnsi="宋体" w:eastAsia="宋体" w:cs="宋体"/>
          <w:color w:val="000000"/>
          <w:sz w:val="21"/>
          <w:szCs w:val="21"/>
        </w:rPr>
        <w:t>4、</w:t>
      </w:r>
      <w:bookmarkEnd w:id="26"/>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应根据</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工艺以及性质，配合</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进行小试、中试，提供符合技术指标的药剂，保证供货的药剂在</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良好的使用效果。如因药剂问题对</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生产、成本造成影响，</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有权要求</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按该次含税货物结算货款的20%向</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支付违约金，违约金不足以赔偿</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损失的，</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需另行赔偿。</w:t>
      </w:r>
    </w:p>
    <w:p w14:paraId="22F88298">
      <w:pPr>
        <w:pStyle w:val="30"/>
        <w:keepNext w:val="0"/>
        <w:keepLines w:val="0"/>
        <w:pageBreakBefore w:val="0"/>
        <w:kinsoku/>
        <w:wordWrap/>
        <w:overflowPunct/>
        <w:topLinePunct w:val="0"/>
        <w:bidi w:val="0"/>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5、如</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提供的药剂严重影响</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生产或造成</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烟气</w:t>
      </w:r>
      <w:r>
        <w:rPr>
          <w:rFonts w:hint="eastAsia" w:ascii="宋体" w:hAnsi="宋体" w:eastAsia="宋体" w:cs="宋体"/>
          <w:color w:val="000000"/>
          <w:sz w:val="21"/>
          <w:szCs w:val="21"/>
          <w:lang w:val="en-US" w:eastAsia="zh-CN"/>
        </w:rPr>
        <w:t>排放</w:t>
      </w:r>
      <w:r>
        <w:rPr>
          <w:rFonts w:hint="eastAsia" w:ascii="宋体" w:hAnsi="宋体" w:eastAsia="宋体" w:cs="宋体"/>
          <w:color w:val="000000"/>
          <w:sz w:val="21"/>
          <w:szCs w:val="21"/>
        </w:rPr>
        <w:t>指标超标的情况，</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有权追究</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由此造成的损失，并有权单方面中止或解除合同，取消其供货资格。</w:t>
      </w:r>
    </w:p>
    <w:p w14:paraId="2A61DA41">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000000"/>
          <w:sz w:val="21"/>
          <w:szCs w:val="21"/>
        </w:rPr>
      </w:pPr>
      <w:bookmarkStart w:id="27" w:name="_Hlk142640720"/>
      <w:r>
        <w:rPr>
          <w:rFonts w:hint="eastAsia" w:ascii="宋体" w:hAnsi="宋体" w:eastAsia="宋体" w:cs="宋体"/>
          <w:color w:val="000000"/>
          <w:sz w:val="21"/>
          <w:szCs w:val="21"/>
        </w:rPr>
        <w:t>6、对于货物最终验收不合格且</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已经开始使用或者使用完毕无法退换的，货款按照以下方式处理：①若</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已支付货款的，则</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应向</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退还已支付的货款；②若</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未支付货款的，则</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无需支付货款</w:t>
      </w:r>
      <w:bookmarkEnd w:id="27"/>
      <w:r>
        <w:rPr>
          <w:rFonts w:hint="eastAsia" w:ascii="宋体" w:hAnsi="宋体" w:eastAsia="宋体" w:cs="宋体"/>
          <w:color w:val="000000"/>
          <w:sz w:val="21"/>
          <w:szCs w:val="21"/>
        </w:rPr>
        <w:t>。</w:t>
      </w:r>
    </w:p>
    <w:p w14:paraId="38FCF309">
      <w:pPr>
        <w:pStyle w:val="30"/>
        <w:keepNext w:val="0"/>
        <w:keepLines w:val="0"/>
        <w:pageBreakBefore w:val="0"/>
        <w:kinsoku/>
        <w:wordWrap/>
        <w:overflowPunct/>
        <w:topLinePunct w:val="0"/>
        <w:bidi w:val="0"/>
        <w:spacing w:line="360" w:lineRule="auto"/>
        <w:ind w:firstLine="283" w:firstLineChars="135"/>
        <w:textAlignment w:val="auto"/>
        <w:rPr>
          <w:rFonts w:hint="eastAsia" w:ascii="宋体" w:hAnsi="宋体" w:eastAsia="宋体" w:cs="宋体"/>
          <w:color w:val="000000"/>
          <w:sz w:val="21"/>
          <w:szCs w:val="21"/>
        </w:rPr>
      </w:pPr>
      <w:bookmarkStart w:id="28" w:name="_Hlk142640741"/>
      <w:r>
        <w:rPr>
          <w:rFonts w:hint="eastAsia" w:ascii="宋体" w:hAnsi="宋体" w:eastAsia="宋体" w:cs="宋体"/>
          <w:color w:val="000000"/>
          <w:sz w:val="21"/>
          <w:szCs w:val="21"/>
        </w:rPr>
        <w:t>7、若</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对</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验收结果有异议，</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应自</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书面告知</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检验结果24小时内，书面要求通过</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和</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双方确认的具有检测产品CMA认证资质的第三方单位对留样货物进行检测，最终供货产品质量判定以</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和</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双方确认的具有检测产品CMA认证资质的第三方检测机构检验结果为准；因此产生的检测费、运输费等全部费用均由</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承担</w:t>
      </w:r>
      <w:bookmarkEnd w:id="28"/>
      <w:r>
        <w:rPr>
          <w:rFonts w:hint="eastAsia" w:ascii="宋体" w:hAnsi="宋体" w:eastAsia="宋体" w:cs="宋体"/>
          <w:color w:val="000000"/>
          <w:sz w:val="21"/>
          <w:szCs w:val="21"/>
        </w:rPr>
        <w:t>。</w:t>
      </w:r>
    </w:p>
    <w:p w14:paraId="57F07455">
      <w:pPr>
        <w:pStyle w:val="30"/>
        <w:keepNext w:val="0"/>
        <w:keepLines w:val="0"/>
        <w:pageBreakBefore w:val="0"/>
        <w:kinsoku/>
        <w:wordWrap/>
        <w:overflowPunct/>
        <w:topLinePunct w:val="0"/>
        <w:bidi w:val="0"/>
        <w:spacing w:line="360" w:lineRule="auto"/>
        <w:textAlignment w:val="auto"/>
        <w:rPr>
          <w:rFonts w:hint="eastAsia" w:ascii="宋体" w:hAnsi="宋体" w:eastAsia="宋体" w:cs="宋体"/>
          <w:color w:val="000000"/>
          <w:sz w:val="21"/>
          <w:szCs w:val="21"/>
        </w:rPr>
      </w:pPr>
      <w:bookmarkStart w:id="29" w:name="_Hlk142640749"/>
      <w:r>
        <w:rPr>
          <w:rFonts w:hint="eastAsia" w:ascii="宋体" w:hAnsi="宋体" w:eastAsia="宋体" w:cs="宋体"/>
          <w:color w:val="000000"/>
          <w:sz w:val="21"/>
          <w:szCs w:val="21"/>
        </w:rPr>
        <w:t>8、</w:t>
      </w:r>
      <w:bookmarkEnd w:id="29"/>
      <w:r>
        <w:rPr>
          <w:rFonts w:hint="eastAsia" w:ascii="宋体" w:hAnsi="宋体" w:eastAsia="宋体" w:cs="宋体"/>
          <w:color w:val="000000"/>
          <w:sz w:val="21"/>
          <w:szCs w:val="21"/>
        </w:rPr>
        <w:t>授予合同前或合同履行中，</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有权实地核查</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在供货时提供的分支机构或服务机构的场地、生产/储存/运输设备设施及能力等材料的符合性，若发现虚假将取消资格，且</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有权终止合同。因此给</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造成损失的，全部由</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承担。</w:t>
      </w:r>
    </w:p>
    <w:p w14:paraId="691E35B4">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000000"/>
          <w:sz w:val="21"/>
          <w:szCs w:val="21"/>
        </w:rPr>
      </w:pPr>
      <w:bookmarkStart w:id="30" w:name="_Hlk142640763"/>
      <w:r>
        <w:rPr>
          <w:rFonts w:hint="eastAsia" w:ascii="宋体" w:hAnsi="宋体" w:eastAsia="宋体" w:cs="宋体"/>
          <w:color w:val="000000"/>
          <w:sz w:val="21"/>
          <w:szCs w:val="21"/>
          <w:lang w:val="en-US" w:eastAsia="zh-CN"/>
        </w:rPr>
        <w:t>9</w:t>
      </w:r>
      <w:r>
        <w:rPr>
          <w:rFonts w:hint="eastAsia" w:ascii="宋体" w:hAnsi="宋体" w:eastAsia="宋体" w:cs="宋体"/>
          <w:color w:val="000000"/>
          <w:sz w:val="21"/>
          <w:szCs w:val="21"/>
        </w:rPr>
        <w:t>、</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应当为其工作人员投保足额的社会保险、商业保险及为货物的运输投保足额的商业保险，如在运输及装卸过程中，相关生产药剂发生泄漏而导致的一切人员伤亡或财产损失事故，因此产生的赔偿责任或相关法律责任均由</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自行承担。凡由于货物包装不良、运输方式不当或非法运输造成的事故、损失、行政处罚和由此产生的其他全部费用均由</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全部承担</w:t>
      </w:r>
      <w:bookmarkEnd w:id="30"/>
      <w:r>
        <w:rPr>
          <w:rFonts w:hint="eastAsia" w:ascii="宋体" w:hAnsi="宋体" w:eastAsia="宋体" w:cs="宋体"/>
          <w:color w:val="000000"/>
          <w:sz w:val="21"/>
          <w:szCs w:val="21"/>
        </w:rPr>
        <w:t>。</w:t>
      </w:r>
    </w:p>
    <w:p w14:paraId="1A0F0157">
      <w:pPr>
        <w:pStyle w:val="30"/>
        <w:keepNext w:val="0"/>
        <w:keepLines w:val="0"/>
        <w:pageBreakBefore w:val="0"/>
        <w:widowControl/>
        <w:kinsoku/>
        <w:wordWrap/>
        <w:overflowPunct/>
        <w:topLinePunct w:val="0"/>
        <w:bidi w:val="0"/>
        <w:spacing w:line="360" w:lineRule="auto"/>
        <w:textAlignment w:val="auto"/>
        <w:rPr>
          <w:rFonts w:hint="eastAsia" w:ascii="宋体" w:hAnsi="宋体" w:eastAsia="宋体" w:cs="宋体"/>
          <w:color w:val="000000"/>
          <w:sz w:val="21"/>
          <w:szCs w:val="21"/>
        </w:rPr>
      </w:pPr>
      <w:bookmarkStart w:id="31" w:name="_Hlk142640785"/>
      <w:r>
        <w:rPr>
          <w:rFonts w:hint="eastAsia" w:ascii="宋体" w:hAnsi="宋体" w:eastAsia="宋体" w:cs="宋体"/>
          <w:color w:val="000000"/>
          <w:sz w:val="21"/>
          <w:szCs w:val="21"/>
          <w:lang w:bidi="ar"/>
        </w:rPr>
        <w:t>1</w:t>
      </w:r>
      <w:r>
        <w:rPr>
          <w:rFonts w:hint="eastAsia" w:ascii="宋体" w:hAnsi="宋体" w:eastAsia="宋体" w:cs="宋体"/>
          <w:color w:val="000000"/>
          <w:sz w:val="21"/>
          <w:szCs w:val="21"/>
          <w:lang w:val="en-US" w:eastAsia="zh-CN" w:bidi="ar"/>
        </w:rPr>
        <w:t>0</w:t>
      </w:r>
      <w:r>
        <w:rPr>
          <w:rFonts w:hint="eastAsia" w:ascii="宋体" w:hAnsi="宋体" w:eastAsia="宋体" w:cs="宋体"/>
          <w:color w:val="000000"/>
          <w:sz w:val="21"/>
          <w:szCs w:val="21"/>
          <w:lang w:bidi="ar"/>
        </w:rPr>
        <w:t>、</w:t>
      </w:r>
      <w:r>
        <w:rPr>
          <w:rFonts w:hint="eastAsia" w:ascii="宋体" w:hAnsi="宋体" w:eastAsia="宋体" w:cs="宋体"/>
          <w:color w:val="000000"/>
          <w:sz w:val="21"/>
          <w:szCs w:val="21"/>
          <w:lang w:eastAsia="zh-CN" w:bidi="ar"/>
        </w:rPr>
        <w:t>乙方</w:t>
      </w:r>
      <w:r>
        <w:rPr>
          <w:rFonts w:hint="eastAsia" w:ascii="宋体" w:hAnsi="宋体" w:eastAsia="宋体" w:cs="宋体"/>
          <w:color w:val="000000"/>
          <w:sz w:val="21"/>
          <w:szCs w:val="21"/>
          <w:lang w:bidi="ar"/>
        </w:rPr>
        <w:t>有义务接受</w:t>
      </w:r>
      <w:r>
        <w:rPr>
          <w:rFonts w:hint="eastAsia" w:ascii="宋体" w:hAnsi="宋体" w:eastAsia="宋体" w:cs="宋体"/>
          <w:color w:val="000000"/>
          <w:sz w:val="21"/>
          <w:szCs w:val="21"/>
          <w:lang w:eastAsia="zh-CN" w:bidi="ar"/>
        </w:rPr>
        <w:t>甲方</w:t>
      </w:r>
      <w:r>
        <w:rPr>
          <w:rFonts w:hint="eastAsia" w:ascii="宋体" w:hAnsi="宋体" w:eastAsia="宋体" w:cs="宋体"/>
          <w:color w:val="000000"/>
          <w:sz w:val="21"/>
          <w:szCs w:val="21"/>
          <w:lang w:bidi="ar"/>
        </w:rPr>
        <w:t>的监督、评价及考核，且同意</w:t>
      </w:r>
      <w:r>
        <w:rPr>
          <w:rFonts w:hint="eastAsia" w:ascii="宋体" w:hAnsi="宋体" w:eastAsia="宋体" w:cs="宋体"/>
          <w:color w:val="000000"/>
          <w:sz w:val="21"/>
          <w:szCs w:val="21"/>
          <w:lang w:eastAsia="zh-CN" w:bidi="ar"/>
        </w:rPr>
        <w:t>甲方</w:t>
      </w:r>
      <w:r>
        <w:rPr>
          <w:rFonts w:hint="eastAsia" w:ascii="宋体" w:hAnsi="宋体" w:eastAsia="宋体" w:cs="宋体"/>
          <w:color w:val="000000"/>
          <w:sz w:val="21"/>
          <w:szCs w:val="21"/>
          <w:lang w:bidi="ar"/>
        </w:rPr>
        <w:t>关于供货资格供应商的管理规则及要求。</w:t>
      </w:r>
    </w:p>
    <w:p w14:paraId="6A78C7B8">
      <w:pPr>
        <w:pStyle w:val="2"/>
        <w:keepNext w:val="0"/>
        <w:keepLines w:val="0"/>
        <w:pageBreakBefore w:val="0"/>
        <w:kinsoku/>
        <w:wordWrap/>
        <w:overflowPunct/>
        <w:topLinePunct w:val="0"/>
        <w:bidi w:val="0"/>
        <w:spacing w:line="360" w:lineRule="auto"/>
        <w:textAlignment w:val="auto"/>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1</w:t>
      </w:r>
      <w:r>
        <w:rPr>
          <w:rFonts w:hint="eastAsia" w:ascii="宋体" w:hAnsi="宋体" w:eastAsia="宋体" w:cs="宋体"/>
          <w:color w:val="000000"/>
          <w:sz w:val="21"/>
          <w:szCs w:val="21"/>
          <w:lang w:val="en-US" w:eastAsia="zh-CN" w:bidi="ar"/>
        </w:rPr>
        <w:t>1</w:t>
      </w:r>
      <w:r>
        <w:rPr>
          <w:rFonts w:hint="eastAsia" w:ascii="宋体" w:hAnsi="宋体" w:eastAsia="宋体" w:cs="宋体"/>
          <w:color w:val="000000"/>
          <w:sz w:val="21"/>
          <w:szCs w:val="21"/>
          <w:lang w:bidi="ar"/>
        </w:rPr>
        <w:t>、</w:t>
      </w:r>
      <w:bookmarkEnd w:id="31"/>
      <w:r>
        <w:rPr>
          <w:rFonts w:hint="eastAsia" w:ascii="宋体" w:hAnsi="宋体" w:eastAsia="宋体" w:cs="宋体"/>
          <w:color w:val="000000"/>
          <w:sz w:val="21"/>
          <w:szCs w:val="21"/>
          <w:lang w:eastAsia="zh-CN" w:bidi="ar"/>
        </w:rPr>
        <w:t>甲方</w:t>
      </w:r>
      <w:r>
        <w:rPr>
          <w:rFonts w:hint="eastAsia" w:ascii="宋体" w:hAnsi="宋体" w:eastAsia="宋体" w:cs="宋体"/>
          <w:color w:val="000000"/>
          <w:sz w:val="21"/>
          <w:szCs w:val="21"/>
          <w:lang w:bidi="ar"/>
        </w:rPr>
        <w:t>每月在付款手续前对</w:t>
      </w:r>
      <w:r>
        <w:rPr>
          <w:rFonts w:hint="eastAsia" w:ascii="宋体" w:hAnsi="宋体" w:eastAsia="宋体" w:cs="宋体"/>
          <w:color w:val="000000"/>
          <w:sz w:val="21"/>
          <w:szCs w:val="21"/>
          <w:lang w:eastAsia="zh-CN" w:bidi="ar"/>
        </w:rPr>
        <w:t>乙方</w:t>
      </w:r>
      <w:r>
        <w:rPr>
          <w:rFonts w:hint="eastAsia" w:ascii="宋体" w:hAnsi="宋体" w:eastAsia="宋体" w:cs="宋体"/>
          <w:color w:val="000000"/>
          <w:sz w:val="21"/>
          <w:szCs w:val="21"/>
          <w:lang w:bidi="ar"/>
        </w:rPr>
        <w:t>的履约情况进行评价，填写《供应商履约评价表》。考核评分满分为100分，考核评分分数低于80分、达到60分时，</w:t>
      </w:r>
      <w:r>
        <w:rPr>
          <w:rFonts w:hint="eastAsia" w:ascii="宋体" w:hAnsi="宋体" w:eastAsia="宋体" w:cs="宋体"/>
          <w:color w:val="000000"/>
          <w:sz w:val="21"/>
          <w:szCs w:val="21"/>
          <w:lang w:eastAsia="zh-CN" w:bidi="ar"/>
        </w:rPr>
        <w:t>乙方</w:t>
      </w:r>
      <w:r>
        <w:rPr>
          <w:rFonts w:hint="eastAsia" w:ascii="宋体" w:hAnsi="宋体" w:eastAsia="宋体" w:cs="宋体"/>
          <w:color w:val="000000"/>
          <w:sz w:val="21"/>
          <w:szCs w:val="21"/>
          <w:lang w:bidi="ar"/>
        </w:rPr>
        <w:t>应按该月货物含税结算货款的20%向</w:t>
      </w:r>
      <w:r>
        <w:rPr>
          <w:rFonts w:hint="eastAsia" w:ascii="宋体" w:hAnsi="宋体" w:eastAsia="宋体" w:cs="宋体"/>
          <w:color w:val="000000"/>
          <w:sz w:val="21"/>
          <w:szCs w:val="21"/>
          <w:lang w:eastAsia="zh-CN" w:bidi="ar"/>
        </w:rPr>
        <w:t>甲方</w:t>
      </w:r>
      <w:r>
        <w:rPr>
          <w:rFonts w:hint="eastAsia" w:ascii="宋体" w:hAnsi="宋体" w:eastAsia="宋体" w:cs="宋体"/>
          <w:color w:val="000000"/>
          <w:sz w:val="21"/>
          <w:szCs w:val="21"/>
          <w:lang w:bidi="ar"/>
        </w:rPr>
        <w:t>支付违约金；考核评分分数低于60分时，</w:t>
      </w:r>
      <w:r>
        <w:rPr>
          <w:rFonts w:hint="eastAsia" w:ascii="宋体" w:hAnsi="宋体" w:eastAsia="宋体" w:cs="宋体"/>
          <w:color w:val="000000"/>
          <w:sz w:val="21"/>
          <w:szCs w:val="21"/>
          <w:lang w:eastAsia="zh-CN" w:bidi="ar"/>
        </w:rPr>
        <w:t>乙方</w:t>
      </w:r>
      <w:r>
        <w:rPr>
          <w:rFonts w:hint="eastAsia" w:ascii="宋体" w:hAnsi="宋体" w:eastAsia="宋体" w:cs="宋体"/>
          <w:color w:val="000000"/>
          <w:sz w:val="21"/>
          <w:szCs w:val="21"/>
          <w:lang w:bidi="ar"/>
        </w:rPr>
        <w:t>应按该月货物含税结算货款的30%向</w:t>
      </w:r>
      <w:r>
        <w:rPr>
          <w:rFonts w:hint="eastAsia" w:ascii="宋体" w:hAnsi="宋体" w:eastAsia="宋体" w:cs="宋体"/>
          <w:color w:val="000000"/>
          <w:sz w:val="21"/>
          <w:szCs w:val="21"/>
          <w:lang w:eastAsia="zh-CN" w:bidi="ar"/>
        </w:rPr>
        <w:t>甲方</w:t>
      </w:r>
      <w:r>
        <w:rPr>
          <w:rFonts w:hint="eastAsia" w:ascii="宋体" w:hAnsi="宋体" w:eastAsia="宋体" w:cs="宋体"/>
          <w:color w:val="000000"/>
          <w:sz w:val="21"/>
          <w:szCs w:val="21"/>
          <w:lang w:bidi="ar"/>
        </w:rPr>
        <w:t>支付违约金。若供货期内累计出现3次（含）以上评审结论为不合格的，</w:t>
      </w:r>
      <w:r>
        <w:rPr>
          <w:rFonts w:hint="eastAsia" w:ascii="宋体" w:hAnsi="宋体" w:eastAsia="宋体" w:cs="宋体"/>
          <w:color w:val="000000"/>
          <w:sz w:val="21"/>
          <w:szCs w:val="21"/>
          <w:lang w:eastAsia="zh-CN" w:bidi="ar"/>
        </w:rPr>
        <w:t>甲方</w:t>
      </w:r>
      <w:r>
        <w:rPr>
          <w:rFonts w:hint="eastAsia" w:ascii="宋体" w:hAnsi="宋体" w:eastAsia="宋体" w:cs="宋体"/>
          <w:color w:val="000000"/>
          <w:sz w:val="21"/>
          <w:szCs w:val="21"/>
          <w:lang w:bidi="ar"/>
        </w:rPr>
        <w:t>有权取消</w:t>
      </w:r>
      <w:r>
        <w:rPr>
          <w:rFonts w:hint="eastAsia" w:ascii="宋体" w:hAnsi="宋体" w:eastAsia="宋体" w:cs="宋体"/>
          <w:color w:val="000000"/>
          <w:sz w:val="21"/>
          <w:szCs w:val="21"/>
          <w:lang w:eastAsia="zh-CN" w:bidi="ar"/>
        </w:rPr>
        <w:t>乙方</w:t>
      </w:r>
      <w:r>
        <w:rPr>
          <w:rFonts w:hint="eastAsia" w:ascii="宋体" w:hAnsi="宋体" w:eastAsia="宋体" w:cs="宋体"/>
          <w:color w:val="000000"/>
          <w:sz w:val="21"/>
          <w:szCs w:val="21"/>
          <w:lang w:bidi="ar"/>
        </w:rPr>
        <w:t>的供货资格并单方解除合同。</w:t>
      </w:r>
    </w:p>
    <w:p w14:paraId="68EDE5ED">
      <w:pPr>
        <w:pStyle w:val="2"/>
        <w:keepNext w:val="0"/>
        <w:keepLines w:val="0"/>
        <w:pageBreakBefore w:val="0"/>
        <w:kinsoku/>
        <w:wordWrap/>
        <w:overflowPunct/>
        <w:topLinePunct w:val="0"/>
        <w:bidi w:val="0"/>
        <w:spacing w:line="360" w:lineRule="auto"/>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12、乙方未按约定履行培训或售后服务义务的，甲方有权要求乙方支付暂定合同价【10】%的违约金，且有权委托第三方提供培训或售后服务，所产生的费用甲方有权从未付款项中扣除，如不足扣除的，乙方还应另行向甲方赔偿。</w:t>
      </w:r>
    </w:p>
    <w:p w14:paraId="766C3754">
      <w:pPr>
        <w:pStyle w:val="2"/>
        <w:keepNext w:val="0"/>
        <w:keepLines w:val="0"/>
        <w:pageBreakBefore w:val="0"/>
        <w:kinsoku/>
        <w:wordWrap/>
        <w:overflowPunct/>
        <w:topLinePunct w:val="0"/>
        <w:bidi w:val="0"/>
        <w:spacing w:line="360" w:lineRule="auto"/>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13、无论是否在质保期内，因货物质量问题发生安全事故或引起其他损失、造成不良后果的，乙方应承担全部责任及损失赔偿，同时甲方有权单方解除本合同且要求乙方一次性支付10000元的违约金。</w:t>
      </w:r>
    </w:p>
    <w:p w14:paraId="41E9F910">
      <w:pPr>
        <w:pStyle w:val="2"/>
        <w:keepNext w:val="0"/>
        <w:keepLines w:val="0"/>
        <w:pageBreakBefore w:val="0"/>
        <w:kinsoku/>
        <w:wordWrap/>
        <w:overflowPunct/>
        <w:topLinePunct w:val="0"/>
        <w:bidi w:val="0"/>
        <w:spacing w:line="360" w:lineRule="auto"/>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14、乙方保证对其在讨论、签订、履行本合同过程中所获悉的属于甲方的且无法从公开渠道获得的文件资料及项目信息予以严格保密并应采取相应的保密措施，保证其自身及工作人员不私自使用或向任何第三方泄露，否则，视为乙方违约，甲方有权要求乙方一次性支付10000元违约金，且乙方须承担由此给甲方造成的一切损失。乙方及其工作人员的保密义务不因本合同的终止而终止，直至相关保密信息被合法公开时止。</w:t>
      </w:r>
    </w:p>
    <w:p w14:paraId="5CA999F9">
      <w:pPr>
        <w:pStyle w:val="2"/>
        <w:keepNext w:val="0"/>
        <w:keepLines w:val="0"/>
        <w:pageBreakBefore w:val="0"/>
        <w:kinsoku/>
        <w:wordWrap/>
        <w:overflowPunct/>
        <w:topLinePunct w:val="0"/>
        <w:bidi w:val="0"/>
        <w:spacing w:line="360" w:lineRule="auto"/>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15、在本合同履行期限内，乙方未经甲方书面同意即将本合同约定项下的全部项目或部分项目转包给第三方的，甲方有权单方解除本合同且要求乙方按暂定合同价的【30】%承担违约责任。</w:t>
      </w:r>
    </w:p>
    <w:p w14:paraId="582164DD">
      <w:pPr>
        <w:pStyle w:val="2"/>
        <w:keepNext w:val="0"/>
        <w:keepLines w:val="0"/>
        <w:pageBreakBefore w:val="0"/>
        <w:kinsoku/>
        <w:wordWrap/>
        <w:overflowPunct/>
        <w:topLinePunct w:val="0"/>
        <w:bidi w:val="0"/>
        <w:spacing w:line="360" w:lineRule="auto"/>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16、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暂定合同价【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554C84B4">
      <w:pPr>
        <w:pStyle w:val="2"/>
        <w:keepNext w:val="0"/>
        <w:keepLines w:val="0"/>
        <w:pageBreakBefore w:val="0"/>
        <w:kinsoku/>
        <w:wordWrap/>
        <w:overflowPunct/>
        <w:topLinePunct w:val="0"/>
        <w:bidi w:val="0"/>
        <w:spacing w:line="360" w:lineRule="auto"/>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17、乙方违反本合同约定，合同对违约责任有特别约定的，适用该特别约定；无特别约定的，甲方有权要求乙方支付暂定合同价【20】%作为违约金。违约金不足以弥补甲方因此所受损失的，乙方应予以补足。</w:t>
      </w:r>
    </w:p>
    <w:p w14:paraId="47154279">
      <w:pPr>
        <w:pStyle w:val="2"/>
        <w:keepNext w:val="0"/>
        <w:keepLines w:val="0"/>
        <w:pageBreakBefore w:val="0"/>
        <w:kinsoku/>
        <w:wordWrap/>
        <w:overflowPunct/>
        <w:topLinePunct w:val="0"/>
        <w:bidi w:val="0"/>
        <w:spacing w:line="360" w:lineRule="auto"/>
        <w:textAlignment w:val="auto"/>
        <w:rPr>
          <w:rFonts w:hint="eastAsia" w:ascii="宋体" w:hAnsi="宋体" w:eastAsia="宋体" w:cs="宋体"/>
          <w:color w:val="000000"/>
          <w:sz w:val="21"/>
          <w:szCs w:val="21"/>
          <w:lang w:val="en-US" w:eastAsia="zh-CN" w:bidi="ar-SA"/>
        </w:rPr>
      </w:pPr>
    </w:p>
    <w:p w14:paraId="487DD7E6">
      <w:pPr>
        <w:pStyle w:val="30"/>
        <w:keepNext w:val="0"/>
        <w:keepLines w:val="0"/>
        <w:pageBreakBefore w:val="0"/>
        <w:numPr>
          <w:ilvl w:val="0"/>
          <w:numId w:val="1"/>
        </w:numPr>
        <w:kinsoku/>
        <w:wordWrap/>
        <w:overflowPunct/>
        <w:topLinePunct w:val="0"/>
        <w:bidi w:val="0"/>
        <w:spacing w:line="360" w:lineRule="auto"/>
        <w:ind w:firstLineChars="0"/>
        <w:textAlignment w:val="auto"/>
        <w:outlineLvl w:val="1"/>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不可抗力</w:t>
      </w:r>
    </w:p>
    <w:p w14:paraId="6AE36880">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hint="eastAsia" w:ascii="宋体" w:hAnsi="宋体" w:eastAsia="宋体" w:cs="宋体"/>
          <w:sz w:val="21"/>
          <w:szCs w:val="21"/>
          <w:u w:val="single"/>
        </w:rPr>
        <w:t>15</w:t>
      </w:r>
      <w:r>
        <w:rPr>
          <w:rFonts w:hint="eastAsia" w:ascii="宋体" w:hAnsi="宋体" w:eastAsia="宋体" w:cs="宋体"/>
          <w:sz w:val="21"/>
          <w:szCs w:val="21"/>
        </w:rPr>
        <w:t>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1033275A">
      <w:pPr>
        <w:pStyle w:val="2"/>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rPr>
      </w:pPr>
    </w:p>
    <w:p w14:paraId="64B1E781">
      <w:pPr>
        <w:pStyle w:val="30"/>
        <w:keepNext w:val="0"/>
        <w:keepLines w:val="0"/>
        <w:pageBreakBefore w:val="0"/>
        <w:numPr>
          <w:ilvl w:val="0"/>
          <w:numId w:val="1"/>
        </w:numPr>
        <w:kinsoku/>
        <w:wordWrap/>
        <w:overflowPunct/>
        <w:topLinePunct w:val="0"/>
        <w:bidi w:val="0"/>
        <w:spacing w:line="360" w:lineRule="auto"/>
        <w:ind w:firstLineChars="0"/>
        <w:textAlignment w:val="auto"/>
        <w:outlineLvl w:val="1"/>
        <w:rPr>
          <w:rFonts w:hint="eastAsia" w:ascii="宋体" w:hAnsi="宋体" w:eastAsia="宋体" w:cs="宋体"/>
          <w:b/>
          <w:sz w:val="21"/>
          <w:szCs w:val="21"/>
          <w:lang w:val="en-US" w:eastAsia="zh-CN"/>
        </w:rPr>
      </w:pPr>
      <w:bookmarkStart w:id="32" w:name="_Toc27990842"/>
      <w:r>
        <w:rPr>
          <w:rFonts w:hint="eastAsia" w:ascii="宋体" w:hAnsi="宋体" w:eastAsia="宋体" w:cs="宋体"/>
          <w:b/>
          <w:sz w:val="21"/>
          <w:szCs w:val="21"/>
          <w:lang w:val="en-US" w:eastAsia="zh-CN"/>
        </w:rPr>
        <w:t>承诺与保证</w:t>
      </w:r>
      <w:bookmarkEnd w:id="32"/>
    </w:p>
    <w:p w14:paraId="0C62E1B5">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乙方应保证提供产品不侵犯第三方的合法权益，如第三方以本合同产品侵权为由提起侵权主张，乙方须与第三方交涉并承担由此发生的一切责任、费用和经济赔偿。由于乙方提供的产品的任何一部分不符合知识产权规定，由乙方承担因此给甲方造成的全部损失（包括但不限于甲方为维护自身权益所支付的律师费、诉讼费、鉴定费、差旅费以及甲方依法向第三方支付的赔偿款等全部费用）。</w:t>
      </w:r>
    </w:p>
    <w:p w14:paraId="295B412E">
      <w:pPr>
        <w:pStyle w:val="2"/>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rPr>
      </w:pPr>
    </w:p>
    <w:p w14:paraId="1190B8C4">
      <w:pPr>
        <w:pStyle w:val="30"/>
        <w:keepNext w:val="0"/>
        <w:keepLines w:val="0"/>
        <w:pageBreakBefore w:val="0"/>
        <w:numPr>
          <w:ilvl w:val="0"/>
          <w:numId w:val="1"/>
        </w:numPr>
        <w:kinsoku/>
        <w:wordWrap/>
        <w:overflowPunct/>
        <w:topLinePunct w:val="0"/>
        <w:bidi w:val="0"/>
        <w:spacing w:line="360" w:lineRule="auto"/>
        <w:ind w:firstLineChars="0"/>
        <w:textAlignment w:val="auto"/>
        <w:outlineLvl w:val="1"/>
        <w:rPr>
          <w:rFonts w:hint="eastAsia" w:ascii="宋体" w:hAnsi="宋体" w:eastAsia="宋体" w:cs="宋体"/>
          <w:b/>
          <w:sz w:val="21"/>
          <w:szCs w:val="21"/>
          <w:lang w:val="en-US" w:eastAsia="zh-CN"/>
        </w:rPr>
      </w:pPr>
      <w:bookmarkStart w:id="33" w:name="_Toc27990843"/>
      <w:r>
        <w:rPr>
          <w:rFonts w:hint="eastAsia" w:ascii="宋体" w:hAnsi="宋体" w:eastAsia="宋体" w:cs="宋体"/>
          <w:b/>
          <w:sz w:val="21"/>
          <w:szCs w:val="21"/>
          <w:lang w:val="en-US" w:eastAsia="zh-CN"/>
        </w:rPr>
        <w:t>合同争议的解决办法</w:t>
      </w:r>
      <w:bookmarkEnd w:id="33"/>
    </w:p>
    <w:p w14:paraId="161CC519">
      <w:pPr>
        <w:keepNext w:val="0"/>
        <w:keepLines w:val="0"/>
        <w:pageBreakBefore w:val="0"/>
        <w:numPr>
          <w:ilvl w:val="0"/>
          <w:numId w:val="2"/>
        </w:numPr>
        <w:kinsoku/>
        <w:wordWrap/>
        <w:overflowPunct/>
        <w:topLinePunct w:val="0"/>
        <w:bidi w:val="0"/>
        <w:spacing w:line="360" w:lineRule="auto"/>
        <w:ind w:firstLine="403"/>
        <w:textAlignment w:val="auto"/>
        <w:rPr>
          <w:rFonts w:hint="eastAsia" w:ascii="宋体" w:hAnsi="宋体" w:eastAsia="宋体" w:cs="宋体"/>
          <w:sz w:val="21"/>
          <w:szCs w:val="21"/>
        </w:rPr>
      </w:pPr>
      <w:r>
        <w:rPr>
          <w:rFonts w:hint="eastAsia" w:ascii="宋体" w:hAnsi="宋体" w:eastAsia="宋体" w:cs="宋体"/>
          <w:sz w:val="21"/>
          <w:szCs w:val="21"/>
        </w:rPr>
        <w:t>双方因本合同发生争议的，可协商解决。协商不成的，任何一方可向甲方住所地有管辖权的人民法院提起诉讼。</w:t>
      </w:r>
    </w:p>
    <w:p w14:paraId="3CA795B2">
      <w:pPr>
        <w:keepNext w:val="0"/>
        <w:keepLines w:val="0"/>
        <w:pageBreakBefore w:val="0"/>
        <w:numPr>
          <w:ilvl w:val="0"/>
          <w:numId w:val="2"/>
        </w:numPr>
        <w:kinsoku/>
        <w:wordWrap/>
        <w:overflowPunct/>
        <w:topLinePunct w:val="0"/>
        <w:bidi w:val="0"/>
        <w:spacing w:line="360" w:lineRule="auto"/>
        <w:ind w:left="0" w:leftChars="0" w:firstLine="403"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66AEA2D0">
      <w:pPr>
        <w:pStyle w:val="2"/>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lang w:val="en-US" w:eastAsia="zh-CN"/>
        </w:rPr>
      </w:pPr>
    </w:p>
    <w:p w14:paraId="65BFA0E1">
      <w:pPr>
        <w:pStyle w:val="30"/>
        <w:keepNext w:val="0"/>
        <w:keepLines w:val="0"/>
        <w:pageBreakBefore w:val="0"/>
        <w:numPr>
          <w:ilvl w:val="0"/>
          <w:numId w:val="1"/>
        </w:numPr>
        <w:kinsoku/>
        <w:wordWrap/>
        <w:overflowPunct/>
        <w:topLinePunct w:val="0"/>
        <w:bidi w:val="0"/>
        <w:spacing w:line="360" w:lineRule="auto"/>
        <w:ind w:firstLineChars="0"/>
        <w:textAlignment w:val="auto"/>
        <w:outlineLvl w:val="1"/>
        <w:rPr>
          <w:rFonts w:hint="eastAsia" w:ascii="宋体" w:hAnsi="宋体" w:eastAsia="宋体" w:cs="宋体"/>
          <w:b/>
          <w:sz w:val="21"/>
          <w:szCs w:val="21"/>
          <w:lang w:val="en-US" w:eastAsia="zh-CN"/>
        </w:rPr>
      </w:pPr>
      <w:bookmarkStart w:id="34" w:name="_Toc27990844"/>
      <w:r>
        <w:rPr>
          <w:rFonts w:hint="eastAsia" w:ascii="宋体" w:hAnsi="宋体" w:eastAsia="宋体" w:cs="宋体"/>
          <w:b/>
          <w:sz w:val="21"/>
          <w:szCs w:val="21"/>
          <w:lang w:val="en-US" w:eastAsia="zh-CN"/>
        </w:rPr>
        <w:t>其他</w:t>
      </w:r>
      <w:bookmarkEnd w:id="34"/>
    </w:p>
    <w:p w14:paraId="6CB52FD7">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1、乙方确认：本合同中列明的乙方“地址”为有效的收件地址，甲方对乙方的相关通知、函件等可通过特快专递方式送达至该地址。甲方通过特快专递方式向乙方“地址”发出相关通知、函件等3</w:t>
      </w:r>
      <w:r>
        <w:rPr>
          <w:rFonts w:hint="eastAsia" w:ascii="宋体" w:hAnsi="宋体" w:eastAsia="宋体" w:cs="宋体"/>
          <w:sz w:val="21"/>
          <w:szCs w:val="21"/>
          <w:lang w:eastAsia="zh-CN"/>
        </w:rPr>
        <w:t>日</w:t>
      </w:r>
      <w:r>
        <w:rPr>
          <w:rFonts w:hint="eastAsia" w:ascii="宋体" w:hAnsi="宋体" w:eastAsia="宋体" w:cs="宋体"/>
          <w:sz w:val="21"/>
          <w:szCs w:val="21"/>
        </w:rPr>
        <w:t>后，即视为有效送达。乙方更换地址的，应该3</w:t>
      </w:r>
      <w:r>
        <w:rPr>
          <w:rFonts w:hint="eastAsia" w:ascii="宋体" w:hAnsi="宋体" w:eastAsia="宋体" w:cs="宋体"/>
          <w:sz w:val="21"/>
          <w:szCs w:val="21"/>
          <w:lang w:eastAsia="zh-CN"/>
        </w:rPr>
        <w:t>日</w:t>
      </w:r>
      <w:r>
        <w:rPr>
          <w:rFonts w:hint="eastAsia" w:ascii="宋体" w:hAnsi="宋体" w:eastAsia="宋体" w:cs="宋体"/>
          <w:sz w:val="21"/>
          <w:szCs w:val="21"/>
        </w:rPr>
        <w:t>内书面告知甲方。</w:t>
      </w:r>
    </w:p>
    <w:p w14:paraId="12AAE931">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乙方在签订本合同时，须与甲方签订《安全生产管理协议》。乙方人员在甲方的安全由乙方自行负责。在进行卸货等工作时，必须严格遵守相关劳动安全规定，并按要求佩戴相关安全劳动防护用具。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1048BCD5">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、本合同一式</w:t>
      </w:r>
      <w:r>
        <w:rPr>
          <w:rFonts w:hint="eastAsia" w:ascii="宋体" w:hAnsi="宋体" w:eastAsia="宋体" w:cs="宋体"/>
          <w:sz w:val="21"/>
          <w:szCs w:val="21"/>
          <w:u w:val="single"/>
          <w:lang w:val="en-US" w:eastAsia="zh-CN"/>
        </w:rPr>
        <w:t xml:space="preserve"> 肆 </w:t>
      </w:r>
      <w:r>
        <w:rPr>
          <w:rFonts w:hint="eastAsia" w:ascii="宋体" w:hAnsi="宋体" w:eastAsia="宋体" w:cs="宋体"/>
          <w:sz w:val="21"/>
          <w:szCs w:val="21"/>
        </w:rPr>
        <w:t>份，其中甲方执</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叁</w:t>
      </w:r>
      <w:r>
        <w:rPr>
          <w:rFonts w:hint="eastAsia" w:ascii="宋体" w:hAnsi="宋体" w:eastAsia="宋体" w:cs="宋体"/>
          <w:sz w:val="21"/>
          <w:szCs w:val="21"/>
          <w:u w:val="single"/>
        </w:rPr>
        <w:t xml:space="preserve"> </w:t>
      </w:r>
      <w:r>
        <w:rPr>
          <w:rFonts w:hint="eastAsia" w:ascii="宋体" w:hAnsi="宋体" w:eastAsia="宋体" w:cs="宋体"/>
          <w:sz w:val="21"/>
          <w:szCs w:val="21"/>
        </w:rPr>
        <w:t>份，乙方执</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壹</w:t>
      </w:r>
      <w:r>
        <w:rPr>
          <w:rFonts w:hint="eastAsia" w:ascii="宋体" w:hAnsi="宋体" w:eastAsia="宋体" w:cs="宋体"/>
          <w:sz w:val="21"/>
          <w:szCs w:val="21"/>
          <w:u w:val="single"/>
        </w:rPr>
        <w:t xml:space="preserve"> </w:t>
      </w:r>
      <w:r>
        <w:rPr>
          <w:rFonts w:hint="eastAsia" w:ascii="宋体" w:hAnsi="宋体" w:eastAsia="宋体" w:cs="宋体"/>
          <w:sz w:val="21"/>
          <w:szCs w:val="21"/>
        </w:rPr>
        <w:t>份，每份均具有同等法律效力。</w:t>
      </w:r>
    </w:p>
    <w:p w14:paraId="60CE4AD5">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、本合同经双方盖章、并由双方法定代表人签字后生效。</w:t>
      </w:r>
    </w:p>
    <w:p w14:paraId="30D4587F">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rPr>
        <w:t>、合同履约过程中，若发现同一种货物或服务存在有选择性的报价或不是固定的报价的,或存在多种理解方式的情况发生时，按最有利甲方的方式解释。本合同附件是本合同不可分割内容，与本合同同时生效，同具法律效力。合同条款与附件、采购文件、报价文件等其他文件不一致的，以有利于甲方的约定/解释为准。</w:t>
      </w:r>
    </w:p>
    <w:p w14:paraId="090F1A23">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sz w:val="21"/>
          <w:szCs w:val="21"/>
        </w:rPr>
      </w:pPr>
    </w:p>
    <w:p w14:paraId="10EA1D99">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附件：</w:t>
      </w:r>
      <w:r>
        <w:rPr>
          <w:rFonts w:hint="eastAsia" w:ascii="宋体" w:hAnsi="宋体" w:eastAsia="宋体" w:cs="宋体"/>
          <w:sz w:val="21"/>
          <w:szCs w:val="21"/>
          <w:lang w:val="en-US" w:eastAsia="zh-CN"/>
        </w:rPr>
        <w:t>附件一：安全生产管理协议；附件二：</w:t>
      </w:r>
      <w:r>
        <w:rPr>
          <w:rFonts w:hint="eastAsia" w:ascii="宋体" w:hAnsi="宋体" w:eastAsia="宋体" w:cs="宋体"/>
          <w:sz w:val="21"/>
          <w:szCs w:val="21"/>
        </w:rPr>
        <w:t>用户需求书</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附件三：阳光合作告知函。</w:t>
      </w:r>
    </w:p>
    <w:p w14:paraId="7E0308D1">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sz w:val="21"/>
          <w:szCs w:val="21"/>
          <w:lang w:val="en-US" w:eastAsia="zh-CN"/>
        </w:rPr>
      </w:pPr>
    </w:p>
    <w:p w14:paraId="11633F0F">
      <w:pPr>
        <w:pStyle w:val="2"/>
        <w:rPr>
          <w:rFonts w:hint="eastAsia" w:ascii="Times New Roman"/>
          <w:lang w:val="en-US" w:eastAsia="zh-CN"/>
        </w:rPr>
      </w:pPr>
    </w:p>
    <w:tbl>
      <w:tblPr>
        <w:tblStyle w:val="23"/>
        <w:tblW w:w="102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0104D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03498806">
            <w:pPr>
              <w:spacing w:line="360" w:lineRule="auto"/>
              <w:jc w:val="both"/>
              <w:rPr>
                <w:rFonts w:hint="eastAsia" w:ascii="Times New Roman"/>
                <w:vertAlign w:val="baseline"/>
              </w:rPr>
            </w:pPr>
            <w:r>
              <w:rPr>
                <w:rFonts w:hint="eastAsia" w:ascii="Times New Roman"/>
                <w:vertAlign w:val="baseline"/>
              </w:rPr>
              <w:t>甲方（盖章）</w:t>
            </w:r>
            <w:r>
              <w:rPr>
                <w:rFonts w:hint="eastAsia" w:ascii="Times New Roman"/>
                <w:vertAlign w:val="baseline"/>
                <w:lang w:eastAsia="zh-CN"/>
              </w:rPr>
              <w:t>：东莞市尚源环能科技有限公司</w:t>
            </w:r>
          </w:p>
        </w:tc>
        <w:tc>
          <w:tcPr>
            <w:tcW w:w="5102" w:type="dxa"/>
            <w:tcBorders>
              <w:tl2br w:val="nil"/>
              <w:tr2bl w:val="nil"/>
            </w:tcBorders>
            <w:tcMar>
              <w:top w:w="0" w:type="dxa"/>
              <w:left w:w="57" w:type="dxa"/>
              <w:bottom w:w="0" w:type="dxa"/>
              <w:right w:w="57" w:type="dxa"/>
            </w:tcMar>
            <w:vAlign w:val="top"/>
          </w:tcPr>
          <w:p w14:paraId="5F094AFA">
            <w:pPr>
              <w:spacing w:line="360" w:lineRule="auto"/>
              <w:jc w:val="both"/>
              <w:rPr>
                <w:rFonts w:hint="eastAsia" w:ascii="Times New Roman"/>
                <w:vertAlign w:val="baseline"/>
              </w:rPr>
            </w:pPr>
            <w:r>
              <w:rPr>
                <w:rFonts w:hint="eastAsia" w:ascii="Times New Roman"/>
                <w:vertAlign w:val="baseline"/>
              </w:rPr>
              <w:t>乙方（盖章）：</w:t>
            </w:r>
          </w:p>
        </w:tc>
      </w:tr>
      <w:tr w14:paraId="7A642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40C2CDB2">
            <w:pPr>
              <w:spacing w:line="360" w:lineRule="auto"/>
              <w:jc w:val="both"/>
              <w:rPr>
                <w:rFonts w:hint="eastAsia" w:ascii="Times New Roman"/>
                <w:vertAlign w:val="baseline"/>
              </w:rPr>
            </w:pPr>
            <w:r>
              <w:rPr>
                <w:rFonts w:hint="eastAsia" w:ascii="Times New Roman"/>
                <w:vertAlign w:val="baseline"/>
              </w:rPr>
              <w:t>法定代表人：</w:t>
            </w:r>
          </w:p>
        </w:tc>
        <w:tc>
          <w:tcPr>
            <w:tcW w:w="5102" w:type="dxa"/>
            <w:tcBorders>
              <w:tl2br w:val="nil"/>
              <w:tr2bl w:val="nil"/>
            </w:tcBorders>
            <w:tcMar>
              <w:top w:w="0" w:type="dxa"/>
              <w:left w:w="57" w:type="dxa"/>
              <w:bottom w:w="0" w:type="dxa"/>
              <w:right w:w="57" w:type="dxa"/>
            </w:tcMar>
            <w:vAlign w:val="top"/>
          </w:tcPr>
          <w:p w14:paraId="5A7DFB18">
            <w:pPr>
              <w:spacing w:line="360" w:lineRule="auto"/>
              <w:jc w:val="both"/>
              <w:rPr>
                <w:rFonts w:hint="eastAsia" w:ascii="Times New Roman"/>
                <w:vertAlign w:val="baseline"/>
              </w:rPr>
            </w:pPr>
            <w:r>
              <w:rPr>
                <w:rFonts w:hint="eastAsia" w:ascii="Times New Roman"/>
                <w:vertAlign w:val="baseline"/>
              </w:rPr>
              <w:t>法定代表人：</w:t>
            </w:r>
          </w:p>
        </w:tc>
      </w:tr>
      <w:tr w14:paraId="6DAD8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20FB19BC">
            <w:pPr>
              <w:spacing w:line="360" w:lineRule="auto"/>
              <w:jc w:val="both"/>
              <w:rPr>
                <w:rFonts w:hint="eastAsia" w:ascii="Times New Roman"/>
                <w:vertAlign w:val="baseline"/>
              </w:rPr>
            </w:pPr>
            <w:r>
              <w:rPr>
                <w:rFonts w:hint="eastAsia" w:ascii="Times New Roman"/>
                <w:vertAlign w:val="baseline"/>
              </w:rPr>
              <w:t>地址：广东省东莞市沙田镇立沙中路</w:t>
            </w:r>
          </w:p>
        </w:tc>
        <w:tc>
          <w:tcPr>
            <w:tcW w:w="5102" w:type="dxa"/>
            <w:tcBorders>
              <w:tl2br w:val="nil"/>
              <w:tr2bl w:val="nil"/>
            </w:tcBorders>
            <w:tcMar>
              <w:top w:w="0" w:type="dxa"/>
              <w:left w:w="57" w:type="dxa"/>
              <w:bottom w:w="0" w:type="dxa"/>
              <w:right w:w="57" w:type="dxa"/>
            </w:tcMar>
            <w:vAlign w:val="top"/>
          </w:tcPr>
          <w:p w14:paraId="6B96AEC5">
            <w:pPr>
              <w:spacing w:line="360" w:lineRule="auto"/>
              <w:ind w:left="720" w:hanging="720" w:hangingChars="300"/>
              <w:jc w:val="both"/>
              <w:rPr>
                <w:rFonts w:hint="eastAsia" w:ascii="Times New Roman"/>
                <w:vertAlign w:val="baseline"/>
              </w:rPr>
            </w:pPr>
            <w:r>
              <w:rPr>
                <w:rFonts w:hint="eastAsia" w:ascii="Times New Roman"/>
                <w:vertAlign w:val="baseline"/>
              </w:rPr>
              <w:t>地址：</w:t>
            </w:r>
          </w:p>
        </w:tc>
      </w:tr>
      <w:tr w14:paraId="538B3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16F2877C">
            <w:pPr>
              <w:spacing w:line="360" w:lineRule="auto"/>
              <w:jc w:val="both"/>
              <w:rPr>
                <w:rFonts w:hint="eastAsia" w:ascii="Times New Roman"/>
                <w:vertAlign w:val="baseline"/>
              </w:rPr>
            </w:pPr>
          </w:p>
        </w:tc>
        <w:tc>
          <w:tcPr>
            <w:tcW w:w="5102" w:type="dxa"/>
            <w:tcBorders>
              <w:tl2br w:val="nil"/>
              <w:tr2bl w:val="nil"/>
            </w:tcBorders>
            <w:tcMar>
              <w:top w:w="0" w:type="dxa"/>
              <w:left w:w="57" w:type="dxa"/>
              <w:bottom w:w="0" w:type="dxa"/>
              <w:right w:w="57" w:type="dxa"/>
            </w:tcMar>
            <w:vAlign w:val="top"/>
          </w:tcPr>
          <w:p w14:paraId="663376C2">
            <w:pPr>
              <w:spacing w:line="360" w:lineRule="auto"/>
              <w:jc w:val="both"/>
              <w:rPr>
                <w:rFonts w:hint="eastAsia" w:ascii="Times New Roman"/>
                <w:vertAlign w:val="baseline"/>
              </w:rPr>
            </w:pPr>
            <w:r>
              <w:rPr>
                <w:rFonts w:hint="eastAsia" w:ascii="Times New Roman"/>
                <w:vertAlign w:val="baseline"/>
              </w:rPr>
              <w:t>电话：</w:t>
            </w:r>
          </w:p>
        </w:tc>
      </w:tr>
      <w:tr w14:paraId="769B0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075FA925">
            <w:pPr>
              <w:spacing w:line="360" w:lineRule="auto"/>
              <w:jc w:val="both"/>
              <w:rPr>
                <w:rFonts w:hint="eastAsia" w:ascii="Times New Roman"/>
                <w:vertAlign w:val="baseline"/>
              </w:rPr>
            </w:pPr>
          </w:p>
        </w:tc>
        <w:tc>
          <w:tcPr>
            <w:tcW w:w="5102" w:type="dxa"/>
            <w:tcBorders>
              <w:tl2br w:val="nil"/>
              <w:tr2bl w:val="nil"/>
            </w:tcBorders>
            <w:tcMar>
              <w:top w:w="0" w:type="dxa"/>
              <w:left w:w="57" w:type="dxa"/>
              <w:bottom w:w="0" w:type="dxa"/>
              <w:right w:w="57" w:type="dxa"/>
            </w:tcMar>
            <w:vAlign w:val="top"/>
          </w:tcPr>
          <w:p w14:paraId="58DCC5E6">
            <w:pPr>
              <w:spacing w:line="360" w:lineRule="auto"/>
              <w:jc w:val="both"/>
              <w:rPr>
                <w:rFonts w:hint="eastAsia" w:ascii="Times New Roman"/>
                <w:vertAlign w:val="baseline"/>
              </w:rPr>
            </w:pPr>
            <w:r>
              <w:rPr>
                <w:rFonts w:hint="eastAsia" w:ascii="Times New Roman"/>
                <w:vertAlign w:val="baseline"/>
              </w:rPr>
              <w:t>名称：</w:t>
            </w:r>
          </w:p>
        </w:tc>
      </w:tr>
      <w:tr w14:paraId="22D4C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569CBCDB">
            <w:pPr>
              <w:spacing w:line="360" w:lineRule="auto"/>
              <w:jc w:val="both"/>
              <w:rPr>
                <w:rFonts w:hint="eastAsia" w:ascii="Times New Roman"/>
                <w:vertAlign w:val="baseline"/>
              </w:rPr>
            </w:pPr>
          </w:p>
        </w:tc>
        <w:tc>
          <w:tcPr>
            <w:tcW w:w="5102" w:type="dxa"/>
            <w:tcBorders>
              <w:tl2br w:val="nil"/>
              <w:tr2bl w:val="nil"/>
            </w:tcBorders>
            <w:tcMar>
              <w:top w:w="0" w:type="dxa"/>
              <w:left w:w="57" w:type="dxa"/>
              <w:bottom w:w="0" w:type="dxa"/>
              <w:right w:w="57" w:type="dxa"/>
            </w:tcMar>
            <w:vAlign w:val="top"/>
          </w:tcPr>
          <w:p w14:paraId="4DB73454">
            <w:pPr>
              <w:spacing w:line="360" w:lineRule="auto"/>
              <w:jc w:val="both"/>
              <w:rPr>
                <w:rFonts w:hint="eastAsia" w:ascii="Times New Roman"/>
                <w:vertAlign w:val="baseline"/>
              </w:rPr>
            </w:pPr>
            <w:r>
              <w:rPr>
                <w:rFonts w:hint="eastAsia" w:ascii="Times New Roman"/>
                <w:vertAlign w:val="baseline"/>
              </w:rPr>
              <w:t>开户银行：</w:t>
            </w:r>
          </w:p>
        </w:tc>
      </w:tr>
      <w:tr w14:paraId="03715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04EB312F">
            <w:pPr>
              <w:spacing w:line="360" w:lineRule="auto"/>
              <w:jc w:val="both"/>
              <w:rPr>
                <w:rFonts w:hint="eastAsia" w:ascii="Times New Roman"/>
                <w:vertAlign w:val="baseline"/>
              </w:rPr>
            </w:pPr>
          </w:p>
        </w:tc>
        <w:tc>
          <w:tcPr>
            <w:tcW w:w="5102" w:type="dxa"/>
            <w:tcBorders>
              <w:tl2br w:val="nil"/>
              <w:tr2bl w:val="nil"/>
            </w:tcBorders>
            <w:tcMar>
              <w:top w:w="0" w:type="dxa"/>
              <w:left w:w="57" w:type="dxa"/>
              <w:bottom w:w="0" w:type="dxa"/>
              <w:right w:w="57" w:type="dxa"/>
            </w:tcMar>
            <w:vAlign w:val="top"/>
          </w:tcPr>
          <w:p w14:paraId="2B6CAB6C">
            <w:pPr>
              <w:spacing w:line="360" w:lineRule="auto"/>
              <w:jc w:val="both"/>
              <w:rPr>
                <w:rFonts w:hint="eastAsia" w:ascii="Times New Roman"/>
                <w:vertAlign w:val="baseline"/>
              </w:rPr>
            </w:pPr>
            <w:r>
              <w:rPr>
                <w:rFonts w:hint="eastAsia" w:ascii="Times New Roman"/>
                <w:vertAlign w:val="baseline"/>
              </w:rPr>
              <w:t>银行账号：</w:t>
            </w:r>
          </w:p>
        </w:tc>
      </w:tr>
      <w:tr w14:paraId="2EBAB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27AC9C59">
            <w:pPr>
              <w:spacing w:line="360" w:lineRule="auto"/>
              <w:jc w:val="both"/>
              <w:rPr>
                <w:rFonts w:hint="eastAsia" w:ascii="Times New Roman"/>
                <w:vertAlign w:val="baseline"/>
              </w:rPr>
            </w:pPr>
          </w:p>
        </w:tc>
        <w:tc>
          <w:tcPr>
            <w:tcW w:w="5102" w:type="dxa"/>
            <w:tcBorders>
              <w:tl2br w:val="nil"/>
              <w:tr2bl w:val="nil"/>
            </w:tcBorders>
            <w:tcMar>
              <w:top w:w="0" w:type="dxa"/>
              <w:left w:w="57" w:type="dxa"/>
              <w:bottom w:w="0" w:type="dxa"/>
              <w:right w:w="57" w:type="dxa"/>
            </w:tcMar>
            <w:vAlign w:val="top"/>
          </w:tcPr>
          <w:p w14:paraId="0B4FFC1A">
            <w:pPr>
              <w:spacing w:line="360" w:lineRule="auto"/>
              <w:jc w:val="both"/>
              <w:rPr>
                <w:rFonts w:hint="eastAsia" w:ascii="Times New Roman"/>
                <w:vertAlign w:val="baseline"/>
              </w:rPr>
            </w:pPr>
            <w:r>
              <w:rPr>
                <w:rFonts w:hint="eastAsia" w:ascii="Times New Roman"/>
                <w:vertAlign w:val="baseline"/>
              </w:rPr>
              <w:t>税号：</w:t>
            </w:r>
          </w:p>
        </w:tc>
      </w:tr>
    </w:tbl>
    <w:p w14:paraId="406F693E">
      <w:pPr>
        <w:spacing w:line="360" w:lineRule="auto"/>
        <w:rPr>
          <w:rFonts w:hint="eastAsia"/>
        </w:rPr>
      </w:pPr>
    </w:p>
    <w:p w14:paraId="55FE1DE7">
      <w:pPr>
        <w:spacing w:line="360" w:lineRule="auto"/>
        <w:rPr>
          <w:rFonts w:hint="eastAsia"/>
        </w:rPr>
      </w:pPr>
      <w:r>
        <w:rPr>
          <w:rFonts w:hint="eastAsia"/>
        </w:rPr>
        <w:t>签订</w:t>
      </w:r>
      <w:r>
        <w:rPr>
          <w:rFonts w:hint="eastAsia"/>
          <w:lang w:val="en-US" w:eastAsia="zh-CN"/>
        </w:rPr>
        <w:t>日期</w:t>
      </w:r>
      <w:r>
        <w:rPr>
          <w:rFonts w:hint="eastAsia"/>
        </w:rPr>
        <w:t>：</w:t>
      </w:r>
      <w:r>
        <w:rPr>
          <w:rFonts w:hint="eastAsia"/>
          <w:lang w:val="en-US" w:eastAsia="zh-CN"/>
        </w:rPr>
        <w:t xml:space="preserve">   </w:t>
      </w:r>
    </w:p>
    <w:p w14:paraId="5A956775">
      <w:pPr>
        <w:spacing w:line="360" w:lineRule="auto"/>
        <w:rPr>
          <w:rFonts w:hint="eastAsia"/>
        </w:rPr>
      </w:pPr>
      <w:r>
        <w:rPr>
          <w:rFonts w:hint="eastAsia"/>
        </w:rPr>
        <w:t>签订地点：广东省东莞市</w:t>
      </w:r>
    </w:p>
    <w:p w14:paraId="4828A211">
      <w:pPr>
        <w:pStyle w:val="2"/>
        <w:spacing w:line="360" w:lineRule="auto"/>
        <w:rPr>
          <w:rFonts w:hint="default" w:ascii="宋体" w:hAnsi="宋体" w:eastAsia="宋体" w:cs="Times New Roman"/>
          <w:color w:val="000000"/>
          <w:sz w:val="24"/>
          <w:szCs w:val="24"/>
          <w:lang w:val="en-US" w:eastAsia="zh-CN" w:bidi="ar-SA"/>
        </w:rPr>
        <w:sectPr>
          <w:pgSz w:w="11906" w:h="16838"/>
          <w:pgMar w:top="1327" w:right="1259" w:bottom="1383" w:left="1423" w:header="851" w:footer="992" w:gutter="0"/>
          <w:cols w:space="0" w:num="1"/>
          <w:docGrid w:type="lines" w:linePitch="312" w:charSpace="0"/>
        </w:sectPr>
      </w:pPr>
    </w:p>
    <w:p w14:paraId="33B8696D">
      <w:pPr>
        <w:spacing w:line="420" w:lineRule="exact"/>
        <w:outlineLvl w:val="1"/>
        <w:rPr>
          <w:rFonts w:hint="default" w:ascii="仿宋_GB2312" w:hAnsi="仿宋_GB2312" w:eastAsia="仿宋_GB2312" w:cs="仿宋_GB2312"/>
          <w:b/>
          <w:bCs/>
          <w:sz w:val="28"/>
          <w:szCs w:val="28"/>
          <w:lang w:val="en-US" w:eastAsia="zh-CN"/>
        </w:rPr>
      </w:pPr>
      <w:r>
        <w:rPr>
          <w:rFonts w:hint="default" w:ascii="仿宋_GB2312" w:hAnsi="仿宋_GB2312" w:eastAsia="仿宋_GB2312" w:cs="仿宋_GB2312"/>
          <w:b/>
          <w:bCs/>
          <w:sz w:val="28"/>
          <w:szCs w:val="28"/>
          <w:lang w:val="en-US" w:eastAsia="zh-CN"/>
        </w:rPr>
        <w:t>附件一：</w:t>
      </w:r>
    </w:p>
    <w:p w14:paraId="7A68007E">
      <w:pPr>
        <w:jc w:val="center"/>
        <w:rPr>
          <w:rFonts w:hint="default" w:ascii="仿宋_GB2312" w:hAnsi="仿宋" w:eastAsia="仿宋_GB2312" w:cs="仿宋"/>
          <w:b/>
          <w:bCs/>
          <w:color w:val="000000" w:themeColor="text1"/>
          <w:sz w:val="36"/>
          <w:szCs w:val="36"/>
          <w:lang w:val="en-US" w:eastAsia="zh-CN"/>
          <w14:textFill>
            <w14:solidFill>
              <w14:schemeClr w14:val="tx1"/>
            </w14:solidFill>
          </w14:textFill>
        </w:rPr>
      </w:pPr>
      <w:r>
        <w:rPr>
          <w:rFonts w:hint="eastAsia" w:ascii="仿宋_GB2312" w:hAnsi="仿宋" w:eastAsia="仿宋_GB2312" w:cs="仿宋"/>
          <w:b/>
          <w:bCs/>
          <w:color w:val="000000" w:themeColor="text1"/>
          <w:sz w:val="36"/>
          <w:szCs w:val="36"/>
          <w14:textFill>
            <w14:solidFill>
              <w14:schemeClr w14:val="tx1"/>
            </w14:solidFill>
          </w14:textFill>
        </w:rPr>
        <w:t>安全生产管理协议</w:t>
      </w:r>
    </w:p>
    <w:p w14:paraId="2D37FFE8">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甲方：</w:t>
      </w:r>
      <w:r>
        <w:rPr>
          <w:rFonts w:hint="eastAsia" w:ascii="宋体" w:hAnsi="宋体" w:eastAsia="宋体" w:cs="宋体"/>
          <w:color w:val="000000" w:themeColor="text1"/>
          <w:sz w:val="21"/>
          <w:szCs w:val="21"/>
          <w:u w:val="single"/>
          <w14:textFill>
            <w14:solidFill>
              <w14:schemeClr w14:val="tx1"/>
            </w14:solidFill>
          </w14:textFill>
        </w:rPr>
        <w:t>东莞市尚源环能科技有限公司</w:t>
      </w:r>
    </w:p>
    <w:p w14:paraId="15E5948D">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地址: </w:t>
      </w:r>
      <w:r>
        <w:rPr>
          <w:rFonts w:hint="eastAsia" w:ascii="宋体" w:hAnsi="宋体" w:eastAsia="宋体" w:cs="宋体"/>
          <w:color w:val="000000" w:themeColor="text1"/>
          <w:sz w:val="21"/>
          <w:szCs w:val="21"/>
          <w:u w:val="single"/>
          <w14:textFill>
            <w14:solidFill>
              <w14:schemeClr w14:val="tx1"/>
            </w14:solidFill>
          </w14:textFill>
        </w:rPr>
        <w:t>广东省东莞市沙田镇立沙中路</w:t>
      </w:r>
    </w:p>
    <w:p w14:paraId="6108C47E">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电话：</w:t>
      </w:r>
      <w:r>
        <w:rPr>
          <w:rFonts w:hint="eastAsia" w:ascii="宋体" w:hAnsi="宋体" w:eastAsia="宋体" w:cs="宋体"/>
          <w:color w:val="000000" w:themeColor="text1"/>
          <w:sz w:val="21"/>
          <w:szCs w:val="21"/>
          <w:u w:val="single"/>
          <w14:textFill>
            <w14:solidFill>
              <w14:schemeClr w14:val="tx1"/>
            </w14:solidFill>
          </w14:textFill>
        </w:rPr>
        <w:t xml:space="preserve">                                   </w:t>
      </w:r>
    </w:p>
    <w:p w14:paraId="064AD15F">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u w:val="single"/>
          <w14:textFill>
            <w14:solidFill>
              <w14:schemeClr w14:val="tx1"/>
            </w14:solidFill>
          </w14:textFill>
        </w:rPr>
      </w:pPr>
    </w:p>
    <w:p w14:paraId="46FEA7C4">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w:t>
      </w:r>
      <w:r>
        <w:rPr>
          <w:rFonts w:hint="eastAsia" w:ascii="宋体" w:hAnsi="宋体" w:eastAsia="宋体" w:cs="宋体"/>
          <w:color w:val="000000" w:themeColor="text1"/>
          <w:sz w:val="21"/>
          <w:szCs w:val="21"/>
          <w:u w:val="single"/>
          <w14:textFill>
            <w14:solidFill>
              <w14:schemeClr w14:val="tx1"/>
            </w14:solidFill>
          </w14:textFill>
        </w:rPr>
        <w:t xml:space="preserve">                                   </w:t>
      </w:r>
    </w:p>
    <w:p w14:paraId="094B47C3">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地址:</w:t>
      </w:r>
      <w:r>
        <w:rPr>
          <w:rFonts w:hint="eastAsia" w:ascii="宋体" w:hAnsi="宋体" w:eastAsia="宋体" w:cs="宋体"/>
          <w:color w:val="000000" w:themeColor="text1"/>
          <w:sz w:val="21"/>
          <w:szCs w:val="21"/>
          <w:u w:val="single"/>
          <w14:textFill>
            <w14:solidFill>
              <w14:schemeClr w14:val="tx1"/>
            </w14:solidFill>
          </w14:textFill>
        </w:rPr>
        <w:t xml:space="preserve">                                    </w:t>
      </w:r>
    </w:p>
    <w:p w14:paraId="39B95E05">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电话：</w:t>
      </w:r>
      <w:r>
        <w:rPr>
          <w:rFonts w:hint="eastAsia" w:ascii="宋体" w:hAnsi="宋体" w:eastAsia="宋体" w:cs="宋体"/>
          <w:color w:val="000000" w:themeColor="text1"/>
          <w:sz w:val="21"/>
          <w:szCs w:val="21"/>
          <w:u w:val="single"/>
          <w14:textFill>
            <w14:solidFill>
              <w14:schemeClr w14:val="tx1"/>
            </w14:solidFill>
          </w14:textFill>
        </w:rPr>
        <w:t xml:space="preserve">                                   </w:t>
      </w:r>
    </w:p>
    <w:p w14:paraId="7A8FBD3C">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14:textFill>
            <w14:solidFill>
              <w14:schemeClr w14:val="tx1"/>
            </w14:solidFill>
          </w14:textFill>
        </w:rPr>
      </w:pPr>
    </w:p>
    <w:p w14:paraId="080E1FC8">
      <w:pPr>
        <w:pStyle w:val="9"/>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根据《中华人民共和国安全生产法》和《建设工程安全生产管理条例》等法规要求，为加强作业现场的安全管理，落实各自</w:t>
      </w:r>
      <w:r>
        <w:rPr>
          <w:rFonts w:hint="eastAsia" w:ascii="宋体" w:hAnsi="宋体" w:eastAsia="宋体" w:cs="宋体"/>
          <w:color w:val="000000" w:themeColor="text1"/>
          <w:sz w:val="21"/>
          <w:szCs w:val="21"/>
          <w14:textFill>
            <w14:solidFill>
              <w14:schemeClr w14:val="tx1"/>
            </w14:solidFill>
          </w14:textFill>
        </w:rPr>
        <w:t>的安全生产职责，进一步加强作业的安全管理，杜绝作业人员因安全管理不善而引发的各类安全事故，保证甲、乙双方的财产和员工的人身安全不受侵害，经甲乙双方协商一致，签订协议如下：</w:t>
      </w:r>
    </w:p>
    <w:p w14:paraId="33B6B1B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项目名称：</w:t>
      </w:r>
      <w:r>
        <w:rPr>
          <w:rFonts w:hint="eastAsia" w:ascii="宋体" w:hAnsi="宋体" w:eastAsia="宋体" w:cs="宋体"/>
          <w:color w:val="000000" w:themeColor="text1"/>
          <w:sz w:val="21"/>
          <w:szCs w:val="21"/>
          <w:u w:val="single"/>
          <w14:textFill>
            <w14:solidFill>
              <w14:schemeClr w14:val="tx1"/>
            </w14:solidFill>
          </w14:textFill>
        </w:rPr>
        <w:t>东莞市污泥集中处理处置项目尿素采购项目</w:t>
      </w:r>
    </w:p>
    <w:p w14:paraId="6A4BE32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项目地点：</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w:t>
      </w:r>
    </w:p>
    <w:p w14:paraId="562FA4B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项目时间：</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日  至 </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日</w:t>
      </w:r>
    </w:p>
    <w:p w14:paraId="7C0A5B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一、污水处理厂风险辨识</w:t>
      </w:r>
    </w:p>
    <w:p w14:paraId="44E60505">
      <w:pPr>
        <w:keepNext w:val="0"/>
        <w:keepLines w:val="0"/>
        <w:pageBreakBefore w:val="0"/>
        <w:widowControl w:val="0"/>
        <w:kinsoku/>
        <w:wordWrap/>
        <w:overflowPunct/>
        <w:topLinePunct w:val="0"/>
        <w:bidi w:val="0"/>
        <w:snapToGrid/>
        <w:spacing w:before="181" w:line="360" w:lineRule="auto"/>
        <w:ind w:left="100" w:right="99"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1、污水处理厂有限空间辨识，如:集水间、粗格栅间、提升泵坑、细格栅间、沉沙池、配水井、生化池、储泥池、送水泵坑、各类封闭或通风不良的井（≥1.5 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14:paraId="0AE52189">
      <w:pPr>
        <w:keepNext w:val="0"/>
        <w:keepLines w:val="0"/>
        <w:pageBreakBefore w:val="0"/>
        <w:widowControl w:val="0"/>
        <w:kinsoku/>
        <w:wordWrap/>
        <w:overflowPunct/>
        <w:topLinePunct w:val="0"/>
        <w:bidi w:val="0"/>
        <w:snapToGrid/>
        <w:spacing w:before="181" w:line="360" w:lineRule="auto"/>
        <w:ind w:left="100" w:right="99"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2、其他有限空间辨识，如:建筑施工未完工的地下暗室、管道及管道井等封闭、半封闭的设施及场所（地下隐蔽工程、密闭容器、长期不用的设施或通风不畅的场所等）等。</w:t>
      </w:r>
    </w:p>
    <w:p w14:paraId="1FAEBDA3">
      <w:pPr>
        <w:keepNext w:val="0"/>
        <w:keepLines w:val="0"/>
        <w:pageBreakBefore w:val="0"/>
        <w:widowControl w:val="0"/>
        <w:kinsoku/>
        <w:wordWrap/>
        <w:overflowPunct/>
        <w:topLinePunct w:val="0"/>
        <w:bidi w:val="0"/>
        <w:snapToGrid/>
        <w:spacing w:before="44" w:line="360" w:lineRule="auto"/>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二、危害因素分析</w:t>
      </w:r>
    </w:p>
    <w:p w14:paraId="28F2CC5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作业前，乙方应当对作业环境进行评估，分析存在的危险有害因素，列出危害因素清单，乙方不能消除的危险因素、安全隐患有权拒绝作业，同时及时上报甲方，由甲方消除隐患，确认符合安全作业条件后，乙方方可作业。存在以下伤害类别的危害因素应包括但不限于以下方面：中毒和窒息；高处坠落；淹溺；火灾；爆炸；物体打击；机械伤害；其它，如触电、坍塌、起重伤害、其它伤害等</w:t>
      </w:r>
      <w:r>
        <w:rPr>
          <w:rFonts w:hint="eastAsia" w:ascii="宋体" w:hAnsi="宋体" w:eastAsia="宋体" w:cs="宋体"/>
          <w:color w:val="000000" w:themeColor="text1"/>
          <w:sz w:val="21"/>
          <w:szCs w:val="21"/>
          <w:lang w:eastAsia="zh-CN"/>
          <w14:textFill>
            <w14:solidFill>
              <w14:schemeClr w14:val="tx1"/>
            </w14:solidFill>
          </w14:textFill>
        </w:rPr>
        <w:t>。</w:t>
      </w:r>
    </w:p>
    <w:p w14:paraId="412501AD">
      <w:pPr>
        <w:keepNext w:val="0"/>
        <w:keepLines w:val="0"/>
        <w:pageBreakBefore w:val="0"/>
        <w:widowControl w:val="0"/>
        <w:numPr>
          <w:ilvl w:val="255"/>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三、协议实施条款</w:t>
      </w:r>
    </w:p>
    <w:p w14:paraId="2A892E85">
      <w:pPr>
        <w:keepNext w:val="0"/>
        <w:keepLines w:val="0"/>
        <w:pageBreakBefore w:val="0"/>
        <w:widowControl w:val="0"/>
        <w:numPr>
          <w:ilvl w:val="0"/>
          <w:numId w:val="3"/>
        </w:numPr>
        <w:kinsoku/>
        <w:wordWrap/>
        <w:overflowPunct/>
        <w:topLinePunct w:val="0"/>
        <w:bidi w:val="0"/>
        <w:snapToGrid/>
        <w:spacing w:line="360" w:lineRule="auto"/>
        <w:ind w:firstLine="40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“相关方”是指：在公司从事与公司生产经营活动有关的、在公司内从事各种公务活动和进行业务往来的外部单位和个人</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以下简称“相关方”</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 xml:space="preserve">。主要包括： </w:t>
      </w:r>
    </w:p>
    <w:p w14:paraId="63C8322F">
      <w:pPr>
        <w:keepNext w:val="0"/>
        <w:keepLines w:val="0"/>
        <w:pageBreakBefore w:val="0"/>
        <w:widowControl w:val="0"/>
        <w:numPr>
          <w:ilvl w:val="-1"/>
          <w:numId w:val="0"/>
        </w:numPr>
        <w:kinsoku/>
        <w:wordWrap/>
        <w:overflowPunct/>
        <w:topLinePunct w:val="0"/>
        <w:bidi w:val="0"/>
        <w:snapToGrid/>
        <w:spacing w:line="360" w:lineRule="auto"/>
        <w:ind w:left="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（1）依照与公司订立的有关合同，在公司内从事基建、设</w:t>
      </w:r>
    </w:p>
    <w:p w14:paraId="324863FC">
      <w:pPr>
        <w:keepNext w:val="0"/>
        <w:keepLines w:val="0"/>
        <w:pageBreakBefore w:val="0"/>
        <w:widowControl w:val="0"/>
        <w:numPr>
          <w:ilvl w:val="-1"/>
          <w:numId w:val="0"/>
        </w:numPr>
        <w:kinsoku/>
        <w:wordWrap/>
        <w:overflowPunct/>
        <w:topLinePunct w:val="0"/>
        <w:bidi w:val="0"/>
        <w:snapToGrid/>
        <w:spacing w:line="360" w:lineRule="auto"/>
        <w:ind w:left="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备安装、维修保养、运输、后勤服务、劳务输出以及其他承包各种项目的外来单位或个人。 </w:t>
      </w:r>
    </w:p>
    <w:p w14:paraId="7F6CA917">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进入单位内进行商务洽谈、参观访问、工作检查、学习交流及其他各类公务活动的外来单位或个人。</w:t>
      </w:r>
    </w:p>
    <w:p w14:paraId="00DB4FE1">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目前我司相关方包括但不限于保安人员、绿化环卫人员、安装施工人员、配送人员、参观人员等。</w:t>
      </w:r>
    </w:p>
    <w:p w14:paraId="4C49FEF5">
      <w:pPr>
        <w:keepNext w:val="0"/>
        <w:keepLines w:val="0"/>
        <w:pageBreakBefore w:val="0"/>
        <w:widowControl w:val="0"/>
        <w:numPr>
          <w:ilvl w:val="0"/>
          <w:numId w:val="3"/>
        </w:numPr>
        <w:kinsoku/>
        <w:wordWrap/>
        <w:overflowPunct/>
        <w:topLinePunct w:val="0"/>
        <w:bidi w:val="0"/>
        <w:snapToGrid/>
        <w:spacing w:line="360" w:lineRule="auto"/>
        <w:ind w:firstLine="40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危险作业包括但不限于以下内容：临水作业、进入受限空间作业、临时用电作业、高处作业、断路作业、破土作业、吊装作业、盲板抽堵作业。（以下简称：危险作业）</w:t>
      </w:r>
    </w:p>
    <w:p w14:paraId="54B48BED">
      <w:pPr>
        <w:keepNext w:val="0"/>
        <w:keepLines w:val="0"/>
        <w:pageBreakBefore w:val="0"/>
        <w:widowControl w:val="0"/>
        <w:numPr>
          <w:ilvl w:val="0"/>
          <w:numId w:val="3"/>
        </w:numPr>
        <w:kinsoku/>
        <w:wordWrap/>
        <w:overflowPunct/>
        <w:topLinePunct w:val="0"/>
        <w:bidi w:val="0"/>
        <w:snapToGrid/>
        <w:spacing w:line="360" w:lineRule="auto"/>
        <w:ind w:firstLine="40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超龄工和安排女工从事禁忌劳动。</w:t>
      </w:r>
    </w:p>
    <w:p w14:paraId="424D7EDE">
      <w:pPr>
        <w:keepNext w:val="0"/>
        <w:keepLines w:val="0"/>
        <w:pageBreakBefore w:val="0"/>
        <w:widowControl w:val="0"/>
        <w:numPr>
          <w:ilvl w:val="0"/>
          <w:numId w:val="3"/>
        </w:numPr>
        <w:kinsoku/>
        <w:wordWrap/>
        <w:overflowPunct/>
        <w:topLinePunct w:val="0"/>
        <w:bidi w:val="0"/>
        <w:snapToGrid/>
        <w:spacing w:line="360" w:lineRule="auto"/>
        <w:ind w:firstLine="40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安全交底。每次进行危险作业等其他可能存在危险的作业前需由乙方的带班人员对作业人员进行安全交底。</w:t>
      </w:r>
    </w:p>
    <w:p w14:paraId="3FC9DAF8">
      <w:pPr>
        <w:keepNext w:val="0"/>
        <w:keepLines w:val="0"/>
        <w:pageBreakBefore w:val="0"/>
        <w:widowControl w:val="0"/>
        <w:numPr>
          <w:ilvl w:val="0"/>
          <w:numId w:val="3"/>
        </w:numPr>
        <w:kinsoku/>
        <w:wordWrap/>
        <w:overflowPunct/>
        <w:topLinePunct w:val="0"/>
        <w:bidi w:val="0"/>
        <w:snapToGrid/>
        <w:spacing w:line="360" w:lineRule="auto"/>
        <w:ind w:firstLine="40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乙方需完善并加强对</w:t>
      </w:r>
      <w:r>
        <w:rPr>
          <w:rFonts w:hint="eastAsia" w:ascii="宋体" w:hAnsi="宋体" w:eastAsia="宋体" w:cs="宋体"/>
          <w:color w:val="000000" w:themeColor="text1"/>
          <w:sz w:val="21"/>
          <w:szCs w:val="21"/>
          <w:lang w:val="en-US" w:eastAsia="zh-CN"/>
          <w14:textFill>
            <w14:solidFill>
              <w14:schemeClr w14:val="tx1"/>
            </w14:solidFill>
          </w14:textFill>
        </w:rPr>
        <w:t>相关方的的日常考勤管理，严格遵守厂区对进出人员的管理要求。</w:t>
      </w:r>
    </w:p>
    <w:p w14:paraId="57510B97">
      <w:pPr>
        <w:keepNext w:val="0"/>
        <w:keepLines w:val="0"/>
        <w:pageBreakBefore w:val="0"/>
        <w:widowControl w:val="0"/>
        <w:numPr>
          <w:ilvl w:val="0"/>
          <w:numId w:val="3"/>
        </w:numPr>
        <w:kinsoku/>
        <w:wordWrap/>
        <w:overflowPunct/>
        <w:topLinePunct w:val="0"/>
        <w:bidi w:val="0"/>
        <w:snapToGrid/>
        <w:spacing w:line="360" w:lineRule="auto"/>
        <w:ind w:firstLine="40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乙方应</w:t>
      </w:r>
      <w:r>
        <w:rPr>
          <w:rFonts w:hint="eastAsia" w:ascii="宋体" w:hAnsi="宋体" w:eastAsia="宋体" w:cs="宋体"/>
          <w:color w:val="000000" w:themeColor="text1"/>
          <w:sz w:val="21"/>
          <w:szCs w:val="21"/>
          <w:lang w:val="en-US" w:eastAsia="zh-CN"/>
          <w14:textFill>
            <w14:solidFill>
              <w14:schemeClr w14:val="tx1"/>
            </w14:solidFill>
          </w14:textFill>
        </w:rPr>
        <w:t>在</w:t>
      </w:r>
      <w:r>
        <w:rPr>
          <w:rFonts w:hint="eastAsia" w:ascii="宋体" w:hAnsi="宋体" w:eastAsia="宋体" w:cs="宋体"/>
          <w:color w:val="000000" w:themeColor="text1"/>
          <w:sz w:val="21"/>
          <w:szCs w:val="21"/>
          <w14:textFill>
            <w14:solidFill>
              <w14:schemeClr w14:val="tx1"/>
            </w14:solidFill>
          </w14:textFill>
        </w:rPr>
        <w:t>作业场所配备</w:t>
      </w:r>
      <w:r>
        <w:rPr>
          <w:rFonts w:hint="eastAsia" w:ascii="宋体" w:hAnsi="宋体" w:eastAsia="宋体" w:cs="宋体"/>
          <w:color w:val="000000" w:themeColor="text1"/>
          <w:sz w:val="21"/>
          <w:szCs w:val="21"/>
          <w:lang w:val="en-US" w:eastAsia="zh-CN"/>
          <w14:textFill>
            <w14:solidFill>
              <w14:schemeClr w14:val="tx1"/>
            </w14:solidFill>
          </w14:textFill>
        </w:rPr>
        <w:t>专职或兼职</w:t>
      </w:r>
      <w:r>
        <w:rPr>
          <w:rFonts w:hint="eastAsia" w:ascii="宋体" w:hAnsi="宋体" w:eastAsia="宋体" w:cs="宋体"/>
          <w:color w:val="000000" w:themeColor="text1"/>
          <w:sz w:val="21"/>
          <w:szCs w:val="21"/>
          <w14:textFill>
            <w14:solidFill>
              <w14:schemeClr w14:val="tx1"/>
            </w14:solidFill>
          </w14:textFill>
        </w:rPr>
        <w:t>安全管理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w:t>
      </w:r>
      <w:r>
        <w:rPr>
          <w:rFonts w:hint="eastAsia" w:ascii="宋体" w:hAnsi="宋体" w:eastAsia="宋体" w:cs="宋体"/>
          <w:color w:val="000000" w:themeColor="text1"/>
          <w:sz w:val="21"/>
          <w:szCs w:val="21"/>
          <w:lang w:val="en-US" w:eastAsia="zh-CN"/>
          <w14:textFill>
            <w14:solidFill>
              <w14:schemeClr w14:val="tx1"/>
            </w14:solidFill>
          </w14:textFill>
        </w:rPr>
        <w:t>进行维修作业</w:t>
      </w:r>
      <w:r>
        <w:rPr>
          <w:rFonts w:hint="eastAsia" w:ascii="宋体" w:hAnsi="宋体" w:eastAsia="宋体" w:cs="宋体"/>
          <w:color w:val="000000" w:themeColor="text1"/>
          <w:sz w:val="21"/>
          <w:szCs w:val="21"/>
          <w14:textFill>
            <w14:solidFill>
              <w14:schemeClr w14:val="tx1"/>
            </w14:solidFill>
          </w14:textFill>
        </w:rPr>
        <w:t>等其他可能存在危险的作业前需由</w:t>
      </w:r>
      <w:r>
        <w:rPr>
          <w:rFonts w:hint="eastAsia" w:ascii="宋体" w:hAnsi="宋体" w:eastAsia="宋体" w:cs="宋体"/>
          <w:color w:val="000000" w:themeColor="text1"/>
          <w:sz w:val="21"/>
          <w:szCs w:val="21"/>
          <w:lang w:val="en-US" w:eastAsia="zh-CN"/>
          <w14:textFill>
            <w14:solidFill>
              <w14:schemeClr w14:val="tx1"/>
            </w14:solidFill>
          </w14:textFill>
        </w:rPr>
        <w:t>乙方的</w:t>
      </w:r>
      <w:r>
        <w:rPr>
          <w:rFonts w:hint="eastAsia" w:ascii="宋体" w:hAnsi="宋体" w:eastAsia="宋体" w:cs="宋体"/>
          <w:color w:val="000000" w:themeColor="text1"/>
          <w:sz w:val="21"/>
          <w:szCs w:val="21"/>
          <w14:textFill>
            <w14:solidFill>
              <w14:schemeClr w14:val="tx1"/>
            </w14:solidFill>
          </w14:textFill>
        </w:rPr>
        <w:t>带班</w:t>
      </w:r>
      <w:r>
        <w:rPr>
          <w:rFonts w:hint="eastAsia" w:ascii="宋体" w:hAnsi="宋体" w:eastAsia="宋体" w:cs="宋体"/>
          <w:color w:val="000000" w:themeColor="text1"/>
          <w:sz w:val="21"/>
          <w:szCs w:val="21"/>
          <w:lang w:val="en-US" w:eastAsia="zh-CN"/>
          <w14:textFill>
            <w14:solidFill>
              <w14:schemeClr w14:val="tx1"/>
            </w14:solidFill>
          </w14:textFill>
        </w:rPr>
        <w:t>人员</w:t>
      </w:r>
      <w:r>
        <w:rPr>
          <w:rFonts w:hint="eastAsia" w:ascii="宋体" w:hAnsi="宋体" w:eastAsia="宋体" w:cs="宋体"/>
          <w:color w:val="000000" w:themeColor="text1"/>
          <w:sz w:val="21"/>
          <w:szCs w:val="21"/>
          <w14:textFill>
            <w14:solidFill>
              <w14:schemeClr w14:val="tx1"/>
            </w14:solidFill>
          </w14:textFill>
        </w:rPr>
        <w:t>对作业人员进行安全交底。</w:t>
      </w:r>
    </w:p>
    <w:p w14:paraId="54D6EFD2">
      <w:pPr>
        <w:keepNext w:val="0"/>
        <w:keepLines w:val="0"/>
        <w:pageBreakBefore w:val="0"/>
        <w:widowControl w:val="0"/>
        <w:numPr>
          <w:ilvl w:val="0"/>
          <w:numId w:val="3"/>
        </w:numPr>
        <w:kinsoku/>
        <w:wordWrap/>
        <w:overflowPunct/>
        <w:topLinePunct w:val="0"/>
        <w:bidi w:val="0"/>
        <w:snapToGrid/>
        <w:spacing w:line="360" w:lineRule="auto"/>
        <w:ind w:firstLine="40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乙方使用被派遣劳动者的，应当将被派遣劳动者纳入本单位从业人员统一管理，对被派遣劳动者进行岗位安全操作规程和安全操作技能的教育和培训。</w:t>
      </w:r>
    </w:p>
    <w:p w14:paraId="210EAAAB">
      <w:pPr>
        <w:keepNext w:val="0"/>
        <w:keepLines w:val="0"/>
        <w:pageBreakBefore w:val="0"/>
        <w:widowControl w:val="0"/>
        <w:numPr>
          <w:ilvl w:val="0"/>
          <w:numId w:val="3"/>
        </w:numPr>
        <w:kinsoku/>
        <w:wordWrap/>
        <w:overflowPunct/>
        <w:topLinePunct w:val="0"/>
        <w:bidi w:val="0"/>
        <w:snapToGrid/>
        <w:spacing w:line="360" w:lineRule="auto"/>
        <w:ind w:firstLine="40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乙方应制定与作业范围相适应的应急处置预案，并定期组织演练或者参加甲方组织的演练。</w:t>
      </w:r>
    </w:p>
    <w:p w14:paraId="19F84FB5">
      <w:pPr>
        <w:keepNext w:val="0"/>
        <w:keepLines w:val="0"/>
        <w:pageBreakBefore w:val="0"/>
        <w:widowControl w:val="0"/>
        <w:numPr>
          <w:ilvl w:val="0"/>
          <w:numId w:val="3"/>
        </w:numPr>
        <w:kinsoku/>
        <w:wordWrap/>
        <w:overflowPunct/>
        <w:topLinePunct w:val="0"/>
        <w:bidi w:val="0"/>
        <w:snapToGrid/>
        <w:spacing w:line="360" w:lineRule="auto"/>
        <w:ind w:firstLine="40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14:paraId="4CD68B01">
      <w:pPr>
        <w:keepNext w:val="0"/>
        <w:keepLines w:val="0"/>
        <w:pageBreakBefore w:val="0"/>
        <w:widowControl w:val="0"/>
        <w:numPr>
          <w:ilvl w:val="0"/>
          <w:numId w:val="3"/>
        </w:numPr>
        <w:kinsoku/>
        <w:wordWrap/>
        <w:overflowPunct/>
        <w:topLinePunct w:val="0"/>
        <w:bidi w:val="0"/>
        <w:snapToGrid/>
        <w:spacing w:line="360" w:lineRule="auto"/>
        <w:ind w:firstLine="40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乙方应当教育和督促从业人员严格执行本单位的安全生产规章制度和安全操作规程；并向从业人员如实告知作业场所和工作岗位存在的危险因素、防范措施以及事故应急措施。</w:t>
      </w:r>
    </w:p>
    <w:p w14:paraId="0F8F6D71">
      <w:pPr>
        <w:keepNext w:val="0"/>
        <w:keepLines w:val="0"/>
        <w:pageBreakBefore w:val="0"/>
        <w:widowControl w:val="0"/>
        <w:numPr>
          <w:ilvl w:val="0"/>
          <w:numId w:val="3"/>
        </w:numPr>
        <w:kinsoku/>
        <w:wordWrap/>
        <w:overflowPunct/>
        <w:topLinePunct w:val="0"/>
        <w:bidi w:val="0"/>
        <w:snapToGrid/>
        <w:spacing w:line="360" w:lineRule="auto"/>
        <w:ind w:firstLine="40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乙方依法参加工伤保险，为从业人员缴纳保险费，并应当为从事危险作业的人员办理意外伤害保险。</w:t>
      </w:r>
    </w:p>
    <w:p w14:paraId="62485EDD">
      <w:pPr>
        <w:keepNext w:val="0"/>
        <w:keepLines w:val="0"/>
        <w:pageBreakBefore w:val="0"/>
        <w:widowControl w:val="0"/>
        <w:numPr>
          <w:ilvl w:val="0"/>
          <w:numId w:val="3"/>
        </w:numPr>
        <w:kinsoku/>
        <w:wordWrap/>
        <w:overflowPunct/>
        <w:topLinePunct w:val="0"/>
        <w:bidi w:val="0"/>
        <w:snapToGrid/>
        <w:spacing w:line="360" w:lineRule="auto"/>
        <w:ind w:firstLine="40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乙方应严格遵守国家、地方政府有关安全生产及劳动保护的法律法规、标准、规定，贯彻执行甲方的各项安全管理规章制度，严格按照生产场所操作规程制度。</w:t>
      </w:r>
    </w:p>
    <w:p w14:paraId="7C69E6FF">
      <w:pPr>
        <w:keepNext w:val="0"/>
        <w:keepLines w:val="0"/>
        <w:pageBreakBefore w:val="0"/>
        <w:widowControl w:val="0"/>
        <w:numPr>
          <w:ilvl w:val="0"/>
          <w:numId w:val="3"/>
        </w:numPr>
        <w:kinsoku/>
        <w:wordWrap/>
        <w:overflowPunct/>
        <w:topLinePunct w:val="0"/>
        <w:bidi w:val="0"/>
        <w:snapToGrid/>
        <w:spacing w:line="360" w:lineRule="auto"/>
        <w:ind w:firstLine="40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14:paraId="3369BAB0">
      <w:pPr>
        <w:keepNext w:val="0"/>
        <w:keepLines w:val="0"/>
        <w:pageBreakBefore w:val="0"/>
        <w:widowControl w:val="0"/>
        <w:numPr>
          <w:ilvl w:val="0"/>
          <w:numId w:val="3"/>
        </w:numPr>
        <w:kinsoku/>
        <w:wordWrap/>
        <w:overflowPunct/>
        <w:topLinePunct w:val="0"/>
        <w:bidi w:val="0"/>
        <w:snapToGrid/>
        <w:spacing w:line="360" w:lineRule="auto"/>
        <w:ind w:firstLine="40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4571EA9D">
      <w:pPr>
        <w:keepNext w:val="0"/>
        <w:keepLines w:val="0"/>
        <w:pageBreakBefore w:val="0"/>
        <w:widowControl w:val="0"/>
        <w:numPr>
          <w:ilvl w:val="0"/>
          <w:numId w:val="3"/>
        </w:numPr>
        <w:kinsoku/>
        <w:wordWrap/>
        <w:overflowPunct/>
        <w:topLinePunct w:val="0"/>
        <w:bidi w:val="0"/>
        <w:snapToGrid/>
        <w:spacing w:line="360" w:lineRule="auto"/>
        <w:ind w:firstLine="40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14:paraId="0E13CAD1">
      <w:pPr>
        <w:keepNext w:val="0"/>
        <w:keepLines w:val="0"/>
        <w:pageBreakBefore w:val="0"/>
        <w:widowControl w:val="0"/>
        <w:numPr>
          <w:ilvl w:val="0"/>
          <w:numId w:val="3"/>
        </w:numPr>
        <w:kinsoku/>
        <w:wordWrap/>
        <w:overflowPunct/>
        <w:topLinePunct w:val="0"/>
        <w:bidi w:val="0"/>
        <w:snapToGrid/>
        <w:spacing w:line="360" w:lineRule="auto"/>
        <w:ind w:firstLine="40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w:t>
      </w:r>
      <w:r>
        <w:rPr>
          <w:rFonts w:hint="eastAsia" w:ascii="宋体" w:hAnsi="宋体" w:eastAsia="宋体" w:cs="宋体"/>
          <w:color w:val="000000" w:themeColor="text1"/>
          <w:sz w:val="21"/>
          <w:szCs w:val="21"/>
          <w:lang w:val="en-US" w:eastAsia="zh-CN"/>
          <w14:textFill>
            <w14:solidFill>
              <w14:schemeClr w14:val="tx1"/>
            </w14:solidFill>
          </w14:textFill>
        </w:rPr>
        <w:t>单方</w:t>
      </w:r>
      <w:r>
        <w:rPr>
          <w:rFonts w:hint="eastAsia" w:ascii="宋体" w:hAnsi="宋体" w:eastAsia="宋体" w:cs="宋体"/>
          <w:color w:val="000000" w:themeColor="text1"/>
          <w:sz w:val="21"/>
          <w:szCs w:val="21"/>
          <w14:textFill>
            <w14:solidFill>
              <w14:schemeClr w14:val="tx1"/>
            </w14:solidFill>
          </w14:textFill>
        </w:rPr>
        <w:t>解除合同，并要求乙方清退出场。</w:t>
      </w:r>
    </w:p>
    <w:p w14:paraId="466ED93C">
      <w:pPr>
        <w:keepNext w:val="0"/>
        <w:keepLines w:val="0"/>
        <w:pageBreakBefore w:val="0"/>
        <w:widowControl w:val="0"/>
        <w:numPr>
          <w:ilvl w:val="0"/>
          <w:numId w:val="3"/>
        </w:numPr>
        <w:kinsoku/>
        <w:wordWrap/>
        <w:overflowPunct/>
        <w:topLinePunct w:val="0"/>
        <w:bidi w:val="0"/>
        <w:snapToGrid/>
        <w:spacing w:line="360" w:lineRule="auto"/>
        <w:ind w:firstLine="40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14:paraId="47EAD188">
      <w:pPr>
        <w:keepNext w:val="0"/>
        <w:keepLines w:val="0"/>
        <w:pageBreakBefore w:val="0"/>
        <w:widowControl w:val="0"/>
        <w:numPr>
          <w:ilvl w:val="0"/>
          <w:numId w:val="3"/>
        </w:numPr>
        <w:kinsoku/>
        <w:wordWrap/>
        <w:overflowPunct/>
        <w:topLinePunct w:val="0"/>
        <w:bidi w:val="0"/>
        <w:snapToGrid/>
        <w:spacing w:line="360" w:lineRule="auto"/>
        <w:ind w:firstLine="40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w:t>
      </w:r>
      <w:r>
        <w:rPr>
          <w:rFonts w:hint="eastAsia" w:ascii="宋体" w:hAnsi="宋体" w:eastAsia="宋体" w:cs="宋体"/>
          <w:color w:val="000000" w:themeColor="text1"/>
          <w:sz w:val="21"/>
          <w:szCs w:val="21"/>
          <w:lang w:val="en-US" w:eastAsia="zh-CN"/>
          <w14:textFill>
            <w14:solidFill>
              <w14:schemeClr w14:val="tx1"/>
            </w14:solidFill>
          </w14:textFill>
        </w:rPr>
        <w:t>作业人员在甲方区域内</w:t>
      </w:r>
      <w:r>
        <w:rPr>
          <w:rFonts w:hint="eastAsia" w:ascii="宋体" w:hAnsi="宋体" w:eastAsia="宋体" w:cs="宋体"/>
          <w:color w:val="000000" w:themeColor="text1"/>
          <w:sz w:val="21"/>
          <w:szCs w:val="21"/>
          <w14:textFill>
            <w14:solidFill>
              <w14:schemeClr w14:val="tx1"/>
            </w14:solidFill>
          </w14:textFill>
        </w:rPr>
        <w:t>存放工器具、危险的化学品或是易爆易燃物品等，并因此在甲方的区域内发生包括但不限于安全事故、治安事件等任何事故，造成乙方所属人员或第三人人身或财产损失的，由乙方承担事故的全部责任和善后事宜。</w:t>
      </w:r>
      <w:r>
        <w:rPr>
          <w:rFonts w:hint="eastAsia" w:ascii="宋体" w:hAnsi="宋体" w:eastAsia="宋体" w:cs="宋体"/>
          <w:sz w:val="21"/>
          <w:szCs w:val="21"/>
        </w:rPr>
        <w:t>若甲方代为承担相应责任的，有权全部向乙方追偿</w:t>
      </w:r>
      <w:r>
        <w:rPr>
          <w:rFonts w:hint="eastAsia" w:ascii="宋体" w:hAnsi="宋体" w:eastAsia="宋体" w:cs="宋体"/>
          <w:sz w:val="21"/>
          <w:szCs w:val="21"/>
          <w:lang w:val="en-US" w:eastAsia="zh-CN"/>
        </w:rPr>
        <w:t>并要求乙方承担违约责任</w:t>
      </w:r>
      <w:r>
        <w:rPr>
          <w:rFonts w:hint="eastAsia" w:ascii="宋体" w:hAnsi="宋体" w:eastAsia="宋体" w:cs="宋体"/>
          <w:sz w:val="21"/>
          <w:szCs w:val="21"/>
        </w:rPr>
        <w:t>。</w:t>
      </w:r>
    </w:p>
    <w:p w14:paraId="7941091E">
      <w:pPr>
        <w:keepNext w:val="0"/>
        <w:keepLines w:val="0"/>
        <w:pageBreakBefore w:val="0"/>
        <w:widowControl w:val="0"/>
        <w:numPr>
          <w:ilvl w:val="0"/>
          <w:numId w:val="3"/>
        </w:numPr>
        <w:kinsoku/>
        <w:wordWrap/>
        <w:overflowPunct/>
        <w:topLinePunct w:val="0"/>
        <w:bidi w:val="0"/>
        <w:snapToGrid/>
        <w:spacing w:line="360" w:lineRule="auto"/>
        <w:ind w:firstLine="40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乙方作业人员未经许可不得随意到厂区区域以内的其它工作场所活动，活动内容包括不限于采摘水果、前往其他池体活动、攀爬构筑物等危险行为，出现人身损伤或伤亡的，由乙方自行负责一切责任。</w:t>
      </w:r>
    </w:p>
    <w:p w14:paraId="25AA6624">
      <w:pPr>
        <w:keepNext w:val="0"/>
        <w:keepLines w:val="0"/>
        <w:pageBreakBefore w:val="0"/>
        <w:widowControl w:val="0"/>
        <w:numPr>
          <w:ilvl w:val="0"/>
          <w:numId w:val="3"/>
        </w:numPr>
        <w:kinsoku/>
        <w:wordWrap/>
        <w:overflowPunct/>
        <w:topLinePunct w:val="0"/>
        <w:bidi w:val="0"/>
        <w:snapToGrid/>
        <w:spacing w:line="360" w:lineRule="auto"/>
        <w:ind w:firstLine="40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在作业过程中，需要进行动土、动火、登高、吊装、断路、进入限制性空间等危险性较高的作业时，乙方的作业负责人、专职或兼职安全员必须现场确认，作业前报甲方。根据甲方的关于危险作业安全要求执行。</w:t>
      </w:r>
    </w:p>
    <w:p w14:paraId="19CBBB04">
      <w:pPr>
        <w:keepNext w:val="0"/>
        <w:keepLines w:val="0"/>
        <w:pageBreakBefore w:val="0"/>
        <w:widowControl w:val="0"/>
        <w:numPr>
          <w:ilvl w:val="0"/>
          <w:numId w:val="3"/>
        </w:numPr>
        <w:kinsoku/>
        <w:wordWrap/>
        <w:overflowPunct/>
        <w:topLinePunct w:val="0"/>
        <w:bidi w:val="0"/>
        <w:snapToGrid/>
        <w:spacing w:line="360" w:lineRule="auto"/>
        <w:ind w:firstLine="40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因乙方原因，造成乙方损失，由乙方自负，给甲方造成财产损失和人员伤害，乙方要负全部责任，并全额赔偿甲方。</w:t>
      </w:r>
    </w:p>
    <w:p w14:paraId="253E2B1F">
      <w:pPr>
        <w:keepNext w:val="0"/>
        <w:keepLines w:val="0"/>
        <w:pageBreakBefore w:val="0"/>
        <w:widowControl w:val="0"/>
        <w:numPr>
          <w:ilvl w:val="0"/>
          <w:numId w:val="3"/>
        </w:numPr>
        <w:kinsoku/>
        <w:wordWrap/>
        <w:overflowPunct/>
        <w:topLinePunct w:val="0"/>
        <w:bidi w:val="0"/>
        <w:snapToGrid/>
        <w:spacing w:line="360" w:lineRule="auto"/>
        <w:ind w:firstLine="40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非因甲方原因，造成乙方损失的，甲方不承担任何责任，由乙方自行承担全部责任。</w:t>
      </w:r>
    </w:p>
    <w:p w14:paraId="7D19CB42">
      <w:pPr>
        <w:keepNext w:val="0"/>
        <w:keepLines w:val="0"/>
        <w:pageBreakBefore w:val="0"/>
        <w:widowControl w:val="0"/>
        <w:numPr>
          <w:ilvl w:val="0"/>
          <w:numId w:val="3"/>
        </w:numPr>
        <w:kinsoku/>
        <w:wordWrap/>
        <w:overflowPunct/>
        <w:topLinePunct w:val="0"/>
        <w:bidi w:val="0"/>
        <w:snapToGrid/>
        <w:spacing w:line="360" w:lineRule="auto"/>
        <w:ind w:firstLine="40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乙方应严格遵守法律法规以及甲方的安全管理要求，并接受甲方的安全生产工作协调和监督，积极消除安全隐患。安全管理的基本要求包括但不限于以下条款：</w:t>
      </w:r>
    </w:p>
    <w:p w14:paraId="4F072A4B">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①禁火区内严禁吸烟、动火。有火灾危险的作业区域，乙方必须配置足够的灭火设施。</w:t>
      </w:r>
    </w:p>
    <w:p w14:paraId="223C56B2">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②焊接、气割作业时两瓶距离必须达到5M及以上，气瓶距可能产生火花的电器、设备和其它火源的间距必须达到10M及以上。</w:t>
      </w:r>
    </w:p>
    <w:p w14:paraId="6F2F1B68">
      <w:pPr>
        <w:keepNext w:val="0"/>
        <w:keepLines w:val="0"/>
        <w:pageBreakBefore w:val="0"/>
        <w:widowControl w:val="0"/>
        <w:kinsoku/>
        <w:wordWrap/>
        <w:overflowPunct/>
        <w:topLinePunct w:val="0"/>
        <w:bidi w:val="0"/>
        <w:snapToGrid/>
        <w:spacing w:line="360" w:lineRule="auto"/>
        <w:ind w:left="600" w:leftChars="250" w:firstLine="0" w:firstLineChars="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③严禁</w:t>
      </w:r>
      <w:r>
        <w:rPr>
          <w:rFonts w:hint="eastAsia" w:ascii="宋体" w:hAnsi="宋体" w:eastAsia="宋体" w:cs="宋体"/>
          <w:color w:val="000000" w:themeColor="text1"/>
          <w:sz w:val="21"/>
          <w:szCs w:val="21"/>
          <w:lang w:val="en-US"/>
          <w14:textFill>
            <w14:solidFill>
              <w14:schemeClr w14:val="tx1"/>
            </w14:solidFill>
          </w14:textFill>
        </w:rPr>
        <w:t>在厂内道路、消防通道内搭建临时建筑或堆放物资</w:t>
      </w:r>
      <w:r>
        <w:rPr>
          <w:rFonts w:hint="eastAsia" w:ascii="宋体" w:hAnsi="宋体" w:eastAsia="宋体" w:cs="宋体"/>
          <w:color w:val="000000" w:themeColor="text1"/>
          <w:sz w:val="21"/>
          <w:szCs w:val="21"/>
          <w:lang w:val="en-US" w:eastAsia="zh-CN"/>
          <w14:textFill>
            <w14:solidFill>
              <w14:schemeClr w14:val="tx1"/>
            </w14:solidFill>
          </w14:textFill>
        </w:rPr>
        <w:t>；</w:t>
      </w:r>
    </w:p>
    <w:p w14:paraId="7162624C">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严禁</w:t>
      </w:r>
      <w:r>
        <w:rPr>
          <w:rFonts w:hint="eastAsia" w:ascii="宋体" w:hAnsi="宋体" w:eastAsia="宋体" w:cs="宋体"/>
          <w:color w:val="000000" w:themeColor="text1"/>
          <w:sz w:val="21"/>
          <w:szCs w:val="21"/>
          <w14:textFill>
            <w14:solidFill>
              <w14:schemeClr w14:val="tx1"/>
            </w14:solidFill>
          </w14:textFill>
        </w:rPr>
        <w:t>占用、堵塞、遮掩、挪用、损毁、破坏</w:t>
      </w:r>
      <w:r>
        <w:rPr>
          <w:rFonts w:hint="eastAsia" w:ascii="宋体" w:hAnsi="宋体" w:eastAsia="宋体" w:cs="宋体"/>
          <w:color w:val="000000" w:themeColor="text1"/>
          <w:sz w:val="21"/>
          <w:szCs w:val="21"/>
          <w:lang w:val="en-US" w:eastAsia="zh-CN"/>
          <w14:textFill>
            <w14:solidFill>
              <w14:schemeClr w14:val="tx1"/>
            </w14:solidFill>
          </w14:textFill>
        </w:rPr>
        <w:t>或因装修作业等工作或其他原因导致消防设施设备损坏</w:t>
      </w:r>
      <w:r>
        <w:rPr>
          <w:rFonts w:hint="eastAsia" w:ascii="宋体" w:hAnsi="宋体" w:eastAsia="宋体" w:cs="宋体"/>
          <w:color w:val="000000" w:themeColor="text1"/>
          <w:sz w:val="21"/>
          <w:szCs w:val="21"/>
          <w14:textFill>
            <w14:solidFill>
              <w14:schemeClr w14:val="tx1"/>
            </w14:solidFill>
          </w14:textFill>
        </w:rPr>
        <w:t>。</w:t>
      </w:r>
    </w:p>
    <w:p w14:paraId="6EA44D1B">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④作业场所的电动工具、电焊机等须有漏电保护器和相应的安全防护装置。</w:t>
      </w:r>
    </w:p>
    <w:p w14:paraId="76C57439">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⑤作业现场及居住室、办公室内的用电设施必须符合要求，严禁电线乱接、乱拉，刀闸和开关无盖，在电器设施上堆放物品。</w:t>
      </w:r>
    </w:p>
    <w:p w14:paraId="3FBAD708">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⑥防雷、防静电设施及用电设施要有良好接地。</w:t>
      </w:r>
    </w:p>
    <w:p w14:paraId="0F7DC081">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⑦作业现场的危险区域，如临边、深坑、土方堆填区等，必须设置围栏和危险标志，夜间要设信号灯。</w:t>
      </w:r>
    </w:p>
    <w:p w14:paraId="45DA538D">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70E25591">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14:paraId="6DF0DB2C">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6253DF68">
      <w:pPr>
        <w:keepNext w:val="0"/>
        <w:keepLines w:val="0"/>
        <w:pageBreakBefore w:val="0"/>
        <w:widowControl w:val="0"/>
        <w:numPr>
          <w:ilvl w:val="0"/>
          <w:numId w:val="3"/>
        </w:numPr>
        <w:kinsoku/>
        <w:wordWrap/>
        <w:overflowPunct/>
        <w:topLinePunct w:val="0"/>
        <w:bidi w:val="0"/>
        <w:snapToGrid/>
        <w:spacing w:line="360" w:lineRule="auto"/>
        <w:ind w:firstLine="40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乙方应当定期排查并及时治理作业范围内的事故隐患，建立台账，做好相关记录，及时向甲方报告。乙方在发现重大事故隐患后不能立即治理的，应当采取必要的防范措施，并及时书面报告甲方，消除事故隐患。</w:t>
      </w:r>
    </w:p>
    <w:p w14:paraId="293FEB6E">
      <w:pPr>
        <w:keepNext w:val="0"/>
        <w:keepLines w:val="0"/>
        <w:pageBreakBefore w:val="0"/>
        <w:widowControl w:val="0"/>
        <w:numPr>
          <w:ilvl w:val="0"/>
          <w:numId w:val="3"/>
        </w:numPr>
        <w:kinsoku/>
        <w:wordWrap/>
        <w:overflowPunct/>
        <w:topLinePunct w:val="0"/>
        <w:bidi w:val="0"/>
        <w:snapToGrid/>
        <w:spacing w:line="360" w:lineRule="auto"/>
        <w:ind w:firstLine="40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乙方必须接受甲方的检查与监督，并应主动配合，做好安全工作。乙方若有出现违反本协议</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第三条，</w:t>
      </w:r>
      <w:r>
        <w:rPr>
          <w:rFonts w:hint="eastAsia" w:ascii="宋体" w:hAnsi="宋体" w:eastAsia="宋体" w:cs="宋体"/>
          <w:color w:val="000000" w:themeColor="text1"/>
          <w:sz w:val="21"/>
          <w:szCs w:val="21"/>
          <w14:textFill>
            <w14:solidFill>
              <w14:schemeClr w14:val="tx1"/>
            </w14:solidFill>
          </w14:textFill>
        </w:rPr>
        <w:t>协议实施条款</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任一情形的，甲方有权要求乙方立即整改，且甲方有权视情况从工程结算款/服务价款中扣除2000元/次作为违约金。</w:t>
      </w:r>
    </w:p>
    <w:p w14:paraId="0B2B5B99">
      <w:pPr>
        <w:keepNext w:val="0"/>
        <w:keepLines w:val="0"/>
        <w:pageBreakBefore w:val="0"/>
        <w:widowControl w:val="0"/>
        <w:numPr>
          <w:ilvl w:val="0"/>
          <w:numId w:val="3"/>
        </w:numPr>
        <w:kinsoku/>
        <w:wordWrap/>
        <w:overflowPunct/>
        <w:topLinePunct w:val="0"/>
        <w:bidi w:val="0"/>
        <w:snapToGrid/>
        <w:spacing w:line="360" w:lineRule="auto"/>
        <w:ind w:firstLine="40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若乙方有下列情形之一的或在整改后仍违反协议的，甲方有权单方解除合同，</w:t>
      </w:r>
      <w:r>
        <w:rPr>
          <w:rFonts w:hint="eastAsia" w:ascii="宋体" w:hAnsi="宋体" w:eastAsia="宋体" w:cs="宋体"/>
          <w:color w:val="000000" w:themeColor="text1"/>
          <w:sz w:val="21"/>
          <w:szCs w:val="21"/>
          <w:lang w:val="en-US" w:eastAsia="zh-CN"/>
          <w14:textFill>
            <w14:solidFill>
              <w14:schemeClr w14:val="tx1"/>
            </w14:solidFill>
          </w14:textFill>
        </w:rPr>
        <w:t>甲方有权要求</w:t>
      </w:r>
      <w:r>
        <w:rPr>
          <w:rFonts w:hint="eastAsia" w:ascii="宋体" w:hAnsi="宋体" w:eastAsia="宋体" w:cs="宋体"/>
          <w:color w:val="000000" w:themeColor="text1"/>
          <w:sz w:val="21"/>
          <w:szCs w:val="21"/>
          <w14:textFill>
            <w14:solidFill>
              <w14:schemeClr w14:val="tx1"/>
            </w14:solidFill>
          </w14:textFill>
        </w:rPr>
        <w:t>乙方向甲方支付</w:t>
      </w:r>
      <w:r>
        <w:rPr>
          <w:rFonts w:hint="eastAsia" w:ascii="宋体" w:hAnsi="宋体" w:eastAsia="宋体" w:cs="宋体"/>
          <w:color w:val="000000" w:themeColor="text1"/>
          <w:sz w:val="21"/>
          <w:szCs w:val="21"/>
          <w:lang w:val="en-US" w:eastAsia="zh-CN"/>
          <w14:textFill>
            <w14:solidFill>
              <w14:schemeClr w14:val="tx1"/>
            </w14:solidFill>
          </w14:textFill>
        </w:rPr>
        <w:t>本合同总金额的10%</w:t>
      </w:r>
      <w:r>
        <w:rPr>
          <w:rFonts w:hint="eastAsia" w:ascii="宋体" w:hAnsi="宋体" w:eastAsia="宋体" w:cs="宋体"/>
          <w:color w:val="000000" w:themeColor="text1"/>
          <w:sz w:val="21"/>
          <w:szCs w:val="21"/>
          <w14:textFill>
            <w14:solidFill>
              <w14:schemeClr w14:val="tx1"/>
            </w14:solidFill>
          </w14:textFill>
        </w:rPr>
        <w:t>作为违约金，同时甲方有权要求乙方承担第2</w:t>
      </w: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条的违约金。造成甲方损失的，乙方需另行赔偿：</w:t>
      </w:r>
    </w:p>
    <w:p w14:paraId="696D5494">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①乙方不能提供与项目相匹配的营业执照、施工资质、安全生产许可证、技术人员、特种作业人员、安全员和设备设施的；</w:t>
      </w:r>
    </w:p>
    <w:p w14:paraId="11EB6F64">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②乙方未对作业人员进行岗位安全操作规程和安全操作技能的教育和培训的；没有向作业人员提供劳动防护用品的；</w:t>
      </w:r>
    </w:p>
    <w:p w14:paraId="66D689CF">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③乙方未对所属员工定期开展安全教育培训的；</w:t>
      </w:r>
    </w:p>
    <w:p w14:paraId="282A3F4F">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④在开展涉及危险性较高的作业时，乙方未在作业前报甲方的；</w:t>
      </w:r>
    </w:p>
    <w:p w14:paraId="68571554">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⑤乙方违章作业或违章指挥作业的；</w:t>
      </w:r>
    </w:p>
    <w:p w14:paraId="43757DE5">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⑥乙方现场安全管理不到位或不服从甲方安全管理的；</w:t>
      </w:r>
    </w:p>
    <w:p w14:paraId="16E97184">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⑦发生事故后，乙方未及时开展应急救援工作的；</w:t>
      </w:r>
    </w:p>
    <w:p w14:paraId="4073A665">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⑨未制定与作业范围相适应的应急处置预案；</w:t>
      </w:r>
    </w:p>
    <w:p w14:paraId="671FDC38">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⑩乙方不履行协议义务或者未按协议约定履行义务的其他情况。</w:t>
      </w:r>
    </w:p>
    <w:p w14:paraId="59C9D123">
      <w:pPr>
        <w:keepNext w:val="0"/>
        <w:keepLines w:val="0"/>
        <w:pageBreakBefore w:val="0"/>
        <w:widowControl w:val="0"/>
        <w:numPr>
          <w:ilvl w:val="0"/>
          <w:numId w:val="3"/>
        </w:numPr>
        <w:kinsoku/>
        <w:wordWrap/>
        <w:overflowPunct/>
        <w:topLinePunct w:val="0"/>
        <w:bidi w:val="0"/>
        <w:snapToGrid/>
        <w:spacing w:line="360" w:lineRule="auto"/>
        <w:ind w:firstLine="40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乙方需</w:t>
      </w:r>
      <w:r>
        <w:rPr>
          <w:rFonts w:hint="eastAsia" w:ascii="宋体" w:hAnsi="宋体" w:eastAsia="宋体" w:cs="宋体"/>
          <w:color w:val="000000" w:themeColor="text1"/>
          <w:sz w:val="21"/>
          <w:szCs w:val="21"/>
          <w14:textFill>
            <w14:solidFill>
              <w14:schemeClr w14:val="tx1"/>
            </w14:solidFill>
          </w14:textFill>
        </w:rPr>
        <w:t>做好</w:t>
      </w:r>
      <w:r>
        <w:rPr>
          <w:rFonts w:hint="eastAsia" w:ascii="宋体" w:hAnsi="宋体" w:eastAsia="宋体" w:cs="宋体"/>
          <w:color w:val="000000" w:themeColor="text1"/>
          <w:sz w:val="21"/>
          <w:szCs w:val="21"/>
          <w:lang w:val="en-US" w:eastAsia="zh-CN"/>
          <w14:textFill>
            <w14:solidFill>
              <w14:schemeClr w14:val="tx1"/>
            </w14:solidFill>
          </w14:textFill>
        </w:rPr>
        <w:t>临水</w:t>
      </w:r>
      <w:r>
        <w:rPr>
          <w:rFonts w:hint="eastAsia" w:ascii="宋体" w:hAnsi="宋体" w:eastAsia="宋体" w:cs="宋体"/>
          <w:color w:val="000000" w:themeColor="text1"/>
          <w:sz w:val="21"/>
          <w:szCs w:val="21"/>
          <w14:textFill>
            <w14:solidFill>
              <w14:schemeClr w14:val="tx1"/>
            </w14:solidFill>
          </w14:textFill>
        </w:rPr>
        <w:t>作业安全保障工作，</w:t>
      </w:r>
      <w:r>
        <w:rPr>
          <w:rFonts w:hint="eastAsia" w:ascii="宋体" w:hAnsi="宋体" w:eastAsia="宋体" w:cs="宋体"/>
          <w:color w:val="000000" w:themeColor="text1"/>
          <w:sz w:val="21"/>
          <w:szCs w:val="21"/>
          <w:lang w:val="en-US" w:eastAsia="zh-CN"/>
          <w14:textFill>
            <w14:solidFill>
              <w14:schemeClr w14:val="tx1"/>
            </w14:solidFill>
          </w14:textFill>
        </w:rPr>
        <w:t>临水</w:t>
      </w:r>
      <w:r>
        <w:rPr>
          <w:rFonts w:hint="eastAsia" w:ascii="宋体" w:hAnsi="宋体" w:eastAsia="宋体" w:cs="宋体"/>
          <w:color w:val="000000" w:themeColor="text1"/>
          <w:sz w:val="21"/>
          <w:szCs w:val="21"/>
          <w14:textFill>
            <w14:solidFill>
              <w14:schemeClr w14:val="tx1"/>
            </w14:solidFill>
          </w14:textFill>
        </w:rPr>
        <w:t>作业的范围包括但不限于：构筑物水面垃圾的打捞（含粗格栅、细格栅、生化池、沉淀池/二沉池；生化池、二沉池、滤布滤池、出水明渠、硝化池、反硝化池等构筑物）的池内清洗等。具体要求如下：</w:t>
      </w:r>
    </w:p>
    <w:p w14:paraId="3A7F28EB">
      <w:pPr>
        <w:keepNext w:val="0"/>
        <w:keepLines w:val="0"/>
        <w:pageBreakBefore w:val="0"/>
        <w:widowControl w:val="0"/>
        <w:numPr>
          <w:ilvl w:val="0"/>
          <w:numId w:val="5"/>
        </w:numPr>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乙方在实施</w:t>
      </w:r>
      <w:r>
        <w:rPr>
          <w:rFonts w:hint="eastAsia" w:ascii="宋体" w:hAnsi="宋体" w:eastAsia="宋体" w:cs="宋体"/>
          <w:color w:val="000000" w:themeColor="text1"/>
          <w:sz w:val="21"/>
          <w:szCs w:val="21"/>
          <w:lang w:val="en-US" w:eastAsia="zh-CN"/>
          <w14:textFill>
            <w14:solidFill>
              <w14:schemeClr w14:val="tx1"/>
            </w14:solidFill>
          </w14:textFill>
        </w:rPr>
        <w:t>临水</w:t>
      </w:r>
      <w:r>
        <w:rPr>
          <w:rFonts w:hint="eastAsia" w:ascii="宋体" w:hAnsi="宋体" w:eastAsia="宋体" w:cs="宋体"/>
          <w:color w:val="000000" w:themeColor="text1"/>
          <w:sz w:val="21"/>
          <w:szCs w:val="21"/>
          <w14:textFill>
            <w14:solidFill>
              <w14:schemeClr w14:val="tx1"/>
            </w14:solidFill>
          </w14:textFill>
        </w:rPr>
        <w:t>作业时，需设一名或以上监护人员</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作业</w:t>
      </w:r>
      <w:r>
        <w:rPr>
          <w:rFonts w:hint="eastAsia" w:ascii="宋体" w:hAnsi="宋体" w:eastAsia="宋体" w:cs="宋体"/>
          <w:color w:val="000000" w:themeColor="text1"/>
          <w:sz w:val="21"/>
          <w:szCs w:val="21"/>
          <w14:textFill>
            <w14:solidFill>
              <w14:schemeClr w14:val="tx1"/>
            </w14:solidFill>
          </w14:textFill>
        </w:rPr>
        <w:t>存在</w:t>
      </w:r>
      <w:r>
        <w:rPr>
          <w:rFonts w:hint="eastAsia" w:ascii="宋体" w:hAnsi="宋体" w:eastAsia="宋体" w:cs="宋体"/>
          <w:color w:val="000000" w:themeColor="text1"/>
          <w:sz w:val="21"/>
          <w:szCs w:val="21"/>
          <w:lang w:val="en-US" w:eastAsia="zh-CN"/>
          <w14:textFill>
            <w14:solidFill>
              <w14:schemeClr w14:val="tx1"/>
            </w14:solidFill>
          </w14:textFill>
        </w:rPr>
        <w:t>多种</w:t>
      </w:r>
      <w:r>
        <w:rPr>
          <w:rFonts w:hint="eastAsia" w:ascii="宋体" w:hAnsi="宋体" w:eastAsia="宋体" w:cs="宋体"/>
          <w:color w:val="000000" w:themeColor="text1"/>
          <w:sz w:val="21"/>
          <w:szCs w:val="21"/>
          <w14:textFill>
            <w14:solidFill>
              <w14:schemeClr w14:val="tx1"/>
            </w14:solidFill>
          </w14:textFill>
        </w:rPr>
        <w:t>危险作业</w:t>
      </w:r>
      <w:r>
        <w:rPr>
          <w:rFonts w:hint="eastAsia" w:ascii="宋体" w:hAnsi="宋体" w:eastAsia="宋体" w:cs="宋体"/>
          <w:color w:val="000000" w:themeColor="text1"/>
          <w:sz w:val="21"/>
          <w:szCs w:val="21"/>
          <w:lang w:val="en-US" w:eastAsia="zh-CN"/>
          <w14:textFill>
            <w14:solidFill>
              <w14:schemeClr w14:val="tx1"/>
            </w14:solidFill>
          </w14:textFill>
        </w:rPr>
        <w:t>情况下，</w:t>
      </w:r>
      <w:r>
        <w:rPr>
          <w:rFonts w:hint="eastAsia" w:ascii="宋体" w:hAnsi="宋体" w:eastAsia="宋体" w:cs="宋体"/>
          <w:color w:val="000000" w:themeColor="text1"/>
          <w:sz w:val="21"/>
          <w:szCs w:val="21"/>
          <w14:textFill>
            <w14:solidFill>
              <w14:schemeClr w14:val="tx1"/>
            </w14:solidFill>
          </w14:textFill>
        </w:rPr>
        <w:t>需严格落实2人或2人以上为一组协同作业</w:t>
      </w:r>
      <w:r>
        <w:rPr>
          <w:rFonts w:hint="eastAsia" w:ascii="宋体" w:hAnsi="宋体" w:eastAsia="宋体" w:cs="宋体"/>
          <w:color w:val="000000" w:themeColor="text1"/>
          <w:sz w:val="21"/>
          <w:szCs w:val="21"/>
          <w:lang w:val="en-US" w:eastAsia="zh-CN"/>
          <w14:textFill>
            <w14:solidFill>
              <w14:schemeClr w14:val="tx1"/>
            </w14:solidFill>
          </w14:textFill>
        </w:rPr>
        <w:t>或交替作业</w:t>
      </w:r>
      <w:r>
        <w:rPr>
          <w:rFonts w:hint="eastAsia" w:ascii="宋体" w:hAnsi="宋体" w:eastAsia="宋体" w:cs="宋体"/>
          <w:color w:val="000000" w:themeColor="text1"/>
          <w:sz w:val="21"/>
          <w:szCs w:val="21"/>
          <w14:textFill>
            <w14:solidFill>
              <w14:schemeClr w14:val="tx1"/>
            </w14:solidFill>
          </w14:textFill>
        </w:rPr>
        <w:t>，不能单独作业。</w:t>
      </w:r>
    </w:p>
    <w:p w14:paraId="55E488BF">
      <w:pPr>
        <w:keepNext w:val="0"/>
        <w:keepLines w:val="0"/>
        <w:pageBreakBefore w:val="0"/>
        <w:widowControl w:val="0"/>
        <w:numPr>
          <w:ilvl w:val="0"/>
          <w:numId w:val="5"/>
        </w:numPr>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危险作业前，必须检查作业工具是否完好，做好交底工作。</w:t>
      </w:r>
    </w:p>
    <w:p w14:paraId="2DA9B4A8">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）危险作业时，必须做好安全防护措施（穿戴救生衣、安全绳（带）、水鞋、手套、不得穿拖鞋或凉鞋等），严格落实2人或2人以上为一组进行协同作业，不得单独作业。</w:t>
      </w:r>
    </w:p>
    <w:p w14:paraId="3ABFF7E5">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）如遇阴雨及大雾、雷暴雨、台风等恶劣天气，禁止危险作业。</w:t>
      </w:r>
    </w:p>
    <w:p w14:paraId="0CDAC977">
      <w:pPr>
        <w:keepNext w:val="0"/>
        <w:keepLines w:val="0"/>
        <w:pageBreakBefore w:val="0"/>
        <w:widowControl w:val="0"/>
        <w:numPr>
          <w:ilvl w:val="0"/>
          <w:numId w:val="3"/>
        </w:numPr>
        <w:kinsoku/>
        <w:wordWrap/>
        <w:overflowPunct/>
        <w:topLinePunct w:val="0"/>
        <w:bidi w:val="0"/>
        <w:snapToGrid/>
        <w:spacing w:line="360" w:lineRule="auto"/>
        <w:ind w:firstLine="40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乙方对作业过程中潜在的安全风险不明确的，不可盲目作业，否则，造成的后果由乙方独自承担。</w:t>
      </w:r>
    </w:p>
    <w:p w14:paraId="65F5BBA9">
      <w:pPr>
        <w:keepNext w:val="0"/>
        <w:keepLines w:val="0"/>
        <w:pageBreakBefore w:val="0"/>
        <w:widowControl w:val="0"/>
        <w:numPr>
          <w:ilvl w:val="0"/>
          <w:numId w:val="3"/>
        </w:numPr>
        <w:kinsoku/>
        <w:wordWrap/>
        <w:overflowPunct/>
        <w:topLinePunct w:val="0"/>
        <w:bidi w:val="0"/>
        <w:snapToGrid/>
        <w:spacing w:line="360" w:lineRule="auto"/>
        <w:ind w:firstLine="40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本协议一式</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肆 </w:t>
      </w:r>
      <w:r>
        <w:rPr>
          <w:rFonts w:hint="eastAsia" w:ascii="宋体" w:hAnsi="宋体" w:eastAsia="宋体" w:cs="宋体"/>
          <w:color w:val="000000" w:themeColor="text1"/>
          <w:sz w:val="21"/>
          <w:szCs w:val="21"/>
          <w14:textFill>
            <w14:solidFill>
              <w14:schemeClr w14:val="tx1"/>
            </w14:solidFill>
          </w14:textFill>
        </w:rPr>
        <w:t>份，</w:t>
      </w:r>
      <w:r>
        <w:rPr>
          <w:rFonts w:hint="eastAsia" w:ascii="宋体" w:hAnsi="宋体" w:eastAsia="宋体" w:cs="宋体"/>
          <w:sz w:val="21"/>
          <w:szCs w:val="21"/>
        </w:rPr>
        <w:t>甲方执</w:t>
      </w:r>
      <w:r>
        <w:rPr>
          <w:rFonts w:hint="eastAsia" w:ascii="宋体" w:hAnsi="宋体" w:eastAsia="宋体" w:cs="宋体"/>
          <w:sz w:val="21"/>
          <w:szCs w:val="21"/>
          <w:u w:val="single"/>
          <w:lang w:val="en-US" w:eastAsia="zh-CN"/>
        </w:rPr>
        <w:t xml:space="preserve">叁  </w:t>
      </w:r>
      <w:r>
        <w:rPr>
          <w:rFonts w:hint="eastAsia" w:ascii="宋体" w:hAnsi="宋体" w:eastAsia="宋体" w:cs="宋体"/>
          <w:sz w:val="21"/>
          <w:szCs w:val="21"/>
        </w:rPr>
        <w:t>份，乙方执</w:t>
      </w:r>
      <w:r>
        <w:rPr>
          <w:rFonts w:hint="eastAsia" w:ascii="宋体" w:hAnsi="宋体" w:eastAsia="宋体" w:cs="宋体"/>
          <w:sz w:val="21"/>
          <w:szCs w:val="21"/>
          <w:u w:val="single"/>
          <w:lang w:val="en-US" w:eastAsia="zh-CN"/>
        </w:rPr>
        <w:t xml:space="preserve">壹  </w:t>
      </w:r>
      <w:r>
        <w:rPr>
          <w:rFonts w:hint="eastAsia" w:ascii="宋体" w:hAnsi="宋体" w:eastAsia="宋体" w:cs="宋体"/>
          <w:sz w:val="21"/>
          <w:szCs w:val="21"/>
        </w:rPr>
        <w:t>份</w:t>
      </w:r>
      <w:r>
        <w:rPr>
          <w:rFonts w:hint="eastAsia" w:ascii="宋体" w:hAnsi="宋体" w:eastAsia="宋体" w:cs="宋体"/>
          <w:color w:val="000000" w:themeColor="text1"/>
          <w:sz w:val="21"/>
          <w:szCs w:val="21"/>
          <w14:textFill>
            <w14:solidFill>
              <w14:schemeClr w14:val="tx1"/>
            </w14:solidFill>
          </w14:textFill>
        </w:rPr>
        <w:t>，自双方</w:t>
      </w:r>
      <w:r>
        <w:rPr>
          <w:rFonts w:hint="eastAsia" w:ascii="宋体" w:hAnsi="宋体" w:eastAsia="宋体" w:cs="宋体"/>
          <w:color w:val="000000" w:themeColor="text1"/>
          <w:sz w:val="21"/>
          <w:szCs w:val="21"/>
          <w:lang w:val="en-US" w:eastAsia="zh-CN"/>
          <w14:textFill>
            <w14:solidFill>
              <w14:schemeClr w14:val="tx1"/>
            </w14:solidFill>
          </w14:textFill>
        </w:rPr>
        <w:t>盖章并由双方</w:t>
      </w:r>
      <w:r>
        <w:rPr>
          <w:rFonts w:hint="eastAsia" w:ascii="宋体" w:hAnsi="宋体" w:eastAsia="宋体" w:cs="宋体"/>
          <w:color w:val="000000" w:themeColor="text1"/>
          <w:sz w:val="21"/>
          <w:szCs w:val="21"/>
          <w14:textFill>
            <w14:solidFill>
              <w14:schemeClr w14:val="tx1"/>
            </w14:solidFill>
          </w14:textFill>
        </w:rPr>
        <w:t>法定代表人签字后生效。</w:t>
      </w:r>
    </w:p>
    <w:p w14:paraId="121F9042">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p>
    <w:p w14:paraId="79C92613">
      <w:pPr>
        <w:keepNext w:val="0"/>
        <w:keepLines w:val="0"/>
        <w:pageBreakBefore w:val="0"/>
        <w:widowControl w:val="0"/>
        <w:kinsoku/>
        <w:wordWrap/>
        <w:overflowPunct/>
        <w:topLinePunct w:val="0"/>
        <w:bidi w:val="0"/>
        <w:snapToGrid/>
        <w:spacing w:line="360" w:lineRule="auto"/>
        <w:ind w:firstLine="426" w:firstLineChars="202"/>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乙方声明：</w:t>
      </w:r>
    </w:p>
    <w:p w14:paraId="013C6E3D">
      <w:pPr>
        <w:keepNext w:val="0"/>
        <w:keepLines w:val="0"/>
        <w:pageBreakBefore w:val="0"/>
        <w:widowControl w:val="0"/>
        <w:kinsoku/>
        <w:wordWrap/>
        <w:overflowPunct/>
        <w:topLinePunct w:val="0"/>
        <w:bidi w:val="0"/>
        <w:snapToGrid/>
        <w:spacing w:line="360" w:lineRule="auto"/>
        <w:ind w:firstLine="426" w:firstLineChars="202"/>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乙方已认真阅读协议内容，对协议条款、现场的安全管理要求、安全风险充分理解，并自愿承担因违约造成的一切后果。</w:t>
      </w:r>
    </w:p>
    <w:p w14:paraId="658C30EE">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以下无正文</w:t>
      </w:r>
      <w:r>
        <w:rPr>
          <w:rFonts w:hint="eastAsia" w:ascii="宋体" w:hAnsi="宋体" w:eastAsia="宋体" w:cs="宋体"/>
          <w:color w:val="000000" w:themeColor="text1"/>
          <w:sz w:val="21"/>
          <w:szCs w:val="21"/>
          <w:lang w:eastAsia="zh-CN"/>
          <w14:textFill>
            <w14:solidFill>
              <w14:schemeClr w14:val="tx1"/>
            </w14:solidFill>
          </w14:textFill>
        </w:rPr>
        <w:t>）</w:t>
      </w:r>
    </w:p>
    <w:p w14:paraId="58540FFF">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p>
    <w:p w14:paraId="2143D85E">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甲方（盖章）：                      乙方（盖章）： </w:t>
      </w:r>
    </w:p>
    <w:p w14:paraId="0AC6D13F">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法定代表人</w:t>
      </w: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法定代表人</w:t>
      </w:r>
      <w:r>
        <w:rPr>
          <w:rFonts w:hint="eastAsia" w:ascii="宋体" w:hAnsi="宋体" w:eastAsia="宋体" w:cs="宋体"/>
          <w:color w:val="000000" w:themeColor="text1"/>
          <w:sz w:val="21"/>
          <w:szCs w:val="21"/>
          <w14:textFill>
            <w14:solidFill>
              <w14:schemeClr w14:val="tx1"/>
            </w14:solidFill>
          </w14:textFill>
        </w:rPr>
        <w:t>：</w:t>
      </w:r>
    </w:p>
    <w:p w14:paraId="33C1CA60">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14:textFill>
            <w14:solidFill>
              <w14:schemeClr w14:val="tx1"/>
            </w14:solidFill>
          </w14:textFill>
        </w:rPr>
      </w:pPr>
    </w:p>
    <w:p w14:paraId="7EC9BB38">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签订</w:t>
      </w:r>
      <w:r>
        <w:rPr>
          <w:rFonts w:hint="eastAsia" w:ascii="宋体" w:hAnsi="宋体" w:eastAsia="宋体" w:cs="宋体"/>
          <w:color w:val="000000" w:themeColor="text1"/>
          <w:sz w:val="21"/>
          <w:szCs w:val="21"/>
          <w14:textFill>
            <w14:solidFill>
              <w14:schemeClr w14:val="tx1"/>
            </w14:solidFill>
          </w14:textFill>
        </w:rPr>
        <w:t>日期：</w:t>
      </w:r>
    </w:p>
    <w:p w14:paraId="7C5C1152">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签订地点：广东省东莞市</w:t>
      </w:r>
      <w:r>
        <w:rPr>
          <w:rFonts w:hint="eastAsia" w:ascii="宋体" w:hAnsi="宋体" w:eastAsia="宋体" w:cs="宋体"/>
          <w:color w:val="000000" w:themeColor="text1"/>
          <w:sz w:val="21"/>
          <w:szCs w:val="21"/>
          <w14:textFill>
            <w14:solidFill>
              <w14:schemeClr w14:val="tx1"/>
            </w14:solidFill>
          </w14:textFill>
        </w:rPr>
        <w:t xml:space="preserve">                              </w:t>
      </w:r>
    </w:p>
    <w:p w14:paraId="7043A39E">
      <w:pPr>
        <w:autoSpaceDE/>
        <w:autoSpaceDN/>
        <w:adjustRightInd/>
        <w:spacing w:line="360" w:lineRule="auto"/>
        <w:ind w:firstLine="422" w:firstLineChars="200"/>
        <w:jc w:val="both"/>
        <w:rPr>
          <w:rFonts w:hint="eastAsia" w:ascii="宋体" w:hAnsi="宋体" w:eastAsia="宋体" w:cs="宋体"/>
          <w:b/>
          <w:bCs/>
          <w:kern w:val="2"/>
          <w:sz w:val="21"/>
          <w:szCs w:val="21"/>
        </w:rPr>
      </w:pPr>
    </w:p>
    <w:p w14:paraId="288F49FF">
      <w:pPr>
        <w:spacing w:after="120"/>
        <w:rPr>
          <w:rFonts w:hint="eastAsia" w:ascii="宋体" w:hAnsi="宋体" w:eastAsia="宋体" w:cs="宋体"/>
        </w:rPr>
      </w:pPr>
    </w:p>
    <w:p w14:paraId="253849E7">
      <w:pPr>
        <w:rPr>
          <w:rFonts w:hint="eastAsia" w:ascii="宋体" w:hAnsi="宋体" w:eastAsia="宋体" w:cs="宋体"/>
        </w:rPr>
      </w:pPr>
    </w:p>
    <w:p w14:paraId="2E8F79A7">
      <w:pP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br w:type="page"/>
      </w:r>
    </w:p>
    <w:p w14:paraId="5C41EBB0">
      <w:pPr>
        <w:spacing w:line="600" w:lineRule="exact"/>
        <w:jc w:val="left"/>
        <w:outlineLvl w:val="1"/>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附件三</w:t>
      </w:r>
      <w:r>
        <w:rPr>
          <w:rFonts w:hint="eastAsia" w:ascii="仿宋_GB2312" w:hAnsi="仿宋_GB2312" w:eastAsia="仿宋_GB2312" w:cs="仿宋_GB2312"/>
          <w:b/>
          <w:bCs/>
          <w:sz w:val="28"/>
          <w:szCs w:val="28"/>
        </w:rPr>
        <w:t>：</w:t>
      </w:r>
    </w:p>
    <w:p w14:paraId="6DB4F5F1">
      <w:pPr>
        <w:spacing w:line="580" w:lineRule="exact"/>
        <w:jc w:val="center"/>
        <w:rPr>
          <w:rFonts w:eastAsia="方正小标宋简体" w:cs="Times New Roman"/>
          <w:bCs/>
          <w:color w:val="000000"/>
          <w:sz w:val="44"/>
          <w:szCs w:val="44"/>
        </w:rPr>
      </w:pPr>
      <w:r>
        <w:rPr>
          <w:rFonts w:eastAsia="方正小标宋简体" w:cs="Times New Roman"/>
          <w:bCs/>
          <w:color w:val="000000"/>
          <w:sz w:val="44"/>
          <w:szCs w:val="44"/>
        </w:rPr>
        <w:t>阳光合作告知函</w:t>
      </w:r>
    </w:p>
    <w:p w14:paraId="75989AD7">
      <w:pPr>
        <w:spacing w:line="420" w:lineRule="exact"/>
        <w:rPr>
          <w:rFonts w:ascii="Times New Roman" w:eastAsia="仿宋_GB2312"/>
          <w:b/>
          <w:bCs/>
          <w:sz w:val="32"/>
          <w:szCs w:val="32"/>
        </w:rPr>
      </w:pPr>
    </w:p>
    <w:p w14:paraId="4464EAF3">
      <w:pPr>
        <w:spacing w:line="560" w:lineRule="exact"/>
        <w:ind w:left="1606" w:hanging="1054" w:hangingChars="500"/>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项目名称：</w:t>
      </w:r>
      <w:r>
        <w:rPr>
          <w:rFonts w:hint="eastAsia" w:asciiTheme="minorEastAsia" w:hAnsiTheme="minorEastAsia" w:eastAsiaTheme="minorEastAsia" w:cstheme="minorEastAsia"/>
          <w:b/>
          <w:bCs/>
          <w:sz w:val="21"/>
          <w:szCs w:val="21"/>
          <w:lang w:eastAsia="zh-CN"/>
        </w:rPr>
        <w:t>东莞市污泥集中处理处置项目尿素采购项目</w:t>
      </w:r>
    </w:p>
    <w:p w14:paraId="48DFF3C0">
      <w:pPr>
        <w:spacing w:line="560" w:lineRule="exact"/>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（采购编号：</w:t>
      </w:r>
      <w:r>
        <w:rPr>
          <w:rFonts w:hint="eastAsia" w:asciiTheme="minorEastAsia" w:hAnsiTheme="minorEastAsia" w:eastAsiaTheme="minorEastAsia" w:cstheme="minorEastAsia"/>
          <w:color w:val="333333"/>
          <w:sz w:val="21"/>
          <w:szCs w:val="21"/>
          <w:u w:val="single"/>
          <w:shd w:val="clear" w:color="auto" w:fill="FFFFFF"/>
          <w:lang w:val="en-US" w:eastAsia="zh-CN"/>
        </w:rPr>
        <w:t>JS-2025-163</w:t>
      </w:r>
      <w:r>
        <w:rPr>
          <w:rFonts w:hint="eastAsia" w:asciiTheme="minorEastAsia" w:hAnsiTheme="minorEastAsia" w:eastAsiaTheme="minorEastAsia" w:cstheme="minorEastAsia"/>
          <w:sz w:val="21"/>
          <w:szCs w:val="21"/>
        </w:rPr>
        <w:t>）</w:t>
      </w:r>
    </w:p>
    <w:p w14:paraId="1109496E">
      <w:pPr>
        <w:spacing w:line="560" w:lineRule="exact"/>
        <w:rPr>
          <w:rFonts w:asciiTheme="minorEastAsia" w:hAnsiTheme="minorEastAsia" w:eastAsiaTheme="minorEastAsia" w:cstheme="minorEastAsia"/>
          <w:color w:val="000000"/>
          <w:sz w:val="21"/>
          <w:szCs w:val="21"/>
          <w:u w:val="single"/>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w:t>
      </w:r>
    </w:p>
    <w:p w14:paraId="746D3ABE">
      <w:pPr>
        <w:pStyle w:val="58"/>
        <w:snapToGrid w:val="0"/>
        <w:spacing w:line="58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为保证我集团人员廉洁从业，规范和鼓励诚信交易行为，防止腐败和商业贿赂发生，推动双方建立阳光合作关系，现将我方推行阳光合作的相关管理规定函告如下：</w:t>
      </w:r>
    </w:p>
    <w:p w14:paraId="747184B3">
      <w:pPr>
        <w:pStyle w:val="58"/>
        <w:snapToGrid w:val="0"/>
        <w:spacing w:line="58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一、我方负责对本单位有关人员进行阳光合作教育和管理。</w:t>
      </w:r>
    </w:p>
    <w:p w14:paraId="2A0A2191">
      <w:pPr>
        <w:pStyle w:val="58"/>
        <w:snapToGrid w:val="0"/>
        <w:spacing w:line="58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二、我方人员有责任向贵方介绍本单位有关阳光合作的相关规定。</w:t>
      </w:r>
    </w:p>
    <w:p w14:paraId="3EC835A3">
      <w:pPr>
        <w:pStyle w:val="58"/>
        <w:snapToGrid w:val="0"/>
        <w:spacing w:line="58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三、我方人员应本着诚实守信、公平公开、平等互利原则开展交易合作，遵守国家相关法律法规。</w:t>
      </w:r>
    </w:p>
    <w:p w14:paraId="4314ED62">
      <w:pPr>
        <w:pStyle w:val="58"/>
        <w:snapToGrid w:val="0"/>
        <w:spacing w:line="58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四、我方人员应廉洁从业，自觉抵制商业贿赂及不正当交易行为，在交易业务中涉及本人、亲属或其他相关人员时，应主动提请回避。</w:t>
      </w:r>
    </w:p>
    <w:p w14:paraId="3996FD2A">
      <w:pPr>
        <w:pStyle w:val="58"/>
        <w:snapToGrid w:val="0"/>
        <w:spacing w:line="58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五、在业务合作过程中，我方人员不得有以下违法违规行为：</w:t>
      </w:r>
    </w:p>
    <w:p w14:paraId="7FF3E95F">
      <w:pPr>
        <w:pStyle w:val="58"/>
        <w:snapToGrid w:val="0"/>
        <w:spacing w:line="58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（一）合作过程中通过各种方式向贵方索贿、行贿，或为亲属、其他相关人员索取其他协助或服务； </w:t>
      </w:r>
    </w:p>
    <w:p w14:paraId="0481008F">
      <w:pPr>
        <w:pStyle w:val="58"/>
        <w:snapToGrid w:val="0"/>
        <w:spacing w:line="58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合作过程中通过各种方式收受贵方财物、服务，或为他人谋取不正当利益，包括但不限于：实物、现金、有价证券、礼券等有价物品（以下统称“财物”），不得参加贵方提供的旅游或其他可能影响职务廉洁的活动；</w:t>
      </w:r>
    </w:p>
    <w:p w14:paraId="708439E9">
      <w:pPr>
        <w:pStyle w:val="58"/>
        <w:snapToGrid w:val="0"/>
        <w:spacing w:line="58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（三）擅自截留、挪用或侵占贵方财物； </w:t>
      </w:r>
    </w:p>
    <w:p w14:paraId="73F776EA">
      <w:pPr>
        <w:pStyle w:val="58"/>
        <w:snapToGrid w:val="0"/>
        <w:spacing w:line="58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（四）以各种形式参与民间借贷，帮助贵方过桥借贷； </w:t>
      </w:r>
    </w:p>
    <w:p w14:paraId="2CA93455">
      <w:pPr>
        <w:pStyle w:val="58"/>
        <w:snapToGrid w:val="0"/>
        <w:spacing w:line="58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（五）参与黄、赌、毒等违法犯罪活动；</w:t>
      </w:r>
    </w:p>
    <w:p w14:paraId="6A84D820">
      <w:pPr>
        <w:pStyle w:val="58"/>
        <w:snapToGrid w:val="0"/>
        <w:spacing w:line="58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（六）其他违反国家法律法规和违反廉洁从业的行为。 </w:t>
      </w:r>
    </w:p>
    <w:p w14:paraId="5636822C">
      <w:pPr>
        <w:pStyle w:val="58"/>
        <w:snapToGrid w:val="0"/>
        <w:spacing w:line="58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六、在业务合作期间，我方有权通过回访等方式监督阳光合作执行情况。贵方及贵方人员发现我方任何人员任何形式的行贿、索贿、受贿或其他违反阳光合作的行为，可及时向我方举报。</w:t>
      </w:r>
    </w:p>
    <w:p w14:paraId="5390D7B0">
      <w:pPr>
        <w:pStyle w:val="58"/>
        <w:snapToGrid w:val="0"/>
        <w:spacing w:line="58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七、烦请贵方及贵方人员在投诉举报时，积极配合我方的相关调查工作，并提供联系方式等，便于我方纪检监察机构联系与调查核实。我方承诺对贵方的投诉举报人进行保密。</w:t>
      </w:r>
    </w:p>
    <w:p w14:paraId="3A8DF4EB">
      <w:pPr>
        <w:pStyle w:val="58"/>
        <w:snapToGrid w:val="0"/>
        <w:spacing w:line="58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八、贵方投诉举报的情况，经查证属实，我方将视情节轻重和影响恶劣程度对相关人员进行内部处理；构成犯罪的，依法移送司法机关处置，并将调查结果及时向贵方反馈。</w:t>
      </w:r>
    </w:p>
    <w:p w14:paraId="6B2D2F32">
      <w:pPr>
        <w:pStyle w:val="58"/>
        <w:snapToGrid w:val="0"/>
        <w:spacing w:line="58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九、如贵方经办人员或其他相关人员主动诱使我方人员作出本告知函第五点列明的违法违规行为的，我方有权终止双方的合作，由此造成的损失由贵方承担。</w:t>
      </w:r>
    </w:p>
    <w:p w14:paraId="679BA7EB">
      <w:pPr>
        <w:pStyle w:val="58"/>
        <w:snapToGrid w:val="0"/>
        <w:spacing w:line="58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十、我方对如实举报和严格遵守阳光合作精神的合作方，在同等条件下给予后续合作的优先权。</w:t>
      </w:r>
    </w:p>
    <w:p w14:paraId="59140121">
      <w:pPr>
        <w:pStyle w:val="58"/>
        <w:snapToGrid w:val="0"/>
        <w:spacing w:line="58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十一、</w:t>
      </w:r>
      <w:bookmarkStart w:id="35" w:name="OLE_LINK1"/>
      <w:r>
        <w:rPr>
          <w:rFonts w:hint="eastAsia" w:asciiTheme="minorEastAsia" w:hAnsiTheme="minorEastAsia" w:eastAsiaTheme="minorEastAsia" w:cstheme="minorEastAsia"/>
          <w:sz w:val="21"/>
          <w:szCs w:val="21"/>
        </w:rPr>
        <w:t>其他</w:t>
      </w:r>
    </w:p>
    <w:p w14:paraId="6C4FC0C6">
      <w:pPr>
        <w:pStyle w:val="58"/>
        <w:snapToGrid w:val="0"/>
        <w:spacing w:line="58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（一）本告知函所言“其他相关人员”是指经办人以外的与合作项目有直接或间接利益关系的人员，包括但不仅限于项目经办人的亲友。</w:t>
      </w:r>
    </w:p>
    <w:bookmarkEnd w:id="35"/>
    <w:p w14:paraId="318A9D27">
      <w:pPr>
        <w:pStyle w:val="58"/>
        <w:snapToGrid w:val="0"/>
        <w:spacing w:line="58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（二）我方常设投诉举报受理部门及联系方式： </w:t>
      </w:r>
    </w:p>
    <w:p w14:paraId="49334CAA">
      <w:pPr>
        <w:pStyle w:val="58"/>
        <w:snapToGrid w:val="0"/>
        <w:spacing w:line="580" w:lineRule="exact"/>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1.投诉举报受理部门：</w:t>
      </w:r>
      <w:r>
        <w:rPr>
          <w:rFonts w:hint="eastAsia" w:asciiTheme="minorEastAsia" w:hAnsiTheme="minorEastAsia" w:eastAsiaTheme="minorEastAsia" w:cstheme="minorEastAsia"/>
          <w:b w:val="0"/>
          <w:bCs w:val="0"/>
          <w:sz w:val="21"/>
          <w:szCs w:val="21"/>
        </w:rPr>
        <w:t>东莞市</w:t>
      </w:r>
      <w:r>
        <w:rPr>
          <w:rFonts w:hint="eastAsia" w:asciiTheme="minorEastAsia" w:hAnsiTheme="minorEastAsia" w:eastAsiaTheme="minorEastAsia" w:cstheme="minorEastAsia"/>
          <w:b w:val="0"/>
          <w:bCs w:val="0"/>
          <w:sz w:val="21"/>
          <w:szCs w:val="21"/>
          <w:lang w:eastAsia="zh-CN"/>
        </w:rPr>
        <w:t>水务环境投资控股</w:t>
      </w:r>
      <w:r>
        <w:rPr>
          <w:rFonts w:hint="eastAsia" w:asciiTheme="minorEastAsia" w:hAnsiTheme="minorEastAsia" w:eastAsiaTheme="minorEastAsia" w:cstheme="minorEastAsia"/>
          <w:b w:val="0"/>
          <w:bCs w:val="0"/>
          <w:sz w:val="21"/>
          <w:szCs w:val="21"/>
          <w:lang w:val="en-US" w:eastAsia="zh-CN"/>
        </w:rPr>
        <w:t>集团有限公司</w:t>
      </w:r>
      <w:r>
        <w:rPr>
          <w:rFonts w:hint="eastAsia" w:asciiTheme="minorEastAsia" w:hAnsiTheme="minorEastAsia" w:eastAsiaTheme="minorEastAsia" w:cstheme="minorEastAsia"/>
          <w:sz w:val="21"/>
          <w:szCs w:val="21"/>
        </w:rPr>
        <w:t>纪检监察部；</w:t>
      </w:r>
    </w:p>
    <w:p w14:paraId="2F24F793">
      <w:pPr>
        <w:pStyle w:val="58"/>
        <w:snapToGrid w:val="0"/>
        <w:spacing w:line="580" w:lineRule="exact"/>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2.投诉举报电话：</w:t>
      </w:r>
      <w:r>
        <w:rPr>
          <w:rFonts w:hint="eastAsia" w:asciiTheme="minorEastAsia" w:hAnsiTheme="minorEastAsia" w:eastAsiaTheme="minorEastAsia" w:cstheme="minorEastAsia"/>
          <w:sz w:val="21"/>
          <w:szCs w:val="21"/>
        </w:rPr>
        <w:t>0769–28823293（星期一至星期五：8:30-17:30）；</w:t>
      </w:r>
    </w:p>
    <w:p w14:paraId="3B2E4C56">
      <w:pPr>
        <w:pStyle w:val="58"/>
        <w:snapToGrid w:val="0"/>
        <w:spacing w:line="580" w:lineRule="exact"/>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3.联系地址：</w:t>
      </w:r>
      <w:r>
        <w:rPr>
          <w:rFonts w:hint="eastAsia" w:asciiTheme="minorEastAsia" w:hAnsiTheme="minorEastAsia" w:eastAsiaTheme="minorEastAsia" w:cstheme="minorEastAsia"/>
          <w:sz w:val="21"/>
          <w:szCs w:val="21"/>
        </w:rPr>
        <w:t>东莞市东城街道育华路1号；</w:t>
      </w:r>
    </w:p>
    <w:p w14:paraId="1746A93B">
      <w:pPr>
        <w:pStyle w:val="58"/>
        <w:snapToGrid w:val="0"/>
        <w:spacing w:line="580" w:lineRule="exact"/>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4.邮编：</w:t>
      </w:r>
      <w:r>
        <w:rPr>
          <w:rFonts w:hint="eastAsia" w:asciiTheme="minorEastAsia" w:hAnsiTheme="minorEastAsia" w:eastAsiaTheme="minorEastAsia" w:cstheme="minorEastAsia"/>
          <w:sz w:val="21"/>
          <w:szCs w:val="21"/>
        </w:rPr>
        <w:t>523000。</w:t>
      </w:r>
    </w:p>
    <w:p w14:paraId="3606BE5D">
      <w:pPr>
        <w:pStyle w:val="58"/>
        <w:snapToGrid w:val="0"/>
        <w:spacing w:line="58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让我们共同为建立健康、公平的商业秩序和实现双赢而努力。</w:t>
      </w:r>
    </w:p>
    <w:p w14:paraId="467AB0AB">
      <w:pPr>
        <w:pStyle w:val="58"/>
        <w:snapToGrid w:val="0"/>
        <w:spacing w:line="58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特此致函。</w:t>
      </w:r>
    </w:p>
    <w:p w14:paraId="6A8EB48F">
      <w:pPr>
        <w:pStyle w:val="58"/>
        <w:snapToGrid w:val="0"/>
        <w:spacing w:line="580" w:lineRule="exact"/>
        <w:ind w:firstLine="420" w:firstLineChars="200"/>
        <w:rPr>
          <w:rFonts w:asciiTheme="minorEastAsia" w:hAnsiTheme="minorEastAsia" w:eastAsiaTheme="minorEastAsia" w:cstheme="minorEastAsia"/>
          <w:sz w:val="21"/>
          <w:szCs w:val="21"/>
        </w:rPr>
      </w:pPr>
    </w:p>
    <w:p w14:paraId="715F1A35">
      <w:pPr>
        <w:pStyle w:val="58"/>
        <w:wordWrap w:val="0"/>
        <w:snapToGrid w:val="0"/>
        <w:spacing w:line="580" w:lineRule="exact"/>
        <w:ind w:firstLine="0"/>
        <w:jc w:val="righ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东莞市尚源环能科技有限公司</w:t>
      </w:r>
    </w:p>
    <w:p w14:paraId="608B4B46">
      <w:pPr>
        <w:pStyle w:val="58"/>
        <w:snapToGrid w:val="0"/>
        <w:spacing w:line="580" w:lineRule="exact"/>
        <w:ind w:firstLine="3990" w:firstLineChars="1900"/>
        <w:jc w:val="righ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年   月  日</w:t>
      </w:r>
      <w:bookmarkStart w:id="36" w:name="设计变更通知单"/>
      <w:bookmarkEnd w:id="36"/>
      <w:bookmarkStart w:id="37" w:name="现场签证通知单"/>
      <w:bookmarkEnd w:id="37"/>
    </w:p>
    <w:p w14:paraId="35BAF7CB">
      <w:pPr>
        <w:rPr>
          <w:rFonts w:hint="eastAsia" w:ascii="Times New Roman" w:hAnsi="Times New Roman" w:eastAsia="黑体"/>
          <w:sz w:val="48"/>
          <w:szCs w:val="48"/>
          <w:lang w:val="zh-CN"/>
        </w:rPr>
      </w:pPr>
      <w:r>
        <w:rPr>
          <w:rFonts w:hint="eastAsia" w:ascii="Times New Roman" w:hAnsi="Times New Roman" w:eastAsia="黑体"/>
          <w:sz w:val="48"/>
          <w:szCs w:val="48"/>
          <w:lang w:val="zh-CN"/>
        </w:rPr>
        <w:br w:type="page"/>
      </w:r>
    </w:p>
    <w:p w14:paraId="63D1C23C">
      <w:pPr>
        <w:pStyle w:val="58"/>
        <w:snapToGrid w:val="0"/>
        <w:spacing w:line="580" w:lineRule="exact"/>
        <w:ind w:firstLine="0"/>
        <w:jc w:val="center"/>
        <w:rPr>
          <w:rFonts w:ascii="Times New Roman" w:hAnsi="Times New Roman" w:eastAsia="黑体"/>
          <w:sz w:val="48"/>
          <w:szCs w:val="48"/>
          <w:lang w:val="zh-CN"/>
        </w:rPr>
      </w:pPr>
      <w:r>
        <w:rPr>
          <w:rFonts w:hint="eastAsia" w:ascii="Times New Roman" w:hAnsi="Times New Roman" w:eastAsia="黑体"/>
          <w:sz w:val="48"/>
          <w:szCs w:val="48"/>
          <w:lang w:val="zh-CN"/>
        </w:rPr>
        <w:t>阳光合作告知函回执</w:t>
      </w:r>
    </w:p>
    <w:p w14:paraId="09305E0A">
      <w:pPr>
        <w:pStyle w:val="58"/>
        <w:snapToGrid w:val="0"/>
        <w:spacing w:line="580" w:lineRule="exact"/>
        <w:ind w:firstLine="0"/>
        <w:jc w:val="center"/>
        <w:rPr>
          <w:rFonts w:ascii="Times New Roman" w:hAnsi="Times New Roman" w:eastAsia="仿宋_GB2312"/>
          <w:sz w:val="30"/>
          <w:szCs w:val="30"/>
        </w:rPr>
      </w:pPr>
      <w:r>
        <w:rPr>
          <w:rFonts w:ascii="Times New Roman" w:hAnsi="Times New Roman" w:eastAsia="仿宋_GB2312"/>
          <w:sz w:val="30"/>
          <w:szCs w:val="30"/>
        </w:rPr>
        <w:t xml:space="preserve">                            </w:t>
      </w:r>
    </w:p>
    <w:p w14:paraId="10806EB7">
      <w:pPr>
        <w:pStyle w:val="58"/>
        <w:snapToGrid w:val="0"/>
        <w:spacing w:line="580" w:lineRule="exact"/>
        <w:ind w:firstLine="0"/>
        <w:jc w:val="right"/>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30"/>
          <w:szCs w:val="30"/>
        </w:rPr>
        <w:t xml:space="preserve">                                  </w:t>
      </w:r>
      <w:r>
        <w:rPr>
          <w:rFonts w:hint="eastAsia" w:asciiTheme="minorEastAsia" w:hAnsiTheme="minorEastAsia" w:eastAsiaTheme="minorEastAsia" w:cstheme="minorEastAsia"/>
          <w:sz w:val="28"/>
          <w:szCs w:val="28"/>
          <w:lang w:val="zh-CN"/>
        </w:rPr>
        <w:t>编号：JS-2025-163</w:t>
      </w:r>
    </w:p>
    <w:p w14:paraId="55548393">
      <w:pPr>
        <w:pStyle w:val="58"/>
        <w:snapToGrid w:val="0"/>
        <w:spacing w:line="580" w:lineRule="exact"/>
        <w:ind w:firstLine="0"/>
        <w:jc w:val="center"/>
        <w:rPr>
          <w:rFonts w:asciiTheme="minorEastAsia" w:hAnsiTheme="minorEastAsia" w:eastAsiaTheme="minorEastAsia" w:cstheme="minorEastAsia"/>
          <w:sz w:val="28"/>
          <w:szCs w:val="28"/>
          <w:lang w:val="zh-CN"/>
        </w:rPr>
      </w:pPr>
    </w:p>
    <w:p w14:paraId="20A16C9E">
      <w:pPr>
        <w:spacing w:line="580" w:lineRule="exact"/>
        <w:ind w:firstLine="700" w:firstLineChars="250"/>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我单位于</w:t>
      </w:r>
      <w:r>
        <w:rPr>
          <w:rFonts w:hint="eastAsia" w:asciiTheme="minorEastAsia" w:hAnsiTheme="minorEastAsia" w:eastAsiaTheme="minorEastAsia" w:cstheme="minorEastAsia"/>
          <w:sz w:val="28"/>
          <w:szCs w:val="28"/>
          <w:u w:val="single"/>
          <w:lang w:val="zh-CN"/>
        </w:rPr>
        <w:t xml:space="preserve">       </w:t>
      </w:r>
      <w:r>
        <w:rPr>
          <w:rFonts w:hint="eastAsia" w:asciiTheme="minorEastAsia" w:hAnsiTheme="minorEastAsia" w:eastAsiaTheme="minorEastAsia" w:cstheme="minorEastAsia"/>
          <w:sz w:val="28"/>
          <w:szCs w:val="28"/>
          <w:lang w:val="zh-CN"/>
        </w:rPr>
        <w:t>年</w:t>
      </w:r>
      <w:r>
        <w:rPr>
          <w:rFonts w:hint="eastAsia" w:asciiTheme="minorEastAsia" w:hAnsiTheme="minorEastAsia" w:eastAsiaTheme="minorEastAsia" w:cstheme="minorEastAsia"/>
          <w:sz w:val="28"/>
          <w:szCs w:val="28"/>
          <w:u w:val="single"/>
          <w:lang w:val="zh-CN"/>
        </w:rPr>
        <w:t xml:space="preserve">    </w:t>
      </w:r>
      <w:r>
        <w:rPr>
          <w:rFonts w:hint="eastAsia" w:asciiTheme="minorEastAsia" w:hAnsiTheme="minorEastAsia" w:eastAsiaTheme="minorEastAsia" w:cstheme="minorEastAsia"/>
          <w:sz w:val="28"/>
          <w:szCs w:val="28"/>
          <w:lang w:val="zh-CN"/>
        </w:rPr>
        <w:t>月</w:t>
      </w:r>
      <w:r>
        <w:rPr>
          <w:rFonts w:hint="eastAsia" w:asciiTheme="minorEastAsia" w:hAnsiTheme="minorEastAsia" w:eastAsiaTheme="minorEastAsia" w:cstheme="minorEastAsia"/>
          <w:sz w:val="28"/>
          <w:szCs w:val="28"/>
          <w:u w:val="single"/>
          <w:lang w:val="zh-CN"/>
        </w:rPr>
        <w:t xml:space="preserve">    </w:t>
      </w:r>
      <w:r>
        <w:rPr>
          <w:rFonts w:hint="eastAsia" w:asciiTheme="minorEastAsia" w:hAnsiTheme="minorEastAsia" w:eastAsiaTheme="minorEastAsia" w:cstheme="minorEastAsia"/>
          <w:sz w:val="28"/>
          <w:szCs w:val="28"/>
          <w:lang w:val="zh-CN"/>
        </w:rPr>
        <w:t>日收到东莞市尚源环能科技有限公司的《阳光合作告知函》，承诺理解函告内容并告知相关人员严格执行其中规定。</w:t>
      </w:r>
    </w:p>
    <w:p w14:paraId="5EF786BF">
      <w:pPr>
        <w:snapToGrid w:val="0"/>
        <w:spacing w:line="580" w:lineRule="exact"/>
        <w:rPr>
          <w:rFonts w:asciiTheme="minorEastAsia" w:hAnsiTheme="minorEastAsia" w:eastAsiaTheme="minorEastAsia" w:cstheme="minorEastAsia"/>
          <w:sz w:val="28"/>
          <w:szCs w:val="28"/>
          <w:lang w:val="zh-CN"/>
        </w:rPr>
      </w:pPr>
    </w:p>
    <w:p w14:paraId="5586BB2F">
      <w:pPr>
        <w:snapToGrid w:val="0"/>
        <w:spacing w:line="580" w:lineRule="exact"/>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w:t>
      </w:r>
      <w:r>
        <w:rPr>
          <w:rFonts w:hint="eastAsia" w:asciiTheme="minorEastAsia" w:hAnsiTheme="minorEastAsia" w:eastAsiaTheme="minorEastAsia" w:cstheme="minorEastAsia"/>
          <w:bCs/>
          <w:sz w:val="28"/>
          <w:szCs w:val="28"/>
        </w:rPr>
        <w:t xml:space="preserve">          </w:t>
      </w:r>
      <w:r>
        <w:rPr>
          <w:rFonts w:hint="eastAsia" w:asciiTheme="minorEastAsia" w:hAnsiTheme="minorEastAsia" w:eastAsiaTheme="minorEastAsia" w:cstheme="minorEastAsia"/>
          <w:bCs/>
          <w:sz w:val="28"/>
          <w:szCs w:val="28"/>
          <w:u w:val="single"/>
        </w:rPr>
        <w:t xml:space="preserve">               公司</w:t>
      </w:r>
      <w:r>
        <w:rPr>
          <w:rFonts w:hint="eastAsia" w:asciiTheme="minorEastAsia" w:hAnsiTheme="minorEastAsia" w:eastAsiaTheme="minorEastAsia" w:cstheme="minorEastAsia"/>
          <w:sz w:val="28"/>
          <w:szCs w:val="28"/>
          <w:lang w:val="zh-CN"/>
        </w:rPr>
        <w:t>（盖章）</w:t>
      </w:r>
    </w:p>
    <w:p w14:paraId="4A1333EB">
      <w:pPr>
        <w:snapToGrid w:val="0"/>
        <w:spacing w:line="580" w:lineRule="exact"/>
        <w:rPr>
          <w:rFonts w:asciiTheme="minorEastAsia" w:hAnsiTheme="minorEastAsia" w:eastAsiaTheme="minorEastAsia" w:cstheme="minorEastAsia"/>
          <w:sz w:val="28"/>
          <w:szCs w:val="28"/>
          <w:lang w:val="zh-CN"/>
        </w:rPr>
      </w:pPr>
    </w:p>
    <w:p w14:paraId="3292C294">
      <w:pPr>
        <w:snapToGrid w:val="0"/>
        <w:spacing w:line="580" w:lineRule="exact"/>
        <w:ind w:right="1280" w:firstLine="4480" w:firstLineChars="16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法定代表人：           </w:t>
      </w:r>
    </w:p>
    <w:p w14:paraId="2400713B">
      <w:pPr>
        <w:wordWrap w:val="0"/>
        <w:snapToGrid w:val="0"/>
        <w:spacing w:line="580" w:lineRule="exact"/>
        <w:jc w:val="righ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14:paraId="41F63610">
      <w:pPr>
        <w:snapToGrid w:val="0"/>
        <w:spacing w:line="580" w:lineRule="exact"/>
        <w:ind w:firstLine="5040" w:firstLineChars="1800"/>
        <w:jc w:val="both"/>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年    月    日</w:t>
      </w:r>
    </w:p>
    <w:p w14:paraId="222CAA49">
      <w:pPr>
        <w:pStyle w:val="58"/>
        <w:snapToGrid w:val="0"/>
        <w:spacing w:line="580" w:lineRule="exact"/>
        <w:ind w:firstLine="5932" w:firstLineChars="1854"/>
        <w:jc w:val="right"/>
        <w:rPr>
          <w:rFonts w:hint="eastAsia" w:ascii="仿宋_GB2312" w:hAnsi="Times New Roman" w:eastAsia="仿宋_GB2312"/>
          <w:sz w:val="32"/>
          <w:szCs w:val="32"/>
        </w:rPr>
      </w:pPr>
    </w:p>
    <w:p w14:paraId="0CC4246E">
      <w:pPr>
        <w:pStyle w:val="20"/>
        <w:ind w:firstLine="0" w:firstLineChars="0"/>
        <w:rPr>
          <w:rFonts w:hint="default"/>
          <w:lang w:val="en-US" w:eastAsia="zh-CN"/>
        </w:rPr>
      </w:pPr>
    </w:p>
    <w:p w14:paraId="0BBBBC25">
      <w:pPr>
        <w:pStyle w:val="20"/>
        <w:ind w:firstLine="0" w:firstLineChars="0"/>
        <w:rPr>
          <w:rFonts w:hint="default"/>
          <w:lang w:val="en-US" w:eastAsia="zh-CN"/>
        </w:rPr>
      </w:pPr>
    </w:p>
    <w:p w14:paraId="0D8E7960">
      <w:pPr>
        <w:pStyle w:val="20"/>
        <w:ind w:firstLine="0" w:firstLineChars="0"/>
        <w:rPr>
          <w:rFonts w:hint="default"/>
          <w:lang w:val="en-US" w:eastAsia="zh-CN"/>
        </w:rPr>
      </w:pPr>
    </w:p>
    <w:p w14:paraId="3862D6CC">
      <w:pPr>
        <w:jc w:val="center"/>
        <w:rPr>
          <w:rFonts w:hint="eastAsia" w:ascii="宋体" w:hAnsi="宋体"/>
          <w:b/>
          <w:color w:val="auto"/>
          <w:sz w:val="40"/>
          <w:highlight w:val="none"/>
        </w:rPr>
      </w:pPr>
    </w:p>
    <w:p w14:paraId="60A1133A">
      <w:pPr>
        <w:pStyle w:val="64"/>
        <w:spacing w:line="360" w:lineRule="auto"/>
        <w:ind w:firstLine="0" w:firstLineChars="0"/>
        <w:rPr>
          <w:rFonts w:hint="eastAsia" w:ascii="宋体" w:hAnsi="宋体" w:eastAsia="宋体" w:cs="宋体"/>
          <w:color w:val="auto"/>
          <w:sz w:val="21"/>
          <w:szCs w:val="21"/>
          <w:highlight w:val="none"/>
        </w:rPr>
      </w:pPr>
    </w:p>
    <w:p w14:paraId="190E5887">
      <w:pPr>
        <w:rPr>
          <w:rFonts w:hint="eastAsia"/>
          <w:color w:val="auto"/>
          <w:sz w:val="28"/>
          <w:szCs w:val="28"/>
          <w:highlight w:val="none"/>
          <w:lang w:val="en-US" w:eastAsia="zh-CN"/>
        </w:rPr>
      </w:pPr>
      <w:r>
        <w:rPr>
          <w:rFonts w:hint="eastAsia"/>
          <w:color w:val="auto"/>
          <w:sz w:val="28"/>
          <w:szCs w:val="28"/>
          <w:highlight w:val="none"/>
          <w:lang w:val="en-US" w:eastAsia="zh-CN"/>
        </w:rPr>
        <w:br w:type="page"/>
      </w:r>
    </w:p>
    <w:p w14:paraId="39B45ECF">
      <w:pPr>
        <w:pStyle w:val="3"/>
        <w:spacing w:before="0" w:after="0"/>
        <w:jc w:val="center"/>
        <w:rPr>
          <w:rFonts w:hAnsi="宋体" w:cs="宋体"/>
          <w:color w:val="auto"/>
          <w:szCs w:val="32"/>
          <w:highlight w:val="none"/>
        </w:rPr>
      </w:pPr>
      <w:bookmarkStart w:id="38" w:name="_Toc4686"/>
      <w:r>
        <w:rPr>
          <w:rFonts w:hint="eastAsia" w:hAnsi="宋体" w:cs="宋体"/>
          <w:color w:val="auto"/>
          <w:szCs w:val="32"/>
          <w:highlight w:val="none"/>
        </w:rPr>
        <w:t>第四章 报价须知</w:t>
      </w:r>
      <w:bookmarkEnd w:id="38"/>
    </w:p>
    <w:p w14:paraId="57A5FE85">
      <w:pPr>
        <w:spacing w:line="360" w:lineRule="auto"/>
        <w:rPr>
          <w:rFonts w:hAnsi="宋体" w:cs="宋体"/>
          <w:b/>
          <w:bCs/>
          <w:color w:val="auto"/>
          <w:highlight w:val="none"/>
        </w:rPr>
      </w:pPr>
      <w:r>
        <w:rPr>
          <w:rFonts w:hint="eastAsia" w:hAnsi="宋体" w:cs="宋体"/>
          <w:b/>
          <w:bCs/>
          <w:color w:val="auto"/>
          <w:highlight w:val="none"/>
        </w:rPr>
        <w:t>一、项目费用说明</w:t>
      </w:r>
    </w:p>
    <w:p w14:paraId="16220D8F">
      <w:pPr>
        <w:spacing w:line="360" w:lineRule="auto"/>
        <w:ind w:firstLine="424" w:firstLineChars="177"/>
        <w:rPr>
          <w:rFonts w:hAnsi="宋体" w:cs="宋体"/>
          <w:color w:val="auto"/>
          <w:highlight w:val="none"/>
        </w:rPr>
      </w:pPr>
      <w:r>
        <w:rPr>
          <w:rFonts w:hint="eastAsia" w:hAnsi="宋体" w:cs="宋体"/>
          <w:color w:val="auto"/>
          <w:highlight w:val="none"/>
        </w:rPr>
        <w:t>报价人应按询价文件要求及企业的自身情况进行报价。所报的价格包含完成询价文件规定的工作所需的全部费用（除了服务单位销项税额），并承担所有相应项目风险。</w:t>
      </w:r>
    </w:p>
    <w:p w14:paraId="336EE73D">
      <w:pPr>
        <w:spacing w:line="360" w:lineRule="auto"/>
        <w:rPr>
          <w:rFonts w:hAnsi="宋体" w:cs="宋体"/>
          <w:b/>
          <w:bCs/>
          <w:color w:val="auto"/>
          <w:highlight w:val="none"/>
        </w:rPr>
      </w:pPr>
    </w:p>
    <w:p w14:paraId="40A9E328">
      <w:pPr>
        <w:spacing w:line="360" w:lineRule="auto"/>
        <w:rPr>
          <w:rFonts w:hAnsi="宋体" w:cs="宋体"/>
          <w:b/>
          <w:bCs/>
          <w:color w:val="auto"/>
          <w:highlight w:val="none"/>
        </w:rPr>
      </w:pPr>
      <w:r>
        <w:rPr>
          <w:rFonts w:hint="eastAsia" w:hAnsi="宋体" w:cs="宋体"/>
          <w:b/>
          <w:bCs/>
          <w:color w:val="auto"/>
          <w:highlight w:val="none"/>
        </w:rPr>
        <w:t>二、报价文件的组成</w:t>
      </w:r>
    </w:p>
    <w:p w14:paraId="0CE912FF">
      <w:pPr>
        <w:spacing w:line="360" w:lineRule="auto"/>
        <w:ind w:firstLine="424" w:firstLineChars="177"/>
        <w:rPr>
          <w:rFonts w:hAnsi="宋体" w:cs="宋体"/>
          <w:color w:val="auto"/>
          <w:highlight w:val="none"/>
        </w:rPr>
      </w:pPr>
      <w:r>
        <w:rPr>
          <w:rFonts w:hint="eastAsia" w:hAnsi="宋体" w:cs="宋体"/>
          <w:color w:val="auto"/>
          <w:highlight w:val="none"/>
        </w:rPr>
        <w:t>1.报价表；</w:t>
      </w:r>
    </w:p>
    <w:p w14:paraId="14137B6D">
      <w:pPr>
        <w:spacing w:line="360" w:lineRule="auto"/>
        <w:ind w:firstLine="424" w:firstLineChars="177"/>
        <w:rPr>
          <w:rFonts w:hAnsi="宋体" w:cs="宋体"/>
          <w:color w:val="auto"/>
          <w:highlight w:val="none"/>
        </w:rPr>
      </w:pPr>
      <w:r>
        <w:rPr>
          <w:rFonts w:hint="eastAsia" w:hAnsi="宋体" w:cs="宋体"/>
          <w:color w:val="auto"/>
          <w:highlight w:val="none"/>
        </w:rPr>
        <w:t>2.项目响应声明；</w:t>
      </w:r>
    </w:p>
    <w:p w14:paraId="7DA91630">
      <w:pPr>
        <w:spacing w:line="360" w:lineRule="auto"/>
        <w:ind w:firstLine="424" w:firstLineChars="177"/>
        <w:rPr>
          <w:rFonts w:hAnsi="宋体" w:cs="宋体"/>
          <w:color w:val="auto"/>
          <w:highlight w:val="none"/>
        </w:rPr>
      </w:pPr>
      <w:r>
        <w:rPr>
          <w:rFonts w:hAnsi="宋体" w:cs="宋体"/>
          <w:color w:val="auto"/>
          <w:highlight w:val="none"/>
        </w:rPr>
        <w:t>3.</w:t>
      </w:r>
      <w:r>
        <w:rPr>
          <w:rFonts w:hint="eastAsia" w:hAnsi="宋体" w:cs="宋体"/>
          <w:color w:val="auto"/>
          <w:highlight w:val="none"/>
        </w:rPr>
        <w:t>营业执照；</w:t>
      </w:r>
    </w:p>
    <w:p w14:paraId="13B2C2F5">
      <w:pPr>
        <w:spacing w:line="360" w:lineRule="auto"/>
        <w:ind w:firstLine="424" w:firstLineChars="177"/>
        <w:rPr>
          <w:rFonts w:hAnsi="宋体" w:cs="宋体"/>
          <w:color w:val="auto"/>
          <w:highlight w:val="none"/>
        </w:rPr>
      </w:pPr>
      <w:r>
        <w:rPr>
          <w:rFonts w:hAnsi="宋体" w:cs="宋体"/>
          <w:color w:val="auto"/>
          <w:highlight w:val="none"/>
        </w:rPr>
        <w:t>4.</w:t>
      </w:r>
      <w:r>
        <w:rPr>
          <w:rFonts w:hint="eastAsia" w:hAnsi="宋体" w:cs="宋体"/>
          <w:color w:val="auto"/>
          <w:highlight w:val="none"/>
          <w:lang w:val="en-US" w:eastAsia="zh-CN"/>
        </w:rPr>
        <w:t>报价人</w:t>
      </w:r>
      <w:r>
        <w:rPr>
          <w:rFonts w:hint="eastAsia" w:ascii="Times New Roman"/>
          <w:color w:val="auto"/>
          <w:highlight w:val="none"/>
          <w:lang w:val="en-US" w:eastAsia="zh-CN"/>
        </w:rPr>
        <w:t>提供</w:t>
      </w:r>
      <w:r>
        <w:rPr>
          <w:rFonts w:ascii="Times New Roman"/>
          <w:color w:val="auto"/>
          <w:highlight w:val="none"/>
        </w:rPr>
        <w:t>一</w:t>
      </w:r>
      <w:r>
        <w:rPr>
          <w:rFonts w:hint="eastAsia" w:ascii="Times New Roman"/>
          <w:color w:val="auto"/>
          <w:highlight w:val="none"/>
          <w:lang w:val="en-US" w:eastAsia="zh-CN"/>
        </w:rPr>
        <w:t>份</w:t>
      </w:r>
      <w:r>
        <w:rPr>
          <w:rFonts w:hint="eastAsia" w:hAnsi="宋体" w:cs="宋体"/>
          <w:color w:val="auto"/>
          <w:highlight w:val="none"/>
          <w:u w:val="single"/>
          <w:lang w:val="en-US" w:eastAsia="zh-CN"/>
        </w:rPr>
        <w:t>尿素供货</w:t>
      </w:r>
      <w:r>
        <w:rPr>
          <w:rFonts w:hint="eastAsia" w:hAnsi="宋体" w:cs="宋体"/>
          <w:color w:val="auto"/>
          <w:highlight w:val="none"/>
          <w:u w:val="none"/>
          <w:lang w:val="en-US" w:eastAsia="zh-CN"/>
        </w:rPr>
        <w:t>相关</w:t>
      </w:r>
      <w:r>
        <w:rPr>
          <w:rFonts w:ascii="Times New Roman"/>
          <w:color w:val="auto"/>
          <w:highlight w:val="none"/>
        </w:rPr>
        <w:t>业绩（合同签订日期为2022年1月1日或以后）</w:t>
      </w:r>
      <w:r>
        <w:rPr>
          <w:rFonts w:hint="eastAsia" w:hAnsi="宋体" w:cs="宋体"/>
          <w:color w:val="auto"/>
          <w:highlight w:val="none"/>
        </w:rPr>
        <w:t>；</w:t>
      </w:r>
    </w:p>
    <w:p w14:paraId="62C8E8EA">
      <w:pPr>
        <w:spacing w:line="360" w:lineRule="auto"/>
        <w:ind w:firstLine="424" w:firstLineChars="177"/>
        <w:rPr>
          <w:rFonts w:hAnsi="宋体" w:cs="宋体"/>
          <w:color w:val="auto"/>
          <w:highlight w:val="none"/>
        </w:rPr>
      </w:pPr>
      <w:r>
        <w:rPr>
          <w:rFonts w:hAnsi="宋体" w:cs="宋体"/>
          <w:color w:val="auto"/>
          <w:highlight w:val="none"/>
        </w:rPr>
        <w:t>5.</w:t>
      </w:r>
      <w:r>
        <w:rPr>
          <w:rFonts w:hint="eastAsia" w:hAnsi="宋体" w:cs="宋体"/>
          <w:color w:val="auto"/>
          <w:highlight w:val="none"/>
        </w:rPr>
        <w:t>承诺函。</w:t>
      </w:r>
    </w:p>
    <w:p w14:paraId="509C474D">
      <w:pPr>
        <w:spacing w:line="360" w:lineRule="auto"/>
        <w:rPr>
          <w:rFonts w:hAnsi="宋体" w:cs="宋体"/>
          <w:b/>
          <w:bCs/>
          <w:color w:val="auto"/>
          <w:highlight w:val="none"/>
        </w:rPr>
      </w:pPr>
    </w:p>
    <w:p w14:paraId="16683D33">
      <w:pPr>
        <w:spacing w:line="360" w:lineRule="auto"/>
        <w:rPr>
          <w:rFonts w:hAnsi="宋体" w:cs="宋体"/>
          <w:b/>
          <w:bCs/>
          <w:color w:val="auto"/>
          <w:highlight w:val="none"/>
        </w:rPr>
      </w:pPr>
      <w:r>
        <w:rPr>
          <w:rFonts w:hint="eastAsia" w:hAnsi="宋体" w:cs="宋体"/>
          <w:b/>
          <w:bCs/>
          <w:color w:val="auto"/>
          <w:highlight w:val="none"/>
        </w:rPr>
        <w:t>三、报价文件的封装和递交</w:t>
      </w:r>
    </w:p>
    <w:p w14:paraId="135AAD21">
      <w:pPr>
        <w:spacing w:line="360" w:lineRule="auto"/>
        <w:ind w:firstLine="424" w:firstLineChars="177"/>
        <w:rPr>
          <w:rFonts w:ascii="Times New Roman" w:cs="宋体"/>
          <w:color w:val="auto"/>
          <w:highlight w:val="none"/>
        </w:rPr>
      </w:pPr>
      <w:r>
        <w:rPr>
          <w:rFonts w:hint="eastAsia" w:ascii="Times New Roman" w:cs="宋体"/>
          <w:color w:val="auto"/>
          <w:highlight w:val="none"/>
        </w:rPr>
        <w:t>1.报价人应将报价文件一起密封在一个不透明的外层封装中。外层密封封装表面应正确标明项目名称、项目编号、报价人单位名称，封口位置盖章。</w:t>
      </w:r>
    </w:p>
    <w:p w14:paraId="2133BD16">
      <w:pPr>
        <w:spacing w:line="360" w:lineRule="auto"/>
        <w:ind w:firstLine="424" w:firstLineChars="177"/>
        <w:rPr>
          <w:rFonts w:ascii="Times New Roman" w:cs="宋体"/>
          <w:color w:val="auto"/>
          <w:highlight w:val="none"/>
        </w:rPr>
      </w:pPr>
      <w:r>
        <w:rPr>
          <w:rFonts w:hint="eastAsia" w:ascii="Times New Roman" w:cs="宋体"/>
          <w:color w:val="auto"/>
          <w:highlight w:val="none"/>
        </w:rPr>
        <w:t>2. 报价文件无须装订成册。若报价文件装订成册，需同时提供电子文件，内容包括：签字、盖章后的报价文件扫描版PDF格式电子文件。电子文件不可设置密码，用U盘或DVD或CD-R光盘储存 ，并密封于“电子文件”内（电子文件的包装封面需注明项目名称、项目编号、报价人单位名称，并盖章）。</w:t>
      </w:r>
    </w:p>
    <w:p w14:paraId="7974CC97">
      <w:pPr>
        <w:spacing w:line="360" w:lineRule="auto"/>
        <w:ind w:firstLine="424" w:firstLineChars="177"/>
        <w:rPr>
          <w:rFonts w:hAnsi="宋体" w:cs="宋体"/>
          <w:color w:val="auto"/>
          <w:highlight w:val="none"/>
        </w:rPr>
      </w:pPr>
      <w:r>
        <w:rPr>
          <w:rFonts w:hint="eastAsia" w:ascii="Times New Roman" w:cs="宋体"/>
          <w:color w:val="auto"/>
          <w:highlight w:val="none"/>
        </w:rPr>
        <w:t>3</w:t>
      </w:r>
      <w:r>
        <w:rPr>
          <w:rFonts w:hint="eastAsia" w:hAnsi="宋体" w:cs="宋体"/>
          <w:color w:val="auto"/>
          <w:highlight w:val="none"/>
        </w:rPr>
        <w:t>.</w:t>
      </w:r>
      <w:r>
        <w:rPr>
          <w:rFonts w:hint="eastAsia" w:hAnsi="宋体" w:cs="宋体"/>
          <w:b/>
          <w:bCs/>
          <w:color w:val="auto"/>
          <w:highlight w:val="none"/>
        </w:rPr>
        <w:t>密封好的报价文件，应于询价邀请函中规定的截止时间前递交到采购人指定的递交地点，否则视为放弃参与本项目。</w:t>
      </w:r>
    </w:p>
    <w:p w14:paraId="10D9BD5C">
      <w:pPr>
        <w:spacing w:line="360" w:lineRule="auto"/>
        <w:rPr>
          <w:rFonts w:hAnsi="宋体" w:cs="宋体"/>
          <w:color w:val="auto"/>
          <w:highlight w:val="none"/>
        </w:rPr>
      </w:pPr>
    </w:p>
    <w:p w14:paraId="0C4239AF">
      <w:pPr>
        <w:spacing w:line="360" w:lineRule="auto"/>
        <w:rPr>
          <w:rFonts w:hAnsi="宋体" w:cs="宋体"/>
          <w:b/>
          <w:bCs/>
          <w:color w:val="auto"/>
          <w:highlight w:val="none"/>
        </w:rPr>
      </w:pPr>
      <w:r>
        <w:rPr>
          <w:rFonts w:hint="eastAsia" w:hAnsi="宋体" w:cs="宋体"/>
          <w:b/>
          <w:bCs/>
          <w:color w:val="auto"/>
          <w:highlight w:val="none"/>
        </w:rPr>
        <w:t>四、报价有效性说明</w:t>
      </w:r>
    </w:p>
    <w:p w14:paraId="3DE3EC7A">
      <w:pPr>
        <w:spacing w:line="360" w:lineRule="auto"/>
        <w:ind w:firstLine="482" w:firstLineChars="200"/>
        <w:rPr>
          <w:rFonts w:ascii="Times New Roman"/>
          <w:b/>
          <w:bCs/>
        </w:rPr>
      </w:pPr>
      <w:r>
        <w:rPr>
          <w:rFonts w:hint="eastAsia" w:ascii="Times New Roman"/>
          <w:b/>
          <w:bCs/>
        </w:rPr>
        <w:t>1</w:t>
      </w:r>
      <w:r>
        <w:rPr>
          <w:rFonts w:ascii="Times New Roman"/>
          <w:b/>
          <w:bCs/>
        </w:rPr>
        <w:t>.</w:t>
      </w:r>
      <w:r>
        <w:rPr>
          <w:rFonts w:hint="eastAsia" w:ascii="Times New Roman"/>
          <w:b/>
          <w:bCs/>
        </w:rPr>
        <w:t>报价人不符合合格报价人的基本条件[报价人被列入“信用中国”网站（www.creditchina.gov.cn）失信被执行人、重大税收违法失信主体、政府采购严重违法失信行为记录名单（处罚期限届满的除外）]。</w:t>
      </w:r>
    </w:p>
    <w:p w14:paraId="18DE1900">
      <w:pPr>
        <w:spacing w:line="360" w:lineRule="auto"/>
        <w:ind w:firstLine="482" w:firstLineChars="200"/>
        <w:rPr>
          <w:rFonts w:ascii="Times New Roman"/>
          <w:b/>
          <w:bCs/>
        </w:rPr>
      </w:pPr>
      <w:r>
        <w:rPr>
          <w:rFonts w:hint="eastAsia" w:ascii="Times New Roman"/>
          <w:b/>
          <w:bCs/>
        </w:rPr>
        <w:t>2.</w:t>
      </w:r>
      <w:r>
        <w:rPr>
          <w:rFonts w:ascii="Times New Roman"/>
          <w:b/>
          <w:bCs/>
        </w:rPr>
        <w:t>不含税</w:t>
      </w:r>
      <w:r>
        <w:rPr>
          <w:rFonts w:hint="eastAsia" w:ascii="Times New Roman"/>
          <w:b/>
          <w:bCs/>
        </w:rPr>
        <w:t>综合单价</w:t>
      </w:r>
      <w:r>
        <w:rPr>
          <w:rFonts w:ascii="Times New Roman"/>
          <w:b/>
          <w:bCs/>
        </w:rPr>
        <w:t>报价不得高于本项目不含税最高限价</w:t>
      </w:r>
      <w:r>
        <w:rPr>
          <w:rFonts w:hint="eastAsia" w:ascii="Times New Roman"/>
          <w:b/>
          <w:bCs/>
        </w:rPr>
        <w:t>，</w:t>
      </w:r>
      <w:r>
        <w:rPr>
          <w:rFonts w:ascii="Times New Roman"/>
          <w:b/>
          <w:bCs/>
        </w:rPr>
        <w:t>否则视为无效报价</w:t>
      </w:r>
      <w:r>
        <w:rPr>
          <w:rFonts w:hint="eastAsia" w:ascii="Times New Roman"/>
          <w:b/>
          <w:bCs/>
        </w:rPr>
        <w:t>。</w:t>
      </w:r>
    </w:p>
    <w:p w14:paraId="0A79A9CA">
      <w:pPr>
        <w:spacing w:line="360" w:lineRule="auto"/>
        <w:ind w:firstLine="482" w:firstLineChars="200"/>
        <w:rPr>
          <w:rFonts w:ascii="Times New Roman"/>
          <w:b/>
          <w:bCs/>
        </w:rPr>
      </w:pPr>
      <w:r>
        <w:rPr>
          <w:rFonts w:ascii="Times New Roman"/>
          <w:b/>
          <w:bCs/>
        </w:rPr>
        <w:t>3.</w:t>
      </w:r>
      <w:r>
        <w:rPr>
          <w:rFonts w:hint="eastAsia" w:ascii="Times New Roman"/>
          <w:b/>
          <w:bCs/>
        </w:rPr>
        <w:t>报价人未按报价文件格式提供相应材料的，按无效报价处理。</w:t>
      </w:r>
    </w:p>
    <w:p w14:paraId="7C9A8348">
      <w:pPr>
        <w:spacing w:line="360" w:lineRule="auto"/>
        <w:ind w:firstLine="482" w:firstLineChars="200"/>
        <w:rPr>
          <w:rFonts w:ascii="Times New Roman"/>
          <w:b/>
          <w:bCs/>
        </w:rPr>
      </w:pPr>
      <w:r>
        <w:rPr>
          <w:rFonts w:ascii="Times New Roman"/>
          <w:b/>
          <w:bCs/>
        </w:rPr>
        <w:t>4.若有效报价文件不足三家时，采购人有权重新进行采购</w:t>
      </w:r>
      <w:r>
        <w:rPr>
          <w:rFonts w:hint="eastAsia" w:ascii="Times New Roman"/>
          <w:b/>
          <w:bCs/>
        </w:rPr>
        <w:t>。</w:t>
      </w:r>
    </w:p>
    <w:p w14:paraId="30A62FBF">
      <w:pPr>
        <w:spacing w:line="360" w:lineRule="auto"/>
        <w:ind w:firstLine="482" w:firstLineChars="200"/>
        <w:rPr>
          <w:rFonts w:ascii="Times New Roman"/>
          <w:b/>
          <w:bCs/>
        </w:rPr>
      </w:pPr>
      <w:r>
        <w:rPr>
          <w:rFonts w:ascii="Times New Roman"/>
          <w:b/>
          <w:bCs/>
        </w:rPr>
        <w:t>5</w:t>
      </w:r>
      <w:r>
        <w:rPr>
          <w:rFonts w:hint="eastAsia" w:ascii="Times New Roman"/>
          <w:b/>
          <w:bCs/>
        </w:rPr>
        <w:t>.</w:t>
      </w:r>
      <w:r>
        <w:rPr>
          <w:rFonts w:ascii="Times New Roman"/>
          <w:b/>
          <w:bCs/>
        </w:rPr>
        <w:t>在实质性满足采购需求的情况下，若2家以上（含本数）供应商报价一致且同为最低价时，报价相同的供应商再进行一次报价，且再次报价不得高于前一次报价，以此类推，最终价低者得</w:t>
      </w:r>
      <w:r>
        <w:rPr>
          <w:rFonts w:hint="eastAsia" w:ascii="Times New Roman"/>
          <w:b/>
          <w:bCs/>
        </w:rPr>
        <w:t>。</w:t>
      </w:r>
    </w:p>
    <w:p w14:paraId="42CEBA4B">
      <w:pPr>
        <w:spacing w:line="360" w:lineRule="auto"/>
        <w:ind w:firstLine="482" w:firstLineChars="200"/>
        <w:rPr>
          <w:rFonts w:hAnsi="宋体" w:cs="宋体"/>
          <w:b/>
          <w:bCs/>
        </w:rPr>
      </w:pPr>
      <w:r>
        <w:rPr>
          <w:rFonts w:ascii="Times New Roman"/>
          <w:b/>
          <w:bCs/>
        </w:rPr>
        <w:t>6</w:t>
      </w:r>
      <w:r>
        <w:rPr>
          <w:rFonts w:hint="eastAsia" w:ascii="Times New Roman"/>
          <w:b/>
          <w:bCs/>
        </w:rPr>
        <w:t>.</w:t>
      </w:r>
      <w:r>
        <w:rPr>
          <w:rFonts w:ascii="Times New Roman"/>
          <w:b/>
          <w:bCs/>
        </w:rPr>
        <w:t>当报价文件完全响应需求的最低价供应商放弃成交资格或经确认未实质性满足采购需求时，我公司有权确定实质性满足采购需求的第二低价供应商作为成交供应商，或重新进行采购</w:t>
      </w:r>
      <w:r>
        <w:rPr>
          <w:rFonts w:hint="eastAsia" w:hAnsi="宋体" w:cs="宋体"/>
          <w:b/>
          <w:bCs/>
        </w:rPr>
        <w:t>。</w:t>
      </w:r>
    </w:p>
    <w:p w14:paraId="696A7996">
      <w:pPr>
        <w:spacing w:line="360" w:lineRule="auto"/>
        <w:rPr>
          <w:rFonts w:hAnsi="宋体" w:cs="宋体"/>
          <w:b/>
          <w:color w:val="auto"/>
          <w:highlight w:val="none"/>
        </w:rPr>
      </w:pPr>
    </w:p>
    <w:p w14:paraId="37E4073C">
      <w:pPr>
        <w:spacing w:line="360" w:lineRule="auto"/>
        <w:rPr>
          <w:rFonts w:hAnsi="宋体" w:cs="宋体"/>
          <w:b/>
          <w:color w:val="auto"/>
          <w:highlight w:val="none"/>
        </w:rPr>
      </w:pPr>
      <w:r>
        <w:rPr>
          <w:rFonts w:hint="eastAsia" w:hAnsi="宋体" w:cs="宋体"/>
          <w:b/>
          <w:color w:val="auto"/>
          <w:highlight w:val="none"/>
        </w:rPr>
        <w:t>五、合同签订说明</w:t>
      </w:r>
    </w:p>
    <w:p w14:paraId="41F65839">
      <w:pPr>
        <w:spacing w:line="360" w:lineRule="auto"/>
        <w:ind w:firstLine="481"/>
        <w:rPr>
          <w:rFonts w:hint="eastAsia" w:hAnsi="宋体" w:cs="宋体"/>
          <w:b/>
          <w:color w:val="auto"/>
          <w:highlight w:val="none"/>
        </w:rPr>
      </w:pPr>
      <w:r>
        <w:rPr>
          <w:rFonts w:hint="eastAsia" w:hAnsi="宋体" w:cs="宋体"/>
          <w:b/>
          <w:color w:val="auto"/>
          <w:highlight w:val="none"/>
        </w:rPr>
        <w:t>本项目成交单位会根据项目实际情况与</w:t>
      </w:r>
      <w:r>
        <w:rPr>
          <w:rFonts w:hint="eastAsia" w:hAnsi="宋体" w:cs="宋体"/>
          <w:b/>
          <w:color w:val="auto"/>
          <w:highlight w:val="none"/>
          <w:lang w:eastAsia="zh-CN"/>
        </w:rPr>
        <w:t>东莞市水务环境投资控股集团净水有限公司</w:t>
      </w:r>
      <w:r>
        <w:rPr>
          <w:rFonts w:hint="eastAsia" w:hAnsi="宋体" w:cs="宋体"/>
          <w:b/>
          <w:color w:val="auto"/>
          <w:highlight w:val="none"/>
        </w:rPr>
        <w:t>或东莞市石鼓净水有限公司或东莞市樟村水质净化有限公司或东莞市清源净水科技有限公司或东莞市莞水装备科技有限公司</w:t>
      </w:r>
      <w:r>
        <w:rPr>
          <w:rFonts w:hint="eastAsia" w:hAnsi="宋体" w:cs="宋体"/>
          <w:b/>
          <w:color w:val="auto"/>
          <w:highlight w:val="none"/>
          <w:lang w:val="en-US" w:eastAsia="zh-CN"/>
        </w:rPr>
        <w:t>或东莞市众源环境投资有限公司或</w:t>
      </w:r>
      <w:r>
        <w:rPr>
          <w:rFonts w:hint="eastAsia" w:hAnsi="宋体" w:cs="宋体"/>
          <w:b/>
          <w:color w:val="auto"/>
          <w:highlight w:val="none"/>
        </w:rPr>
        <w:t>东莞市尚源环能科技有限公司签署合同。</w:t>
      </w:r>
    </w:p>
    <w:p w14:paraId="73AE02F2">
      <w:pPr>
        <w:pStyle w:val="8"/>
        <w:ind w:firstLine="481"/>
      </w:pPr>
    </w:p>
    <w:p w14:paraId="0866030F">
      <w:pPr>
        <w:numPr>
          <w:ilvl w:val="0"/>
          <w:numId w:val="6"/>
        </w:numPr>
        <w:spacing w:line="360" w:lineRule="auto"/>
        <w:rPr>
          <w:rFonts w:hint="eastAsia" w:hAnsi="宋体" w:cs="宋体"/>
          <w:b/>
          <w:color w:val="auto"/>
          <w:highlight w:val="none"/>
          <w:lang w:val="en-US" w:eastAsia="zh-CN"/>
        </w:rPr>
      </w:pPr>
      <w:r>
        <w:rPr>
          <w:rFonts w:hint="eastAsia" w:hAnsi="宋体" w:cs="宋体"/>
          <w:b/>
          <w:color w:val="auto"/>
          <w:highlight w:val="none"/>
          <w:lang w:val="en-US" w:eastAsia="zh-CN"/>
        </w:rPr>
        <w:t>特别说明</w:t>
      </w:r>
    </w:p>
    <w:p w14:paraId="78B9CEBF">
      <w:pPr>
        <w:spacing w:line="360" w:lineRule="auto"/>
        <w:ind w:firstLine="481"/>
        <w:rPr>
          <w:rFonts w:hint="default" w:hAnsi="宋体" w:cs="宋体"/>
          <w:b/>
          <w:color w:val="auto"/>
          <w:highlight w:val="none"/>
          <w:lang w:val="en-US" w:eastAsia="zh-CN"/>
        </w:rPr>
      </w:pPr>
      <w:r>
        <w:rPr>
          <w:rFonts w:hint="default" w:hAnsi="宋体" w:cs="宋体"/>
          <w:b/>
          <w:color w:val="auto"/>
          <w:highlight w:val="none"/>
          <w:lang w:val="en-US" w:eastAsia="zh-CN"/>
        </w:rPr>
        <w:t>1.与采购人存在利害关系可能影响采购公正性的法人、其他组织或者个人,不得参与报价;</w:t>
      </w:r>
    </w:p>
    <w:p w14:paraId="6DD9E8E6">
      <w:pPr>
        <w:spacing w:line="360" w:lineRule="auto"/>
        <w:ind w:firstLine="481"/>
        <w:rPr>
          <w:rFonts w:hint="default" w:hAnsi="宋体" w:cs="宋体"/>
          <w:b/>
          <w:color w:val="auto"/>
          <w:highlight w:val="none"/>
          <w:lang w:val="en-US" w:eastAsia="zh-CN"/>
        </w:rPr>
      </w:pPr>
      <w:r>
        <w:rPr>
          <w:rFonts w:hint="default" w:hAnsi="宋体" w:cs="宋体"/>
          <w:b/>
          <w:color w:val="auto"/>
          <w:highlight w:val="none"/>
          <w:lang w:val="en-US" w:eastAsia="zh-CN"/>
        </w:rPr>
        <w:t>2.供应商负责人为同一人或者存在控股管理关系的不同供应商，不得参加同一项目报价。</w:t>
      </w:r>
    </w:p>
    <w:p w14:paraId="12CAA428">
      <w:pPr>
        <w:spacing w:line="360" w:lineRule="auto"/>
        <w:ind w:firstLine="481"/>
        <w:rPr>
          <w:rFonts w:hAnsi="宋体" w:cs="宋体"/>
          <w:color w:val="auto"/>
          <w:highlight w:val="none"/>
        </w:rPr>
      </w:pPr>
      <w:r>
        <w:rPr>
          <w:rFonts w:hint="default" w:hAnsi="宋体" w:cs="宋体"/>
          <w:b/>
          <w:color w:val="auto"/>
          <w:highlight w:val="none"/>
          <w:lang w:val="en-US" w:eastAsia="zh-CN"/>
        </w:rPr>
        <w:t>上述情况一经发现，相关报价均无效。</w:t>
      </w:r>
    </w:p>
    <w:p w14:paraId="48F64F98">
      <w:pPr>
        <w:spacing w:line="360" w:lineRule="auto"/>
        <w:rPr>
          <w:rFonts w:hAnsi="宋体" w:cs="宋体"/>
          <w:color w:val="auto"/>
          <w:highlight w:val="none"/>
        </w:rPr>
      </w:pPr>
      <w:r>
        <w:rPr>
          <w:rFonts w:hint="eastAsia" w:hAnsi="宋体" w:cs="宋体"/>
          <w:color w:val="auto"/>
          <w:highlight w:val="none"/>
        </w:rPr>
        <w:br w:type="page"/>
      </w:r>
    </w:p>
    <w:p w14:paraId="2C585EA0">
      <w:pPr>
        <w:pStyle w:val="3"/>
        <w:spacing w:before="0" w:after="0"/>
        <w:jc w:val="center"/>
        <w:rPr>
          <w:rFonts w:hAnsi="宋体" w:cs="宋体"/>
          <w:color w:val="auto"/>
          <w:szCs w:val="32"/>
          <w:highlight w:val="none"/>
        </w:rPr>
      </w:pPr>
      <w:bookmarkStart w:id="39" w:name="_Toc16353"/>
      <w:r>
        <w:rPr>
          <w:rFonts w:hint="eastAsia" w:hAnsi="宋体" w:cs="宋体"/>
          <w:color w:val="auto"/>
          <w:szCs w:val="32"/>
          <w:highlight w:val="none"/>
        </w:rPr>
        <w:t>第五章 报价文件（格式）</w:t>
      </w:r>
      <w:bookmarkEnd w:id="39"/>
    </w:p>
    <w:p w14:paraId="5532E2E3">
      <w:pPr>
        <w:spacing w:line="360" w:lineRule="auto"/>
        <w:rPr>
          <w:rFonts w:ascii="Times New Roman"/>
          <w:b/>
          <w:color w:val="auto"/>
          <w:sz w:val="28"/>
          <w:szCs w:val="28"/>
          <w:highlight w:val="none"/>
        </w:rPr>
      </w:pPr>
      <w:r>
        <w:rPr>
          <w:rFonts w:ascii="Times New Roman"/>
          <w:b/>
          <w:color w:val="auto"/>
          <w:sz w:val="28"/>
          <w:szCs w:val="28"/>
          <w:highlight w:val="none"/>
        </w:rPr>
        <w:t>1. 报价表</w:t>
      </w:r>
    </w:p>
    <w:tbl>
      <w:tblPr>
        <w:tblStyle w:val="22"/>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2360"/>
        <w:gridCol w:w="2360"/>
        <w:gridCol w:w="2362"/>
      </w:tblGrid>
      <w:tr w14:paraId="7639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14:paraId="1C36F23D">
            <w:pPr>
              <w:pStyle w:val="11"/>
              <w:jc w:val="center"/>
              <w:rPr>
                <w:rFonts w:hAnsi="宋体" w:cs="宋体"/>
                <w:color w:val="auto"/>
                <w:sz w:val="24"/>
                <w:szCs w:val="28"/>
                <w:highlight w:val="none"/>
              </w:rPr>
            </w:pPr>
            <w:r>
              <w:rPr>
                <w:rFonts w:hint="eastAsia" w:hAnsi="宋体" w:cs="宋体"/>
                <w:color w:val="auto"/>
                <w:sz w:val="24"/>
                <w:szCs w:val="28"/>
                <w:highlight w:val="none"/>
              </w:rPr>
              <w:t>项目名称</w:t>
            </w:r>
          </w:p>
        </w:tc>
        <w:tc>
          <w:tcPr>
            <w:tcW w:w="7082" w:type="dxa"/>
            <w:gridSpan w:val="3"/>
            <w:shd w:val="clear" w:color="auto" w:fill="auto"/>
            <w:vAlign w:val="center"/>
          </w:tcPr>
          <w:p w14:paraId="02F7C47D">
            <w:pPr>
              <w:autoSpaceDE/>
              <w:autoSpaceDN/>
              <w:adjustRightInd/>
              <w:jc w:val="center"/>
              <w:rPr>
                <w:rFonts w:hint="eastAsia" w:hAnsi="宋体" w:eastAsia="宋体" w:cs="宋体"/>
                <w:color w:val="auto"/>
                <w:szCs w:val="28"/>
                <w:highlight w:val="none"/>
                <w:lang w:eastAsia="zh-CN"/>
              </w:rPr>
            </w:pPr>
            <w:r>
              <w:rPr>
                <w:rFonts w:hint="eastAsia" w:hAnsi="宋体"/>
                <w:bCs/>
                <w:color w:val="auto"/>
                <w:szCs w:val="21"/>
                <w:highlight w:val="none"/>
                <w:lang w:eastAsia="zh-CN"/>
              </w:rPr>
              <w:t>东莞市污泥集中处理处置项目尿素采购项目</w:t>
            </w:r>
          </w:p>
        </w:tc>
      </w:tr>
      <w:tr w14:paraId="7AA1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2127" w:type="dxa"/>
            <w:shd w:val="clear" w:color="auto" w:fill="auto"/>
            <w:vAlign w:val="center"/>
          </w:tcPr>
          <w:p w14:paraId="5F132B83">
            <w:pPr>
              <w:pStyle w:val="11"/>
              <w:jc w:val="center"/>
              <w:rPr>
                <w:rFonts w:hAnsi="宋体" w:cs="宋体"/>
                <w:color w:val="000000"/>
                <w:sz w:val="24"/>
                <w:szCs w:val="28"/>
              </w:rPr>
            </w:pPr>
            <w:r>
              <w:rPr>
                <w:rFonts w:hint="eastAsia" w:hAnsi="宋体" w:cs="宋体"/>
                <w:color w:val="000000"/>
                <w:sz w:val="24"/>
                <w:szCs w:val="28"/>
              </w:rPr>
              <w:t>不含税综合单价报价</w:t>
            </w:r>
          </w:p>
          <w:p w14:paraId="5B9E3106">
            <w:pPr>
              <w:pStyle w:val="11"/>
              <w:jc w:val="center"/>
              <w:rPr>
                <w:rFonts w:hAnsi="宋体" w:cs="宋体"/>
                <w:color w:val="auto"/>
                <w:sz w:val="24"/>
                <w:szCs w:val="28"/>
                <w:highlight w:val="none"/>
              </w:rPr>
            </w:pPr>
            <w:r>
              <w:rPr>
                <w:rFonts w:hint="eastAsia" w:hAnsi="宋体" w:cs="宋体"/>
                <w:color w:val="000000"/>
                <w:sz w:val="24"/>
                <w:szCs w:val="28"/>
              </w:rPr>
              <w:t>（单位：元/吨）</w:t>
            </w:r>
          </w:p>
        </w:tc>
        <w:tc>
          <w:tcPr>
            <w:tcW w:w="7082" w:type="dxa"/>
            <w:gridSpan w:val="3"/>
            <w:shd w:val="clear" w:color="auto" w:fill="auto"/>
            <w:vAlign w:val="center"/>
          </w:tcPr>
          <w:p w14:paraId="2D265360">
            <w:pPr>
              <w:pStyle w:val="11"/>
              <w:ind w:firstLine="720" w:firstLineChars="300"/>
              <w:rPr>
                <w:rFonts w:hAnsi="宋体" w:cs="宋体"/>
                <w:color w:val="000000"/>
                <w:sz w:val="24"/>
                <w:szCs w:val="28"/>
                <w:u w:val="single"/>
              </w:rPr>
            </w:pPr>
            <w:r>
              <w:rPr>
                <w:rFonts w:hint="eastAsia" w:hAnsi="宋体" w:cs="宋体"/>
                <w:color w:val="000000"/>
                <w:sz w:val="24"/>
                <w:szCs w:val="28"/>
              </w:rPr>
              <w:t>人民币（小写）：</w:t>
            </w:r>
            <w:r>
              <w:rPr>
                <w:rFonts w:hint="eastAsia" w:hAnsi="宋体" w:cs="宋体"/>
                <w:color w:val="000000"/>
                <w:sz w:val="24"/>
                <w:szCs w:val="28"/>
                <w:u w:val="single"/>
              </w:rPr>
              <w:t xml:space="preserve">                   </w:t>
            </w:r>
          </w:p>
          <w:p w14:paraId="5F359D4B">
            <w:pPr>
              <w:pStyle w:val="11"/>
              <w:ind w:firstLine="720" w:firstLineChars="300"/>
              <w:rPr>
                <w:rFonts w:hAnsi="宋体" w:cs="宋体"/>
                <w:color w:val="auto"/>
                <w:sz w:val="24"/>
                <w:szCs w:val="28"/>
                <w:highlight w:val="none"/>
                <w:u w:val="single"/>
              </w:rPr>
            </w:pPr>
          </w:p>
        </w:tc>
      </w:tr>
      <w:tr w14:paraId="7FD7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10BA4E24">
            <w:pPr>
              <w:pStyle w:val="11"/>
              <w:jc w:val="center"/>
              <w:rPr>
                <w:rFonts w:hint="default" w:hAnsi="宋体" w:eastAsia="宋体" w:cs="宋体"/>
                <w:color w:val="auto"/>
                <w:sz w:val="24"/>
                <w:szCs w:val="28"/>
                <w:highlight w:val="none"/>
                <w:u w:val="single"/>
                <w:lang w:val="en-US" w:eastAsia="zh-CN"/>
              </w:rPr>
            </w:pPr>
            <w:r>
              <w:rPr>
                <w:rFonts w:hint="eastAsia" w:hAnsi="宋体" w:cs="宋体"/>
                <w:color w:val="auto"/>
                <w:sz w:val="24"/>
                <w:szCs w:val="28"/>
                <w:highlight w:val="none"/>
                <w:lang w:val="en-US" w:eastAsia="zh-CN"/>
              </w:rPr>
              <w:t>工期/供货期/服务期</w:t>
            </w:r>
          </w:p>
        </w:tc>
        <w:tc>
          <w:tcPr>
            <w:tcW w:w="7082" w:type="dxa"/>
            <w:gridSpan w:val="3"/>
            <w:shd w:val="clear" w:color="auto" w:fill="auto"/>
            <w:vAlign w:val="center"/>
          </w:tcPr>
          <w:p w14:paraId="56546C9B">
            <w:pPr>
              <w:autoSpaceDE/>
              <w:autoSpaceDN/>
              <w:adjustRightInd/>
              <w:jc w:val="center"/>
              <w:rPr>
                <w:rFonts w:hAnsi="宋体"/>
                <w:bCs/>
                <w:color w:val="auto"/>
                <w:highlight w:val="none"/>
              </w:rPr>
            </w:pPr>
            <w:r>
              <w:rPr>
                <w:rFonts w:hint="eastAsia" w:hAnsi="宋体"/>
                <w:bCs/>
                <w:color w:val="auto"/>
                <w:highlight w:val="none"/>
              </w:rPr>
              <w:t>详见用户需求书。</w:t>
            </w:r>
          </w:p>
        </w:tc>
      </w:tr>
      <w:tr w14:paraId="0CA12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2127" w:type="dxa"/>
            <w:shd w:val="clear" w:color="auto" w:fill="auto"/>
            <w:vAlign w:val="center"/>
          </w:tcPr>
          <w:p w14:paraId="58817B16">
            <w:pPr>
              <w:pStyle w:val="11"/>
              <w:jc w:val="center"/>
              <w:rPr>
                <w:rFonts w:hAnsi="宋体" w:cs="宋体"/>
                <w:color w:val="000000"/>
                <w:sz w:val="24"/>
                <w:szCs w:val="28"/>
              </w:rPr>
            </w:pPr>
            <w:r>
              <w:rPr>
                <w:rFonts w:hint="eastAsia" w:hAnsi="宋体" w:cs="宋体"/>
                <w:color w:val="000000"/>
                <w:sz w:val="24"/>
                <w:szCs w:val="28"/>
              </w:rPr>
              <w:t>品牌</w:t>
            </w:r>
          </w:p>
        </w:tc>
        <w:tc>
          <w:tcPr>
            <w:tcW w:w="2360" w:type="dxa"/>
            <w:shd w:val="clear" w:color="auto" w:fill="auto"/>
            <w:vAlign w:val="center"/>
          </w:tcPr>
          <w:p w14:paraId="7071E4F7">
            <w:pPr>
              <w:pStyle w:val="11"/>
              <w:jc w:val="center"/>
              <w:rPr>
                <w:rFonts w:hAnsi="宋体" w:cs="宋体"/>
                <w:color w:val="000000"/>
                <w:sz w:val="24"/>
                <w:szCs w:val="28"/>
              </w:rPr>
            </w:pPr>
          </w:p>
        </w:tc>
        <w:tc>
          <w:tcPr>
            <w:tcW w:w="2360" w:type="dxa"/>
            <w:shd w:val="clear" w:color="auto" w:fill="auto"/>
            <w:vAlign w:val="center"/>
          </w:tcPr>
          <w:p w14:paraId="6F3F6DE2">
            <w:pPr>
              <w:pStyle w:val="11"/>
              <w:jc w:val="center"/>
              <w:rPr>
                <w:rFonts w:hAnsi="宋体" w:cs="宋体"/>
                <w:color w:val="000000"/>
                <w:sz w:val="24"/>
                <w:szCs w:val="28"/>
              </w:rPr>
            </w:pPr>
            <w:r>
              <w:rPr>
                <w:rFonts w:hint="eastAsia" w:hAnsi="宋体" w:cs="宋体"/>
                <w:color w:val="000000"/>
                <w:sz w:val="24"/>
                <w:szCs w:val="28"/>
              </w:rPr>
              <w:t>产地</w:t>
            </w:r>
          </w:p>
        </w:tc>
        <w:tc>
          <w:tcPr>
            <w:tcW w:w="2362" w:type="dxa"/>
            <w:shd w:val="clear" w:color="auto" w:fill="auto"/>
            <w:vAlign w:val="center"/>
          </w:tcPr>
          <w:p w14:paraId="6EE207FA">
            <w:pPr>
              <w:pStyle w:val="11"/>
              <w:jc w:val="center"/>
              <w:rPr>
                <w:rFonts w:hAnsi="宋体" w:cs="宋体"/>
                <w:color w:val="000000"/>
                <w:sz w:val="24"/>
                <w:szCs w:val="28"/>
              </w:rPr>
            </w:pPr>
          </w:p>
        </w:tc>
      </w:tr>
      <w:tr w14:paraId="111E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02896F36">
            <w:pPr>
              <w:pStyle w:val="11"/>
              <w:jc w:val="center"/>
              <w:rPr>
                <w:rFonts w:hAnsi="宋体" w:cs="宋体"/>
                <w:color w:val="auto"/>
                <w:sz w:val="24"/>
                <w:szCs w:val="28"/>
                <w:highlight w:val="none"/>
              </w:rPr>
            </w:pPr>
            <w:r>
              <w:rPr>
                <w:rFonts w:hint="eastAsia" w:hAnsi="宋体" w:cs="宋体"/>
                <w:color w:val="auto"/>
                <w:sz w:val="24"/>
                <w:szCs w:val="28"/>
                <w:highlight w:val="none"/>
              </w:rPr>
              <w:t>报价人纳税类型</w:t>
            </w:r>
          </w:p>
        </w:tc>
        <w:tc>
          <w:tcPr>
            <w:tcW w:w="7082" w:type="dxa"/>
            <w:gridSpan w:val="3"/>
            <w:shd w:val="clear" w:color="auto" w:fill="auto"/>
            <w:vAlign w:val="center"/>
          </w:tcPr>
          <w:p w14:paraId="6D7C2F2D">
            <w:pPr>
              <w:autoSpaceDE/>
              <w:autoSpaceDN/>
              <w:adjustRightInd/>
              <w:ind w:firstLine="1800" w:firstLineChars="750"/>
              <w:rPr>
                <w:rFonts w:hAnsi="宋体" w:cs="宋体"/>
                <w:color w:val="auto"/>
                <w:szCs w:val="28"/>
                <w:highlight w:val="none"/>
              </w:rPr>
            </w:pPr>
            <w:r>
              <w:rPr>
                <w:rFonts w:hint="eastAsia" w:hAnsi="宋体" w:cs="宋体"/>
                <w:color w:val="auto"/>
                <w:szCs w:val="28"/>
                <w:highlight w:val="none"/>
              </w:rPr>
              <w:t>□ 一般纳税人</w:t>
            </w:r>
          </w:p>
          <w:p w14:paraId="502AB2E8">
            <w:pPr>
              <w:autoSpaceDE/>
              <w:autoSpaceDN/>
              <w:adjustRightInd/>
              <w:ind w:firstLine="1800" w:firstLineChars="750"/>
              <w:rPr>
                <w:rFonts w:hAnsi="宋体" w:cs="宋体"/>
                <w:color w:val="auto"/>
                <w:szCs w:val="28"/>
                <w:highlight w:val="none"/>
              </w:rPr>
            </w:pPr>
            <w:r>
              <w:rPr>
                <w:rFonts w:hint="eastAsia" w:hAnsi="宋体" w:cs="宋体"/>
                <w:color w:val="auto"/>
                <w:szCs w:val="28"/>
                <w:highlight w:val="none"/>
              </w:rPr>
              <w:t>□ 小规模纳税人</w:t>
            </w:r>
          </w:p>
        </w:tc>
      </w:tr>
      <w:tr w14:paraId="5E91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52515877">
            <w:pPr>
              <w:pStyle w:val="11"/>
              <w:jc w:val="center"/>
              <w:rPr>
                <w:rFonts w:hAnsi="宋体" w:cs="宋体"/>
                <w:color w:val="auto"/>
                <w:sz w:val="24"/>
                <w:szCs w:val="28"/>
                <w:highlight w:val="none"/>
              </w:rPr>
            </w:pPr>
            <w:r>
              <w:rPr>
                <w:rFonts w:hint="eastAsia" w:hAnsi="宋体" w:cs="宋体"/>
                <w:color w:val="auto"/>
                <w:sz w:val="24"/>
                <w:szCs w:val="28"/>
                <w:highlight w:val="none"/>
              </w:rPr>
              <w:t>报价人提供的增值税专用发票的税率</w:t>
            </w:r>
          </w:p>
        </w:tc>
        <w:tc>
          <w:tcPr>
            <w:tcW w:w="7082" w:type="dxa"/>
            <w:gridSpan w:val="3"/>
            <w:shd w:val="clear" w:color="auto" w:fill="auto"/>
            <w:vAlign w:val="center"/>
          </w:tcPr>
          <w:p w14:paraId="15BBBEC0">
            <w:pPr>
              <w:autoSpaceDE/>
              <w:autoSpaceDN/>
              <w:adjustRightInd/>
              <w:jc w:val="center"/>
              <w:rPr>
                <w:rFonts w:hAnsi="宋体" w:cs="宋体"/>
                <w:color w:val="auto"/>
                <w:szCs w:val="28"/>
                <w:highlight w:val="none"/>
              </w:rPr>
            </w:pPr>
            <w:r>
              <w:rPr>
                <w:rFonts w:hint="eastAsia" w:hAnsi="宋体" w:cs="宋体"/>
                <w:color w:val="auto"/>
                <w:szCs w:val="28"/>
                <w:highlight w:val="none"/>
                <w:u w:val="single"/>
              </w:rPr>
              <w:t xml:space="preserve">     </w:t>
            </w:r>
            <w:r>
              <w:rPr>
                <w:rFonts w:ascii="Times New Roman"/>
                <w:color w:val="auto"/>
                <w:szCs w:val="28"/>
                <w:highlight w:val="none"/>
              </w:rPr>
              <w:t>%</w:t>
            </w:r>
          </w:p>
        </w:tc>
      </w:tr>
      <w:tr w14:paraId="54DF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2127" w:type="dxa"/>
            <w:shd w:val="clear" w:color="auto" w:fill="auto"/>
            <w:vAlign w:val="center"/>
          </w:tcPr>
          <w:p w14:paraId="0FDBB976">
            <w:pPr>
              <w:pStyle w:val="11"/>
              <w:jc w:val="center"/>
              <w:rPr>
                <w:rFonts w:hAnsi="宋体" w:cs="宋体"/>
                <w:color w:val="auto"/>
                <w:sz w:val="24"/>
                <w:szCs w:val="24"/>
                <w:highlight w:val="none"/>
              </w:rPr>
            </w:pPr>
            <w:r>
              <w:rPr>
                <w:rFonts w:hint="eastAsia" w:hAnsi="宋体" w:cs="宋体"/>
                <w:color w:val="auto"/>
                <w:sz w:val="24"/>
                <w:szCs w:val="24"/>
                <w:highlight w:val="none"/>
              </w:rPr>
              <w:t>备注</w:t>
            </w:r>
          </w:p>
        </w:tc>
        <w:tc>
          <w:tcPr>
            <w:tcW w:w="7082" w:type="dxa"/>
            <w:gridSpan w:val="3"/>
            <w:shd w:val="clear" w:color="auto" w:fill="auto"/>
            <w:vAlign w:val="center"/>
          </w:tcPr>
          <w:p w14:paraId="7B668F06">
            <w:pPr>
              <w:numPr>
                <w:ilvl w:val="0"/>
                <w:numId w:val="0"/>
              </w:numPr>
              <w:autoSpaceDE/>
              <w:autoSpaceDN/>
              <w:adjustRightInd/>
              <w:jc w:val="both"/>
              <w:rPr>
                <w:rFonts w:hint="eastAsia" w:ascii="Times New Roman"/>
                <w:b w:val="0"/>
                <w:bCs w:val="0"/>
                <w:color w:val="auto"/>
                <w:highlight w:val="none"/>
              </w:rPr>
            </w:pPr>
            <w:r>
              <w:rPr>
                <w:rFonts w:hint="eastAsia" w:ascii="Times New Roman"/>
                <w:b w:val="0"/>
                <w:bCs w:val="0"/>
                <w:color w:val="auto"/>
                <w:highlight w:val="none"/>
                <w:lang w:val="en-US" w:eastAsia="zh-CN"/>
              </w:rPr>
              <w:t>1.</w:t>
            </w:r>
            <w:r>
              <w:rPr>
                <w:rFonts w:hint="eastAsia" w:ascii="Times New Roman"/>
                <w:b w:val="0"/>
                <w:bCs w:val="0"/>
                <w:color w:val="auto"/>
                <w:highlight w:val="none"/>
              </w:rPr>
              <w:t>本次所报价格为不含销项税额，包含供应商销项税额以外的税费及完成本项目所需的全部费用。</w:t>
            </w:r>
          </w:p>
          <w:p w14:paraId="6930ABB6">
            <w:pPr>
              <w:numPr>
                <w:ilvl w:val="0"/>
                <w:numId w:val="0"/>
              </w:numPr>
              <w:autoSpaceDE/>
              <w:autoSpaceDN/>
              <w:adjustRightInd/>
              <w:jc w:val="both"/>
              <w:rPr>
                <w:rFonts w:hint="eastAsia" w:ascii="Times New Roman"/>
                <w:b w:val="0"/>
                <w:bCs w:val="0"/>
                <w:color w:val="auto"/>
                <w:highlight w:val="none"/>
              </w:rPr>
            </w:pPr>
            <w:r>
              <w:rPr>
                <w:rFonts w:hint="eastAsia" w:ascii="Times New Roman"/>
                <w:b w:val="0"/>
                <w:bCs w:val="0"/>
                <w:color w:val="auto"/>
                <w:highlight w:val="none"/>
                <w:lang w:val="en-US" w:eastAsia="zh-CN"/>
              </w:rPr>
              <w:t>2.</w:t>
            </w:r>
            <w:r>
              <w:rPr>
                <w:rFonts w:hint="eastAsia" w:ascii="Times New Roman"/>
                <w:b w:val="0"/>
                <w:bCs w:val="0"/>
                <w:color w:val="auto"/>
                <w:highlight w:val="none"/>
              </w:rPr>
              <w:t>综合单价不得高于本项目不含税最高限价（</w:t>
            </w:r>
            <w:r>
              <w:rPr>
                <w:rFonts w:hint="eastAsia" w:ascii="Times New Roman"/>
                <w:b/>
                <w:bCs/>
                <w:color w:val="auto"/>
                <w:highlight w:val="none"/>
                <w:lang w:val="en-US" w:eastAsia="zh-CN"/>
              </w:rPr>
              <w:t>2060.03元/吨</w:t>
            </w:r>
            <w:r>
              <w:rPr>
                <w:rFonts w:hint="eastAsia" w:ascii="Times New Roman"/>
                <w:b w:val="0"/>
                <w:bCs w:val="0"/>
                <w:color w:val="auto"/>
                <w:highlight w:val="none"/>
              </w:rPr>
              <w:t>），否则视为无效报价</w:t>
            </w:r>
            <w:r>
              <w:rPr>
                <w:rFonts w:hint="eastAsia" w:ascii="Times New Roman"/>
                <w:b w:val="0"/>
                <w:bCs w:val="0"/>
                <w:color w:val="auto"/>
                <w:highlight w:val="none"/>
                <w:lang w:eastAsia="zh-CN"/>
              </w:rPr>
              <w:t>。</w:t>
            </w:r>
          </w:p>
          <w:p w14:paraId="68D5166D">
            <w:pPr>
              <w:numPr>
                <w:ilvl w:val="0"/>
                <w:numId w:val="0"/>
              </w:numPr>
              <w:autoSpaceDE/>
              <w:autoSpaceDN/>
              <w:adjustRightInd/>
              <w:jc w:val="both"/>
              <w:rPr>
                <w:rFonts w:hint="eastAsia" w:ascii="Times New Roman"/>
                <w:b w:val="0"/>
                <w:bCs w:val="0"/>
                <w:color w:val="auto"/>
                <w:highlight w:val="none"/>
              </w:rPr>
            </w:pPr>
            <w:r>
              <w:rPr>
                <w:rFonts w:hint="eastAsia" w:ascii="Times New Roman"/>
                <w:b w:val="0"/>
                <w:bCs w:val="0"/>
                <w:color w:val="auto"/>
                <w:highlight w:val="none"/>
                <w:lang w:val="en-US" w:eastAsia="zh-CN"/>
              </w:rPr>
              <w:t>3.</w:t>
            </w:r>
            <w:r>
              <w:rPr>
                <w:rFonts w:hint="eastAsia" w:ascii="Times New Roman"/>
                <w:b w:val="0"/>
                <w:bCs w:val="0"/>
                <w:color w:val="auto"/>
                <w:highlight w:val="none"/>
                <w:lang w:val="en-US"/>
              </w:rPr>
              <w:t>报价人未填写品牌及产地的，将视为无效报价。</w:t>
            </w:r>
          </w:p>
          <w:p w14:paraId="293503DC">
            <w:pPr>
              <w:numPr>
                <w:ilvl w:val="0"/>
                <w:numId w:val="0"/>
              </w:numPr>
              <w:autoSpaceDE/>
              <w:autoSpaceDN/>
              <w:adjustRightInd/>
              <w:jc w:val="both"/>
              <w:rPr>
                <w:rFonts w:hint="eastAsia" w:ascii="Times New Roman"/>
                <w:b/>
                <w:bCs/>
                <w:color w:val="auto"/>
                <w:highlight w:val="none"/>
              </w:rPr>
            </w:pPr>
            <w:r>
              <w:rPr>
                <w:rFonts w:hint="eastAsia" w:ascii="Times New Roman"/>
                <w:b w:val="0"/>
                <w:bCs w:val="0"/>
                <w:color w:val="auto"/>
                <w:highlight w:val="none"/>
                <w:lang w:val="en-US" w:eastAsia="zh-CN"/>
              </w:rPr>
              <w:t>4.</w:t>
            </w:r>
            <w:r>
              <w:rPr>
                <w:rFonts w:hint="eastAsia" w:ascii="Times New Roman"/>
                <w:b w:val="0"/>
                <w:bCs w:val="0"/>
                <w:color w:val="auto"/>
                <w:highlight w:val="none"/>
              </w:rPr>
              <w:t>上述报价数值如需保留小数点后2位，从小数点后第3位四舍五入。</w:t>
            </w:r>
          </w:p>
        </w:tc>
      </w:tr>
    </w:tbl>
    <w:p w14:paraId="5C07CB40">
      <w:pPr>
        <w:pStyle w:val="11"/>
        <w:spacing w:line="360" w:lineRule="auto"/>
        <w:rPr>
          <w:rFonts w:hAnsi="宋体" w:cs="宋体"/>
          <w:color w:val="auto"/>
          <w:sz w:val="24"/>
          <w:szCs w:val="24"/>
          <w:highlight w:val="none"/>
        </w:rPr>
      </w:pPr>
    </w:p>
    <w:p w14:paraId="20D8941E">
      <w:pPr>
        <w:pStyle w:val="11"/>
        <w:spacing w:line="360" w:lineRule="auto"/>
        <w:rPr>
          <w:rFonts w:hAnsi="宋体" w:cs="宋体"/>
          <w:color w:val="auto"/>
          <w:sz w:val="24"/>
          <w:szCs w:val="28"/>
          <w:highlight w:val="none"/>
        </w:rPr>
      </w:pPr>
      <w:r>
        <w:rPr>
          <w:rFonts w:hint="eastAsia" w:hAnsi="宋体" w:cs="宋体"/>
          <w:color w:val="auto"/>
          <w:sz w:val="24"/>
          <w:szCs w:val="28"/>
          <w:highlight w:val="none"/>
        </w:rPr>
        <w:t>联系人：                          联系电话：</w:t>
      </w:r>
    </w:p>
    <w:p w14:paraId="3D4AADA4">
      <w:pPr>
        <w:wordWrap w:val="0"/>
        <w:spacing w:line="360" w:lineRule="auto"/>
        <w:jc w:val="right"/>
        <w:rPr>
          <w:rFonts w:hAnsi="宋体" w:cs="宋体"/>
          <w:color w:val="auto"/>
          <w:kern w:val="2"/>
          <w:szCs w:val="28"/>
          <w:highlight w:val="none"/>
          <w:lang w:val="zh-CN"/>
        </w:rPr>
      </w:pPr>
    </w:p>
    <w:p w14:paraId="434001F0">
      <w:pPr>
        <w:wordWrap w:val="0"/>
        <w:spacing w:line="360" w:lineRule="auto"/>
        <w:jc w:val="right"/>
        <w:rPr>
          <w:rFonts w:hint="eastAsia" w:hAnsi="宋体" w:cs="宋体"/>
          <w:color w:val="auto"/>
          <w:kern w:val="2"/>
          <w:szCs w:val="28"/>
          <w:highlight w:val="none"/>
        </w:rPr>
      </w:pPr>
      <w:r>
        <w:rPr>
          <w:rFonts w:hint="eastAsia" w:hAnsi="宋体" w:cs="宋体"/>
          <w:color w:val="auto"/>
          <w:kern w:val="2"/>
          <w:szCs w:val="28"/>
          <w:highlight w:val="none"/>
          <w:lang w:val="zh-CN"/>
        </w:rPr>
        <w:t>报价人：（</w:t>
      </w:r>
      <w:r>
        <w:rPr>
          <w:rFonts w:hint="eastAsia" w:hAnsi="宋体" w:cs="宋体"/>
          <w:color w:val="auto"/>
          <w:kern w:val="2"/>
          <w:szCs w:val="28"/>
          <w:highlight w:val="none"/>
          <w:lang w:val="en-US" w:eastAsia="zh-CN"/>
        </w:rPr>
        <w:t>加盖公章</w:t>
      </w:r>
      <w:r>
        <w:rPr>
          <w:rFonts w:hint="eastAsia" w:hAnsi="宋体" w:cs="宋体"/>
          <w:color w:val="auto"/>
          <w:kern w:val="2"/>
          <w:szCs w:val="28"/>
          <w:highlight w:val="none"/>
          <w:lang w:val="zh-CN"/>
        </w:rPr>
        <w:t>）</w:t>
      </w:r>
      <w:r>
        <w:rPr>
          <w:rFonts w:hint="eastAsia" w:hAnsi="宋体" w:cs="宋体"/>
          <w:color w:val="auto"/>
          <w:kern w:val="2"/>
          <w:szCs w:val="28"/>
          <w:highlight w:val="none"/>
        </w:rPr>
        <w:t xml:space="preserve"> </w:t>
      </w:r>
    </w:p>
    <w:p w14:paraId="099B7860">
      <w:pPr>
        <w:wordWrap w:val="0"/>
        <w:spacing w:line="360" w:lineRule="auto"/>
        <w:jc w:val="right"/>
        <w:rPr>
          <w:rFonts w:hint="eastAsia" w:hAnsi="宋体" w:cs="宋体"/>
          <w:color w:val="auto"/>
          <w:kern w:val="2"/>
          <w:szCs w:val="28"/>
          <w:highlight w:val="none"/>
        </w:rPr>
      </w:pPr>
      <w:r>
        <w:rPr>
          <w:rFonts w:hint="eastAsia" w:hAnsi="宋体" w:cs="宋体"/>
          <w:color w:val="auto"/>
          <w:kern w:val="2"/>
          <w:szCs w:val="28"/>
          <w:highlight w:val="none"/>
        </w:rPr>
        <w:t xml:space="preserve">      </w:t>
      </w:r>
    </w:p>
    <w:p w14:paraId="69B410FE">
      <w:pPr>
        <w:wordWrap w:val="0"/>
        <w:spacing w:line="360" w:lineRule="auto"/>
        <w:jc w:val="right"/>
        <w:rPr>
          <w:rFonts w:hAnsi="宋体" w:cs="宋体"/>
          <w:color w:val="auto"/>
          <w:kern w:val="2"/>
          <w:szCs w:val="28"/>
          <w:highlight w:val="none"/>
        </w:rPr>
      </w:pPr>
      <w:r>
        <w:rPr>
          <w:rFonts w:hint="eastAsia" w:hAnsi="宋体" w:cs="宋体"/>
          <w:color w:val="auto"/>
          <w:kern w:val="2"/>
          <w:szCs w:val="28"/>
          <w:highlight w:val="none"/>
          <w:lang w:val="zh-CN"/>
        </w:rPr>
        <w:t>日期：   年    月   日</w:t>
      </w:r>
    </w:p>
    <w:p w14:paraId="7E65DFFF">
      <w:pPr>
        <w:spacing w:line="360" w:lineRule="auto"/>
        <w:rPr>
          <w:rFonts w:hAnsi="宋体" w:cs="宋体"/>
          <w:b/>
          <w:color w:val="auto"/>
          <w:sz w:val="28"/>
          <w:szCs w:val="28"/>
          <w:highlight w:val="none"/>
        </w:rPr>
        <w:sectPr>
          <w:footerReference r:id="rId6" w:type="default"/>
          <w:pgSz w:w="11906" w:h="16838"/>
          <w:pgMar w:top="1440" w:right="1803" w:bottom="1440" w:left="1803" w:header="851" w:footer="992" w:gutter="0"/>
          <w:cols w:space="0" w:num="1"/>
          <w:docGrid w:type="lines" w:linePitch="332" w:charSpace="0"/>
        </w:sectPr>
      </w:pPr>
    </w:p>
    <w:p w14:paraId="24E498EE">
      <w:pPr>
        <w:rPr>
          <w:rFonts w:ascii="Times New Roman"/>
          <w:b/>
          <w:color w:val="auto"/>
          <w:sz w:val="28"/>
          <w:szCs w:val="28"/>
          <w:highlight w:val="none"/>
        </w:rPr>
      </w:pPr>
      <w:r>
        <w:rPr>
          <w:rFonts w:hint="eastAsia" w:ascii="Times New Roman"/>
          <w:b/>
          <w:color w:val="auto"/>
          <w:sz w:val="28"/>
          <w:szCs w:val="28"/>
          <w:highlight w:val="none"/>
          <w:lang w:val="en-US" w:eastAsia="zh-CN"/>
        </w:rPr>
        <w:t>2.</w:t>
      </w:r>
      <w:r>
        <w:rPr>
          <w:rFonts w:hint="eastAsia" w:ascii="Times New Roman"/>
          <w:b/>
          <w:color w:val="auto"/>
          <w:sz w:val="28"/>
          <w:szCs w:val="28"/>
          <w:highlight w:val="none"/>
        </w:rPr>
        <w:t>项目响应声明</w:t>
      </w:r>
    </w:p>
    <w:p w14:paraId="05184F82">
      <w:pPr>
        <w:spacing w:line="360" w:lineRule="auto"/>
        <w:jc w:val="center"/>
        <w:rPr>
          <w:rFonts w:hAnsi="宋体" w:cs="宋体"/>
          <w:b/>
          <w:color w:val="auto"/>
          <w:sz w:val="28"/>
          <w:szCs w:val="28"/>
          <w:highlight w:val="none"/>
        </w:rPr>
      </w:pPr>
      <w:bookmarkStart w:id="40" w:name="_Hlk26973180"/>
      <w:r>
        <w:rPr>
          <w:rFonts w:hint="eastAsia" w:hAnsi="宋体" w:cs="宋体"/>
          <w:b/>
          <w:color w:val="auto"/>
          <w:sz w:val="28"/>
          <w:szCs w:val="28"/>
          <w:highlight w:val="none"/>
        </w:rPr>
        <w:t>响应声明</w:t>
      </w:r>
    </w:p>
    <w:bookmarkEnd w:id="40"/>
    <w:p w14:paraId="35FE920D">
      <w:pPr>
        <w:spacing w:line="360" w:lineRule="auto"/>
        <w:ind w:firstLine="480" w:firstLineChars="200"/>
        <w:rPr>
          <w:rFonts w:hAnsi="宋体" w:cs="宋体"/>
          <w:color w:val="auto"/>
          <w:highlight w:val="none"/>
        </w:rPr>
      </w:pPr>
      <w:bookmarkStart w:id="41" w:name="_Toc534278252"/>
      <w:bookmarkStart w:id="42" w:name="_Toc513226437"/>
      <w:bookmarkStart w:id="43" w:name="_Toc534701786"/>
      <w:r>
        <w:rPr>
          <w:rFonts w:hAnsi="宋体" w:cs="宋体"/>
          <w:color w:val="auto"/>
          <w:highlight w:val="none"/>
        </w:rPr>
        <w:t>我方已详细查阅了询价文件的所有内容，对询价文件中的“第二章 用户需求”和“第三章 合同条款”完全响应。一旦我方成交，将保证按质、按量、按期地完成项目中的全部责任和义务。</w:t>
      </w:r>
      <w:r>
        <w:rPr>
          <w:rFonts w:hint="eastAsia" w:hAnsi="宋体" w:cs="宋体"/>
          <w:color w:val="auto"/>
          <w:highlight w:val="none"/>
        </w:rPr>
        <w:t>如我方存在成交后放弃或提供虚假证明文件、虚假报价文件或存在实际服务质量低于询价文件要求或报价文件承诺的标准等情况的，我公司将同意并接受贵公司按照合同条款追究责任，合同约定的违约责任无法执行的，按不含税最高限价5%支付违约金（不足1000元的，按1000元支付），如不上缴违约金的，列入东莞市水务环境投资控股集团净水有限公司“黑名单”，</w:t>
      </w:r>
      <w:r>
        <w:rPr>
          <w:rFonts w:hAnsi="宋体" w:cs="宋体"/>
          <w:color w:val="auto"/>
          <w:highlight w:val="none"/>
        </w:rPr>
        <w:t xml:space="preserve"> </w:t>
      </w:r>
      <w:r>
        <w:rPr>
          <w:rFonts w:hint="eastAsia" w:hAnsi="宋体" w:cs="宋体"/>
          <w:color w:val="auto"/>
          <w:highlight w:val="none"/>
        </w:rPr>
        <w:t>取消二年内参加东莞市水务环境投资控股集团净水有限公司采购项目的报价资格。</w:t>
      </w:r>
    </w:p>
    <w:p w14:paraId="0F22C019">
      <w:pPr>
        <w:spacing w:line="360" w:lineRule="auto"/>
        <w:ind w:firstLine="480" w:firstLineChars="200"/>
        <w:rPr>
          <w:rFonts w:hAnsi="宋体" w:cs="宋体"/>
          <w:color w:val="auto"/>
          <w:highlight w:val="none"/>
        </w:rPr>
      </w:pPr>
      <w:r>
        <w:rPr>
          <w:rFonts w:hint="eastAsia" w:hAnsi="宋体" w:cs="宋体"/>
          <w:color w:val="auto"/>
          <w:highlight w:val="none"/>
        </w:rPr>
        <w:t>特此声明。</w:t>
      </w:r>
    </w:p>
    <w:p w14:paraId="3118C466">
      <w:pPr>
        <w:spacing w:line="360" w:lineRule="auto"/>
        <w:ind w:firstLine="480" w:firstLineChars="200"/>
        <w:rPr>
          <w:rFonts w:hAnsi="宋体" w:cs="宋体"/>
          <w:color w:val="auto"/>
          <w:highlight w:val="none"/>
        </w:rPr>
      </w:pPr>
    </w:p>
    <w:p w14:paraId="01A24EAF">
      <w:pPr>
        <w:spacing w:line="360" w:lineRule="auto"/>
        <w:ind w:firstLine="480" w:firstLineChars="200"/>
        <w:rPr>
          <w:rFonts w:hAnsi="宋体" w:cs="宋体"/>
          <w:color w:val="auto"/>
          <w:highlight w:val="none"/>
        </w:rPr>
      </w:pPr>
    </w:p>
    <w:p w14:paraId="3AC91B46">
      <w:pPr>
        <w:spacing w:line="360" w:lineRule="auto"/>
        <w:ind w:firstLine="5280" w:firstLineChars="2200"/>
        <w:rPr>
          <w:rFonts w:hAnsi="宋体" w:cs="宋体"/>
          <w:color w:val="auto"/>
          <w:highlight w:val="none"/>
        </w:rPr>
      </w:pPr>
      <w:r>
        <w:rPr>
          <w:rFonts w:hint="eastAsia" w:hAnsi="宋体" w:cs="宋体"/>
          <w:color w:val="auto"/>
          <w:highlight w:val="none"/>
        </w:rPr>
        <w:t>报价人：（</w:t>
      </w:r>
      <w:r>
        <w:rPr>
          <w:rFonts w:hint="eastAsia" w:hAnsi="宋体" w:cs="宋体"/>
          <w:color w:val="auto"/>
          <w:kern w:val="2"/>
          <w:szCs w:val="28"/>
          <w:highlight w:val="none"/>
          <w:lang w:val="en-US" w:eastAsia="zh-CN"/>
        </w:rPr>
        <w:t>加盖公</w:t>
      </w:r>
      <w:r>
        <w:rPr>
          <w:rFonts w:hint="eastAsia" w:hAnsi="宋体" w:cs="宋体"/>
          <w:color w:val="auto"/>
          <w:kern w:val="2"/>
          <w:szCs w:val="28"/>
          <w:highlight w:val="none"/>
          <w:lang w:val="zh-CN"/>
        </w:rPr>
        <w:t>章</w:t>
      </w:r>
      <w:r>
        <w:rPr>
          <w:rFonts w:hint="eastAsia" w:hAnsi="宋体" w:cs="宋体"/>
          <w:color w:val="auto"/>
          <w:highlight w:val="none"/>
        </w:rPr>
        <w:t>）</w:t>
      </w:r>
    </w:p>
    <w:p w14:paraId="2CDD19AF">
      <w:pPr>
        <w:spacing w:line="360" w:lineRule="auto"/>
        <w:ind w:firstLine="5280" w:firstLineChars="2200"/>
        <w:rPr>
          <w:rFonts w:hAnsi="宋体" w:cs="宋体"/>
          <w:color w:val="auto"/>
          <w:highlight w:val="none"/>
        </w:rPr>
      </w:pPr>
      <w:r>
        <w:rPr>
          <w:rFonts w:hint="eastAsia" w:hAnsi="宋体" w:cs="宋体"/>
          <w:color w:val="auto"/>
          <w:highlight w:val="none"/>
        </w:rPr>
        <w:t>日期：</w:t>
      </w:r>
      <w:r>
        <w:rPr>
          <w:rFonts w:hAnsi="宋体" w:cs="宋体"/>
          <w:color w:val="auto"/>
          <w:highlight w:val="none"/>
        </w:rPr>
        <w:t xml:space="preserve">    </w:t>
      </w:r>
      <w:r>
        <w:rPr>
          <w:rFonts w:hint="eastAsia" w:hAnsi="宋体" w:cs="宋体"/>
          <w:color w:val="auto"/>
          <w:highlight w:val="none"/>
        </w:rPr>
        <w:t xml:space="preserve">年 </w:t>
      </w:r>
      <w:r>
        <w:rPr>
          <w:rFonts w:hAnsi="宋体" w:cs="宋体"/>
          <w:color w:val="auto"/>
          <w:highlight w:val="none"/>
        </w:rPr>
        <w:t xml:space="preserve">   </w:t>
      </w:r>
      <w:r>
        <w:rPr>
          <w:rFonts w:hint="eastAsia" w:hAnsi="宋体" w:cs="宋体"/>
          <w:color w:val="auto"/>
          <w:highlight w:val="none"/>
        </w:rPr>
        <w:t xml:space="preserve">月 </w:t>
      </w:r>
      <w:r>
        <w:rPr>
          <w:rFonts w:hAnsi="宋体" w:cs="宋体"/>
          <w:color w:val="auto"/>
          <w:highlight w:val="none"/>
        </w:rPr>
        <w:t xml:space="preserve">   </w:t>
      </w:r>
      <w:r>
        <w:rPr>
          <w:rFonts w:hint="eastAsia" w:hAnsi="宋体" w:cs="宋体"/>
          <w:color w:val="auto"/>
          <w:highlight w:val="none"/>
        </w:rPr>
        <w:t>日</w:t>
      </w:r>
    </w:p>
    <w:p w14:paraId="54C4189A">
      <w:pPr>
        <w:spacing w:line="360" w:lineRule="auto"/>
        <w:rPr>
          <w:rFonts w:hAnsi="宋体" w:cs="宋体"/>
          <w:color w:val="auto"/>
          <w:highlight w:val="none"/>
        </w:rPr>
      </w:pPr>
    </w:p>
    <w:p w14:paraId="2188D702">
      <w:pPr>
        <w:spacing w:line="360" w:lineRule="auto"/>
        <w:rPr>
          <w:rFonts w:ascii="Times New Roman"/>
          <w:b/>
          <w:bCs/>
          <w:color w:val="auto"/>
          <w:sz w:val="21"/>
          <w:szCs w:val="21"/>
          <w:highlight w:val="none"/>
        </w:rPr>
      </w:pPr>
    </w:p>
    <w:p w14:paraId="11761E95">
      <w:pPr>
        <w:spacing w:line="360" w:lineRule="auto"/>
        <w:rPr>
          <w:rFonts w:ascii="Times New Roman"/>
          <w:b/>
          <w:bCs/>
          <w:color w:val="auto"/>
          <w:sz w:val="21"/>
          <w:szCs w:val="21"/>
          <w:highlight w:val="none"/>
        </w:rPr>
      </w:pPr>
    </w:p>
    <w:p w14:paraId="39F476EF">
      <w:pPr>
        <w:spacing w:line="360" w:lineRule="auto"/>
        <w:rPr>
          <w:rFonts w:ascii="Times New Roman"/>
          <w:b/>
          <w:bCs/>
          <w:color w:val="auto"/>
          <w:sz w:val="21"/>
          <w:szCs w:val="21"/>
          <w:highlight w:val="none"/>
        </w:rPr>
      </w:pPr>
    </w:p>
    <w:p w14:paraId="3626F8F9">
      <w:pPr>
        <w:spacing w:line="360" w:lineRule="auto"/>
        <w:rPr>
          <w:rFonts w:ascii="Times New Roman"/>
          <w:b/>
          <w:bCs/>
          <w:color w:val="auto"/>
          <w:sz w:val="21"/>
          <w:szCs w:val="21"/>
          <w:highlight w:val="none"/>
        </w:rPr>
      </w:pPr>
    </w:p>
    <w:p w14:paraId="59CC0EF8">
      <w:pPr>
        <w:spacing w:line="360" w:lineRule="auto"/>
        <w:rPr>
          <w:rFonts w:ascii="Times New Roman"/>
          <w:b/>
          <w:bCs/>
          <w:color w:val="auto"/>
          <w:sz w:val="21"/>
          <w:szCs w:val="21"/>
          <w:highlight w:val="none"/>
        </w:rPr>
      </w:pPr>
    </w:p>
    <w:p w14:paraId="1C6AC719">
      <w:pPr>
        <w:spacing w:line="360" w:lineRule="auto"/>
        <w:rPr>
          <w:rFonts w:ascii="Times New Roman"/>
          <w:b/>
          <w:bCs/>
          <w:color w:val="auto"/>
          <w:sz w:val="21"/>
          <w:szCs w:val="21"/>
          <w:highlight w:val="none"/>
        </w:rPr>
      </w:pPr>
    </w:p>
    <w:p w14:paraId="3FE5515F">
      <w:pPr>
        <w:spacing w:line="360" w:lineRule="auto"/>
        <w:rPr>
          <w:rFonts w:ascii="Times New Roman"/>
          <w:b/>
          <w:bCs/>
          <w:color w:val="auto"/>
          <w:sz w:val="21"/>
          <w:szCs w:val="21"/>
          <w:highlight w:val="none"/>
        </w:rPr>
      </w:pPr>
    </w:p>
    <w:p w14:paraId="7380AA4B">
      <w:pPr>
        <w:spacing w:line="360" w:lineRule="auto"/>
        <w:rPr>
          <w:rFonts w:ascii="Times New Roman"/>
          <w:b/>
          <w:bCs/>
          <w:color w:val="auto"/>
          <w:sz w:val="21"/>
          <w:szCs w:val="21"/>
          <w:highlight w:val="none"/>
        </w:rPr>
      </w:pPr>
    </w:p>
    <w:p w14:paraId="6BC0171D">
      <w:pPr>
        <w:spacing w:line="360" w:lineRule="auto"/>
        <w:rPr>
          <w:rFonts w:ascii="Times New Roman"/>
          <w:b/>
          <w:bCs/>
          <w:color w:val="auto"/>
          <w:sz w:val="21"/>
          <w:szCs w:val="21"/>
          <w:highlight w:val="none"/>
        </w:rPr>
      </w:pPr>
    </w:p>
    <w:p w14:paraId="7A7C3273">
      <w:pPr>
        <w:rPr>
          <w:rFonts w:hint="eastAsia" w:ascii="Times New Roman"/>
          <w:b/>
          <w:color w:val="auto"/>
          <w:sz w:val="28"/>
          <w:szCs w:val="28"/>
          <w:highlight w:val="none"/>
          <w:lang w:val="en-US" w:eastAsia="zh-CN"/>
        </w:rPr>
      </w:pPr>
      <w:r>
        <w:rPr>
          <w:rFonts w:hint="eastAsia" w:ascii="Times New Roman"/>
          <w:b/>
          <w:color w:val="auto"/>
          <w:sz w:val="28"/>
          <w:szCs w:val="28"/>
          <w:highlight w:val="none"/>
          <w:lang w:val="en-US" w:eastAsia="zh-CN"/>
        </w:rPr>
        <w:br w:type="page"/>
      </w:r>
    </w:p>
    <w:p w14:paraId="07CB6EFA">
      <w:pPr>
        <w:numPr>
          <w:ilvl w:val="0"/>
          <w:numId w:val="0"/>
        </w:numPr>
        <w:spacing w:line="360" w:lineRule="auto"/>
        <w:rPr>
          <w:rFonts w:ascii="Times New Roman"/>
          <w:b/>
          <w:color w:val="auto"/>
          <w:sz w:val="28"/>
          <w:szCs w:val="28"/>
          <w:highlight w:val="none"/>
        </w:rPr>
      </w:pPr>
      <w:r>
        <w:rPr>
          <w:rFonts w:hint="eastAsia" w:ascii="Times New Roman"/>
          <w:b/>
          <w:color w:val="auto"/>
          <w:sz w:val="28"/>
          <w:szCs w:val="28"/>
          <w:highlight w:val="none"/>
          <w:lang w:val="en-US" w:eastAsia="zh-CN"/>
        </w:rPr>
        <w:t>3.营业执照</w:t>
      </w:r>
    </w:p>
    <w:p w14:paraId="79C6D72F">
      <w:pPr>
        <w:rPr>
          <w:rFonts w:hAnsi="宋体" w:cs="宋体"/>
          <w:b/>
          <w:color w:val="auto"/>
          <w:sz w:val="28"/>
          <w:szCs w:val="28"/>
          <w:highlight w:val="none"/>
        </w:rPr>
      </w:pPr>
      <w:r>
        <w:rPr>
          <w:rFonts w:hAnsi="宋体" w:cs="宋体"/>
          <w:b/>
          <w:color w:val="auto"/>
          <w:sz w:val="28"/>
          <w:szCs w:val="28"/>
          <w:highlight w:val="none"/>
        </w:rPr>
        <w:br w:type="page"/>
      </w:r>
    </w:p>
    <w:p w14:paraId="364EF705">
      <w:pPr>
        <w:spacing w:line="360" w:lineRule="auto"/>
        <w:rPr>
          <w:rFonts w:hint="eastAsia" w:hAnsi="宋体" w:cs="宋体"/>
          <w:b/>
          <w:color w:val="auto"/>
          <w:sz w:val="28"/>
          <w:szCs w:val="28"/>
          <w:highlight w:val="none"/>
        </w:rPr>
      </w:pPr>
      <w:r>
        <w:rPr>
          <w:rFonts w:hAnsi="宋体" w:cs="宋体"/>
          <w:b/>
          <w:color w:val="auto"/>
          <w:sz w:val="28"/>
          <w:szCs w:val="28"/>
          <w:highlight w:val="none"/>
        </w:rPr>
        <w:t>4.</w:t>
      </w:r>
      <w:r>
        <w:rPr>
          <w:rFonts w:hint="eastAsia" w:hAnsi="宋体" w:cs="宋体"/>
          <w:b/>
          <w:color w:val="auto"/>
          <w:sz w:val="28"/>
          <w:szCs w:val="28"/>
          <w:highlight w:val="none"/>
          <w:lang w:val="en-US" w:eastAsia="zh-CN"/>
        </w:rPr>
        <w:t>提供</w:t>
      </w:r>
      <w:r>
        <w:rPr>
          <w:rFonts w:hint="eastAsia" w:hAnsi="宋体" w:cs="宋体"/>
          <w:b/>
          <w:color w:val="auto"/>
          <w:sz w:val="28"/>
          <w:szCs w:val="28"/>
          <w:highlight w:val="none"/>
        </w:rPr>
        <w:t>一</w:t>
      </w:r>
      <w:r>
        <w:rPr>
          <w:rFonts w:hint="eastAsia" w:hAnsi="宋体" w:cs="宋体"/>
          <w:b/>
          <w:color w:val="auto"/>
          <w:sz w:val="28"/>
          <w:szCs w:val="28"/>
          <w:highlight w:val="none"/>
          <w:lang w:val="en-US" w:eastAsia="zh-CN"/>
        </w:rPr>
        <w:t>份</w:t>
      </w:r>
      <w:r>
        <w:rPr>
          <w:rFonts w:hint="eastAsia" w:hAnsi="宋体" w:cs="宋体"/>
          <w:b/>
          <w:color w:val="auto"/>
          <w:sz w:val="28"/>
          <w:szCs w:val="28"/>
          <w:highlight w:val="none"/>
          <w:lang w:eastAsia="zh-CN"/>
        </w:rPr>
        <w:t>尿素</w:t>
      </w:r>
      <w:r>
        <w:rPr>
          <w:rFonts w:hint="eastAsia" w:hAnsi="宋体" w:cs="宋体"/>
          <w:b/>
          <w:color w:val="auto"/>
          <w:sz w:val="28"/>
          <w:szCs w:val="28"/>
          <w:highlight w:val="none"/>
          <w:lang w:val="en-US" w:eastAsia="zh-CN"/>
        </w:rPr>
        <w:t>供货相关业绩</w:t>
      </w:r>
      <w:r>
        <w:rPr>
          <w:rFonts w:hint="eastAsia" w:hAnsi="宋体" w:cs="宋体"/>
          <w:b/>
          <w:color w:val="auto"/>
          <w:sz w:val="28"/>
          <w:szCs w:val="28"/>
          <w:highlight w:val="none"/>
        </w:rPr>
        <w:t>（合同签订日期为</w:t>
      </w:r>
      <w:r>
        <w:rPr>
          <w:rFonts w:hAnsi="宋体" w:cs="宋体"/>
          <w:b/>
          <w:color w:val="auto"/>
          <w:sz w:val="28"/>
          <w:szCs w:val="28"/>
          <w:highlight w:val="none"/>
        </w:rPr>
        <w:t>2022</w:t>
      </w:r>
      <w:r>
        <w:rPr>
          <w:rFonts w:hint="eastAsia" w:hAnsi="宋体" w:cs="宋体"/>
          <w:b/>
          <w:color w:val="auto"/>
          <w:sz w:val="28"/>
          <w:szCs w:val="28"/>
          <w:highlight w:val="none"/>
        </w:rPr>
        <w:t>年</w:t>
      </w:r>
      <w:r>
        <w:rPr>
          <w:rFonts w:hAnsi="宋体" w:cs="宋体"/>
          <w:b/>
          <w:color w:val="auto"/>
          <w:sz w:val="28"/>
          <w:szCs w:val="28"/>
          <w:highlight w:val="none"/>
        </w:rPr>
        <w:t>1</w:t>
      </w:r>
      <w:r>
        <w:rPr>
          <w:rFonts w:hint="eastAsia" w:hAnsi="宋体" w:cs="宋体"/>
          <w:b/>
          <w:color w:val="auto"/>
          <w:sz w:val="28"/>
          <w:szCs w:val="28"/>
          <w:highlight w:val="none"/>
        </w:rPr>
        <w:t>月</w:t>
      </w:r>
      <w:r>
        <w:rPr>
          <w:rFonts w:hAnsi="宋体" w:cs="宋体"/>
          <w:b/>
          <w:color w:val="auto"/>
          <w:sz w:val="28"/>
          <w:szCs w:val="28"/>
          <w:highlight w:val="none"/>
        </w:rPr>
        <w:t>1</w:t>
      </w:r>
      <w:r>
        <w:rPr>
          <w:rFonts w:hint="eastAsia" w:hAnsi="宋体" w:cs="宋体"/>
          <w:b/>
          <w:color w:val="auto"/>
          <w:sz w:val="28"/>
          <w:szCs w:val="28"/>
          <w:highlight w:val="none"/>
        </w:rPr>
        <w:t>日或以后）</w:t>
      </w:r>
    </w:p>
    <w:p w14:paraId="3E779E79">
      <w:pPr>
        <w:rPr>
          <w:rFonts w:ascii="Times New Roman"/>
          <w:b/>
          <w:color w:val="auto"/>
          <w:sz w:val="28"/>
          <w:szCs w:val="28"/>
          <w:highlight w:val="none"/>
        </w:rPr>
      </w:pPr>
      <w:r>
        <w:rPr>
          <w:rFonts w:ascii="Times New Roman"/>
          <w:b/>
          <w:color w:val="auto"/>
          <w:sz w:val="28"/>
          <w:szCs w:val="28"/>
          <w:highlight w:val="none"/>
        </w:rPr>
        <w:br w:type="page"/>
      </w:r>
    </w:p>
    <w:p w14:paraId="2E85BE0D">
      <w:pPr>
        <w:numPr>
          <w:ilvl w:val="0"/>
          <w:numId w:val="0"/>
        </w:numPr>
        <w:spacing w:line="360" w:lineRule="auto"/>
        <w:rPr>
          <w:rFonts w:ascii="Times New Roman"/>
          <w:b/>
          <w:color w:val="auto"/>
          <w:sz w:val="28"/>
          <w:szCs w:val="28"/>
          <w:highlight w:val="none"/>
        </w:rPr>
      </w:pPr>
      <w:r>
        <w:rPr>
          <w:rFonts w:ascii="Times New Roman"/>
          <w:b/>
          <w:color w:val="auto"/>
          <w:sz w:val="28"/>
          <w:szCs w:val="28"/>
          <w:highlight w:val="none"/>
        </w:rPr>
        <w:t>5.</w:t>
      </w:r>
      <w:r>
        <w:rPr>
          <w:rFonts w:hint="eastAsia" w:ascii="Times New Roman"/>
          <w:b/>
          <w:color w:val="auto"/>
          <w:sz w:val="28"/>
          <w:szCs w:val="28"/>
          <w:highlight w:val="none"/>
        </w:rPr>
        <w:t xml:space="preserve"> </w:t>
      </w:r>
      <w:bookmarkEnd w:id="41"/>
      <w:bookmarkEnd w:id="42"/>
      <w:bookmarkEnd w:id="43"/>
      <w:r>
        <w:rPr>
          <w:rFonts w:hint="eastAsia" w:ascii="Times New Roman"/>
          <w:b/>
          <w:color w:val="auto"/>
          <w:sz w:val="28"/>
          <w:szCs w:val="28"/>
          <w:highlight w:val="none"/>
        </w:rPr>
        <w:t>承诺函</w:t>
      </w:r>
    </w:p>
    <w:p w14:paraId="3825154D">
      <w:pPr>
        <w:spacing w:line="360" w:lineRule="auto"/>
        <w:rPr>
          <w:rFonts w:hAnsi="宋体" w:cs="宋体"/>
          <w:color w:val="auto"/>
          <w:highlight w:val="none"/>
        </w:rPr>
      </w:pPr>
      <w:r>
        <w:rPr>
          <w:rFonts w:hint="eastAsia" w:hAnsi="宋体" w:cs="宋体"/>
          <w:color w:val="auto"/>
          <w:highlight w:val="none"/>
        </w:rPr>
        <w:t>致东莞市水务环境投资控股</w:t>
      </w:r>
      <w:r>
        <w:rPr>
          <w:rFonts w:hint="eastAsia" w:hAnsi="宋体" w:cs="宋体"/>
          <w:color w:val="auto"/>
          <w:highlight w:val="none"/>
          <w:lang w:val="en-US" w:eastAsia="zh-CN"/>
        </w:rPr>
        <w:t>集团净水有限公</w:t>
      </w:r>
      <w:r>
        <w:rPr>
          <w:rFonts w:hint="eastAsia" w:hAnsi="宋体" w:cs="宋体"/>
          <w:color w:val="auto"/>
          <w:highlight w:val="none"/>
        </w:rPr>
        <w:t>司：</w:t>
      </w:r>
    </w:p>
    <w:p w14:paraId="2B3DC756">
      <w:pPr>
        <w:spacing w:line="360" w:lineRule="auto"/>
        <w:ind w:firstLine="480" w:firstLineChars="200"/>
        <w:rPr>
          <w:rFonts w:hAnsi="宋体" w:cs="宋体"/>
          <w:color w:val="auto"/>
          <w:highlight w:val="none"/>
        </w:rPr>
      </w:pPr>
      <w:r>
        <w:rPr>
          <w:rFonts w:hint="eastAsia" w:hAnsi="宋体" w:cs="宋体"/>
          <w:color w:val="auto"/>
          <w:highlight w:val="none"/>
        </w:rPr>
        <w:t>我公司</w:t>
      </w:r>
      <w:r>
        <w:rPr>
          <w:rFonts w:hint="eastAsia" w:hAnsi="宋体" w:cs="宋体"/>
          <w:color w:val="auto"/>
          <w:highlight w:val="none"/>
          <w:u w:val="single"/>
        </w:rPr>
        <w:t xml:space="preserve"> </w:t>
      </w:r>
      <w:r>
        <w:rPr>
          <w:rFonts w:hAnsi="宋体" w:cs="宋体"/>
          <w:color w:val="auto"/>
          <w:highlight w:val="none"/>
          <w:u w:val="single"/>
        </w:rPr>
        <w:t xml:space="preserve">             </w:t>
      </w:r>
      <w:r>
        <w:rPr>
          <w:rFonts w:hint="eastAsia" w:hAnsi="宋体" w:cs="宋体"/>
          <w:color w:val="auto"/>
          <w:highlight w:val="none"/>
        </w:rPr>
        <w:t>为贵公司询价的</w:t>
      </w:r>
      <w:r>
        <w:rPr>
          <w:rFonts w:hint="eastAsia" w:hAnsi="宋体" w:cs="宋体"/>
          <w:color w:val="auto"/>
          <w:highlight w:val="none"/>
          <w:u w:val="single"/>
          <w:lang w:eastAsia="zh-CN"/>
        </w:rPr>
        <w:t>东莞市污泥集中处理处置项目尿素采购项目</w:t>
      </w:r>
      <w:r>
        <w:rPr>
          <w:rFonts w:hint="eastAsia" w:hAnsi="宋体" w:cs="宋体"/>
          <w:color w:val="auto"/>
          <w:highlight w:val="none"/>
        </w:rPr>
        <w:t>的报价单位，为确保供货及/或提供服务过程中的人身、财产安全，我公司承诺，如我公司获得成交资格，将严格按照下列要求开展工作。</w:t>
      </w:r>
    </w:p>
    <w:p w14:paraId="6E302DE3">
      <w:pPr>
        <w:spacing w:line="360" w:lineRule="auto"/>
        <w:ind w:firstLine="480" w:firstLineChars="200"/>
        <w:rPr>
          <w:rFonts w:hAnsi="宋体" w:cs="宋体"/>
          <w:color w:val="auto"/>
          <w:highlight w:val="none"/>
        </w:rPr>
      </w:pPr>
      <w:r>
        <w:rPr>
          <w:rFonts w:hAnsi="宋体" w:cs="宋体"/>
          <w:color w:val="auto"/>
          <w:highlight w:val="none"/>
        </w:rPr>
        <w:t>1、我公司承诺将严格遵守国家、地方政府有关安全生产及劳动保护的法律法规、标准、规定，贯彻执行贵公司的各项安全管理规章制度。</w:t>
      </w:r>
    </w:p>
    <w:p w14:paraId="2DE6560F">
      <w:pPr>
        <w:spacing w:line="360" w:lineRule="auto"/>
        <w:ind w:firstLine="480" w:firstLineChars="200"/>
        <w:rPr>
          <w:rFonts w:hAnsi="宋体" w:cs="宋体"/>
          <w:color w:val="auto"/>
          <w:highlight w:val="none"/>
        </w:rPr>
      </w:pPr>
      <w:r>
        <w:rPr>
          <w:rFonts w:hAnsi="宋体" w:cs="宋体"/>
          <w:color w:val="auto"/>
          <w:highlight w:val="none"/>
        </w:rPr>
        <w:t>2、我公司承诺将依法参加工伤保险，为</w:t>
      </w:r>
      <w:r>
        <w:rPr>
          <w:rFonts w:hint="eastAsia" w:hAnsi="宋体" w:cs="宋体"/>
          <w:color w:val="auto"/>
          <w:highlight w:val="none"/>
        </w:rPr>
        <w:t>安排至贵公司从事本项目的工作</w:t>
      </w:r>
      <w:r>
        <w:rPr>
          <w:rFonts w:hAnsi="宋体" w:cs="宋体"/>
          <w:color w:val="auto"/>
          <w:highlight w:val="none"/>
        </w:rPr>
        <w:t>人员缴纳保险费，并为从事危险作业的人员办理意外伤害保险。</w:t>
      </w:r>
    </w:p>
    <w:p w14:paraId="7733C659">
      <w:pPr>
        <w:spacing w:line="360" w:lineRule="auto"/>
        <w:ind w:firstLine="480" w:firstLineChars="200"/>
        <w:rPr>
          <w:rFonts w:hAnsi="宋体" w:cs="宋体"/>
          <w:color w:val="auto"/>
          <w:highlight w:val="none"/>
        </w:rPr>
      </w:pPr>
      <w:r>
        <w:rPr>
          <w:rFonts w:hAnsi="宋体" w:cs="宋体"/>
          <w:color w:val="auto"/>
          <w:highlight w:val="none"/>
        </w:rPr>
        <w:t>3、我公司承诺服从贵公司的安全管理，保证</w:t>
      </w:r>
      <w:r>
        <w:rPr>
          <w:rFonts w:hint="eastAsia" w:hAnsi="宋体" w:cs="宋体"/>
          <w:color w:val="auto"/>
          <w:highlight w:val="none"/>
        </w:rPr>
        <w:t>作业</w:t>
      </w:r>
      <w:r>
        <w:rPr>
          <w:rFonts w:hAnsi="宋体" w:cs="宋体"/>
          <w:color w:val="auto"/>
          <w:highlight w:val="none"/>
        </w:rPr>
        <w:t>区域的现场文明安全管理达标，现场临时用电、机器设备、安全防护齐全、完好</w:t>
      </w:r>
      <w:r>
        <w:rPr>
          <w:rFonts w:hint="eastAsia" w:hAnsi="宋体" w:cs="宋体"/>
          <w:color w:val="auto"/>
          <w:highlight w:val="none"/>
        </w:rPr>
        <w:t>，并</w:t>
      </w:r>
      <w:r>
        <w:rPr>
          <w:rFonts w:hAnsi="宋体" w:cs="宋体"/>
          <w:color w:val="auto"/>
          <w:highlight w:val="none"/>
        </w:rPr>
        <w:t>接受和配合贵公司的安全监督检查，我公司</w:t>
      </w:r>
      <w:r>
        <w:rPr>
          <w:rFonts w:hint="eastAsia" w:hAnsi="宋体" w:cs="宋体"/>
          <w:color w:val="auto"/>
          <w:highlight w:val="none"/>
        </w:rPr>
        <w:t>提供到贵公司</w:t>
      </w:r>
      <w:r>
        <w:rPr>
          <w:rFonts w:hAnsi="宋体" w:cs="宋体"/>
          <w:color w:val="auto"/>
          <w:highlight w:val="none"/>
        </w:rPr>
        <w:t>现场</w:t>
      </w:r>
      <w:r>
        <w:rPr>
          <w:rFonts w:hint="eastAsia" w:hAnsi="宋体" w:cs="宋体"/>
          <w:color w:val="auto"/>
          <w:highlight w:val="none"/>
        </w:rPr>
        <w:t>作业</w:t>
      </w:r>
      <w:r>
        <w:rPr>
          <w:rFonts w:hAnsi="宋体" w:cs="宋体"/>
          <w:color w:val="auto"/>
          <w:highlight w:val="none"/>
        </w:rPr>
        <w:t>的所有安全装置、防护设施必须依据经贵公司审批后的安全技术方案进行搭设、安装，同时我公司无条件保证安全防护设施使用的搭设材料的质量</w:t>
      </w:r>
      <w:r>
        <w:rPr>
          <w:rFonts w:hint="eastAsia" w:hAnsi="宋体" w:cs="宋体"/>
          <w:color w:val="auto"/>
          <w:highlight w:val="none"/>
        </w:rPr>
        <w:t>安全</w:t>
      </w:r>
      <w:r>
        <w:rPr>
          <w:rFonts w:hAnsi="宋体" w:cs="宋体"/>
          <w:color w:val="auto"/>
          <w:highlight w:val="none"/>
        </w:rPr>
        <w:t>，在用于安全防护的物资进场前将有关物资的材质证明报贵公司，经贵公司确认后方可使用。</w:t>
      </w:r>
    </w:p>
    <w:p w14:paraId="24BA717B">
      <w:pPr>
        <w:spacing w:line="360" w:lineRule="auto"/>
        <w:ind w:firstLine="480" w:firstLineChars="200"/>
        <w:rPr>
          <w:rFonts w:hAnsi="宋体" w:cs="宋体"/>
          <w:color w:val="auto"/>
          <w:highlight w:val="none"/>
        </w:rPr>
      </w:pPr>
      <w:r>
        <w:rPr>
          <w:rFonts w:hint="eastAsia" w:hAnsi="宋体" w:cs="宋体"/>
          <w:color w:val="auto"/>
          <w:highlight w:val="none"/>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5DC94DD9">
      <w:pPr>
        <w:spacing w:line="360" w:lineRule="auto"/>
        <w:ind w:firstLine="480" w:firstLineChars="200"/>
        <w:rPr>
          <w:rFonts w:hAnsi="宋体" w:cs="宋体"/>
          <w:color w:val="auto"/>
          <w:highlight w:val="none"/>
        </w:rPr>
      </w:pPr>
      <w:r>
        <w:rPr>
          <w:rFonts w:hint="eastAsia" w:hAnsi="宋体" w:cs="宋体"/>
          <w:color w:val="auto"/>
          <w:highlight w:val="none"/>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14:paraId="1A6DB199">
      <w:pPr>
        <w:spacing w:line="360" w:lineRule="auto"/>
        <w:ind w:firstLine="480" w:firstLineChars="200"/>
        <w:rPr>
          <w:rFonts w:hAnsi="宋体" w:cs="宋体"/>
          <w:color w:val="auto"/>
          <w:highlight w:val="none"/>
        </w:rPr>
      </w:pPr>
      <w:r>
        <w:rPr>
          <w:rFonts w:hint="eastAsia" w:hAnsi="宋体" w:cs="宋体"/>
          <w:color w:val="auto"/>
          <w:highlight w:val="none"/>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14:paraId="41D7DA19">
      <w:pPr>
        <w:spacing w:line="360" w:lineRule="auto"/>
        <w:ind w:firstLine="480" w:firstLineChars="200"/>
        <w:rPr>
          <w:rFonts w:hAnsi="宋体" w:cs="宋体"/>
          <w:color w:val="auto"/>
          <w:highlight w:val="none"/>
        </w:rPr>
      </w:pPr>
      <w:r>
        <w:rPr>
          <w:rFonts w:hint="eastAsia" w:hAnsi="宋体" w:cs="宋体"/>
          <w:color w:val="auto"/>
          <w:highlight w:val="none"/>
        </w:rPr>
        <w:t>7、我公司承诺协助和指导贵公司进行货物的储存，对贵公司的储存方式、方法、储存数量、仓库的安全设施设备、安全生产规章制度等是否符合国家标准或者国家有关规定提出合理的建议，并进行技术指导。</w:t>
      </w:r>
    </w:p>
    <w:p w14:paraId="01D51F69">
      <w:pPr>
        <w:spacing w:line="360" w:lineRule="auto"/>
        <w:ind w:firstLine="480" w:firstLineChars="200"/>
        <w:rPr>
          <w:rFonts w:hAnsi="宋体" w:cs="宋体"/>
          <w:color w:val="auto"/>
          <w:highlight w:val="none"/>
        </w:rPr>
      </w:pPr>
      <w:r>
        <w:rPr>
          <w:rFonts w:hint="eastAsia" w:hAnsi="宋体" w:cs="宋体"/>
          <w:color w:val="auto"/>
          <w:highlight w:val="none"/>
        </w:rPr>
        <w:t>8、我公司车辆在贵公司场所行驶时，将严格遵守厂区道路限行，限速和限重要求，如因我公司未遵守前述要求，对厂区</w:t>
      </w:r>
      <w:r>
        <w:rPr>
          <w:rFonts w:hAnsi="宋体" w:cs="宋体"/>
          <w:color w:val="auto"/>
          <w:highlight w:val="none"/>
        </w:rPr>
        <w:t>/</w:t>
      </w:r>
      <w:r>
        <w:rPr>
          <w:rFonts w:hint="eastAsia" w:hAnsi="宋体" w:cs="宋体"/>
          <w:color w:val="auto"/>
          <w:highlight w:val="none"/>
        </w:rPr>
        <w:t>贵公司</w:t>
      </w:r>
      <w:r>
        <w:rPr>
          <w:rFonts w:hAnsi="宋体" w:cs="宋体"/>
          <w:color w:val="auto"/>
          <w:highlight w:val="none"/>
        </w:rPr>
        <w:t>（含其人员）、</w:t>
      </w:r>
      <w:r>
        <w:rPr>
          <w:rFonts w:hint="eastAsia" w:hAnsi="宋体" w:cs="宋体"/>
          <w:color w:val="auto"/>
          <w:highlight w:val="none"/>
        </w:rPr>
        <w:t>我公司</w:t>
      </w:r>
      <w:r>
        <w:rPr>
          <w:rFonts w:hAnsi="宋体" w:cs="宋体"/>
          <w:color w:val="auto"/>
          <w:highlight w:val="none"/>
        </w:rPr>
        <w:t>人员、第三方造成损失的，</w:t>
      </w:r>
      <w:r>
        <w:rPr>
          <w:rFonts w:hint="eastAsia" w:hAnsi="宋体" w:cs="宋体"/>
          <w:color w:val="auto"/>
          <w:highlight w:val="none"/>
        </w:rPr>
        <w:t>由我公司</w:t>
      </w:r>
      <w:r>
        <w:rPr>
          <w:rFonts w:hAnsi="宋体" w:cs="宋体"/>
          <w:color w:val="auto"/>
          <w:highlight w:val="none"/>
        </w:rPr>
        <w:t>承担赔偿责任。</w:t>
      </w:r>
    </w:p>
    <w:p w14:paraId="0B421624">
      <w:pPr>
        <w:spacing w:line="360" w:lineRule="auto"/>
        <w:ind w:firstLine="480" w:firstLineChars="200"/>
        <w:rPr>
          <w:rFonts w:hAnsi="宋体" w:cs="宋体"/>
          <w:color w:val="auto"/>
          <w:highlight w:val="none"/>
        </w:rPr>
      </w:pPr>
      <w:r>
        <w:rPr>
          <w:rFonts w:hint="eastAsia" w:hAnsi="宋体" w:cs="宋体"/>
          <w:color w:val="auto"/>
          <w:highlight w:val="none"/>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14:paraId="7033575C">
      <w:pPr>
        <w:spacing w:line="360" w:lineRule="auto"/>
        <w:ind w:firstLine="480" w:firstLineChars="200"/>
        <w:rPr>
          <w:rFonts w:hAnsi="宋体" w:cs="宋体"/>
          <w:color w:val="auto"/>
          <w:highlight w:val="none"/>
        </w:rPr>
      </w:pPr>
      <w:r>
        <w:rPr>
          <w:rFonts w:hAnsi="宋体" w:cs="宋体"/>
          <w:color w:val="auto"/>
          <w:highlight w:val="none"/>
        </w:rPr>
        <w:t>10、因我公司原因，造成我公司损失，由我公司自负，给贵公司造成财产损失和人员伤害，我公司</w:t>
      </w:r>
      <w:r>
        <w:rPr>
          <w:rFonts w:hint="eastAsia" w:hAnsi="宋体" w:cs="宋体"/>
          <w:color w:val="auto"/>
          <w:highlight w:val="none"/>
        </w:rPr>
        <w:t>承担</w:t>
      </w:r>
      <w:r>
        <w:rPr>
          <w:rFonts w:hAnsi="宋体" w:cs="宋体"/>
          <w:color w:val="auto"/>
          <w:highlight w:val="none"/>
        </w:rPr>
        <w:t>全部责任，并全额赔偿贵公司。</w:t>
      </w:r>
    </w:p>
    <w:p w14:paraId="2F89F32B">
      <w:pPr>
        <w:spacing w:line="360" w:lineRule="auto"/>
        <w:ind w:firstLine="480" w:firstLineChars="200"/>
        <w:rPr>
          <w:rFonts w:hAnsi="宋体" w:cs="宋体"/>
          <w:color w:val="auto"/>
          <w:highlight w:val="none"/>
        </w:rPr>
      </w:pPr>
      <w:r>
        <w:rPr>
          <w:rFonts w:hAnsi="宋体" w:cs="宋体"/>
          <w:color w:val="auto"/>
          <w:highlight w:val="none"/>
        </w:rPr>
        <w:t>11、非因贵公司原因，造成我公司损失的，贵公司无需承担任何责任，由我公司自行承担全部责任。</w:t>
      </w:r>
    </w:p>
    <w:p w14:paraId="4CFD480C">
      <w:pPr>
        <w:spacing w:line="360" w:lineRule="auto"/>
        <w:ind w:firstLine="480" w:firstLineChars="200"/>
        <w:rPr>
          <w:rFonts w:hAnsi="宋体" w:cs="宋体"/>
          <w:color w:val="auto"/>
          <w:highlight w:val="none"/>
        </w:rPr>
      </w:pPr>
      <w:r>
        <w:rPr>
          <w:rFonts w:hAnsi="宋体" w:cs="宋体"/>
          <w:color w:val="auto"/>
          <w:highlight w:val="none"/>
        </w:rPr>
        <w:t>12、我公司承诺严格遵守法律法规以及贵公司的安全管理要求，并接受贵公司的安全生产工作协调和监督，积极消除安全隐患。安全管理的基本要求包括但不限于以下条款：</w:t>
      </w:r>
    </w:p>
    <w:p w14:paraId="756AFDCF">
      <w:pPr>
        <w:spacing w:line="360" w:lineRule="auto"/>
        <w:ind w:firstLine="480" w:firstLineChars="200"/>
        <w:rPr>
          <w:rFonts w:hAnsi="宋体" w:cs="宋体"/>
          <w:color w:val="auto"/>
          <w:highlight w:val="none"/>
        </w:rPr>
      </w:pPr>
      <w:r>
        <w:rPr>
          <w:rFonts w:hint="eastAsia" w:hAnsi="宋体" w:cs="宋体"/>
          <w:color w:val="auto"/>
          <w:highlight w:val="none"/>
        </w:rPr>
        <w:t>①禁火区内严禁吸烟、动火。有火灾危险的作业区域，我公司承诺配置足够的灭火设施。</w:t>
      </w:r>
    </w:p>
    <w:p w14:paraId="22794112">
      <w:pPr>
        <w:spacing w:line="360" w:lineRule="auto"/>
        <w:ind w:firstLine="480" w:firstLineChars="200"/>
        <w:rPr>
          <w:rFonts w:hAnsi="宋体" w:cs="宋体"/>
          <w:color w:val="auto"/>
          <w:highlight w:val="none"/>
        </w:rPr>
      </w:pPr>
      <w:r>
        <w:rPr>
          <w:rFonts w:hint="eastAsia" w:hAnsi="宋体" w:cs="宋体"/>
          <w:color w:val="auto"/>
          <w:highlight w:val="none"/>
        </w:rPr>
        <w:t>②我公司承诺焊接、气割作业时两瓶距离必须达到</w:t>
      </w:r>
      <w:r>
        <w:rPr>
          <w:rFonts w:hAnsi="宋体" w:cs="宋体"/>
          <w:color w:val="auto"/>
          <w:highlight w:val="none"/>
        </w:rPr>
        <w:t>5M及以上，气瓶距可能产生火花的电器、设备和其它火源的间距必须达到10M及以上。</w:t>
      </w:r>
    </w:p>
    <w:p w14:paraId="45A33233">
      <w:pPr>
        <w:spacing w:line="360" w:lineRule="auto"/>
        <w:ind w:firstLine="480" w:firstLineChars="200"/>
        <w:rPr>
          <w:rFonts w:hAnsi="宋体" w:cs="宋体"/>
          <w:color w:val="auto"/>
          <w:highlight w:val="none"/>
        </w:rPr>
      </w:pPr>
      <w:r>
        <w:rPr>
          <w:rFonts w:hint="eastAsia" w:hAnsi="宋体" w:cs="宋体"/>
          <w:color w:val="auto"/>
          <w:highlight w:val="none"/>
        </w:rPr>
        <w:t>③我公司承诺不在厂内道路、消防通道内搭建临时建筑或堆放物资。</w:t>
      </w:r>
    </w:p>
    <w:p w14:paraId="5A8FCCEE">
      <w:pPr>
        <w:spacing w:line="360" w:lineRule="auto"/>
        <w:ind w:firstLine="480" w:firstLineChars="200"/>
        <w:rPr>
          <w:rFonts w:hAnsi="宋体" w:cs="宋体"/>
          <w:color w:val="auto"/>
          <w:highlight w:val="none"/>
        </w:rPr>
      </w:pPr>
      <w:r>
        <w:rPr>
          <w:rFonts w:hint="eastAsia" w:hAnsi="宋体" w:cs="宋体"/>
          <w:color w:val="auto"/>
          <w:highlight w:val="none"/>
        </w:rPr>
        <w:t>④我公司承诺电动工具、电焊机等均具有漏电保护器和相应的安全防护装置。</w:t>
      </w:r>
    </w:p>
    <w:p w14:paraId="548263E8">
      <w:pPr>
        <w:spacing w:line="360" w:lineRule="auto"/>
        <w:ind w:firstLine="480" w:firstLineChars="200"/>
        <w:rPr>
          <w:rFonts w:hAnsi="宋体" w:cs="宋体"/>
          <w:color w:val="auto"/>
          <w:highlight w:val="none"/>
        </w:rPr>
      </w:pPr>
      <w:r>
        <w:rPr>
          <w:rFonts w:hint="eastAsia" w:hAnsi="宋体" w:cs="宋体"/>
          <w:color w:val="auto"/>
          <w:highlight w:val="none"/>
        </w:rPr>
        <w:t>⑤我公司承诺用电设施符合要求，杜绝电线乱接、乱拉，刀闸和开关无盖，在电器设施上堆放物品等行为。</w:t>
      </w:r>
    </w:p>
    <w:p w14:paraId="49EAF293">
      <w:pPr>
        <w:spacing w:line="360" w:lineRule="auto"/>
        <w:ind w:firstLine="480" w:firstLineChars="200"/>
        <w:rPr>
          <w:rFonts w:hAnsi="宋体" w:cs="宋体"/>
          <w:color w:val="auto"/>
          <w:highlight w:val="none"/>
        </w:rPr>
      </w:pPr>
      <w:r>
        <w:rPr>
          <w:rFonts w:hint="eastAsia" w:hAnsi="宋体" w:cs="宋体"/>
          <w:color w:val="auto"/>
          <w:highlight w:val="none"/>
        </w:rPr>
        <w:t>⑥我公司承诺防雷、防静电设施及用电设施有良好接地。</w:t>
      </w:r>
    </w:p>
    <w:p w14:paraId="7AB97F3E">
      <w:pPr>
        <w:spacing w:line="360" w:lineRule="auto"/>
        <w:ind w:firstLine="480" w:firstLineChars="200"/>
        <w:rPr>
          <w:rFonts w:hAnsi="宋体" w:cs="宋体"/>
          <w:color w:val="auto"/>
          <w:highlight w:val="none"/>
        </w:rPr>
      </w:pPr>
      <w:r>
        <w:rPr>
          <w:rFonts w:hint="eastAsia" w:hAnsi="宋体" w:cs="宋体"/>
          <w:color w:val="auto"/>
          <w:highlight w:val="none"/>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459FD6D7">
      <w:pPr>
        <w:spacing w:line="360" w:lineRule="auto"/>
        <w:ind w:firstLine="480" w:firstLineChars="200"/>
        <w:rPr>
          <w:rFonts w:hAnsi="宋体" w:cs="宋体"/>
          <w:color w:val="auto"/>
          <w:highlight w:val="none"/>
        </w:rPr>
      </w:pPr>
      <w:r>
        <w:rPr>
          <w:rFonts w:hAnsi="宋体" w:cs="宋体"/>
          <w:color w:val="auto"/>
          <w:highlight w:val="none"/>
        </w:rPr>
        <w:t>13、我公司承诺接受</w:t>
      </w:r>
      <w:r>
        <w:rPr>
          <w:rFonts w:hint="eastAsia" w:hAnsi="宋体" w:cs="宋体"/>
          <w:color w:val="auto"/>
          <w:highlight w:val="none"/>
        </w:rPr>
        <w:t>贵公司</w:t>
      </w:r>
      <w:r>
        <w:rPr>
          <w:rFonts w:hAnsi="宋体" w:cs="宋体"/>
          <w:color w:val="auto"/>
          <w:highlight w:val="none"/>
        </w:rPr>
        <w:t>的检查与监督，并主动配合，做好安全工作，凡有违反上述条款的即视为我公司违约，贵公司有权视情况从</w:t>
      </w:r>
      <w:r>
        <w:rPr>
          <w:rFonts w:hint="eastAsia" w:hAnsi="宋体" w:cs="宋体"/>
          <w:color w:val="auto"/>
          <w:highlight w:val="none"/>
        </w:rPr>
        <w:t>货物</w:t>
      </w:r>
      <w:r>
        <w:rPr>
          <w:rFonts w:hAnsi="宋体" w:cs="宋体"/>
          <w:color w:val="auto"/>
          <w:highlight w:val="none"/>
        </w:rPr>
        <w:t>/服务价款中扣除2000元/次作为违约金。</w:t>
      </w:r>
    </w:p>
    <w:p w14:paraId="09B11FEB">
      <w:pPr>
        <w:spacing w:line="360" w:lineRule="auto"/>
        <w:ind w:firstLine="480" w:firstLineChars="200"/>
        <w:rPr>
          <w:rFonts w:hAnsi="宋体" w:cs="宋体"/>
          <w:color w:val="auto"/>
          <w:highlight w:val="none"/>
        </w:rPr>
      </w:pPr>
      <w:r>
        <w:rPr>
          <w:rFonts w:hint="eastAsia" w:hAnsi="宋体" w:cs="宋体"/>
          <w:color w:val="auto"/>
          <w:highlight w:val="none"/>
        </w:rPr>
        <w:t>如因我公司违反上述条款造成安全生产事故的，我公司将承担由此引发的一切责任与后果，如造成贵公司损失的，我公司将予以足额赔偿，同时，贵公司有权没收我公司提交的履约担保。</w:t>
      </w:r>
    </w:p>
    <w:p w14:paraId="7A5D59B1">
      <w:pPr>
        <w:spacing w:line="360" w:lineRule="auto"/>
        <w:ind w:firstLine="480" w:firstLineChars="200"/>
        <w:rPr>
          <w:rFonts w:hAnsi="宋体" w:cs="宋体"/>
          <w:color w:val="auto"/>
          <w:highlight w:val="none"/>
        </w:rPr>
      </w:pPr>
    </w:p>
    <w:p w14:paraId="0692DD4C">
      <w:pPr>
        <w:spacing w:line="360" w:lineRule="auto"/>
        <w:ind w:firstLine="480" w:firstLineChars="200"/>
        <w:rPr>
          <w:rFonts w:hAnsi="宋体" w:cs="宋体"/>
          <w:color w:val="auto"/>
          <w:highlight w:val="none"/>
        </w:rPr>
      </w:pPr>
    </w:p>
    <w:p w14:paraId="603DC644">
      <w:pPr>
        <w:spacing w:line="360" w:lineRule="auto"/>
        <w:ind w:firstLine="480" w:firstLineChars="200"/>
        <w:rPr>
          <w:rFonts w:hAnsi="宋体" w:cs="宋体"/>
          <w:color w:val="auto"/>
          <w:highlight w:val="none"/>
        </w:rPr>
      </w:pPr>
      <w:r>
        <w:rPr>
          <w:rFonts w:hint="eastAsia" w:hAnsi="宋体" w:cs="宋体"/>
          <w:color w:val="auto"/>
          <w:highlight w:val="none"/>
        </w:rPr>
        <w:t>特此承诺。</w:t>
      </w:r>
    </w:p>
    <w:p w14:paraId="74224C77">
      <w:pPr>
        <w:spacing w:line="360" w:lineRule="auto"/>
        <w:rPr>
          <w:rFonts w:hAnsi="宋体" w:cs="宋体"/>
          <w:color w:val="auto"/>
          <w:highlight w:val="none"/>
        </w:rPr>
      </w:pPr>
      <w:r>
        <w:rPr>
          <w:rFonts w:hint="eastAsia" w:hAnsi="宋体" w:cs="宋体"/>
          <w:color w:val="auto"/>
          <w:highlight w:val="none"/>
        </w:rPr>
        <w:t xml:space="preserve">                                  承诺人（</w:t>
      </w:r>
      <w:r>
        <w:rPr>
          <w:rFonts w:hint="eastAsia" w:hAnsi="宋体" w:cs="宋体"/>
          <w:color w:val="auto"/>
          <w:kern w:val="2"/>
          <w:szCs w:val="28"/>
          <w:highlight w:val="none"/>
          <w:lang w:val="en-US" w:eastAsia="zh-CN"/>
        </w:rPr>
        <w:t>加盖公</w:t>
      </w:r>
      <w:r>
        <w:rPr>
          <w:rFonts w:hint="eastAsia" w:hAnsi="宋体" w:cs="宋体"/>
          <w:color w:val="auto"/>
          <w:kern w:val="2"/>
          <w:szCs w:val="28"/>
          <w:highlight w:val="none"/>
          <w:lang w:val="zh-CN"/>
        </w:rPr>
        <w:t>章</w:t>
      </w:r>
      <w:r>
        <w:rPr>
          <w:rFonts w:hint="eastAsia" w:hAnsi="宋体" w:cs="宋体"/>
          <w:color w:val="auto"/>
          <w:highlight w:val="none"/>
        </w:rPr>
        <w:t>）：</w:t>
      </w:r>
    </w:p>
    <w:p w14:paraId="3942AF56">
      <w:pPr>
        <w:spacing w:line="360" w:lineRule="auto"/>
        <w:jc w:val="center"/>
        <w:rPr>
          <w:rFonts w:hAnsi="宋体" w:cs="宋体"/>
          <w:color w:val="auto"/>
          <w:highlight w:val="none"/>
        </w:rPr>
      </w:pPr>
      <w:r>
        <w:rPr>
          <w:rFonts w:hint="eastAsia" w:hAnsi="宋体" w:cs="宋体"/>
          <w:color w:val="auto"/>
          <w:highlight w:val="none"/>
        </w:rPr>
        <w:t xml:space="preserve">     日期：</w:t>
      </w:r>
    </w:p>
    <w:p w14:paraId="1860EB52">
      <w:pPr>
        <w:spacing w:line="360" w:lineRule="auto"/>
        <w:rPr>
          <w:rFonts w:ascii="Times New Roman"/>
          <w:b/>
          <w:color w:val="auto"/>
          <w:sz w:val="28"/>
          <w:szCs w:val="28"/>
          <w:highlight w:val="none"/>
        </w:rPr>
      </w:pPr>
    </w:p>
    <w:p w14:paraId="537450A4">
      <w:pPr>
        <w:spacing w:line="360" w:lineRule="auto"/>
        <w:rPr>
          <w:rFonts w:ascii="Times New Roman"/>
          <w:b/>
          <w:color w:val="auto"/>
          <w:sz w:val="28"/>
          <w:szCs w:val="28"/>
          <w:highlight w:val="none"/>
        </w:rPr>
      </w:pPr>
    </w:p>
    <w:sectPr>
      <w:pgSz w:w="11906" w:h="16838"/>
      <w:pgMar w:top="1440" w:right="1803" w:bottom="1440" w:left="1803"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9821C">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8423F">
                          <w:pPr>
                            <w:pStyle w:val="13"/>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F48423F">
                    <w:pPr>
                      <w:pStyle w:val="13"/>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85CDF">
    <w:pPr>
      <w:pStyle w:val="13"/>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110</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110</w:t>
    </w:r>
    <w:r>
      <w:rPr>
        <w:bCs/>
        <w:sz w:val="24"/>
        <w:szCs w:val="24"/>
      </w:rPr>
      <w:fldChar w:fldCharType="end"/>
    </w:r>
    <w:r>
      <w:rPr>
        <w:b/>
        <w:bCs/>
        <w:sz w:val="24"/>
        <w:szCs w:val="24"/>
      </w:rPr>
      <w:t xml:space="preserve"> </w:t>
    </w:r>
    <w:r>
      <w:rPr>
        <w:rFonts w:hint="eastAsia"/>
      </w:rPr>
      <w:t>页</w:t>
    </w:r>
  </w:p>
  <w:p w14:paraId="61DD281C">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20C68">
    <w:pPr>
      <w:pStyle w:val="13"/>
      <w:jc w:val="center"/>
    </w:pPr>
    <w:r>
      <w:rPr>
        <w:rFonts w:hint="eastAsia"/>
      </w:rPr>
      <w:t>第</w:t>
    </w:r>
    <w:r>
      <w:rPr>
        <w:bCs/>
      </w:rPr>
      <w:fldChar w:fldCharType="begin"/>
    </w:r>
    <w:r>
      <w:rPr>
        <w:bCs/>
      </w:rPr>
      <w:instrText xml:space="preserve">PAGE</w:instrText>
    </w:r>
    <w:r>
      <w:rPr>
        <w:bCs/>
      </w:rPr>
      <w:fldChar w:fldCharType="separate"/>
    </w:r>
    <w:r>
      <w:rPr>
        <w:bCs/>
      </w:rPr>
      <w:t>86</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86</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DEEE2">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D2920">
                          <w:pPr>
                            <w:pStyle w:val="13"/>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75D2920">
                    <w:pPr>
                      <w:pStyle w:val="13"/>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829CA"/>
    <w:multiLevelType w:val="singleLevel"/>
    <w:tmpl w:val="802829CA"/>
    <w:lvl w:ilvl="0" w:tentative="0">
      <w:start w:val="6"/>
      <w:numFmt w:val="chineseCounting"/>
      <w:suff w:val="nothing"/>
      <w:lvlText w:val="%1、"/>
      <w:lvlJc w:val="left"/>
      <w:rPr>
        <w:rFonts w:hint="eastAsia"/>
      </w:rPr>
    </w:lvl>
  </w:abstractNum>
  <w:abstractNum w:abstractNumId="1">
    <w:nsid w:val="88815DD8"/>
    <w:multiLevelType w:val="singleLevel"/>
    <w:tmpl w:val="88815DD8"/>
    <w:lvl w:ilvl="0" w:tentative="0">
      <w:start w:val="1"/>
      <w:numFmt w:val="decimal"/>
      <w:suff w:val="nothing"/>
      <w:lvlText w:val="%1、"/>
      <w:lvlJc w:val="left"/>
    </w:lvl>
  </w:abstractNum>
  <w:abstractNum w:abstractNumId="2">
    <w:nsid w:val="EEFEB810"/>
    <w:multiLevelType w:val="singleLevel"/>
    <w:tmpl w:val="EEFEB810"/>
    <w:lvl w:ilvl="0" w:tentative="0">
      <w:start w:val="1"/>
      <w:numFmt w:val="decimal"/>
      <w:suff w:val="nothing"/>
      <w:lvlText w:val="（%1）"/>
      <w:lvlJc w:val="left"/>
    </w:lvl>
  </w:abstractNum>
  <w:abstractNum w:abstractNumId="3">
    <w:nsid w:val="1199E657"/>
    <w:multiLevelType w:val="singleLevel"/>
    <w:tmpl w:val="1199E657"/>
    <w:lvl w:ilvl="0" w:tentative="0">
      <w:start w:val="1"/>
      <w:numFmt w:val="decimal"/>
      <w:suff w:val="nothing"/>
      <w:lvlText w:val="%1．"/>
      <w:lvlJc w:val="left"/>
      <w:pPr>
        <w:ind w:left="0" w:firstLine="400"/>
      </w:pPr>
      <w:rPr>
        <w:rFonts w:hint="default"/>
      </w:rPr>
    </w:lvl>
  </w:abstractNum>
  <w:abstractNum w:abstractNumId="4">
    <w:nsid w:val="532B5F07"/>
    <w:multiLevelType w:val="multilevel"/>
    <w:tmpl w:val="532B5F07"/>
    <w:lvl w:ilvl="0" w:tentative="0">
      <w:start w:val="1"/>
      <w:numFmt w:val="japaneseCounting"/>
      <w:lvlText w:val="第%1条"/>
      <w:lvlJc w:val="left"/>
      <w:pPr>
        <w:ind w:left="720" w:hanging="720"/>
      </w:pPr>
      <w:rPr>
        <w:rFonts w:hint="eastAsia" w:ascii="宋体" w:hAnsi="宋体" w:eastAsia="Times New Roman"/>
        <w:b/>
        <w:sz w:val="24"/>
        <w:szCs w:val="3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69288AD"/>
    <w:multiLevelType w:val="singleLevel"/>
    <w:tmpl w:val="669288AD"/>
    <w:lvl w:ilvl="0" w:tentative="0">
      <w:start w:val="2"/>
      <w:numFmt w:val="decimal"/>
      <w:suff w:val="nothing"/>
      <w:lvlText w:val="（%1）"/>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HorizontalSpacing w:val="1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3DAB"/>
    <w:rsid w:val="00060A39"/>
    <w:rsid w:val="0006243A"/>
    <w:rsid w:val="00087579"/>
    <w:rsid w:val="000877EE"/>
    <w:rsid w:val="000936C4"/>
    <w:rsid w:val="000A73FD"/>
    <w:rsid w:val="000C3DC4"/>
    <w:rsid w:val="000D7F46"/>
    <w:rsid w:val="00126F7D"/>
    <w:rsid w:val="001277AD"/>
    <w:rsid w:val="00130C34"/>
    <w:rsid w:val="0014286F"/>
    <w:rsid w:val="00182153"/>
    <w:rsid w:val="001A1C91"/>
    <w:rsid w:val="001C4E88"/>
    <w:rsid w:val="001C66F6"/>
    <w:rsid w:val="001D52F6"/>
    <w:rsid w:val="001E3F91"/>
    <w:rsid w:val="001F7380"/>
    <w:rsid w:val="001F7CE4"/>
    <w:rsid w:val="0021086E"/>
    <w:rsid w:val="00213880"/>
    <w:rsid w:val="00220FA1"/>
    <w:rsid w:val="0023708C"/>
    <w:rsid w:val="00241CA3"/>
    <w:rsid w:val="002533B7"/>
    <w:rsid w:val="00272C5F"/>
    <w:rsid w:val="00276876"/>
    <w:rsid w:val="002861E1"/>
    <w:rsid w:val="002B2FCB"/>
    <w:rsid w:val="002C29FB"/>
    <w:rsid w:val="002D11BA"/>
    <w:rsid w:val="002D4E96"/>
    <w:rsid w:val="002D64F7"/>
    <w:rsid w:val="002E36DD"/>
    <w:rsid w:val="002E3BD3"/>
    <w:rsid w:val="00335ADA"/>
    <w:rsid w:val="003451AD"/>
    <w:rsid w:val="003516C5"/>
    <w:rsid w:val="003543DC"/>
    <w:rsid w:val="003A4927"/>
    <w:rsid w:val="003B7BA2"/>
    <w:rsid w:val="003C4080"/>
    <w:rsid w:val="003C52D7"/>
    <w:rsid w:val="003E34BC"/>
    <w:rsid w:val="003F09A2"/>
    <w:rsid w:val="003F5D9B"/>
    <w:rsid w:val="004145D3"/>
    <w:rsid w:val="00417A22"/>
    <w:rsid w:val="00440D93"/>
    <w:rsid w:val="004471D9"/>
    <w:rsid w:val="00450793"/>
    <w:rsid w:val="004536B9"/>
    <w:rsid w:val="00460DA6"/>
    <w:rsid w:val="004668C5"/>
    <w:rsid w:val="0047208D"/>
    <w:rsid w:val="0048608D"/>
    <w:rsid w:val="004A0792"/>
    <w:rsid w:val="004C1B24"/>
    <w:rsid w:val="004E008B"/>
    <w:rsid w:val="004E1AB3"/>
    <w:rsid w:val="00506965"/>
    <w:rsid w:val="00520060"/>
    <w:rsid w:val="00550342"/>
    <w:rsid w:val="005703C1"/>
    <w:rsid w:val="00575CE7"/>
    <w:rsid w:val="00576FC0"/>
    <w:rsid w:val="00580EBB"/>
    <w:rsid w:val="00581C68"/>
    <w:rsid w:val="00592AF5"/>
    <w:rsid w:val="005939E4"/>
    <w:rsid w:val="005A22A8"/>
    <w:rsid w:val="005A7108"/>
    <w:rsid w:val="005B0B0B"/>
    <w:rsid w:val="005B5AFF"/>
    <w:rsid w:val="005B7598"/>
    <w:rsid w:val="005E0558"/>
    <w:rsid w:val="005E06C1"/>
    <w:rsid w:val="005E1087"/>
    <w:rsid w:val="005E4914"/>
    <w:rsid w:val="005E532B"/>
    <w:rsid w:val="006008D3"/>
    <w:rsid w:val="00604148"/>
    <w:rsid w:val="00604AE0"/>
    <w:rsid w:val="00612300"/>
    <w:rsid w:val="00622EDA"/>
    <w:rsid w:val="00625283"/>
    <w:rsid w:val="00635EA9"/>
    <w:rsid w:val="00656404"/>
    <w:rsid w:val="006A0C51"/>
    <w:rsid w:val="006A3590"/>
    <w:rsid w:val="006B6AE3"/>
    <w:rsid w:val="006D3240"/>
    <w:rsid w:val="006E350A"/>
    <w:rsid w:val="006E6C27"/>
    <w:rsid w:val="007114E2"/>
    <w:rsid w:val="007143FF"/>
    <w:rsid w:val="00727FD1"/>
    <w:rsid w:val="00731B42"/>
    <w:rsid w:val="00743F4C"/>
    <w:rsid w:val="00761855"/>
    <w:rsid w:val="00770D53"/>
    <w:rsid w:val="00770F5B"/>
    <w:rsid w:val="00786AEA"/>
    <w:rsid w:val="007913E8"/>
    <w:rsid w:val="007A57A7"/>
    <w:rsid w:val="007B613E"/>
    <w:rsid w:val="007D1B4D"/>
    <w:rsid w:val="007E6CDC"/>
    <w:rsid w:val="007F4A53"/>
    <w:rsid w:val="007F781E"/>
    <w:rsid w:val="008015B3"/>
    <w:rsid w:val="0080585B"/>
    <w:rsid w:val="00806A29"/>
    <w:rsid w:val="00834896"/>
    <w:rsid w:val="008479A5"/>
    <w:rsid w:val="00852936"/>
    <w:rsid w:val="008603E5"/>
    <w:rsid w:val="00867E40"/>
    <w:rsid w:val="008705AE"/>
    <w:rsid w:val="0087336F"/>
    <w:rsid w:val="00875649"/>
    <w:rsid w:val="0089250A"/>
    <w:rsid w:val="00892DEC"/>
    <w:rsid w:val="008A57B2"/>
    <w:rsid w:val="008B1A03"/>
    <w:rsid w:val="008C0C45"/>
    <w:rsid w:val="008F0ABF"/>
    <w:rsid w:val="00905314"/>
    <w:rsid w:val="00916959"/>
    <w:rsid w:val="00936DB6"/>
    <w:rsid w:val="0094384C"/>
    <w:rsid w:val="00964520"/>
    <w:rsid w:val="009675C0"/>
    <w:rsid w:val="00981B8E"/>
    <w:rsid w:val="009B3C45"/>
    <w:rsid w:val="009B5937"/>
    <w:rsid w:val="009B5D98"/>
    <w:rsid w:val="009B7B4E"/>
    <w:rsid w:val="009D033A"/>
    <w:rsid w:val="009D0E49"/>
    <w:rsid w:val="009D6EEC"/>
    <w:rsid w:val="009E2108"/>
    <w:rsid w:val="009E5061"/>
    <w:rsid w:val="009F2836"/>
    <w:rsid w:val="00A04E05"/>
    <w:rsid w:val="00A14EF1"/>
    <w:rsid w:val="00A15517"/>
    <w:rsid w:val="00A222E8"/>
    <w:rsid w:val="00A30B04"/>
    <w:rsid w:val="00A32BDC"/>
    <w:rsid w:val="00A75B6C"/>
    <w:rsid w:val="00A91D5D"/>
    <w:rsid w:val="00AA01B4"/>
    <w:rsid w:val="00AC72E8"/>
    <w:rsid w:val="00AD6764"/>
    <w:rsid w:val="00B00F70"/>
    <w:rsid w:val="00B2564D"/>
    <w:rsid w:val="00B3048B"/>
    <w:rsid w:val="00B44D9E"/>
    <w:rsid w:val="00B52BA3"/>
    <w:rsid w:val="00B577DA"/>
    <w:rsid w:val="00B63B6C"/>
    <w:rsid w:val="00B72CF5"/>
    <w:rsid w:val="00B73C22"/>
    <w:rsid w:val="00B74EAC"/>
    <w:rsid w:val="00BA2FDD"/>
    <w:rsid w:val="00BB6875"/>
    <w:rsid w:val="00BD0A68"/>
    <w:rsid w:val="00BD116D"/>
    <w:rsid w:val="00BD2C9F"/>
    <w:rsid w:val="00BE30CA"/>
    <w:rsid w:val="00BF0326"/>
    <w:rsid w:val="00BF23B3"/>
    <w:rsid w:val="00C0670D"/>
    <w:rsid w:val="00C15CAE"/>
    <w:rsid w:val="00C54EDF"/>
    <w:rsid w:val="00C65334"/>
    <w:rsid w:val="00C77A3A"/>
    <w:rsid w:val="00C8067F"/>
    <w:rsid w:val="00C81F39"/>
    <w:rsid w:val="00CB0949"/>
    <w:rsid w:val="00CB31B3"/>
    <w:rsid w:val="00CD7B0D"/>
    <w:rsid w:val="00CE0466"/>
    <w:rsid w:val="00CE73B7"/>
    <w:rsid w:val="00CF015C"/>
    <w:rsid w:val="00D12814"/>
    <w:rsid w:val="00D167C9"/>
    <w:rsid w:val="00D66911"/>
    <w:rsid w:val="00D72128"/>
    <w:rsid w:val="00D84B4B"/>
    <w:rsid w:val="00D8721B"/>
    <w:rsid w:val="00DB1934"/>
    <w:rsid w:val="00DB3106"/>
    <w:rsid w:val="00E031E7"/>
    <w:rsid w:val="00E078F8"/>
    <w:rsid w:val="00E12E8C"/>
    <w:rsid w:val="00E17996"/>
    <w:rsid w:val="00E24003"/>
    <w:rsid w:val="00E2498C"/>
    <w:rsid w:val="00E50F9B"/>
    <w:rsid w:val="00E77CB1"/>
    <w:rsid w:val="00E81726"/>
    <w:rsid w:val="00EA060E"/>
    <w:rsid w:val="00ED0E9B"/>
    <w:rsid w:val="00F07ECE"/>
    <w:rsid w:val="00F104E8"/>
    <w:rsid w:val="00F36E08"/>
    <w:rsid w:val="00F53F51"/>
    <w:rsid w:val="00F56153"/>
    <w:rsid w:val="00F8456C"/>
    <w:rsid w:val="00F923D8"/>
    <w:rsid w:val="00FA4520"/>
    <w:rsid w:val="00FB4F9D"/>
    <w:rsid w:val="00FC1827"/>
    <w:rsid w:val="00FC5D57"/>
    <w:rsid w:val="00FF58C5"/>
    <w:rsid w:val="00FF628A"/>
    <w:rsid w:val="05160145"/>
    <w:rsid w:val="05F63A4D"/>
    <w:rsid w:val="06E27ADA"/>
    <w:rsid w:val="07A56A29"/>
    <w:rsid w:val="07DF6A82"/>
    <w:rsid w:val="09434CDD"/>
    <w:rsid w:val="0A4F60F9"/>
    <w:rsid w:val="14BF2F57"/>
    <w:rsid w:val="166C3E5C"/>
    <w:rsid w:val="17FF1C9D"/>
    <w:rsid w:val="21217D8A"/>
    <w:rsid w:val="2386555D"/>
    <w:rsid w:val="246B25F1"/>
    <w:rsid w:val="25E54563"/>
    <w:rsid w:val="27557A20"/>
    <w:rsid w:val="27E162AD"/>
    <w:rsid w:val="28F65471"/>
    <w:rsid w:val="29E140BF"/>
    <w:rsid w:val="2A5868DF"/>
    <w:rsid w:val="2A631000"/>
    <w:rsid w:val="2A6D26D8"/>
    <w:rsid w:val="2C8B4438"/>
    <w:rsid w:val="323C49D6"/>
    <w:rsid w:val="34A00A1D"/>
    <w:rsid w:val="3AD849D6"/>
    <w:rsid w:val="3B6B54F4"/>
    <w:rsid w:val="42E62B8F"/>
    <w:rsid w:val="45BE2177"/>
    <w:rsid w:val="4BAB533E"/>
    <w:rsid w:val="4C986A02"/>
    <w:rsid w:val="4DC81F78"/>
    <w:rsid w:val="4E022770"/>
    <w:rsid w:val="4F7244C4"/>
    <w:rsid w:val="51492FE2"/>
    <w:rsid w:val="52C02341"/>
    <w:rsid w:val="5CAA07BA"/>
    <w:rsid w:val="5CF20215"/>
    <w:rsid w:val="5EB72A3D"/>
    <w:rsid w:val="5F9D2B92"/>
    <w:rsid w:val="60A60CCB"/>
    <w:rsid w:val="611F1E59"/>
    <w:rsid w:val="616F470F"/>
    <w:rsid w:val="63143EF4"/>
    <w:rsid w:val="635E3621"/>
    <w:rsid w:val="63AD392D"/>
    <w:rsid w:val="65316E3C"/>
    <w:rsid w:val="6AE93CA8"/>
    <w:rsid w:val="6AED5C1F"/>
    <w:rsid w:val="6C730131"/>
    <w:rsid w:val="6E245917"/>
    <w:rsid w:val="6F420807"/>
    <w:rsid w:val="70714B0F"/>
    <w:rsid w:val="70A66A91"/>
    <w:rsid w:val="71817F98"/>
    <w:rsid w:val="747F7695"/>
    <w:rsid w:val="7CD67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qFormat/>
    <w:uiPriority w:val="9"/>
    <w:pPr>
      <w:keepNext/>
      <w:keepLines/>
      <w:spacing w:before="340" w:after="330" w:line="360" w:lineRule="auto"/>
      <w:outlineLvl w:val="0"/>
    </w:pPr>
    <w:rPr>
      <w:b/>
      <w:bCs/>
      <w:kern w:val="44"/>
      <w:sz w:val="32"/>
      <w:szCs w:val="44"/>
    </w:rPr>
  </w:style>
  <w:style w:type="paragraph" w:styleId="4">
    <w:name w:val="heading 2"/>
    <w:basedOn w:val="1"/>
    <w:next w:val="1"/>
    <w:link w:val="55"/>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0"/>
    <w:pPr>
      <w:outlineLvl w:val="2"/>
    </w:pPr>
  </w:style>
  <w:style w:type="paragraph" w:styleId="6">
    <w:name w:val="heading 9"/>
    <w:basedOn w:val="1"/>
    <w:next w:val="1"/>
    <w:link w:val="44"/>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7">
    <w:name w:val="annotation text"/>
    <w:basedOn w:val="1"/>
    <w:link w:val="35"/>
    <w:qFormat/>
    <w:uiPriority w:val="0"/>
  </w:style>
  <w:style w:type="paragraph" w:styleId="8">
    <w:name w:val="Body Text"/>
    <w:basedOn w:val="1"/>
    <w:link w:val="37"/>
    <w:qFormat/>
    <w:uiPriority w:val="0"/>
    <w:pPr>
      <w:spacing w:after="120"/>
    </w:pPr>
    <w:rPr>
      <w:rFonts w:ascii="Times New Roman"/>
    </w:rPr>
  </w:style>
  <w:style w:type="paragraph" w:styleId="9">
    <w:name w:val="Body Text Indent"/>
    <w:basedOn w:val="1"/>
    <w:link w:val="49"/>
    <w:qFormat/>
    <w:uiPriority w:val="0"/>
    <w:pPr>
      <w:autoSpaceDE/>
      <w:autoSpaceDN/>
      <w:adjustRightInd/>
      <w:spacing w:line="480" w:lineRule="exact"/>
      <w:ind w:firstLine="560" w:firstLineChars="200"/>
      <w:jc w:val="both"/>
    </w:pPr>
    <w:rPr>
      <w:rFonts w:hAnsi="宋体"/>
      <w:kern w:val="2"/>
      <w:sz w:val="28"/>
    </w:rPr>
  </w:style>
  <w:style w:type="paragraph" w:styleId="10">
    <w:name w:val="toc 3"/>
    <w:basedOn w:val="1"/>
    <w:next w:val="1"/>
    <w:qFormat/>
    <w:uiPriority w:val="0"/>
    <w:pPr>
      <w:ind w:left="840" w:leftChars="400"/>
    </w:pPr>
  </w:style>
  <w:style w:type="paragraph" w:styleId="11">
    <w:name w:val="Plain Text"/>
    <w:basedOn w:val="1"/>
    <w:link w:val="43"/>
    <w:qFormat/>
    <w:uiPriority w:val="0"/>
    <w:pPr>
      <w:autoSpaceDE/>
      <w:autoSpaceDN/>
      <w:adjustRightInd/>
      <w:jc w:val="both"/>
    </w:pPr>
    <w:rPr>
      <w:rFonts w:hAnsi="Courier New"/>
      <w:kern w:val="2"/>
      <w:sz w:val="21"/>
      <w:szCs w:val="20"/>
    </w:rPr>
  </w:style>
  <w:style w:type="paragraph" w:styleId="12">
    <w:name w:val="Balloon Text"/>
    <w:basedOn w:val="1"/>
    <w:link w:val="34"/>
    <w:qFormat/>
    <w:uiPriority w:val="0"/>
    <w:rPr>
      <w:sz w:val="18"/>
      <w:szCs w:val="18"/>
    </w:rPr>
  </w:style>
  <w:style w:type="paragraph" w:styleId="13">
    <w:name w:val="footer"/>
    <w:basedOn w:val="1"/>
    <w:link w:val="45"/>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4">
    <w:name w:val="header"/>
    <w:basedOn w:val="1"/>
    <w:link w:val="4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5">
    <w:name w:val="toc 1"/>
    <w:basedOn w:val="1"/>
    <w:next w:val="1"/>
    <w:unhideWhenUsed/>
    <w:qFormat/>
    <w:uiPriority w:val="39"/>
    <w:pPr>
      <w:tabs>
        <w:tab w:val="right" w:leader="dot" w:pos="8296"/>
      </w:tabs>
      <w:spacing w:line="360" w:lineRule="auto"/>
    </w:pPr>
  </w:style>
  <w:style w:type="paragraph" w:styleId="16">
    <w:name w:val="Subtitle"/>
    <w:basedOn w:val="1"/>
    <w:next w:val="1"/>
    <w:link w:val="40"/>
    <w:qFormat/>
    <w:uiPriority w:val="11"/>
    <w:pPr>
      <w:spacing w:before="240" w:after="60" w:line="312" w:lineRule="auto"/>
      <w:jc w:val="center"/>
      <w:outlineLvl w:val="1"/>
    </w:pPr>
    <w:rPr>
      <w:rFonts w:ascii="Cambria" w:hAnsi="Cambria"/>
      <w:b/>
      <w:bCs/>
      <w:kern w:val="28"/>
      <w:sz w:val="32"/>
      <w:szCs w:val="32"/>
    </w:rPr>
  </w:style>
  <w:style w:type="paragraph" w:styleId="17">
    <w:name w:val="toc 2"/>
    <w:basedOn w:val="1"/>
    <w:next w:val="1"/>
    <w:qFormat/>
    <w:uiPriority w:val="0"/>
    <w:pPr>
      <w:ind w:left="420" w:leftChars="200"/>
    </w:pPr>
  </w:style>
  <w:style w:type="paragraph" w:styleId="18">
    <w:name w:val="HTML Preformatted"/>
    <w:basedOn w:val="1"/>
    <w:link w:val="4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9">
    <w:name w:val="annotation subject"/>
    <w:basedOn w:val="7"/>
    <w:next w:val="7"/>
    <w:link w:val="36"/>
    <w:qFormat/>
    <w:uiPriority w:val="0"/>
    <w:rPr>
      <w:b/>
      <w:bCs/>
    </w:rPr>
  </w:style>
  <w:style w:type="paragraph" w:styleId="20">
    <w:name w:val="Body Text First Indent"/>
    <w:basedOn w:val="8"/>
    <w:link w:val="38"/>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21">
    <w:name w:val="Body Text First Indent 2"/>
    <w:basedOn w:val="9"/>
    <w:link w:val="54"/>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FollowedHyperlink"/>
    <w:unhideWhenUsed/>
    <w:qFormat/>
    <w:uiPriority w:val="99"/>
    <w:rPr>
      <w:color w:val="954F72"/>
      <w:u w:val="single"/>
    </w:rPr>
  </w:style>
  <w:style w:type="character" w:styleId="27">
    <w:name w:val="Hyperlink"/>
    <w:basedOn w:val="24"/>
    <w:unhideWhenUsed/>
    <w:qFormat/>
    <w:uiPriority w:val="99"/>
    <w:rPr>
      <w:color w:val="0563C1" w:themeColor="hyperlink"/>
      <w:u w:val="single"/>
      <w14:textFill>
        <w14:solidFill>
          <w14:schemeClr w14:val="hlink"/>
        </w14:solidFill>
      </w14:textFill>
    </w:rPr>
  </w:style>
  <w:style w:type="character" w:styleId="28">
    <w:name w:val="annotation reference"/>
    <w:basedOn w:val="24"/>
    <w:qFormat/>
    <w:uiPriority w:val="99"/>
    <w:rPr>
      <w:sz w:val="21"/>
      <w:szCs w:val="21"/>
    </w:rPr>
  </w:style>
  <w:style w:type="paragraph" w:customStyle="1" w:styleId="29">
    <w:name w:val="TOC 标题1"/>
    <w:basedOn w:val="3"/>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30">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31">
    <w:name w:val="彩色列表 - 强调文字颜色 11"/>
    <w:basedOn w:val="1"/>
    <w:qFormat/>
    <w:uiPriority w:val="34"/>
    <w:pPr>
      <w:ind w:firstLine="420" w:firstLineChars="200"/>
    </w:pPr>
  </w:style>
  <w:style w:type="paragraph" w:customStyle="1" w:styleId="32">
    <w:name w:val="文本格式"/>
    <w:basedOn w:val="1"/>
    <w:link w:val="33"/>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3">
    <w:name w:val="文本格式 Char"/>
    <w:basedOn w:val="24"/>
    <w:link w:val="32"/>
    <w:qFormat/>
    <w:uiPriority w:val="0"/>
    <w:rPr>
      <w:kern w:val="2"/>
      <w:sz w:val="24"/>
      <w:szCs w:val="28"/>
    </w:rPr>
  </w:style>
  <w:style w:type="character" w:customStyle="1" w:styleId="34">
    <w:name w:val="批注框文本 字符"/>
    <w:basedOn w:val="24"/>
    <w:link w:val="12"/>
    <w:qFormat/>
    <w:uiPriority w:val="0"/>
    <w:rPr>
      <w:rFonts w:ascii="宋体"/>
      <w:sz w:val="18"/>
      <w:szCs w:val="18"/>
    </w:rPr>
  </w:style>
  <w:style w:type="character" w:customStyle="1" w:styleId="35">
    <w:name w:val="批注文字 字符"/>
    <w:basedOn w:val="24"/>
    <w:link w:val="7"/>
    <w:qFormat/>
    <w:uiPriority w:val="0"/>
    <w:rPr>
      <w:rFonts w:ascii="宋体"/>
      <w:sz w:val="24"/>
      <w:szCs w:val="24"/>
    </w:rPr>
  </w:style>
  <w:style w:type="character" w:customStyle="1" w:styleId="36">
    <w:name w:val="批注主题 字符"/>
    <w:basedOn w:val="35"/>
    <w:link w:val="19"/>
    <w:qFormat/>
    <w:uiPriority w:val="0"/>
    <w:rPr>
      <w:rFonts w:ascii="宋体"/>
      <w:b/>
      <w:bCs/>
      <w:sz w:val="24"/>
      <w:szCs w:val="24"/>
    </w:rPr>
  </w:style>
  <w:style w:type="character" w:customStyle="1" w:styleId="37">
    <w:name w:val="正文文本 字符"/>
    <w:basedOn w:val="24"/>
    <w:link w:val="8"/>
    <w:qFormat/>
    <w:uiPriority w:val="0"/>
    <w:rPr>
      <w:sz w:val="24"/>
      <w:szCs w:val="24"/>
    </w:rPr>
  </w:style>
  <w:style w:type="character" w:customStyle="1" w:styleId="38">
    <w:name w:val="正文首行缩进 字符"/>
    <w:basedOn w:val="37"/>
    <w:link w:val="20"/>
    <w:qFormat/>
    <w:uiPriority w:val="0"/>
    <w:rPr>
      <w:kern w:val="2"/>
      <w:sz w:val="21"/>
      <w:szCs w:val="24"/>
      <w:lang w:val="zh-CN"/>
    </w:rPr>
  </w:style>
  <w:style w:type="paragraph" w:customStyle="1" w:styleId="39">
    <w:name w:val="p0"/>
    <w:basedOn w:val="1"/>
    <w:qFormat/>
    <w:uiPriority w:val="0"/>
    <w:pPr>
      <w:autoSpaceDE/>
      <w:autoSpaceDN/>
      <w:adjustRightInd/>
      <w:jc w:val="both"/>
    </w:pPr>
    <w:rPr>
      <w:rFonts w:ascii="Times New Roman"/>
      <w:sz w:val="21"/>
      <w:szCs w:val="21"/>
    </w:rPr>
  </w:style>
  <w:style w:type="character" w:customStyle="1" w:styleId="40">
    <w:name w:val="副标题 字符1"/>
    <w:link w:val="16"/>
    <w:qFormat/>
    <w:uiPriority w:val="11"/>
    <w:rPr>
      <w:rFonts w:ascii="Cambria" w:hAnsi="Cambria"/>
      <w:b/>
      <w:bCs/>
      <w:kern w:val="28"/>
      <w:sz w:val="32"/>
      <w:szCs w:val="32"/>
      <w:lang w:val="en-US" w:eastAsia="zh-CN"/>
    </w:rPr>
  </w:style>
  <w:style w:type="character" w:customStyle="1" w:styleId="41">
    <w:name w:val="副标题 字符"/>
    <w:basedOn w:val="24"/>
    <w:qFormat/>
    <w:uiPriority w:val="0"/>
    <w:rPr>
      <w:rFonts w:asciiTheme="minorHAnsi" w:hAnsiTheme="minorHAnsi" w:eastAsiaTheme="minorEastAsia" w:cstheme="minorBidi"/>
      <w:b/>
      <w:bCs/>
      <w:kern w:val="28"/>
      <w:sz w:val="32"/>
      <w:szCs w:val="32"/>
    </w:rPr>
  </w:style>
  <w:style w:type="paragraph" w:customStyle="1" w:styleId="42">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3">
    <w:name w:val="纯文本 字符"/>
    <w:basedOn w:val="24"/>
    <w:link w:val="11"/>
    <w:qFormat/>
    <w:uiPriority w:val="0"/>
    <w:rPr>
      <w:rFonts w:ascii="宋体" w:hAnsi="Courier New"/>
      <w:kern w:val="2"/>
      <w:sz w:val="21"/>
    </w:rPr>
  </w:style>
  <w:style w:type="character" w:customStyle="1" w:styleId="44">
    <w:name w:val="标题 9 字符"/>
    <w:basedOn w:val="24"/>
    <w:link w:val="6"/>
    <w:semiHidden/>
    <w:qFormat/>
    <w:uiPriority w:val="0"/>
    <w:rPr>
      <w:rFonts w:ascii="等线 Light" w:hAnsi="等线 Light" w:eastAsia="等线 Light"/>
      <w:kern w:val="2"/>
      <w:sz w:val="21"/>
      <w:szCs w:val="21"/>
    </w:rPr>
  </w:style>
  <w:style w:type="character" w:customStyle="1" w:styleId="45">
    <w:name w:val="页脚 字符"/>
    <w:link w:val="13"/>
    <w:qFormat/>
    <w:uiPriority w:val="99"/>
    <w:rPr>
      <w:rFonts w:asciiTheme="minorHAnsi" w:hAnsiTheme="minorHAnsi" w:eastAsiaTheme="minorEastAsia" w:cstheme="minorBidi"/>
      <w:kern w:val="2"/>
      <w:sz w:val="18"/>
      <w:szCs w:val="18"/>
    </w:rPr>
  </w:style>
  <w:style w:type="character" w:customStyle="1" w:styleId="46">
    <w:name w:val="页眉 字符"/>
    <w:link w:val="14"/>
    <w:qFormat/>
    <w:uiPriority w:val="99"/>
    <w:rPr>
      <w:rFonts w:ascii="宋体"/>
      <w:sz w:val="18"/>
      <w:szCs w:val="24"/>
    </w:rPr>
  </w:style>
  <w:style w:type="character" w:customStyle="1" w:styleId="47">
    <w:name w:val="HTML 预设格式 字符"/>
    <w:basedOn w:val="24"/>
    <w:link w:val="18"/>
    <w:qFormat/>
    <w:uiPriority w:val="99"/>
    <w:rPr>
      <w:rFonts w:ascii="宋体" w:hAnsi="宋体" w:cs="宋体"/>
      <w:sz w:val="24"/>
      <w:szCs w:val="24"/>
    </w:rPr>
  </w:style>
  <w:style w:type="paragraph" w:customStyle="1" w:styleId="48">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49">
    <w:name w:val="正文文本缩进 字符"/>
    <w:basedOn w:val="24"/>
    <w:link w:val="9"/>
    <w:qFormat/>
    <w:uiPriority w:val="0"/>
    <w:rPr>
      <w:rFonts w:ascii="宋体" w:hAnsi="宋体"/>
      <w:kern w:val="2"/>
      <w:sz w:val="28"/>
      <w:szCs w:val="24"/>
    </w:rPr>
  </w:style>
  <w:style w:type="paragraph" w:customStyle="1" w:styleId="50">
    <w:name w:val="修订1"/>
    <w:hidden/>
    <w:qFormat/>
    <w:uiPriority w:val="99"/>
    <w:rPr>
      <w:rFonts w:ascii="宋体" w:hAnsi="Times New Roman" w:eastAsia="宋体" w:cs="Times New Roman"/>
      <w:sz w:val="24"/>
      <w:szCs w:val="24"/>
      <w:lang w:val="en-US" w:eastAsia="zh-CN" w:bidi="ar-SA"/>
    </w:rPr>
  </w:style>
  <w:style w:type="character" w:customStyle="1" w:styleId="51">
    <w:name w:val="页脚 字符1"/>
    <w:basedOn w:val="24"/>
    <w:semiHidden/>
    <w:qFormat/>
    <w:uiPriority w:val="99"/>
    <w:rPr>
      <w:rFonts w:ascii="Times New Roman" w:hAnsi="Times New Roman"/>
      <w:kern w:val="2"/>
      <w:sz w:val="18"/>
      <w:szCs w:val="18"/>
    </w:rPr>
  </w:style>
  <w:style w:type="character" w:customStyle="1" w:styleId="52">
    <w:name w:val="页眉 字符1"/>
    <w:basedOn w:val="24"/>
    <w:semiHidden/>
    <w:qFormat/>
    <w:uiPriority w:val="99"/>
    <w:rPr>
      <w:rFonts w:ascii="Times New Roman" w:hAnsi="Times New Roman"/>
      <w:kern w:val="2"/>
      <w:sz w:val="18"/>
      <w:szCs w:val="18"/>
    </w:rPr>
  </w:style>
  <w:style w:type="table" w:customStyle="1" w:styleId="53">
    <w:name w:val="网格型1"/>
    <w:basedOn w:val="22"/>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4">
    <w:name w:val="正文首行缩进 2 字符"/>
    <w:basedOn w:val="49"/>
    <w:link w:val="21"/>
    <w:qFormat/>
    <w:uiPriority w:val="0"/>
    <w:rPr>
      <w:rFonts w:ascii="宋体" w:hAnsi="宋体"/>
      <w:kern w:val="2"/>
      <w:sz w:val="24"/>
      <w:szCs w:val="24"/>
    </w:rPr>
  </w:style>
  <w:style w:type="character" w:customStyle="1" w:styleId="55">
    <w:name w:val="标题 2 字符"/>
    <w:basedOn w:val="24"/>
    <w:link w:val="4"/>
    <w:semiHidden/>
    <w:qFormat/>
    <w:uiPriority w:val="0"/>
    <w:rPr>
      <w:rFonts w:asciiTheme="majorHAnsi" w:hAnsiTheme="majorHAnsi" w:eastAsiaTheme="majorEastAsia" w:cstheme="majorBidi"/>
      <w:b/>
      <w:bCs/>
      <w:sz w:val="32"/>
      <w:szCs w:val="32"/>
    </w:rPr>
  </w:style>
  <w:style w:type="character" w:customStyle="1" w:styleId="56">
    <w:name w:val="font01"/>
    <w:qFormat/>
    <w:uiPriority w:val="0"/>
    <w:rPr>
      <w:rFonts w:hint="eastAsia" w:ascii="宋体" w:hAnsi="宋体" w:eastAsia="宋体" w:cs="宋体"/>
      <w:color w:val="000000"/>
      <w:sz w:val="22"/>
      <w:szCs w:val="22"/>
      <w:u w:val="none"/>
    </w:rPr>
  </w:style>
  <w:style w:type="table" w:customStyle="1" w:styleId="57">
    <w:name w:val="网格型2"/>
    <w:basedOn w:val="2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8">
    <w:name w:val="正文文本缩进 21"/>
    <w:basedOn w:val="1"/>
    <w:qFormat/>
    <w:uiPriority w:val="0"/>
    <w:pPr>
      <w:spacing w:line="480" w:lineRule="auto"/>
      <w:ind w:firstLine="540"/>
      <w:textAlignment w:val="baseline"/>
    </w:pPr>
    <w:rPr>
      <w:rFonts w:ascii="Calibri" w:hAnsi="Calibri"/>
      <w:sz w:val="21"/>
      <w:szCs w:val="21"/>
    </w:rPr>
  </w:style>
  <w:style w:type="character" w:customStyle="1" w:styleId="59">
    <w:name w:val="font11"/>
    <w:basedOn w:val="24"/>
    <w:qFormat/>
    <w:uiPriority w:val="0"/>
    <w:rPr>
      <w:rFonts w:hint="eastAsia" w:ascii="宋体" w:hAnsi="宋体" w:eastAsia="宋体" w:cs="宋体"/>
      <w:color w:val="000000"/>
      <w:sz w:val="22"/>
      <w:szCs w:val="22"/>
      <w:u w:val="none"/>
    </w:rPr>
  </w:style>
  <w:style w:type="character" w:customStyle="1" w:styleId="60">
    <w:name w:val="font41"/>
    <w:basedOn w:val="24"/>
    <w:qFormat/>
    <w:uiPriority w:val="0"/>
    <w:rPr>
      <w:rFonts w:hint="eastAsia" w:ascii="宋体" w:hAnsi="宋体" w:eastAsia="宋体" w:cs="宋体"/>
      <w:color w:val="000000"/>
      <w:sz w:val="20"/>
      <w:szCs w:val="20"/>
      <w:u w:val="none"/>
    </w:rPr>
  </w:style>
  <w:style w:type="character" w:customStyle="1" w:styleId="61">
    <w:name w:val="font31"/>
    <w:basedOn w:val="24"/>
    <w:qFormat/>
    <w:uiPriority w:val="0"/>
    <w:rPr>
      <w:rFonts w:hint="eastAsia" w:ascii="宋体" w:hAnsi="宋体" w:eastAsia="宋体" w:cs="宋体"/>
      <w:color w:val="000000"/>
      <w:sz w:val="20"/>
      <w:szCs w:val="20"/>
      <w:u w:val="none"/>
    </w:rPr>
  </w:style>
  <w:style w:type="paragraph" w:customStyle="1" w:styleId="6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63">
    <w:name w:val="font21"/>
    <w:basedOn w:val="24"/>
    <w:qFormat/>
    <w:uiPriority w:val="0"/>
    <w:rPr>
      <w:rFonts w:ascii="宋体" w:hAnsi="宋体" w:eastAsia="宋体" w:cs="宋体"/>
      <w:b/>
      <w:bCs/>
      <w:color w:val="000000"/>
      <w:sz w:val="28"/>
      <w:szCs w:val="28"/>
      <w:u w:val="none"/>
    </w:rPr>
  </w:style>
  <w:style w:type="paragraph" w:customStyle="1" w:styleId="64">
    <w:name w:val="彩色列表 - 着色 11"/>
    <w:basedOn w:val="1"/>
    <w:qFormat/>
    <w:uiPriority w:val="34"/>
    <w:pPr>
      <w:ind w:firstLine="420" w:firstLineChars="200"/>
    </w:pPr>
  </w:style>
  <w:style w:type="character" w:customStyle="1" w:styleId="65">
    <w:name w:val="font81"/>
    <w:basedOn w:val="24"/>
    <w:qFormat/>
    <w:uiPriority w:val="0"/>
    <w:rPr>
      <w:rFonts w:ascii="宋体" w:hAnsi="宋体" w:eastAsia="宋体" w:cs="宋体"/>
      <w:b/>
      <w:bCs/>
      <w:color w:val="E74025"/>
      <w:sz w:val="28"/>
      <w:szCs w:val="28"/>
      <w:u w:val="none"/>
    </w:rPr>
  </w:style>
  <w:style w:type="paragraph" w:customStyle="1" w:styleId="66">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FE9FD7-667B-4DF5-9BA9-5D127D76B417}">
  <ds:schemaRefs/>
</ds:datastoreItem>
</file>

<file path=docProps/app.xml><?xml version="1.0" encoding="utf-8"?>
<Properties xmlns="http://schemas.openxmlformats.org/officeDocument/2006/extended-properties" xmlns:vt="http://schemas.openxmlformats.org/officeDocument/2006/docPropsVTypes">
  <Template>Normal</Template>
  <Pages>39</Pages>
  <Words>4745</Words>
  <Characters>4924</Characters>
  <Lines>140</Lines>
  <Paragraphs>39</Paragraphs>
  <TotalTime>0</TotalTime>
  <ScaleCrop>false</ScaleCrop>
  <LinksUpToDate>false</LinksUpToDate>
  <CharactersWithSpaces>5033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hjw</cp:lastModifiedBy>
  <cp:lastPrinted>2025-12-10T02:52:00Z</cp:lastPrinted>
  <dcterms:modified xsi:type="dcterms:W3CDTF">2026-01-05T08:31:03Z</dcterms:modified>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eyJoZGlkIjoiOTVjMGEyOTZkNjk5MTkzNDI0NGVjZDJhMzI1NTRmYmUiLCJ1c2VySWQiOiIxNjAyNjcwNjAxIn0=</vt:lpwstr>
  </property>
  <property fmtid="{D5CDD505-2E9C-101B-9397-08002B2CF9AE}" pid="4" name="ICV">
    <vt:lpwstr>53138E8666CA4C2FA2D6B4C74498C729_13</vt:lpwstr>
  </property>
</Properties>
</file>