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5A0CAF">
      <w:pPr>
        <w:autoSpaceDE w:val="0"/>
        <w:autoSpaceDN w:val="0"/>
        <w:adjustRightInd w:val="0"/>
        <w:spacing w:line="276" w:lineRule="auto"/>
        <w:ind w:left="357" w:leftChars="170" w:right="-23" w:rightChars="-11"/>
        <w:jc w:val="center"/>
        <w:rPr>
          <w:rFonts w:hint="eastAsia" w:ascii="宋体" w:hAnsi="宋体" w:eastAsia="宋体" w:cs="宋体"/>
          <w:b/>
          <w:bCs/>
          <w:color w:val="auto"/>
          <w:kern w:val="0"/>
          <w:sz w:val="52"/>
          <w:szCs w:val="52"/>
          <w:highlight w:val="none"/>
          <w:lang w:val="zh-CN"/>
        </w:rPr>
      </w:pPr>
    </w:p>
    <w:p w14:paraId="089376B0">
      <w:pPr>
        <w:autoSpaceDE w:val="0"/>
        <w:autoSpaceDN w:val="0"/>
        <w:adjustRightInd w:val="0"/>
        <w:spacing w:line="276" w:lineRule="auto"/>
        <w:ind w:left="357" w:leftChars="170" w:right="-23" w:rightChars="-11"/>
        <w:jc w:val="center"/>
        <w:rPr>
          <w:rFonts w:hint="eastAsia" w:ascii="宋体" w:hAnsi="宋体" w:eastAsia="宋体" w:cs="宋体"/>
          <w:b/>
          <w:bCs/>
          <w:color w:val="auto"/>
          <w:kern w:val="0"/>
          <w:sz w:val="44"/>
          <w:szCs w:val="44"/>
          <w:highlight w:val="none"/>
          <w:lang w:val="zh-CN"/>
        </w:rPr>
      </w:pPr>
      <w:r>
        <w:rPr>
          <w:rFonts w:hint="eastAsia" w:ascii="宋体" w:hAnsi="宋体" w:eastAsia="宋体" w:cs="宋体"/>
          <w:b/>
          <w:bCs/>
          <w:color w:val="auto"/>
          <w:kern w:val="0"/>
          <w:sz w:val="60"/>
          <w:szCs w:val="60"/>
          <w:highlight w:val="none"/>
          <w:lang w:val="zh-CN"/>
        </w:rPr>
        <w:t>东莞市置拓投资有限公司水业大厦2026-2027年度物业管理服务采购项目</w:t>
      </w:r>
    </w:p>
    <w:p w14:paraId="0C2F0A06">
      <w:pPr>
        <w:autoSpaceDE w:val="0"/>
        <w:autoSpaceDN w:val="0"/>
        <w:adjustRightInd w:val="0"/>
        <w:ind w:right="-23" w:rightChars="-11"/>
        <w:jc w:val="left"/>
        <w:rPr>
          <w:rFonts w:hint="eastAsia" w:ascii="宋体" w:hAnsi="宋体" w:eastAsia="宋体" w:cs="宋体"/>
          <w:b/>
          <w:bCs/>
          <w:color w:val="auto"/>
          <w:sz w:val="44"/>
          <w:szCs w:val="44"/>
          <w:highlight w:val="none"/>
          <w:lang w:val="zh-CN"/>
        </w:rPr>
      </w:pPr>
    </w:p>
    <w:p w14:paraId="724D7A64">
      <w:pPr>
        <w:autoSpaceDE w:val="0"/>
        <w:autoSpaceDN w:val="0"/>
        <w:adjustRightInd w:val="0"/>
        <w:ind w:right="-23" w:rightChars="-11"/>
        <w:jc w:val="center"/>
        <w:rPr>
          <w:rFonts w:hint="eastAsia" w:ascii="宋体" w:hAnsi="宋体" w:eastAsia="宋体" w:cs="宋体"/>
          <w:b/>
          <w:bCs/>
          <w:color w:val="auto"/>
          <w:sz w:val="72"/>
          <w:szCs w:val="72"/>
          <w:highlight w:val="none"/>
          <w:lang w:val="zh-CN"/>
        </w:rPr>
      </w:pPr>
    </w:p>
    <w:p w14:paraId="65BFF341">
      <w:pPr>
        <w:autoSpaceDE w:val="0"/>
        <w:autoSpaceDN w:val="0"/>
        <w:adjustRightInd w:val="0"/>
        <w:ind w:right="-23" w:rightChars="-11"/>
        <w:jc w:val="center"/>
        <w:rPr>
          <w:rFonts w:hint="eastAsia" w:ascii="宋体" w:hAnsi="宋体" w:eastAsia="宋体" w:cs="宋体"/>
          <w:b/>
          <w:bCs/>
          <w:color w:val="auto"/>
          <w:sz w:val="72"/>
          <w:szCs w:val="72"/>
          <w:highlight w:val="none"/>
          <w:lang w:val="zh-CN"/>
        </w:rPr>
      </w:pPr>
      <w:r>
        <w:rPr>
          <w:rFonts w:hint="eastAsia" w:ascii="宋体" w:hAnsi="宋体" w:eastAsia="宋体" w:cs="宋体"/>
          <w:b/>
          <w:bCs/>
          <w:color w:val="auto"/>
          <w:sz w:val="72"/>
          <w:szCs w:val="72"/>
          <w:highlight w:val="none"/>
          <w:lang w:val="zh-CN"/>
        </w:rPr>
        <w:t>招</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标</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文</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件</w:t>
      </w:r>
    </w:p>
    <w:p w14:paraId="620DE68F">
      <w:pPr>
        <w:autoSpaceDE w:val="0"/>
        <w:autoSpaceDN w:val="0"/>
        <w:adjustRightInd w:val="0"/>
        <w:ind w:right="-23" w:rightChars="-11"/>
        <w:jc w:val="center"/>
        <w:rPr>
          <w:rFonts w:hint="eastAsia" w:ascii="宋体" w:hAnsi="宋体" w:eastAsia="宋体" w:cs="宋体"/>
          <w:b/>
          <w:bCs/>
          <w:color w:val="auto"/>
          <w:sz w:val="32"/>
          <w:szCs w:val="32"/>
          <w:highlight w:val="none"/>
          <w:lang w:val="zh-CN"/>
        </w:rPr>
      </w:pPr>
    </w:p>
    <w:p w14:paraId="42D706E0">
      <w:pPr>
        <w:autoSpaceDE w:val="0"/>
        <w:autoSpaceDN w:val="0"/>
        <w:adjustRightInd w:val="0"/>
        <w:ind w:right="-23" w:rightChars="-11"/>
        <w:jc w:val="center"/>
        <w:rPr>
          <w:rFonts w:hint="eastAsia" w:ascii="宋体" w:hAnsi="宋体" w:eastAsia="宋体" w:cs="宋体"/>
          <w:b/>
          <w:bCs/>
          <w:color w:val="auto"/>
          <w:sz w:val="44"/>
          <w:szCs w:val="44"/>
          <w:highlight w:val="none"/>
          <w:lang w:val="zh-CN"/>
        </w:rPr>
      </w:pPr>
    </w:p>
    <w:p w14:paraId="3F248503">
      <w:pPr>
        <w:autoSpaceDE w:val="0"/>
        <w:autoSpaceDN w:val="0"/>
        <w:adjustRightInd w:val="0"/>
        <w:ind w:right="-23" w:rightChars="-11"/>
        <w:jc w:val="left"/>
        <w:rPr>
          <w:rFonts w:hint="eastAsia" w:ascii="宋体" w:hAnsi="宋体" w:eastAsia="宋体" w:cs="宋体"/>
          <w:b/>
          <w:bCs/>
          <w:color w:val="auto"/>
          <w:sz w:val="32"/>
          <w:szCs w:val="32"/>
          <w:highlight w:val="none"/>
          <w:u w:val="single"/>
          <w:lang w:val="zh-CN"/>
        </w:rPr>
      </w:pPr>
    </w:p>
    <w:p w14:paraId="4023B0D7">
      <w:pPr>
        <w:tabs>
          <w:tab w:val="left" w:pos="9240"/>
        </w:tabs>
        <w:autoSpaceDE w:val="0"/>
        <w:autoSpaceDN w:val="0"/>
        <w:adjustRightInd w:val="0"/>
        <w:spacing w:line="700" w:lineRule="exact"/>
        <w:ind w:right="-23" w:rightChars="-11"/>
        <w:jc w:val="left"/>
        <w:rPr>
          <w:rFonts w:hint="eastAsia" w:ascii="宋体" w:hAnsi="宋体" w:eastAsia="宋体" w:cs="宋体"/>
          <w:b/>
          <w:bCs/>
          <w:color w:val="auto"/>
          <w:sz w:val="32"/>
          <w:szCs w:val="32"/>
          <w:highlight w:val="none"/>
          <w:lang w:val="zh-CN"/>
        </w:rPr>
      </w:pPr>
    </w:p>
    <w:p w14:paraId="743F0524">
      <w:pPr>
        <w:autoSpaceDE w:val="0"/>
        <w:autoSpaceDN w:val="0"/>
        <w:adjustRightInd w:val="0"/>
        <w:spacing w:line="480" w:lineRule="auto"/>
        <w:ind w:left="1841" w:leftChars="600" w:hanging="581" w:hangingChars="181"/>
        <w:jc w:val="left"/>
        <w:rPr>
          <w:rFonts w:hint="default"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zh-CN"/>
        </w:rPr>
        <w:t>招</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标</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编</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号：SSSSSZ12502454_1</w:t>
      </w:r>
    </w:p>
    <w:p w14:paraId="0A8146E9">
      <w:pPr>
        <w:autoSpaceDE w:val="0"/>
        <w:autoSpaceDN w:val="0"/>
        <w:adjustRightInd w:val="0"/>
        <w:spacing w:line="480" w:lineRule="auto"/>
        <w:ind w:left="1841" w:leftChars="600" w:hanging="581" w:hangingChars="181"/>
        <w:jc w:val="left"/>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招</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标</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人：东莞市置拓投资有限公司</w:t>
      </w:r>
    </w:p>
    <w:p w14:paraId="482941CA">
      <w:pPr>
        <w:autoSpaceDE w:val="0"/>
        <w:autoSpaceDN w:val="0"/>
        <w:adjustRightInd w:val="0"/>
        <w:spacing w:line="480" w:lineRule="auto"/>
        <w:ind w:left="1841" w:leftChars="600" w:hanging="581" w:hangingChars="181"/>
        <w:jc w:val="left"/>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招标代理机构：三方诚信招标有限公司</w:t>
      </w:r>
    </w:p>
    <w:p w14:paraId="562AEE12">
      <w:pPr>
        <w:autoSpaceDE w:val="0"/>
        <w:autoSpaceDN w:val="0"/>
        <w:adjustRightInd w:val="0"/>
        <w:ind w:right="-23" w:rightChars="-11"/>
        <w:jc w:val="left"/>
        <w:rPr>
          <w:rFonts w:hint="eastAsia" w:ascii="宋体" w:hAnsi="宋体" w:eastAsia="宋体" w:cs="宋体"/>
          <w:b/>
          <w:bCs/>
          <w:color w:val="auto"/>
          <w:kern w:val="0"/>
          <w:sz w:val="32"/>
          <w:szCs w:val="32"/>
          <w:highlight w:val="none"/>
          <w:lang w:val="zh-CN"/>
        </w:rPr>
      </w:pPr>
    </w:p>
    <w:p w14:paraId="223585FD">
      <w:pPr>
        <w:autoSpaceDE w:val="0"/>
        <w:autoSpaceDN w:val="0"/>
        <w:adjustRightInd w:val="0"/>
        <w:ind w:right="-23" w:rightChars="-11"/>
        <w:jc w:val="center"/>
        <w:rPr>
          <w:rFonts w:hint="eastAsia" w:ascii="宋体" w:hAnsi="宋体" w:eastAsia="宋体" w:cs="宋体"/>
          <w:b/>
          <w:bCs/>
          <w:color w:val="auto"/>
          <w:kern w:val="0"/>
          <w:sz w:val="84"/>
          <w:szCs w:val="84"/>
          <w:highlight w:val="none"/>
          <w:lang w:val="zh-CN"/>
        </w:rPr>
      </w:pPr>
    </w:p>
    <w:p w14:paraId="6D03564F">
      <w:pPr>
        <w:autoSpaceDE w:val="0"/>
        <w:autoSpaceDN w:val="0"/>
        <w:adjustRightInd w:val="0"/>
        <w:spacing w:line="360" w:lineRule="auto"/>
        <w:ind w:left="357" w:leftChars="170" w:right="-23" w:rightChars="-11" w:firstLine="321" w:firstLineChars="100"/>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en-US" w:eastAsia="zh-CN"/>
        </w:rPr>
        <w:t>2026</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1</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6</w:t>
      </w:r>
      <w:bookmarkStart w:id="1044" w:name="_GoBack"/>
      <w:bookmarkEnd w:id="1044"/>
      <w:r>
        <w:rPr>
          <w:rFonts w:hint="eastAsia" w:ascii="宋体" w:hAnsi="宋体" w:eastAsia="宋体" w:cs="宋体"/>
          <w:b/>
          <w:bCs/>
          <w:color w:val="auto"/>
          <w:sz w:val="32"/>
          <w:szCs w:val="32"/>
          <w:highlight w:val="none"/>
          <w:lang w:val="zh-CN"/>
        </w:rPr>
        <w:t>日</w:t>
      </w:r>
    </w:p>
    <w:p w14:paraId="0F6AE0BD">
      <w:pP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br w:type="page"/>
      </w:r>
    </w:p>
    <w:p w14:paraId="7E62E586">
      <w:pPr>
        <w:pageBreakBefore/>
        <w:spacing w:line="360" w:lineRule="auto"/>
        <w:jc w:val="center"/>
        <w:outlineLvl w:val="9"/>
        <w:rPr>
          <w:rFonts w:hint="eastAsia" w:ascii="宋体" w:hAnsi="宋体" w:eastAsia="宋体" w:cs="宋体"/>
          <w:b/>
          <w:color w:val="auto"/>
          <w:sz w:val="36"/>
          <w:szCs w:val="36"/>
          <w:highlight w:val="none"/>
        </w:rPr>
      </w:pPr>
      <w:bookmarkStart w:id="0" w:name="_Toc16773"/>
      <w:bookmarkStart w:id="1" w:name="_Toc7755"/>
      <w:r>
        <w:rPr>
          <w:rFonts w:hint="eastAsia" w:ascii="宋体" w:hAnsi="宋体" w:eastAsia="宋体" w:cs="宋体"/>
          <w:b/>
          <w:color w:val="auto"/>
          <w:sz w:val="36"/>
          <w:szCs w:val="36"/>
          <w:highlight w:val="none"/>
          <w:lang w:bidi="ar"/>
        </w:rPr>
        <w:t>重要提示</w:t>
      </w:r>
      <w:bookmarkEnd w:id="0"/>
      <w:bookmarkEnd w:id="1"/>
    </w:p>
    <w:p w14:paraId="3F89F898">
      <w:pPr>
        <w:pStyle w:val="37"/>
        <w:widowControl w:val="0"/>
        <w:spacing w:before="0" w:beforeAutospacing="0" w:after="0" w:afterAutospacing="0" w:line="360" w:lineRule="auto"/>
        <w:ind w:firstLine="480" w:firstLineChars="200"/>
        <w:jc w:val="both"/>
        <w:outlineLvl w:val="9"/>
        <w:rPr>
          <w:rFonts w:hint="eastAsia" w:ascii="宋体" w:hAnsi="宋体" w:eastAsia="宋体" w:cs="宋体"/>
          <w:color w:val="auto"/>
          <w:sz w:val="24"/>
          <w:szCs w:val="24"/>
          <w:highlight w:val="none"/>
          <w:lang w:bidi="ar"/>
        </w:rPr>
      </w:pPr>
      <w:bookmarkStart w:id="2" w:name="_Toc22951"/>
      <w:bookmarkStart w:id="3" w:name="_Toc12698"/>
      <w:r>
        <w:rPr>
          <w:rFonts w:hint="eastAsia" w:ascii="宋体" w:hAnsi="宋体" w:eastAsia="宋体" w:cs="宋体"/>
          <w:color w:val="auto"/>
          <w:sz w:val="24"/>
          <w:szCs w:val="24"/>
          <w:highlight w:val="none"/>
          <w:lang w:bidi="ar"/>
        </w:rPr>
        <w:t>1.本次招标项目采用电子标书。</w:t>
      </w:r>
      <w:bookmarkEnd w:id="2"/>
      <w:bookmarkEnd w:id="3"/>
    </w:p>
    <w:p w14:paraId="0D75FAB0">
      <w:pPr>
        <w:pStyle w:val="37"/>
        <w:widowControl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2.投标人将被要求递交具备法律效力的电子投标文件。为此，投标人应当具备使用依法设立的电子认证服务提供者签发的电子签名认证证书对电子投标文件进行电子签名的能力。投标人可向依法设立的电子认证服务提供者申请办理电子签名认证证书（简称：数字证书，包括企业数字证书和个人数字证书）。</w:t>
      </w:r>
    </w:p>
    <w:p w14:paraId="3A35DFAF">
      <w:pPr>
        <w:pStyle w:val="37"/>
        <w:widowControl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3.除特别说明外，招标文件相关条款中提及的以及第六篇“投标文件格式”中包括但不限于“企业数字证书电子签名”及“电子签名”等要求签名的均指由数字证书电子签章或电子签名。</w:t>
      </w:r>
    </w:p>
    <w:p w14:paraId="3AC0B298">
      <w:pPr>
        <w:pStyle w:val="37"/>
        <w:widowControl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4.投标人必须使用计算机互联网络（以下简称网络）将投标文件以jjb格式上传提交至东莞市公共资源交易E网通管理平台建设工程交易系统（以下简称交易系统），并在网上签到时，关联到对应的投标项目中。</w:t>
      </w:r>
    </w:p>
    <w:p w14:paraId="25C86F93">
      <w:pPr>
        <w:pStyle w:val="37"/>
        <w:widowControl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5.投标人在交易系统中对投标文件进行解密的电子签名认证证书必须为机构证书或制作本项目投标文件的业务证书。</w:t>
      </w:r>
    </w:p>
    <w:p w14:paraId="26C35FAB">
      <w:pPr>
        <w:pStyle w:val="37"/>
        <w:widowControl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6.投标人应及时提交投标文件，如在投标文件截止时间前因网络等任何原因未能成功上传投标文件，相关后果由投标人自行承担。</w:t>
      </w:r>
    </w:p>
    <w:p w14:paraId="6F9D5C2D">
      <w:pPr>
        <w:pStyle w:val="37"/>
        <w:widowControl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7.投标人上传投标文件时，需设置投标文件查询密码（用于查询投标文件递交情况、撤销投标文件及签到时匹配对应的招标文件）。成功上传投标文件后，交易系统将自动随机生成投标文件识别码。识别码是交易系统确认投标人提交投标文件的唯一凭证，投标人须妥善保管。识别码丢失后，投标人将无法找回投标文件，需重新上传提交。</w:t>
      </w:r>
    </w:p>
    <w:p w14:paraId="45C72113">
      <w:pPr>
        <w:pStyle w:val="37"/>
        <w:widowControl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8.如未在投标文件递交截止时间前匹配对应的投标文件，视为投标人未提交。本招标文件中签到、投标文件匹配、投标保证金关联等时间均以东莞市公共资源交易E网通管理平台时间为准。</w:t>
      </w:r>
    </w:p>
    <w:p w14:paraId="21D75FFE">
      <w:pPr>
        <w:pStyle w:val="37"/>
        <w:widowControl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9.本招标项目在全国公共资源交易平台（广东省·东莞市）（https://ygp.gdzwfw.gov.cn/#/441900/index）等媒体发布招标公告，本项目招标公告及招标文件的修改、补充在全国公共资源交易平台（广东省·东莞市）发布。发布内容在其他媒体发布的文本如有不同之处，以在全国公共资源交易平台（广东省·东莞市）发布的文本为准。</w:t>
      </w:r>
    </w:p>
    <w:p w14:paraId="3C929EC9">
      <w:pP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br w:type="page"/>
      </w:r>
    </w:p>
    <w:sdt>
      <w:sdtPr>
        <w:rPr>
          <w:rFonts w:hint="eastAsia" w:ascii="宋体" w:hAnsi="宋体" w:eastAsia="宋体" w:cs="宋体"/>
          <w:b/>
          <w:bCs/>
          <w:color w:val="auto"/>
          <w:sz w:val="24"/>
          <w:szCs w:val="24"/>
          <w:highlight w:val="none"/>
          <w:lang w:val="en-US" w:eastAsia="zh-CN"/>
        </w:rPr>
        <w:id w:val="147463298"/>
        <w15:color w:val="DBDBDB"/>
        <w:docPartObj>
          <w:docPartGallery w:val="Table of Contents"/>
          <w:docPartUnique/>
        </w:docPartObj>
      </w:sdtPr>
      <w:sdtEndPr>
        <w:rPr>
          <w:rFonts w:hint="eastAsia" w:asciiTheme="minorHAnsi" w:hAnsiTheme="minorHAnsi" w:eastAsiaTheme="minorEastAsia" w:cstheme="minorBidi"/>
          <w:b w:val="0"/>
          <w:bCs w:val="0"/>
          <w:color w:val="auto"/>
          <w:kern w:val="2"/>
          <w:sz w:val="21"/>
          <w:szCs w:val="22"/>
          <w:highlight w:val="none"/>
          <w:lang w:val="en-US" w:eastAsia="zh-CN" w:bidi="ar-SA"/>
        </w:rPr>
      </w:sdtEndPr>
      <w:sdtContent>
        <w:p w14:paraId="6FC188F7">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目</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录</w:t>
          </w:r>
        </w:p>
        <w:p w14:paraId="0B4D8C25">
          <w:pPr>
            <w:pStyle w:val="31"/>
            <w:keepNext w:val="0"/>
            <w:keepLines w:val="0"/>
            <w:pageBreakBefore w:val="0"/>
            <w:widowControl w:val="0"/>
            <w:tabs>
              <w:tab w:val="right" w:leader="dot" w:pos="9880"/>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color w:val="auto"/>
            </w:rPr>
            <w:fldChar w:fldCharType="begin"/>
          </w:r>
          <w:r>
            <w:rPr>
              <w:rFonts w:hint="eastAsia"/>
              <w:color w:val="auto"/>
            </w:rPr>
            <w:instrText xml:space="preserve">TOC \o "1-3" \h \u </w:instrText>
          </w:r>
          <w:r>
            <w:rPr>
              <w:rFonts w:hint="eastAsia"/>
              <w:color w:val="auto"/>
            </w:rPr>
            <w:fldChar w:fldCharType="separate"/>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_Toc8823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lang w:val="zh-CN"/>
            </w:rPr>
            <w:t>第一篇 招标公告</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_Toc8823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5</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24C8BCFA">
          <w:pPr>
            <w:pStyle w:val="31"/>
            <w:keepNext w:val="0"/>
            <w:keepLines w:val="0"/>
            <w:pageBreakBefore w:val="0"/>
            <w:widowControl w:val="0"/>
            <w:tabs>
              <w:tab w:val="right" w:leader="dot" w:pos="9880"/>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_Toc17076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lang w:val="zh-CN"/>
            </w:rPr>
            <w:t>第二篇</w:t>
          </w:r>
          <w:r>
            <w:rPr>
              <w:rFonts w:hint="eastAsia" w:ascii="宋体" w:hAnsi="宋体" w:eastAsia="宋体" w:cs="宋体"/>
              <w:b/>
              <w:bCs/>
              <w:color w:val="auto"/>
              <w:highlight w:val="none"/>
            </w:rPr>
            <w:t xml:space="preserve"> </w:t>
          </w:r>
          <w:r>
            <w:rPr>
              <w:rFonts w:hint="eastAsia" w:ascii="宋体" w:hAnsi="宋体" w:eastAsia="宋体" w:cs="宋体"/>
              <w:b/>
              <w:bCs/>
              <w:color w:val="auto"/>
              <w:highlight w:val="none"/>
              <w:lang w:val="zh-CN"/>
            </w:rPr>
            <w:t>投标人须知</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_Toc17076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8</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5BBB207D">
          <w:pPr>
            <w:pStyle w:val="31"/>
            <w:keepNext w:val="0"/>
            <w:keepLines w:val="0"/>
            <w:pageBreakBefore w:val="0"/>
            <w:widowControl w:val="0"/>
            <w:tabs>
              <w:tab w:val="right" w:leader="dot" w:pos="9880"/>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_Toc16416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lang w:val="zh-CN"/>
            </w:rPr>
            <w:t>一、总则</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_Toc16416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8</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045C1945">
          <w:pPr>
            <w:pStyle w:val="24"/>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_Toc31133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 资金来源：企业自筹资金。</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_Toc31133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C4B519D">
          <w:pPr>
            <w:pStyle w:val="24"/>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_Toc4951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 合格的投标人</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_Toc4951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959FA81">
          <w:pPr>
            <w:pStyle w:val="24"/>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_Toc8522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3 合格的</w:t>
          </w:r>
          <w:r>
            <w:rPr>
              <w:rFonts w:hint="eastAsia" w:ascii="宋体" w:hAnsi="宋体" w:eastAsia="宋体" w:cs="宋体"/>
              <w:color w:val="auto"/>
              <w:highlight w:val="none"/>
              <w:lang w:val="en-US" w:eastAsia="zh-CN"/>
            </w:rPr>
            <w:t>服务</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_Toc8522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9E62A10">
          <w:pPr>
            <w:pStyle w:val="24"/>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_Toc7422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4 其它说明</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_Toc7422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404AF68">
          <w:pPr>
            <w:pStyle w:val="31"/>
            <w:keepNext w:val="0"/>
            <w:keepLines w:val="0"/>
            <w:pageBreakBefore w:val="0"/>
            <w:widowControl w:val="0"/>
            <w:tabs>
              <w:tab w:val="right" w:leader="dot" w:pos="9880"/>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_Toc21611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lang w:val="zh-CN"/>
            </w:rPr>
            <w:t>二、招标文件</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_Toc21611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9</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0DE6AA8D">
          <w:pPr>
            <w:pStyle w:val="24"/>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_Toc7417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5 招标文件的构成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_Toc7417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25EBDBB">
          <w:pPr>
            <w:pStyle w:val="24"/>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_Toc27518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6 招标文件的异议</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_Toc27518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C93E80B">
          <w:pPr>
            <w:pStyle w:val="24"/>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_Toc26961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7 招标文件的澄清及修改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_Toc26961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BE67D16">
          <w:pPr>
            <w:pStyle w:val="31"/>
            <w:keepNext w:val="0"/>
            <w:keepLines w:val="0"/>
            <w:pageBreakBefore w:val="0"/>
            <w:widowControl w:val="0"/>
            <w:tabs>
              <w:tab w:val="right" w:leader="dot" w:pos="9880"/>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_Toc19940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lang w:val="zh-CN"/>
            </w:rPr>
            <w:t>三、投标文件的编制</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_Toc19940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11</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767B5258">
          <w:pPr>
            <w:pStyle w:val="24"/>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_Toc30579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8 投标使用的文字及度量衡单位</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_Toc30579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D0C6E2B">
          <w:pPr>
            <w:pStyle w:val="24"/>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_Toc24738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9 投标文件的组成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_Toc24738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F578669">
          <w:pPr>
            <w:pStyle w:val="24"/>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_Toc28788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10 投标函</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_Toc28788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C904B88">
          <w:pPr>
            <w:pStyle w:val="24"/>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_Toc10252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11 投标报价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_Toc10252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6991C0A">
          <w:pPr>
            <w:pStyle w:val="24"/>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_Toc12427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12 投标报价货币</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_Toc12427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FD734A3">
          <w:pPr>
            <w:pStyle w:val="24"/>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_Toc7151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13 证明投标人的合格性和资格的声明文件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_Toc7151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A1B9FDE">
          <w:pPr>
            <w:pStyle w:val="24"/>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_Toc21262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14 证明服务的合格性并符合招标文件规定的声明文件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_Toc21262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591B077">
          <w:pPr>
            <w:pStyle w:val="24"/>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_Toc27132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15 投标保证金</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_Toc27132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F580E9C">
          <w:pPr>
            <w:pStyle w:val="24"/>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_Toc14272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16 投标有效期</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_Toc14272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91637DC">
          <w:pPr>
            <w:pStyle w:val="24"/>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17 投标文件的编制和签署</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8A4F898">
          <w:pPr>
            <w:pStyle w:val="31"/>
            <w:keepNext w:val="0"/>
            <w:keepLines w:val="0"/>
            <w:pageBreakBefore w:val="0"/>
            <w:widowControl w:val="0"/>
            <w:tabs>
              <w:tab w:val="right" w:leader="dot" w:pos="9880"/>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_Toc4919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lang w:val="zh-CN"/>
            </w:rPr>
            <w:t>四、投标</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_Toc4919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17</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78827239">
          <w:pPr>
            <w:pStyle w:val="24"/>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_Toc19325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18 投标文件的加密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_Toc19325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279B9D5">
          <w:pPr>
            <w:pStyle w:val="24"/>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_Toc27535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19 投标文件的提交</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_Toc27535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095EA27">
          <w:pPr>
            <w:pStyle w:val="24"/>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_Toc8540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20 投标会时间、地点及投标文件提交的截止时间</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_Toc8540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C993FE5">
          <w:pPr>
            <w:pStyle w:val="24"/>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_Toc11228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21 投标文件的拒绝</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_Toc11228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45B2382">
          <w:pPr>
            <w:pStyle w:val="24"/>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_Toc32469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w:t>
          </w:r>
          <w:r>
            <w:rPr>
              <w:rFonts w:hint="eastAsia" w:ascii="宋体" w:hAnsi="宋体" w:eastAsia="宋体" w:cs="宋体"/>
              <w:color w:val="auto"/>
              <w:highlight w:val="none"/>
            </w:rPr>
            <w:t xml:space="preserve">2 </w:t>
          </w:r>
          <w:r>
            <w:rPr>
              <w:rFonts w:hint="eastAsia" w:ascii="宋体" w:hAnsi="宋体" w:eastAsia="宋体" w:cs="宋体"/>
              <w:color w:val="auto"/>
              <w:highlight w:val="none"/>
              <w:lang w:val="zh-CN"/>
            </w:rPr>
            <w:t>投标文件的补充、修改与撤回</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_Toc32469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14FEBB7">
          <w:pPr>
            <w:pStyle w:val="31"/>
            <w:keepNext w:val="0"/>
            <w:keepLines w:val="0"/>
            <w:pageBreakBefore w:val="0"/>
            <w:widowControl w:val="0"/>
            <w:tabs>
              <w:tab w:val="right" w:leader="dot" w:pos="9880"/>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_Toc3055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lang w:val="zh-CN"/>
            </w:rPr>
            <w:t>五、开标与评标</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_Toc3055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19</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3FD4A36B">
          <w:pPr>
            <w:pStyle w:val="24"/>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_Toc31296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w:t>
          </w:r>
          <w:r>
            <w:rPr>
              <w:rFonts w:hint="eastAsia" w:ascii="宋体" w:hAnsi="宋体" w:eastAsia="宋体" w:cs="宋体"/>
              <w:color w:val="auto"/>
              <w:highlight w:val="none"/>
            </w:rPr>
            <w:t xml:space="preserve">3 </w:t>
          </w:r>
          <w:r>
            <w:rPr>
              <w:rFonts w:hint="eastAsia" w:ascii="宋体" w:hAnsi="宋体" w:eastAsia="宋体" w:cs="宋体"/>
              <w:color w:val="auto"/>
              <w:highlight w:val="none"/>
              <w:lang w:val="zh-CN"/>
            </w:rPr>
            <w:t>开标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_Toc31296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1642088">
          <w:pPr>
            <w:pStyle w:val="24"/>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_Toc14180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24</w:t>
          </w:r>
          <w:r>
            <w:rPr>
              <w:rFonts w:hint="eastAsia" w:ascii="宋体" w:hAnsi="宋体" w:eastAsia="宋体" w:cs="宋体"/>
              <w:color w:val="auto"/>
              <w:highlight w:val="none"/>
              <w:lang w:val="zh-CN"/>
            </w:rPr>
            <w:t xml:space="preserve"> </w:t>
          </w:r>
          <w:r>
            <w:rPr>
              <w:rFonts w:hint="eastAsia" w:ascii="宋体" w:hAnsi="宋体" w:eastAsia="宋体" w:cs="宋体"/>
              <w:color w:val="auto"/>
              <w:highlight w:val="none"/>
            </w:rPr>
            <w:t>评标过程的保密性</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_Toc14180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63B8079">
          <w:pPr>
            <w:pStyle w:val="24"/>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_Toc19681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25</w:t>
          </w:r>
          <w:r>
            <w:rPr>
              <w:rFonts w:hint="eastAsia" w:ascii="宋体" w:hAnsi="宋体" w:eastAsia="宋体" w:cs="宋体"/>
              <w:color w:val="auto"/>
              <w:highlight w:val="none"/>
              <w:lang w:val="zh-CN"/>
            </w:rPr>
            <w:t xml:space="preserve"> 评标委员会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_Toc19681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142CB2A">
          <w:pPr>
            <w:pStyle w:val="24"/>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_Toc13854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26</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zh-CN"/>
            </w:rPr>
            <w:t>投标文件的有效性</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_Toc13854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1EAA9B8">
          <w:pPr>
            <w:pStyle w:val="24"/>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_Toc3068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w:t>
          </w:r>
          <w:r>
            <w:rPr>
              <w:rFonts w:hint="eastAsia" w:ascii="宋体" w:hAnsi="宋体" w:eastAsia="宋体" w:cs="宋体"/>
              <w:color w:val="auto"/>
              <w:highlight w:val="none"/>
            </w:rPr>
            <w:t>7</w:t>
          </w:r>
          <w:r>
            <w:rPr>
              <w:rFonts w:hint="eastAsia" w:ascii="宋体" w:hAnsi="宋体" w:eastAsia="宋体" w:cs="宋体"/>
              <w:color w:val="auto"/>
              <w:highlight w:val="none"/>
              <w:lang w:val="zh-CN"/>
            </w:rPr>
            <w:t xml:space="preserve"> 投标文件的初审</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_Toc3068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F75E3F5">
          <w:pPr>
            <w:pStyle w:val="24"/>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_Toc27027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w:t>
          </w:r>
          <w:r>
            <w:rPr>
              <w:rFonts w:hint="eastAsia" w:ascii="宋体" w:hAnsi="宋体" w:eastAsia="宋体" w:cs="宋体"/>
              <w:color w:val="auto"/>
              <w:highlight w:val="none"/>
            </w:rPr>
            <w:t>8</w:t>
          </w:r>
          <w:r>
            <w:rPr>
              <w:rFonts w:hint="eastAsia" w:ascii="宋体" w:hAnsi="宋体" w:eastAsia="宋体" w:cs="宋体"/>
              <w:color w:val="auto"/>
              <w:highlight w:val="none"/>
              <w:lang w:val="zh-CN"/>
            </w:rPr>
            <w:t xml:space="preserve"> 投标文件的澄清</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_Toc27027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276F72D">
          <w:pPr>
            <w:pStyle w:val="24"/>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_Toc19871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w:t>
          </w:r>
          <w:r>
            <w:rPr>
              <w:rFonts w:hint="eastAsia" w:ascii="宋体" w:hAnsi="宋体" w:eastAsia="宋体" w:cs="宋体"/>
              <w:color w:val="auto"/>
              <w:highlight w:val="none"/>
            </w:rPr>
            <w:t>9</w:t>
          </w:r>
          <w:r>
            <w:rPr>
              <w:rFonts w:hint="eastAsia" w:ascii="宋体" w:hAnsi="宋体" w:eastAsia="宋体" w:cs="宋体"/>
              <w:color w:val="auto"/>
              <w:highlight w:val="none"/>
              <w:lang w:val="zh-CN"/>
            </w:rPr>
            <w:t xml:space="preserve"> 对投标文件的比较和评价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_Toc19871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993E3D2">
          <w:pPr>
            <w:pStyle w:val="24"/>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_Toc12693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30</w:t>
          </w:r>
          <w:r>
            <w:rPr>
              <w:rFonts w:hint="eastAsia" w:ascii="宋体" w:hAnsi="宋体" w:eastAsia="宋体" w:cs="宋体"/>
              <w:color w:val="auto"/>
              <w:highlight w:val="none"/>
              <w:lang w:val="zh-CN"/>
            </w:rPr>
            <w:t xml:space="preserve"> 评标原则及方法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_Toc12693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288F9F2">
          <w:pPr>
            <w:pStyle w:val="24"/>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_Toc24751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xml:space="preserve">31 </w:t>
          </w:r>
          <w:r>
            <w:rPr>
              <w:rFonts w:hint="eastAsia" w:ascii="宋体" w:hAnsi="宋体" w:eastAsia="宋体" w:cs="宋体"/>
              <w:color w:val="auto"/>
              <w:highlight w:val="none"/>
              <w:lang w:val="zh-CN"/>
            </w:rPr>
            <w:t>评标结果公示及异议、投诉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_Toc24751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0DF317A">
          <w:pPr>
            <w:pStyle w:val="24"/>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_Toc5535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32</w:t>
          </w:r>
          <w:r>
            <w:rPr>
              <w:rFonts w:hint="eastAsia" w:ascii="宋体" w:hAnsi="宋体" w:eastAsia="宋体" w:cs="宋体"/>
              <w:color w:val="auto"/>
              <w:highlight w:val="none"/>
              <w:lang w:val="zh-CN"/>
            </w:rPr>
            <w:t xml:space="preserve"> 真实性审查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_Toc5535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5D4A90A">
          <w:pPr>
            <w:pStyle w:val="24"/>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_Toc30340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33</w:t>
          </w:r>
          <w:r>
            <w:rPr>
              <w:rFonts w:hint="eastAsia" w:ascii="宋体" w:hAnsi="宋体" w:eastAsia="宋体" w:cs="宋体"/>
              <w:color w:val="auto"/>
              <w:highlight w:val="none"/>
              <w:lang w:val="zh-CN"/>
            </w:rPr>
            <w:t xml:space="preserve"> 评标委员会和招标人接受或拒绝任何投标或所有投标的权利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_Toc30340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EDA0C38">
          <w:pPr>
            <w:pStyle w:val="31"/>
            <w:keepNext w:val="0"/>
            <w:keepLines w:val="0"/>
            <w:pageBreakBefore w:val="0"/>
            <w:widowControl w:val="0"/>
            <w:tabs>
              <w:tab w:val="right" w:leader="dot" w:pos="9880"/>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_Toc16748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lang w:val="zh-CN"/>
            </w:rPr>
            <w:t>六、授予合同</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_Toc16748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23</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0A8BA6A8">
          <w:pPr>
            <w:pStyle w:val="24"/>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_Toc4578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34</w:t>
          </w:r>
          <w:r>
            <w:rPr>
              <w:rFonts w:hint="eastAsia" w:ascii="宋体" w:hAnsi="宋体" w:eastAsia="宋体" w:cs="宋体"/>
              <w:color w:val="auto"/>
              <w:highlight w:val="none"/>
              <w:lang w:val="zh-CN"/>
            </w:rPr>
            <w:t xml:space="preserve"> 授予合同的准则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_Toc4578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181CFB7">
          <w:pPr>
            <w:pStyle w:val="24"/>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_Toc24354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35</w:t>
          </w:r>
          <w:r>
            <w:rPr>
              <w:rFonts w:hint="eastAsia" w:ascii="宋体" w:hAnsi="宋体" w:eastAsia="宋体" w:cs="宋体"/>
              <w:color w:val="auto"/>
              <w:highlight w:val="none"/>
              <w:lang w:val="zh-CN"/>
            </w:rPr>
            <w:t xml:space="preserve"> 中标通知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_Toc24354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E59521F">
          <w:pPr>
            <w:pStyle w:val="24"/>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_Toc1257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36</w:t>
          </w:r>
          <w:r>
            <w:rPr>
              <w:rFonts w:hint="eastAsia" w:ascii="宋体" w:hAnsi="宋体" w:eastAsia="宋体" w:cs="宋体"/>
              <w:color w:val="auto"/>
              <w:highlight w:val="none"/>
              <w:lang w:val="zh-CN"/>
            </w:rPr>
            <w:t xml:space="preserve"> 签署合同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_Toc1257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1770A75">
          <w:pPr>
            <w:pStyle w:val="24"/>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_Toc20148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xml:space="preserve">37 </w:t>
          </w:r>
          <w:r>
            <w:rPr>
              <w:rFonts w:hint="eastAsia" w:ascii="宋体" w:hAnsi="宋体" w:eastAsia="宋体" w:cs="宋体"/>
              <w:color w:val="auto"/>
              <w:highlight w:val="none"/>
              <w:lang w:val="zh-CN"/>
            </w:rPr>
            <w:t>履约担保</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_Toc20148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4BC735E">
          <w:pPr>
            <w:pStyle w:val="24"/>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_Toc21728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38</w:t>
          </w:r>
          <w:r>
            <w:rPr>
              <w:rFonts w:hint="eastAsia" w:ascii="宋体" w:hAnsi="宋体" w:eastAsia="宋体" w:cs="宋体"/>
              <w:color w:val="auto"/>
              <w:highlight w:val="none"/>
              <w:lang w:val="zh-CN"/>
            </w:rPr>
            <w:t xml:space="preserve"> 在合同履行中变更采购范围的权利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_Toc21728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20551C7">
          <w:pPr>
            <w:pStyle w:val="24"/>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_Toc6369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39</w:t>
          </w:r>
          <w:r>
            <w:rPr>
              <w:rFonts w:hint="eastAsia" w:ascii="宋体" w:hAnsi="宋体" w:eastAsia="宋体" w:cs="宋体"/>
              <w:color w:val="auto"/>
              <w:highlight w:val="none"/>
              <w:lang w:val="zh-CN"/>
            </w:rPr>
            <w:t xml:space="preserve"> 中标服务费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_Toc6369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AB58D8C">
          <w:pPr>
            <w:pStyle w:val="24"/>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_Toc1473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40</w:t>
          </w:r>
          <w:r>
            <w:rPr>
              <w:rFonts w:hint="eastAsia" w:ascii="宋体" w:hAnsi="宋体" w:eastAsia="宋体" w:cs="宋体"/>
              <w:color w:val="auto"/>
              <w:highlight w:val="none"/>
              <w:lang w:val="zh-CN"/>
            </w:rPr>
            <w:t xml:space="preserve"> 发票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_Toc1473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D499892">
          <w:pPr>
            <w:pStyle w:val="24"/>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_Toc7977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41 招标相关补充约定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_Toc7977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B0968AF">
          <w:pPr>
            <w:pStyle w:val="24"/>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_Toc21193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 xml:space="preserve"> 本次招标活动的最终解释权归招标代理机构及招标人所有。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_Toc21193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FDF2A91">
          <w:pPr>
            <w:pStyle w:val="31"/>
            <w:keepNext w:val="0"/>
            <w:keepLines w:val="0"/>
            <w:pageBreakBefore w:val="0"/>
            <w:widowControl w:val="0"/>
            <w:tabs>
              <w:tab w:val="right" w:leader="dot" w:pos="9880"/>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fldChar w:fldCharType="begin"/>
          </w:r>
          <w:r>
            <w:rPr>
              <w:rFonts w:hint="eastAsia" w:ascii="宋体" w:hAnsi="宋体" w:eastAsia="宋体" w:cs="宋体"/>
              <w:b/>
              <w:bCs/>
              <w:color w:val="auto"/>
              <w:highlight w:val="none"/>
              <w:lang w:val="en-US" w:eastAsia="zh-CN"/>
            </w:rPr>
            <w:instrText xml:space="preserve"> HYPERLINK \l _Toc6282 </w:instrText>
          </w:r>
          <w:r>
            <w:rPr>
              <w:rFonts w:hint="eastAsia" w:ascii="宋体" w:hAnsi="宋体" w:eastAsia="宋体" w:cs="宋体"/>
              <w:b/>
              <w:bCs/>
              <w:color w:val="auto"/>
              <w:highlight w:val="none"/>
              <w:lang w:val="en-US" w:eastAsia="zh-CN"/>
            </w:rPr>
            <w:fldChar w:fldCharType="separate"/>
          </w:r>
          <w:r>
            <w:rPr>
              <w:rFonts w:hint="eastAsia" w:ascii="宋体" w:hAnsi="宋体" w:eastAsia="宋体" w:cs="宋体"/>
              <w:b/>
              <w:bCs/>
              <w:color w:val="auto"/>
              <w:highlight w:val="none"/>
              <w:lang w:val="zh-CN" w:eastAsia="zh-CN"/>
            </w:rPr>
            <w:t>第三篇 用户需求书</w:t>
          </w:r>
          <w:r>
            <w:rPr>
              <w:rFonts w:hint="eastAsia" w:ascii="宋体" w:hAnsi="宋体" w:eastAsia="宋体" w:cs="宋体"/>
              <w:b/>
              <w:bCs/>
              <w:color w:val="auto"/>
              <w:highlight w:val="none"/>
              <w:lang w:val="en-US" w:eastAsia="zh-CN"/>
            </w:rPr>
            <w:tab/>
          </w:r>
          <w:r>
            <w:rPr>
              <w:rFonts w:hint="eastAsia" w:ascii="宋体" w:hAnsi="宋体" w:eastAsia="宋体" w:cs="宋体"/>
              <w:b/>
              <w:bCs/>
              <w:color w:val="auto"/>
              <w:highlight w:val="none"/>
              <w:lang w:val="en-US" w:eastAsia="zh-CN"/>
            </w:rPr>
            <w:fldChar w:fldCharType="begin"/>
          </w:r>
          <w:r>
            <w:rPr>
              <w:rFonts w:hint="eastAsia" w:ascii="宋体" w:hAnsi="宋体" w:eastAsia="宋体" w:cs="宋体"/>
              <w:b/>
              <w:bCs/>
              <w:color w:val="auto"/>
              <w:highlight w:val="none"/>
              <w:lang w:val="en-US" w:eastAsia="zh-CN"/>
            </w:rPr>
            <w:instrText xml:space="preserve"> PAGEREF _Toc6282 \h </w:instrText>
          </w:r>
          <w:r>
            <w:rPr>
              <w:rFonts w:hint="eastAsia" w:ascii="宋体" w:hAnsi="宋体" w:eastAsia="宋体" w:cs="宋体"/>
              <w:b/>
              <w:bCs/>
              <w:color w:val="auto"/>
              <w:highlight w:val="none"/>
              <w:lang w:val="en-US" w:eastAsia="zh-CN"/>
            </w:rPr>
            <w:fldChar w:fldCharType="separate"/>
          </w:r>
          <w:r>
            <w:rPr>
              <w:rFonts w:hint="eastAsia" w:ascii="宋体" w:hAnsi="宋体" w:eastAsia="宋体" w:cs="宋体"/>
              <w:b/>
              <w:bCs/>
              <w:color w:val="auto"/>
              <w:highlight w:val="none"/>
              <w:lang w:val="en-US" w:eastAsia="zh-CN"/>
            </w:rPr>
            <w:t>27</w:t>
          </w:r>
          <w:r>
            <w:rPr>
              <w:rFonts w:hint="eastAsia" w:ascii="宋体" w:hAnsi="宋体" w:eastAsia="宋体" w:cs="宋体"/>
              <w:b/>
              <w:bCs/>
              <w:color w:val="auto"/>
              <w:highlight w:val="none"/>
              <w:lang w:val="en-US" w:eastAsia="zh-CN"/>
            </w:rPr>
            <w:fldChar w:fldCharType="end"/>
          </w:r>
          <w:r>
            <w:rPr>
              <w:rFonts w:hint="eastAsia" w:ascii="宋体" w:hAnsi="宋体" w:eastAsia="宋体" w:cs="宋体"/>
              <w:b/>
              <w:bCs/>
              <w:color w:val="auto"/>
              <w:highlight w:val="none"/>
              <w:lang w:val="en-US" w:eastAsia="zh-CN"/>
            </w:rPr>
            <w:fldChar w:fldCharType="end"/>
          </w:r>
        </w:p>
        <w:p w14:paraId="5670114D">
          <w:pPr>
            <w:pStyle w:val="31"/>
            <w:keepNext w:val="0"/>
            <w:keepLines w:val="0"/>
            <w:pageBreakBefore w:val="0"/>
            <w:widowControl w:val="0"/>
            <w:tabs>
              <w:tab w:val="right" w:leader="dot" w:pos="9880"/>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fldChar w:fldCharType="begin"/>
          </w:r>
          <w:r>
            <w:rPr>
              <w:rFonts w:hint="eastAsia" w:ascii="宋体" w:hAnsi="宋体" w:eastAsia="宋体" w:cs="宋体"/>
              <w:b/>
              <w:bCs/>
              <w:color w:val="auto"/>
              <w:highlight w:val="none"/>
              <w:lang w:val="en-US" w:eastAsia="zh-CN"/>
            </w:rPr>
            <w:instrText xml:space="preserve"> HYPERLINK \l _Toc23633 </w:instrText>
          </w:r>
          <w:r>
            <w:rPr>
              <w:rFonts w:hint="eastAsia" w:ascii="宋体" w:hAnsi="宋体" w:eastAsia="宋体" w:cs="宋体"/>
              <w:b/>
              <w:bCs/>
              <w:color w:val="auto"/>
              <w:highlight w:val="none"/>
              <w:lang w:val="en-US" w:eastAsia="zh-CN"/>
            </w:rPr>
            <w:fldChar w:fldCharType="separate"/>
          </w:r>
          <w:r>
            <w:rPr>
              <w:rFonts w:hint="eastAsia" w:ascii="宋体" w:hAnsi="宋体" w:eastAsia="宋体" w:cs="宋体"/>
              <w:b/>
              <w:bCs/>
              <w:color w:val="auto"/>
              <w:highlight w:val="none"/>
              <w:lang w:val="zh-CN" w:eastAsia="zh-CN"/>
            </w:rPr>
            <w:t>第四篇 合同条款格式</w:t>
          </w:r>
          <w:r>
            <w:rPr>
              <w:rFonts w:hint="eastAsia" w:ascii="宋体" w:hAnsi="宋体" w:eastAsia="宋体" w:cs="宋体"/>
              <w:b/>
              <w:bCs/>
              <w:color w:val="auto"/>
              <w:highlight w:val="none"/>
              <w:lang w:val="en-US" w:eastAsia="zh-CN"/>
            </w:rPr>
            <w:tab/>
          </w:r>
          <w:r>
            <w:rPr>
              <w:rFonts w:hint="eastAsia" w:ascii="宋体" w:hAnsi="宋体" w:eastAsia="宋体" w:cs="宋体"/>
              <w:b/>
              <w:bCs/>
              <w:color w:val="auto"/>
              <w:highlight w:val="none"/>
              <w:lang w:val="en-US" w:eastAsia="zh-CN"/>
            </w:rPr>
            <w:fldChar w:fldCharType="begin"/>
          </w:r>
          <w:r>
            <w:rPr>
              <w:rFonts w:hint="eastAsia" w:ascii="宋体" w:hAnsi="宋体" w:eastAsia="宋体" w:cs="宋体"/>
              <w:b/>
              <w:bCs/>
              <w:color w:val="auto"/>
              <w:highlight w:val="none"/>
              <w:lang w:val="en-US" w:eastAsia="zh-CN"/>
            </w:rPr>
            <w:instrText xml:space="preserve"> PAGEREF _Toc23633 \h </w:instrText>
          </w:r>
          <w:r>
            <w:rPr>
              <w:rFonts w:hint="eastAsia" w:ascii="宋体" w:hAnsi="宋体" w:eastAsia="宋体" w:cs="宋体"/>
              <w:b/>
              <w:bCs/>
              <w:color w:val="auto"/>
              <w:highlight w:val="none"/>
              <w:lang w:val="en-US" w:eastAsia="zh-CN"/>
            </w:rPr>
            <w:fldChar w:fldCharType="separate"/>
          </w:r>
          <w:r>
            <w:rPr>
              <w:rFonts w:hint="eastAsia" w:ascii="宋体" w:hAnsi="宋体" w:eastAsia="宋体" w:cs="宋体"/>
              <w:b/>
              <w:bCs/>
              <w:color w:val="auto"/>
              <w:highlight w:val="none"/>
              <w:lang w:val="en-US" w:eastAsia="zh-CN"/>
            </w:rPr>
            <w:t>76</w:t>
          </w:r>
          <w:r>
            <w:rPr>
              <w:rFonts w:hint="eastAsia" w:ascii="宋体" w:hAnsi="宋体" w:eastAsia="宋体" w:cs="宋体"/>
              <w:b/>
              <w:bCs/>
              <w:color w:val="auto"/>
              <w:highlight w:val="none"/>
              <w:lang w:val="en-US" w:eastAsia="zh-CN"/>
            </w:rPr>
            <w:fldChar w:fldCharType="end"/>
          </w:r>
          <w:r>
            <w:rPr>
              <w:rFonts w:hint="eastAsia" w:ascii="宋体" w:hAnsi="宋体" w:eastAsia="宋体" w:cs="宋体"/>
              <w:b/>
              <w:bCs/>
              <w:color w:val="auto"/>
              <w:highlight w:val="none"/>
              <w:lang w:val="en-US" w:eastAsia="zh-CN"/>
            </w:rPr>
            <w:fldChar w:fldCharType="end"/>
          </w:r>
        </w:p>
        <w:p w14:paraId="6527248B">
          <w:pPr>
            <w:pStyle w:val="31"/>
            <w:keepNext w:val="0"/>
            <w:keepLines w:val="0"/>
            <w:pageBreakBefore w:val="0"/>
            <w:widowControl w:val="0"/>
            <w:tabs>
              <w:tab w:val="right" w:leader="dot" w:pos="9880"/>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fldChar w:fldCharType="begin"/>
          </w:r>
          <w:r>
            <w:rPr>
              <w:rFonts w:hint="eastAsia" w:ascii="宋体" w:hAnsi="宋体" w:eastAsia="宋体" w:cs="宋体"/>
              <w:b/>
              <w:bCs/>
              <w:color w:val="auto"/>
              <w:highlight w:val="none"/>
              <w:lang w:val="en-US" w:eastAsia="zh-CN"/>
            </w:rPr>
            <w:instrText xml:space="preserve"> HYPERLINK \l _Toc4630 </w:instrText>
          </w:r>
          <w:r>
            <w:rPr>
              <w:rFonts w:hint="eastAsia" w:ascii="宋体" w:hAnsi="宋体" w:eastAsia="宋体" w:cs="宋体"/>
              <w:b/>
              <w:bCs/>
              <w:color w:val="auto"/>
              <w:highlight w:val="none"/>
              <w:lang w:val="en-US" w:eastAsia="zh-CN"/>
            </w:rPr>
            <w:fldChar w:fldCharType="separate"/>
          </w:r>
          <w:r>
            <w:rPr>
              <w:rFonts w:hint="eastAsia" w:ascii="宋体" w:hAnsi="宋体" w:eastAsia="宋体" w:cs="宋体"/>
              <w:b/>
              <w:bCs/>
              <w:color w:val="auto"/>
              <w:highlight w:val="none"/>
              <w:lang w:val="zh-CN" w:eastAsia="zh-CN"/>
            </w:rPr>
            <w:t>第五篇 相关保函格式</w:t>
          </w:r>
          <w:r>
            <w:rPr>
              <w:rFonts w:hint="eastAsia" w:ascii="宋体" w:hAnsi="宋体" w:eastAsia="宋体" w:cs="宋体"/>
              <w:b/>
              <w:bCs/>
              <w:color w:val="auto"/>
              <w:highlight w:val="none"/>
              <w:lang w:val="en-US" w:eastAsia="zh-CN"/>
            </w:rPr>
            <w:tab/>
          </w:r>
          <w:r>
            <w:rPr>
              <w:rFonts w:hint="eastAsia" w:ascii="宋体" w:hAnsi="宋体" w:eastAsia="宋体" w:cs="宋体"/>
              <w:b/>
              <w:bCs/>
              <w:color w:val="auto"/>
              <w:highlight w:val="none"/>
              <w:lang w:val="en-US" w:eastAsia="zh-CN"/>
            </w:rPr>
            <w:fldChar w:fldCharType="begin"/>
          </w:r>
          <w:r>
            <w:rPr>
              <w:rFonts w:hint="eastAsia" w:ascii="宋体" w:hAnsi="宋体" w:eastAsia="宋体" w:cs="宋体"/>
              <w:b/>
              <w:bCs/>
              <w:color w:val="auto"/>
              <w:highlight w:val="none"/>
              <w:lang w:val="en-US" w:eastAsia="zh-CN"/>
            </w:rPr>
            <w:instrText xml:space="preserve"> PAGEREF _Toc4630 \h </w:instrText>
          </w:r>
          <w:r>
            <w:rPr>
              <w:rFonts w:hint="eastAsia" w:ascii="宋体" w:hAnsi="宋体" w:eastAsia="宋体" w:cs="宋体"/>
              <w:b/>
              <w:bCs/>
              <w:color w:val="auto"/>
              <w:highlight w:val="none"/>
              <w:lang w:val="en-US" w:eastAsia="zh-CN"/>
            </w:rPr>
            <w:fldChar w:fldCharType="separate"/>
          </w:r>
          <w:r>
            <w:rPr>
              <w:rFonts w:hint="eastAsia" w:ascii="宋体" w:hAnsi="宋体" w:eastAsia="宋体" w:cs="宋体"/>
              <w:b/>
              <w:bCs/>
              <w:color w:val="auto"/>
              <w:highlight w:val="none"/>
              <w:lang w:val="en-US" w:eastAsia="zh-CN"/>
            </w:rPr>
            <w:t>105</w:t>
          </w:r>
          <w:r>
            <w:rPr>
              <w:rFonts w:hint="eastAsia" w:ascii="宋体" w:hAnsi="宋体" w:eastAsia="宋体" w:cs="宋体"/>
              <w:b/>
              <w:bCs/>
              <w:color w:val="auto"/>
              <w:highlight w:val="none"/>
              <w:lang w:val="en-US" w:eastAsia="zh-CN"/>
            </w:rPr>
            <w:fldChar w:fldCharType="end"/>
          </w:r>
          <w:r>
            <w:rPr>
              <w:rFonts w:hint="eastAsia" w:ascii="宋体" w:hAnsi="宋体" w:eastAsia="宋体" w:cs="宋体"/>
              <w:b/>
              <w:bCs/>
              <w:color w:val="auto"/>
              <w:highlight w:val="none"/>
              <w:lang w:val="en-US" w:eastAsia="zh-CN"/>
            </w:rPr>
            <w:fldChar w:fldCharType="end"/>
          </w:r>
        </w:p>
        <w:p w14:paraId="06A77350">
          <w:pPr>
            <w:pStyle w:val="31"/>
            <w:keepNext w:val="0"/>
            <w:keepLines w:val="0"/>
            <w:pageBreakBefore w:val="0"/>
            <w:widowControl w:val="0"/>
            <w:tabs>
              <w:tab w:val="right" w:leader="dot" w:pos="9880"/>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_Toc29705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lang w:val="zh-CN" w:eastAsia="zh-CN"/>
            </w:rPr>
            <w:t>第六篇</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val="zh-CN"/>
            </w:rPr>
            <w:t>投标文件格式</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_Toc29705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108</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0EC36315">
          <w:pPr>
            <w:pStyle w:val="24"/>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_Toc4870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附件一：评标工作大纲</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_Toc4870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D960970">
          <w:pPr>
            <w:pStyle w:val="40"/>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Theme="minorHAnsi" w:hAnsiTheme="minorHAnsi" w:eastAsiaTheme="minorEastAsia" w:cstheme="minorBidi"/>
              <w:b w:val="0"/>
              <w:bCs w:val="0"/>
              <w:color w:val="auto"/>
              <w:kern w:val="2"/>
              <w:sz w:val="21"/>
              <w:szCs w:val="22"/>
              <w:lang w:val="en-US" w:eastAsia="zh-CN" w:bidi="ar-SA"/>
            </w:rPr>
          </w:pPr>
          <w:r>
            <w:rPr>
              <w:rFonts w:hint="eastAsia"/>
              <w:color w:val="auto"/>
            </w:rPr>
            <w:fldChar w:fldCharType="end"/>
          </w:r>
        </w:p>
      </w:sdtContent>
    </w:sdt>
    <w:p w14:paraId="1EEE109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26C35D71">
      <w:pPr>
        <w:pageBreakBefore/>
        <w:tabs>
          <w:tab w:val="left" w:pos="1080"/>
        </w:tabs>
        <w:autoSpaceDE w:val="0"/>
        <w:autoSpaceDN w:val="0"/>
        <w:adjustRightInd w:val="0"/>
        <w:spacing w:line="360" w:lineRule="auto"/>
        <w:ind w:left="-167" w:leftChars="-100" w:hanging="43"/>
        <w:jc w:val="center"/>
        <w:outlineLvl w:val="0"/>
        <w:rPr>
          <w:rFonts w:hint="eastAsia" w:ascii="宋体" w:hAnsi="宋体" w:eastAsia="宋体" w:cs="宋体"/>
          <w:b/>
          <w:bCs/>
          <w:color w:val="auto"/>
          <w:kern w:val="44"/>
          <w:sz w:val="32"/>
          <w:szCs w:val="32"/>
          <w:highlight w:val="none"/>
          <w:lang w:val="zh-CN"/>
        </w:rPr>
      </w:pPr>
      <w:bookmarkStart w:id="4" w:name="_Toc2723_WPSOffice_Level1"/>
      <w:bookmarkStart w:id="5" w:name="_Toc20249"/>
      <w:bookmarkStart w:id="6" w:name="_Toc17326"/>
      <w:bookmarkStart w:id="7" w:name="_Toc8823"/>
      <w:bookmarkStart w:id="8" w:name="_Toc4869"/>
      <w:bookmarkStart w:id="9" w:name="_Toc486167660"/>
      <w:bookmarkStart w:id="10" w:name="_Toc24466"/>
      <w:bookmarkStart w:id="11" w:name="_Toc450662846"/>
      <w:bookmarkStart w:id="12" w:name="_Toc142508310"/>
      <w:bookmarkStart w:id="13" w:name="_Toc11860"/>
      <w:r>
        <w:rPr>
          <w:rFonts w:hint="eastAsia" w:ascii="宋体" w:hAnsi="宋体" w:eastAsia="宋体" w:cs="宋体"/>
          <w:b/>
          <w:bCs/>
          <w:color w:val="auto"/>
          <w:kern w:val="44"/>
          <w:sz w:val="32"/>
          <w:szCs w:val="32"/>
          <w:highlight w:val="none"/>
          <w:lang w:val="zh-CN"/>
        </w:rPr>
        <w:t>第一篇 招标公告</w:t>
      </w:r>
      <w:bookmarkEnd w:id="4"/>
      <w:bookmarkEnd w:id="5"/>
      <w:bookmarkEnd w:id="6"/>
      <w:bookmarkEnd w:id="7"/>
      <w:bookmarkEnd w:id="8"/>
      <w:bookmarkEnd w:id="9"/>
      <w:bookmarkEnd w:id="10"/>
      <w:bookmarkEnd w:id="11"/>
      <w:bookmarkEnd w:id="12"/>
      <w:bookmarkEnd w:id="13"/>
    </w:p>
    <w:p w14:paraId="4762110F">
      <w:pPr>
        <w:autoSpaceDE w:val="0"/>
        <w:autoSpaceDN w:val="0"/>
        <w:adjustRightInd w:val="0"/>
        <w:snapToGrid w:val="0"/>
        <w:spacing w:line="360" w:lineRule="auto"/>
        <w:ind w:right="-34"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lang w:eastAsia="zh-CN"/>
        </w:rPr>
        <w:t>三方诚信招标有限公司</w:t>
      </w:r>
      <w:r>
        <w:rPr>
          <w:rFonts w:hint="eastAsia" w:ascii="宋体" w:hAnsi="宋体" w:eastAsia="宋体" w:cs="宋体"/>
          <w:color w:val="auto"/>
          <w:szCs w:val="21"/>
          <w:highlight w:val="none"/>
          <w:lang w:val="zh-CN"/>
        </w:rPr>
        <w:t>（以下简称“招标代理机构”）受</w:t>
      </w:r>
      <w:r>
        <w:rPr>
          <w:rFonts w:hint="eastAsia" w:ascii="宋体" w:hAnsi="宋体" w:eastAsia="宋体" w:cs="宋体"/>
          <w:color w:val="auto"/>
          <w:kern w:val="0"/>
          <w:szCs w:val="21"/>
          <w:highlight w:val="none"/>
          <w:lang w:eastAsia="zh-CN"/>
        </w:rPr>
        <w:t>东莞市置拓投资有限公司</w:t>
      </w:r>
      <w:r>
        <w:rPr>
          <w:rFonts w:hint="eastAsia" w:ascii="宋体" w:hAnsi="宋体" w:eastAsia="宋体" w:cs="宋体"/>
          <w:color w:val="auto"/>
          <w:szCs w:val="21"/>
          <w:highlight w:val="none"/>
          <w:lang w:val="zh-CN"/>
        </w:rPr>
        <w:t>（以下简称“招标人”）的委托，对</w:t>
      </w:r>
      <w:bookmarkStart w:id="14" w:name="_Hlk41903390"/>
      <w:r>
        <w:rPr>
          <w:rFonts w:hint="eastAsia" w:ascii="宋体" w:hAnsi="宋体" w:eastAsia="宋体" w:cs="宋体"/>
          <w:color w:val="auto"/>
          <w:kern w:val="0"/>
          <w:szCs w:val="21"/>
          <w:highlight w:val="none"/>
          <w:lang w:eastAsia="zh-CN"/>
        </w:rPr>
        <w:t>东莞市置拓投资有限公司水业大厦2026-2027年度物业管理服务采购项目</w:t>
      </w:r>
      <w:r>
        <w:rPr>
          <w:rFonts w:hint="eastAsia" w:ascii="宋体" w:hAnsi="宋体" w:eastAsia="宋体" w:cs="宋体"/>
          <w:color w:val="auto"/>
          <w:szCs w:val="21"/>
          <w:highlight w:val="none"/>
          <w:lang w:val="zh-CN"/>
        </w:rPr>
        <w:t>(招标编号：SSSSSZ12502454_1)</w:t>
      </w:r>
      <w:bookmarkEnd w:id="14"/>
      <w:r>
        <w:rPr>
          <w:rFonts w:hint="eastAsia" w:ascii="宋体" w:hAnsi="宋体" w:eastAsia="宋体" w:cs="宋体"/>
          <w:color w:val="auto"/>
          <w:szCs w:val="21"/>
          <w:highlight w:val="none"/>
          <w:lang w:val="zh-CN"/>
        </w:rPr>
        <w:t>进行国内公开招标，</w:t>
      </w:r>
      <w:r>
        <w:rPr>
          <w:rFonts w:hint="eastAsia" w:ascii="宋体" w:hAnsi="宋体" w:eastAsia="宋体" w:cs="宋体"/>
          <w:bCs/>
          <w:color w:val="auto"/>
          <w:kern w:val="0"/>
          <w:szCs w:val="21"/>
          <w:highlight w:val="none"/>
        </w:rPr>
        <w:t>详情请参见本招标文件。</w:t>
      </w:r>
      <w:r>
        <w:rPr>
          <w:rFonts w:hint="eastAsia" w:ascii="宋体" w:hAnsi="宋体" w:eastAsia="宋体" w:cs="宋体"/>
          <w:color w:val="auto"/>
          <w:kern w:val="0"/>
          <w:szCs w:val="21"/>
          <w:highlight w:val="none"/>
        </w:rPr>
        <w:t>欢迎符合条件的合格投标人参加投标，</w:t>
      </w:r>
      <w:r>
        <w:rPr>
          <w:rFonts w:hint="eastAsia" w:ascii="宋体" w:hAnsi="宋体" w:eastAsia="宋体" w:cs="宋体"/>
          <w:bCs/>
          <w:color w:val="auto"/>
          <w:kern w:val="0"/>
          <w:szCs w:val="21"/>
          <w:highlight w:val="none"/>
        </w:rPr>
        <w:t>有关事项如下：</w:t>
      </w:r>
    </w:p>
    <w:p w14:paraId="01254163">
      <w:pPr>
        <w:autoSpaceDE w:val="0"/>
        <w:autoSpaceDN w:val="0"/>
        <w:adjustRightInd w:val="0"/>
        <w:spacing w:line="360" w:lineRule="auto"/>
        <w:ind w:right="-29" w:rightChars="-14" w:firstLine="420" w:firstLineChars="200"/>
        <w:rPr>
          <w:rFonts w:hint="eastAsia" w:ascii="宋体" w:hAnsi="宋体" w:eastAsia="宋体" w:cs="宋体"/>
          <w:color w:val="auto"/>
          <w:szCs w:val="21"/>
          <w:highlight w:val="none"/>
          <w:lang w:val="zh-CN"/>
        </w:rPr>
      </w:pPr>
    </w:p>
    <w:p w14:paraId="3018B28F">
      <w:pPr>
        <w:numPr>
          <w:ilvl w:val="0"/>
          <w:numId w:val="2"/>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招标范围：</w:t>
      </w:r>
      <w:r>
        <w:rPr>
          <w:rFonts w:hint="eastAsia" w:ascii="宋体" w:hAnsi="宋体" w:eastAsia="宋体" w:cs="宋体"/>
          <w:color w:val="auto"/>
          <w:kern w:val="0"/>
          <w:szCs w:val="21"/>
          <w:highlight w:val="none"/>
          <w:lang w:eastAsia="zh-CN"/>
        </w:rPr>
        <w:t>东莞市置拓投资有限公司</w:t>
      </w:r>
      <w:r>
        <w:rPr>
          <w:rFonts w:hint="eastAsia" w:ascii="宋体" w:hAnsi="宋体" w:eastAsia="宋体" w:cs="宋体"/>
          <w:color w:val="auto"/>
          <w:kern w:val="0"/>
          <w:szCs w:val="21"/>
          <w:highlight w:val="none"/>
          <w:lang w:val="en-US" w:eastAsia="zh-CN"/>
        </w:rPr>
        <w:t>拟采购一家</w:t>
      </w:r>
      <w:r>
        <w:rPr>
          <w:rFonts w:hint="eastAsia" w:ascii="宋体" w:hAnsi="宋体" w:eastAsia="宋体" w:cs="宋体"/>
          <w:color w:val="auto"/>
          <w:kern w:val="0"/>
          <w:szCs w:val="21"/>
          <w:highlight w:val="none"/>
          <w:lang w:eastAsia="zh-CN"/>
        </w:rPr>
        <w:t>物业管理服务</w:t>
      </w:r>
      <w:r>
        <w:rPr>
          <w:rFonts w:hint="eastAsia" w:ascii="宋体" w:hAnsi="宋体" w:eastAsia="宋体" w:cs="宋体"/>
          <w:color w:val="auto"/>
          <w:kern w:val="0"/>
          <w:szCs w:val="21"/>
          <w:highlight w:val="none"/>
          <w:lang w:val="en-US" w:eastAsia="zh-CN"/>
        </w:rPr>
        <w:t>单位</w:t>
      </w:r>
      <w:r>
        <w:rPr>
          <w:rFonts w:hint="eastAsia" w:ascii="宋体" w:hAnsi="宋体" w:eastAsia="宋体" w:cs="宋体"/>
          <w:color w:val="auto"/>
          <w:kern w:val="0"/>
          <w:szCs w:val="21"/>
          <w:highlight w:val="none"/>
          <w:lang w:eastAsia="zh-CN"/>
        </w:rPr>
        <w:t>，物业管理服务分为物业管理带教服务和物业管理运营服务，物业管理带教服务由中标人对招标人委派的学员进行系统化的带教，使学员全面掌握写字楼物业项目的运营管理知识与技能，具备独立处理复杂问题、带领团队、达成业绩指标的能力。物业管理运营服务内容包括但不限于水业大厦的客户服务管理、安全保卫管理、清洁卫生管理、园林绿化养护和管理、空调系统维护保养管理、消防系统维护保养管理、供配电系统维护保养管理、给排水系统维护保养管理、智能化系统维护与保养管理、电梯系统维护与保养管理、突发应急管理、楼宇主体及其附属设施、公共配套设施维护与保养、日常物业维修及物业使用人装修管理、其他服务等工作</w:t>
      </w:r>
      <w:r>
        <w:rPr>
          <w:rFonts w:hint="eastAsia" w:ascii="Calibri" w:hAnsi="Calibri" w:eastAsia="宋体" w:cs="Times New Roman"/>
          <w:color w:val="auto"/>
          <w:kern w:val="2"/>
          <w:sz w:val="21"/>
          <w:szCs w:val="24"/>
          <w:lang w:val="en-US" w:eastAsia="zh-CN" w:bidi="ar-SA"/>
        </w:rPr>
        <w:t>。</w:t>
      </w:r>
      <w:r>
        <w:rPr>
          <w:rFonts w:hint="eastAsia" w:ascii="宋体" w:hAnsi="宋体" w:eastAsia="宋体" w:cs="Times New Roman"/>
          <w:color w:val="auto"/>
          <w:szCs w:val="21"/>
          <w:highlight w:val="none"/>
          <w:lang w:val="zh-CN"/>
        </w:rPr>
        <w:t>（具体内容详见：第三篇用户需求书）。</w:t>
      </w:r>
    </w:p>
    <w:p w14:paraId="6A7AB6E8">
      <w:pPr>
        <w:autoSpaceDE w:val="0"/>
        <w:autoSpaceDN w:val="0"/>
        <w:adjustRightInd w:val="0"/>
        <w:spacing w:line="360" w:lineRule="auto"/>
        <w:ind w:right="-29" w:rightChars="-14"/>
        <w:rPr>
          <w:rFonts w:hint="eastAsia" w:ascii="宋体" w:hAnsi="宋体" w:eastAsia="宋体" w:cs="宋体"/>
          <w:color w:val="auto"/>
          <w:szCs w:val="21"/>
          <w:highlight w:val="none"/>
          <w:lang w:val="zh-CN"/>
        </w:rPr>
      </w:pPr>
    </w:p>
    <w:p w14:paraId="7CCAFB0A">
      <w:pPr>
        <w:numPr>
          <w:ilvl w:val="0"/>
          <w:numId w:val="2"/>
        </w:numPr>
        <w:autoSpaceDE w:val="0"/>
        <w:autoSpaceDN w:val="0"/>
        <w:adjustRightInd w:val="0"/>
        <w:snapToGrid w:val="0"/>
        <w:spacing w:line="360" w:lineRule="auto"/>
        <w:ind w:right="-34"/>
        <w:jc w:val="left"/>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合格投标人资格要求：</w:t>
      </w:r>
    </w:p>
    <w:p w14:paraId="36E94F87">
      <w:pPr>
        <w:pStyle w:val="166"/>
        <w:spacing w:line="360" w:lineRule="auto"/>
        <w:ind w:right="-29" w:rightChars="-14" w:firstLine="0" w:firstLineChars="0"/>
        <w:jc w:val="both"/>
        <w:rPr>
          <w:rFonts w:hint="eastAsia" w:hAnsi="宋体" w:eastAsia="宋体"/>
          <w:b/>
          <w:color w:val="auto"/>
          <w:sz w:val="21"/>
          <w:szCs w:val="21"/>
          <w:highlight w:val="none"/>
          <w:lang w:val="zh-CN"/>
        </w:rPr>
      </w:pPr>
      <w:r>
        <w:rPr>
          <w:rFonts w:hint="eastAsia" w:hAnsi="宋体" w:eastAsia="宋体"/>
          <w:b/>
          <w:color w:val="auto"/>
          <w:sz w:val="21"/>
          <w:szCs w:val="21"/>
          <w:highlight w:val="none"/>
          <w:lang w:val="zh-CN"/>
        </w:rPr>
        <w:t>2</w:t>
      </w:r>
      <w:r>
        <w:rPr>
          <w:rFonts w:hAnsi="宋体" w:eastAsia="宋体"/>
          <w:b/>
          <w:color w:val="auto"/>
          <w:sz w:val="21"/>
          <w:szCs w:val="21"/>
          <w:highlight w:val="none"/>
          <w:lang w:val="zh-CN"/>
        </w:rPr>
        <w:t xml:space="preserve">.1 </w:t>
      </w:r>
      <w:r>
        <w:rPr>
          <w:rFonts w:hint="eastAsia" w:hAnsi="宋体" w:eastAsia="宋体"/>
          <w:b/>
          <w:color w:val="auto"/>
          <w:sz w:val="21"/>
          <w:szCs w:val="21"/>
          <w:highlight w:val="none"/>
          <w:lang w:val="zh-CN"/>
        </w:rPr>
        <w:t>在中华人民共和国境内登记注册、合法存续、正常经营且具有独立承担民事责任能力的法人或其他组织</w:t>
      </w:r>
      <w:r>
        <w:rPr>
          <w:rFonts w:hAnsi="宋体" w:eastAsia="宋体"/>
          <w:b/>
          <w:color w:val="auto"/>
          <w:sz w:val="21"/>
          <w:szCs w:val="21"/>
          <w:highlight w:val="none"/>
          <w:lang w:val="zh-CN"/>
        </w:rPr>
        <w:t>；</w:t>
      </w:r>
    </w:p>
    <w:p w14:paraId="0F6E6C81">
      <w:pPr>
        <w:pStyle w:val="166"/>
        <w:autoSpaceDE/>
        <w:autoSpaceDN/>
        <w:spacing w:line="360" w:lineRule="auto"/>
        <w:ind w:left="430" w:right="-29" w:rightChars="-14" w:hanging="430" w:hangingChars="204"/>
        <w:jc w:val="both"/>
        <w:rPr>
          <w:rFonts w:hint="eastAsia" w:hAnsi="宋体" w:eastAsia="宋体" w:cs="宋体"/>
          <w:b/>
          <w:color w:val="auto"/>
          <w:sz w:val="21"/>
          <w:szCs w:val="21"/>
          <w:lang w:val="zh-CN"/>
        </w:rPr>
      </w:pPr>
      <w:r>
        <w:rPr>
          <w:rFonts w:hint="eastAsia" w:hAnsi="宋体" w:eastAsia="宋体" w:cs="宋体"/>
          <w:b/>
          <w:color w:val="auto"/>
          <w:sz w:val="21"/>
          <w:szCs w:val="21"/>
          <w:lang w:val="zh-CN"/>
        </w:rPr>
        <w:t>2.</w:t>
      </w:r>
      <w:r>
        <w:rPr>
          <w:rFonts w:hint="eastAsia" w:hAnsi="宋体" w:eastAsia="宋体" w:cs="宋体"/>
          <w:b/>
          <w:color w:val="auto"/>
          <w:sz w:val="21"/>
          <w:szCs w:val="21"/>
          <w:lang w:val="en-US" w:eastAsia="zh-CN"/>
        </w:rPr>
        <w:t xml:space="preserve">2 </w:t>
      </w:r>
      <w:r>
        <w:rPr>
          <w:rFonts w:hint="eastAsia" w:hAnsi="宋体" w:eastAsia="宋体"/>
          <w:b/>
          <w:color w:val="auto"/>
          <w:sz w:val="21"/>
          <w:szCs w:val="21"/>
          <w:highlight w:val="none"/>
          <w:lang w:val="zh-CN"/>
        </w:rPr>
        <w:t>投标人202</w:t>
      </w:r>
      <w:r>
        <w:rPr>
          <w:rFonts w:hint="eastAsia" w:hAnsi="宋体" w:eastAsia="宋体"/>
          <w:b/>
          <w:color w:val="auto"/>
          <w:sz w:val="21"/>
          <w:szCs w:val="21"/>
          <w:highlight w:val="none"/>
          <w:lang w:val="en-US" w:eastAsia="zh-CN"/>
        </w:rPr>
        <w:t>2</w:t>
      </w:r>
      <w:r>
        <w:rPr>
          <w:rFonts w:hint="eastAsia" w:hAnsi="宋体" w:eastAsia="宋体"/>
          <w:b/>
          <w:color w:val="auto"/>
          <w:sz w:val="21"/>
          <w:szCs w:val="21"/>
          <w:highlight w:val="none"/>
          <w:lang w:val="zh-CN"/>
        </w:rPr>
        <w:t>年1月1日以来(以合同签订日期为准)至少承接一个物业管理服务项目业绩(服务内容必须为物业管理服务且同时包含</w:t>
      </w:r>
      <w:r>
        <w:rPr>
          <w:rFonts w:hint="eastAsia" w:hAnsi="宋体" w:eastAsia="宋体"/>
          <w:b/>
          <w:color w:val="auto"/>
          <w:sz w:val="21"/>
          <w:szCs w:val="21"/>
          <w:highlight w:val="none"/>
          <w:lang w:val="en-US" w:eastAsia="zh-CN"/>
        </w:rPr>
        <w:t>保洁</w:t>
      </w:r>
      <w:r>
        <w:rPr>
          <w:rFonts w:hint="eastAsia" w:hAnsi="宋体" w:eastAsia="宋体"/>
          <w:b/>
          <w:color w:val="auto"/>
          <w:sz w:val="21"/>
          <w:szCs w:val="21"/>
          <w:highlight w:val="none"/>
          <w:lang w:val="zh-CN"/>
        </w:rPr>
        <w:t>（或清洁或环境卫生）及保安（或安保或秩序维护）服务，合同签订日期为</w:t>
      </w:r>
      <w:r>
        <w:rPr>
          <w:rFonts w:hint="eastAsia" w:hAnsi="宋体" w:eastAsia="宋体"/>
          <w:b/>
          <w:color w:val="auto"/>
          <w:sz w:val="21"/>
          <w:szCs w:val="21"/>
          <w:highlight w:val="none"/>
          <w:lang w:val="en-US" w:eastAsia="zh-CN"/>
        </w:rPr>
        <w:t>2022</w:t>
      </w:r>
      <w:r>
        <w:rPr>
          <w:rFonts w:hint="eastAsia" w:hAnsi="宋体" w:eastAsia="宋体"/>
          <w:b/>
          <w:color w:val="auto"/>
          <w:sz w:val="21"/>
          <w:szCs w:val="21"/>
          <w:highlight w:val="none"/>
          <w:lang w:val="zh-CN"/>
        </w:rPr>
        <w:t>年</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月</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日或以后）；</w:t>
      </w:r>
    </w:p>
    <w:p w14:paraId="3D58321C">
      <w:pPr>
        <w:pStyle w:val="166"/>
        <w:spacing w:line="360" w:lineRule="auto"/>
        <w:ind w:right="-29" w:rightChars="-14" w:firstLine="0" w:firstLineChars="0"/>
        <w:jc w:val="both"/>
        <w:rPr>
          <w:rFonts w:hint="eastAsia" w:ascii="宋体" w:hAnsi="宋体" w:eastAsia="宋体" w:cs="宋体"/>
          <w:b/>
          <w:color w:val="auto"/>
          <w:sz w:val="21"/>
          <w:szCs w:val="21"/>
          <w:highlight w:val="none"/>
          <w:lang w:val="zh-CN"/>
        </w:rPr>
      </w:pPr>
      <w:r>
        <w:rPr>
          <w:rFonts w:hint="eastAsia" w:hAnsi="宋体" w:eastAsia="宋体"/>
          <w:b/>
          <w:color w:val="auto"/>
          <w:sz w:val="21"/>
          <w:szCs w:val="21"/>
          <w:highlight w:val="none"/>
          <w:lang w:val="en-US" w:eastAsia="zh-CN"/>
        </w:rPr>
        <w:t xml:space="preserve">2.3 </w:t>
      </w:r>
      <w:bookmarkStart w:id="15" w:name="_Toc25819"/>
      <w:r>
        <w:rPr>
          <w:rFonts w:hint="eastAsia" w:ascii="宋体" w:hAnsi="宋体" w:eastAsia="宋体" w:cs="宋体"/>
          <w:b/>
          <w:color w:val="auto"/>
          <w:sz w:val="21"/>
          <w:szCs w:val="21"/>
          <w:highlight w:val="none"/>
          <w:lang w:val="zh-CN"/>
        </w:rPr>
        <w:t>本项目不接受联合体投标</w:t>
      </w:r>
      <w:bookmarkEnd w:id="15"/>
      <w:r>
        <w:rPr>
          <w:rFonts w:hint="eastAsia" w:ascii="宋体" w:hAnsi="宋体" w:eastAsia="宋体" w:cs="宋体"/>
          <w:b/>
          <w:color w:val="auto"/>
          <w:sz w:val="21"/>
          <w:szCs w:val="21"/>
          <w:highlight w:val="none"/>
          <w:lang w:val="zh-CN"/>
        </w:rPr>
        <w:t>；</w:t>
      </w:r>
    </w:p>
    <w:p w14:paraId="70395D6B">
      <w:pPr>
        <w:pStyle w:val="166"/>
        <w:spacing w:line="360" w:lineRule="auto"/>
        <w:ind w:right="-29" w:rightChars="-14" w:firstLine="0" w:firstLineChars="0"/>
        <w:jc w:val="both"/>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en-US" w:eastAsia="zh-CN"/>
        </w:rPr>
        <w:t>2.</w:t>
      </w:r>
      <w:r>
        <w:rPr>
          <w:rFonts w:hint="eastAsia" w:hAnsi="宋体" w:eastAsia="宋体" w:cs="宋体"/>
          <w:b/>
          <w:color w:val="auto"/>
          <w:sz w:val="21"/>
          <w:szCs w:val="21"/>
          <w:highlight w:val="none"/>
          <w:lang w:val="en-US" w:eastAsia="zh-CN"/>
        </w:rPr>
        <w:t xml:space="preserve">4 </w:t>
      </w:r>
      <w:r>
        <w:rPr>
          <w:rFonts w:hint="eastAsia" w:ascii="宋体" w:hAnsi="宋体" w:eastAsia="宋体" w:cs="宋体"/>
          <w:b/>
          <w:color w:val="auto"/>
          <w:sz w:val="21"/>
          <w:szCs w:val="21"/>
          <w:highlight w:val="none"/>
          <w:lang w:val="zh-CN"/>
        </w:rPr>
        <w:t>其他要求：</w:t>
      </w:r>
    </w:p>
    <w:p w14:paraId="3ED06B00">
      <w:pPr>
        <w:pStyle w:val="166"/>
        <w:keepNext w:val="0"/>
        <w:keepLines w:val="0"/>
        <w:pageBreakBefore w:val="0"/>
        <w:kinsoku/>
        <w:overflowPunct/>
        <w:topLinePunct w:val="0"/>
        <w:autoSpaceDE/>
        <w:autoSpaceDN/>
        <w:bidi w:val="0"/>
        <w:spacing w:line="360" w:lineRule="auto"/>
        <w:ind w:left="420" w:leftChars="200" w:firstLine="0" w:firstLineChars="0"/>
        <w:jc w:val="both"/>
        <w:outlineLvl w:val="9"/>
        <w:rPr>
          <w:rFonts w:hint="eastAsia" w:ascii="宋体" w:hAnsi="宋体" w:eastAsia="宋体" w:cs="宋体"/>
          <w:b/>
          <w:color w:val="auto"/>
          <w:sz w:val="21"/>
          <w:szCs w:val="21"/>
          <w:highlight w:val="none"/>
          <w:lang w:val="zh-CN"/>
        </w:rPr>
      </w:pPr>
      <w:bookmarkStart w:id="16" w:name="_Toc19234"/>
      <w:bookmarkStart w:id="17" w:name="_Toc26562"/>
      <w:r>
        <w:rPr>
          <w:rFonts w:hint="eastAsia" w:ascii="宋体" w:hAnsi="宋体" w:eastAsia="宋体" w:cs="宋体"/>
          <w:b/>
          <w:color w:val="auto"/>
          <w:sz w:val="21"/>
          <w:szCs w:val="21"/>
          <w:highlight w:val="none"/>
          <w:lang w:val="zh-CN"/>
        </w:rPr>
        <w:t>（1）投标人应在东莞市公共资源交易企业库建档；</w:t>
      </w:r>
      <w:bookmarkEnd w:id="16"/>
      <w:bookmarkEnd w:id="17"/>
    </w:p>
    <w:p w14:paraId="4A963C57">
      <w:pPr>
        <w:pStyle w:val="166"/>
        <w:keepNext w:val="0"/>
        <w:keepLines w:val="0"/>
        <w:pageBreakBefore w:val="0"/>
        <w:kinsoku/>
        <w:overflowPunct/>
        <w:topLinePunct w:val="0"/>
        <w:autoSpaceDE/>
        <w:autoSpaceDN/>
        <w:bidi w:val="0"/>
        <w:spacing w:line="360" w:lineRule="auto"/>
        <w:ind w:left="420" w:leftChars="200" w:firstLine="0" w:firstLineChars="0"/>
        <w:jc w:val="both"/>
        <w:outlineLvl w:val="9"/>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2）在招标文件规定的东莞市公共资源交易E网通管理平台建设工程交易系统（以下简称交易系统）信息数据采集时间前，投标人已在东莞市公共资源交易企业库建档，且法人、法定代表人名称或企业、人员资质证书等与本次招标项目密切相关的信息发生变更时已办结该变更的登记手续，投标人应登录交易系统核实企业填报数据真实有效。</w:t>
      </w:r>
    </w:p>
    <w:p w14:paraId="06C37785">
      <w:pPr>
        <w:autoSpaceDE w:val="0"/>
        <w:autoSpaceDN w:val="0"/>
        <w:adjustRightInd w:val="0"/>
        <w:spacing w:line="360" w:lineRule="auto"/>
        <w:ind w:right="-29" w:rightChars="-14" w:firstLine="420" w:firstLineChars="200"/>
        <w:outlineLvl w:val="9"/>
        <w:rPr>
          <w:rFonts w:hint="eastAsia" w:ascii="宋体" w:hAnsi="宋体" w:eastAsia="宋体" w:cs="宋体"/>
          <w:color w:val="auto"/>
          <w:szCs w:val="21"/>
          <w:highlight w:val="none"/>
          <w:lang w:val="zh-CN"/>
        </w:rPr>
      </w:pPr>
    </w:p>
    <w:p w14:paraId="1AE760A7">
      <w:pPr>
        <w:numPr>
          <w:ilvl w:val="0"/>
          <w:numId w:val="2"/>
        </w:numPr>
        <w:autoSpaceDE w:val="0"/>
        <w:autoSpaceDN w:val="0"/>
        <w:adjustRightInd w:val="0"/>
        <w:snapToGrid w:val="0"/>
        <w:spacing w:line="360" w:lineRule="auto"/>
        <w:ind w:right="-34"/>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获取招标文件的方式：凡有意参加投标者，可于</w:t>
      </w:r>
      <w:r>
        <w:rPr>
          <w:rFonts w:hint="eastAsia" w:ascii="宋体" w:hAnsi="宋体" w:eastAsia="宋体" w:cs="宋体"/>
          <w:color w:val="auto"/>
          <w:szCs w:val="21"/>
          <w:highlight w:val="none"/>
          <w:u w:val="single"/>
          <w:lang w:val="en-US" w:eastAsia="zh-CN"/>
        </w:rPr>
        <w:t>2026</w:t>
      </w:r>
      <w:r>
        <w:rPr>
          <w:rFonts w:hint="eastAsia" w:ascii="宋体" w:hAnsi="宋体" w:eastAsia="宋体" w:cs="宋体"/>
          <w:color w:val="auto"/>
          <w:szCs w:val="21"/>
          <w:highlight w:val="none"/>
          <w:lang w:val="zh-CN"/>
        </w:rPr>
        <w:t>年</w:t>
      </w:r>
      <w:r>
        <w:rPr>
          <w:rFonts w:hint="eastAsia" w:ascii="宋体" w:hAnsi="宋体" w:eastAsia="宋体" w:cs="宋体"/>
          <w:color w:val="auto"/>
          <w:szCs w:val="21"/>
          <w:highlight w:val="none"/>
          <w:u w:val="single"/>
          <w:lang w:val="en-US" w:eastAsia="zh-CN"/>
        </w:rPr>
        <w:t>1</w:t>
      </w:r>
      <w:r>
        <w:rPr>
          <w:rFonts w:hint="eastAsia" w:ascii="宋体" w:hAnsi="宋体" w:eastAsia="宋体" w:cs="宋体"/>
          <w:color w:val="auto"/>
          <w:szCs w:val="21"/>
          <w:highlight w:val="none"/>
          <w:lang w:val="zh-CN"/>
        </w:rPr>
        <w:t>月</w:t>
      </w:r>
      <w:r>
        <w:rPr>
          <w:rFonts w:hint="eastAsia" w:ascii="宋体" w:hAnsi="宋体" w:eastAsia="宋体" w:cs="宋体"/>
          <w:color w:val="auto"/>
          <w:szCs w:val="21"/>
          <w:highlight w:val="none"/>
          <w:u w:val="single"/>
          <w:lang w:val="en-US" w:eastAsia="zh-CN"/>
        </w:rPr>
        <w:t>7</w:t>
      </w:r>
      <w:r>
        <w:rPr>
          <w:rFonts w:hint="eastAsia" w:ascii="宋体" w:hAnsi="宋体" w:eastAsia="宋体" w:cs="宋体"/>
          <w:color w:val="auto"/>
          <w:szCs w:val="21"/>
          <w:highlight w:val="none"/>
          <w:lang w:val="zh-CN"/>
        </w:rPr>
        <w:t>日至投标截止时间前登录交易系统下载本次招标项目的招标文件等资料。</w:t>
      </w:r>
    </w:p>
    <w:p w14:paraId="421731A8">
      <w:pPr>
        <w:autoSpaceDE w:val="0"/>
        <w:autoSpaceDN w:val="0"/>
        <w:adjustRightInd w:val="0"/>
        <w:spacing w:line="360" w:lineRule="auto"/>
        <w:ind w:left="630" w:leftChars="100" w:right="-29" w:rightChars="-14" w:hanging="420" w:hangingChars="200"/>
        <w:outlineLvl w:val="9"/>
        <w:rPr>
          <w:rFonts w:hint="eastAsia" w:ascii="宋体" w:hAnsi="宋体" w:eastAsia="宋体" w:cs="宋体"/>
          <w:color w:val="auto"/>
          <w:szCs w:val="21"/>
          <w:highlight w:val="none"/>
          <w:lang w:val="zh-CN"/>
        </w:rPr>
      </w:pPr>
    </w:p>
    <w:p w14:paraId="33513629">
      <w:pPr>
        <w:numPr>
          <w:ilvl w:val="0"/>
          <w:numId w:val="2"/>
        </w:numPr>
        <w:autoSpaceDE w:val="0"/>
        <w:autoSpaceDN w:val="0"/>
        <w:adjustRightInd w:val="0"/>
        <w:snapToGrid w:val="0"/>
        <w:spacing w:line="360" w:lineRule="auto"/>
        <w:ind w:right="-34"/>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招标代理机构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宋体"/>
          <w:color w:val="auto"/>
          <w:szCs w:val="21"/>
          <w:highlight w:val="none"/>
          <w:lang w:val="en-US" w:eastAsia="zh-CN"/>
        </w:rPr>
        <w:t>政府采购</w:t>
      </w:r>
      <w:r>
        <w:rPr>
          <w:rFonts w:hint="eastAsia" w:ascii="宋体" w:hAnsi="宋体" w:eastAsia="宋体" w:cs="宋体"/>
          <w:color w:val="auto"/>
          <w:szCs w:val="21"/>
          <w:highlight w:val="none"/>
          <w:lang w:val="zh-CN"/>
        </w:rPr>
        <w:t>严重违法失信行为记录名单的投标人，做好相关记录（处罚期限届满的除外）。</w:t>
      </w:r>
    </w:p>
    <w:p w14:paraId="1C09C61F">
      <w:pPr>
        <w:pStyle w:val="52"/>
        <w:outlineLvl w:val="9"/>
        <w:rPr>
          <w:rFonts w:hint="eastAsia"/>
          <w:color w:val="auto"/>
          <w:highlight w:val="none"/>
          <w:lang w:val="zh-CN"/>
        </w:rPr>
      </w:pPr>
    </w:p>
    <w:p w14:paraId="057AC138">
      <w:pPr>
        <w:keepNext w:val="0"/>
        <w:keepLines w:val="0"/>
        <w:pageBreakBefore w:val="0"/>
        <w:numPr>
          <w:ilvl w:val="0"/>
          <w:numId w:val="2"/>
        </w:numPr>
        <w:kinsoku/>
        <w:overflowPunct/>
        <w:topLinePunct w:val="0"/>
        <w:autoSpaceDE w:val="0"/>
        <w:autoSpaceDN w:val="0"/>
        <w:bidi w:val="0"/>
        <w:adjustRightInd w:val="0"/>
        <w:snapToGrid w:val="0"/>
        <w:spacing w:line="360" w:lineRule="auto"/>
        <w:ind w:right="-34"/>
        <w:jc w:val="left"/>
        <w:outlineLvl w:val="9"/>
        <w:rPr>
          <w:rFonts w:hint="eastAsia" w:ascii="宋体" w:hAnsi="宋体" w:eastAsia="宋体" w:cs="宋体"/>
          <w:color w:val="auto"/>
          <w:szCs w:val="21"/>
          <w:highlight w:val="none"/>
          <w:lang w:val="zh-CN"/>
        </w:rPr>
      </w:pPr>
      <w:bookmarkStart w:id="18" w:name="_Toc10505"/>
      <w:bookmarkStart w:id="19" w:name="_Toc15579"/>
      <w:r>
        <w:rPr>
          <w:rFonts w:hint="eastAsia" w:ascii="宋体" w:hAnsi="宋体" w:eastAsia="宋体" w:cs="宋体"/>
          <w:color w:val="auto"/>
          <w:szCs w:val="21"/>
          <w:highlight w:val="none"/>
          <w:lang w:val="zh-CN"/>
        </w:rPr>
        <w:t>投标会时间、地点及投标文件提交截止时间：</w:t>
      </w:r>
      <w:bookmarkEnd w:id="18"/>
      <w:bookmarkEnd w:id="19"/>
    </w:p>
    <w:p w14:paraId="6433DFBA">
      <w:pPr>
        <w:pStyle w:val="166"/>
        <w:keepNext w:val="0"/>
        <w:keepLines w:val="0"/>
        <w:pageBreakBefore w:val="0"/>
        <w:kinsoku/>
        <w:overflowPunct/>
        <w:topLinePunct w:val="0"/>
        <w:bidi w:val="0"/>
        <w:spacing w:line="360" w:lineRule="auto"/>
        <w:ind w:left="420" w:hanging="420" w:hangingChars="200"/>
        <w:jc w:val="both"/>
        <w:outlineLvl w:val="9"/>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en-US" w:eastAsia="zh-CN"/>
        </w:rPr>
        <w:t xml:space="preserve">5.1 </w:t>
      </w:r>
      <w:r>
        <w:rPr>
          <w:rFonts w:hint="eastAsia" w:ascii="宋体" w:hAnsi="宋体" w:eastAsia="宋体" w:cs="宋体"/>
          <w:bCs/>
          <w:color w:val="auto"/>
          <w:sz w:val="21"/>
          <w:szCs w:val="21"/>
          <w:highlight w:val="none"/>
          <w:lang w:val="zh-CN"/>
        </w:rPr>
        <w:t>投标会召开时间：</w:t>
      </w:r>
      <w:r>
        <w:rPr>
          <w:rFonts w:hint="eastAsia" w:hAnsi="宋体" w:eastAsia="宋体" w:cs="宋体"/>
          <w:bCs/>
          <w:color w:val="auto"/>
          <w:sz w:val="21"/>
          <w:szCs w:val="21"/>
          <w:highlight w:val="none"/>
          <w:u w:val="single"/>
          <w:lang w:val="en-US" w:eastAsia="zh-CN"/>
        </w:rPr>
        <w:t>2026</w:t>
      </w:r>
      <w:r>
        <w:rPr>
          <w:rFonts w:hint="eastAsia" w:ascii="宋体" w:hAnsi="宋体" w:eastAsia="宋体" w:cs="宋体"/>
          <w:bCs/>
          <w:color w:val="auto"/>
          <w:sz w:val="21"/>
          <w:szCs w:val="21"/>
          <w:highlight w:val="none"/>
          <w:u w:val="single"/>
          <w:lang w:val="zh-CN"/>
        </w:rPr>
        <w:t>年</w:t>
      </w:r>
      <w:r>
        <w:rPr>
          <w:rFonts w:hint="eastAsia" w:hAnsi="宋体" w:eastAsia="宋体" w:cs="宋体"/>
          <w:bCs/>
          <w:color w:val="auto"/>
          <w:sz w:val="21"/>
          <w:szCs w:val="21"/>
          <w:highlight w:val="none"/>
          <w:u w:val="single"/>
          <w:lang w:val="en-US" w:eastAsia="zh-CN"/>
        </w:rPr>
        <w:t>1</w:t>
      </w:r>
      <w:r>
        <w:rPr>
          <w:rFonts w:hint="eastAsia" w:ascii="宋体" w:hAnsi="宋体" w:eastAsia="宋体" w:cs="宋体"/>
          <w:bCs/>
          <w:color w:val="auto"/>
          <w:sz w:val="21"/>
          <w:szCs w:val="21"/>
          <w:highlight w:val="none"/>
          <w:u w:val="single"/>
          <w:lang w:val="zh-CN"/>
        </w:rPr>
        <w:t>月</w:t>
      </w:r>
      <w:r>
        <w:rPr>
          <w:rFonts w:hint="eastAsia" w:hAnsi="宋体" w:eastAsia="宋体" w:cs="宋体"/>
          <w:bCs/>
          <w:color w:val="auto"/>
          <w:sz w:val="21"/>
          <w:szCs w:val="21"/>
          <w:highlight w:val="none"/>
          <w:u w:val="single"/>
          <w:lang w:val="en-US" w:eastAsia="zh-CN"/>
        </w:rPr>
        <w:t>27</w:t>
      </w:r>
      <w:r>
        <w:rPr>
          <w:rFonts w:hint="eastAsia" w:ascii="宋体" w:hAnsi="宋体" w:eastAsia="宋体" w:cs="宋体"/>
          <w:bCs/>
          <w:color w:val="auto"/>
          <w:sz w:val="21"/>
          <w:szCs w:val="21"/>
          <w:highlight w:val="none"/>
          <w:u w:val="single"/>
          <w:lang w:val="zh-CN"/>
        </w:rPr>
        <w:t>日</w:t>
      </w:r>
      <w:r>
        <w:rPr>
          <w:rFonts w:hint="eastAsia" w:hAnsi="宋体" w:eastAsia="宋体" w:cs="宋体"/>
          <w:bCs/>
          <w:color w:val="auto"/>
          <w:sz w:val="21"/>
          <w:szCs w:val="21"/>
          <w:highlight w:val="none"/>
          <w:u w:val="single"/>
          <w:lang w:val="en-US" w:eastAsia="zh-CN"/>
        </w:rPr>
        <w:t>9</w:t>
      </w:r>
      <w:r>
        <w:rPr>
          <w:rFonts w:hint="eastAsia" w:ascii="宋体" w:hAnsi="宋体" w:eastAsia="宋体" w:cs="宋体"/>
          <w:bCs/>
          <w:color w:val="auto"/>
          <w:sz w:val="21"/>
          <w:szCs w:val="21"/>
          <w:highlight w:val="none"/>
          <w:u w:val="single"/>
          <w:lang w:val="zh-CN"/>
        </w:rPr>
        <w:t>时</w:t>
      </w:r>
      <w:r>
        <w:rPr>
          <w:rFonts w:hint="eastAsia" w:hAnsi="宋体" w:eastAsia="宋体" w:cs="宋体"/>
          <w:bCs/>
          <w:color w:val="auto"/>
          <w:sz w:val="21"/>
          <w:szCs w:val="21"/>
          <w:highlight w:val="none"/>
          <w:u w:val="single"/>
          <w:lang w:val="en-US" w:eastAsia="zh-CN"/>
        </w:rPr>
        <w:t>30</w:t>
      </w:r>
      <w:r>
        <w:rPr>
          <w:rFonts w:hint="eastAsia" w:ascii="宋体" w:hAnsi="宋体" w:eastAsia="宋体" w:cs="宋体"/>
          <w:bCs/>
          <w:color w:val="auto"/>
          <w:sz w:val="21"/>
          <w:szCs w:val="21"/>
          <w:highlight w:val="none"/>
          <w:u w:val="single"/>
          <w:lang w:val="zh-CN"/>
        </w:rPr>
        <w:t>分</w:t>
      </w:r>
      <w:r>
        <w:rPr>
          <w:rFonts w:hint="eastAsia" w:ascii="宋体" w:hAnsi="宋体" w:eastAsia="宋体" w:cs="宋体"/>
          <w:bCs/>
          <w:color w:val="auto"/>
          <w:sz w:val="21"/>
          <w:szCs w:val="21"/>
          <w:highlight w:val="none"/>
          <w:lang w:val="zh-CN"/>
        </w:rPr>
        <w:t>，投标会召开地点：东莞市南城</w:t>
      </w:r>
      <w:r>
        <w:rPr>
          <w:rFonts w:hint="eastAsia" w:ascii="宋体" w:hAnsi="宋体" w:eastAsia="宋体" w:cs="宋体"/>
          <w:bCs/>
          <w:color w:val="auto"/>
          <w:sz w:val="21"/>
          <w:szCs w:val="21"/>
          <w:highlight w:val="none"/>
          <w:lang w:val="en-US" w:eastAsia="zh-CN"/>
        </w:rPr>
        <w:t>街道</w:t>
      </w:r>
      <w:r>
        <w:rPr>
          <w:rFonts w:hint="eastAsia" w:ascii="宋体" w:hAnsi="宋体" w:eastAsia="宋体" w:cs="宋体"/>
          <w:bCs/>
          <w:color w:val="auto"/>
          <w:sz w:val="21"/>
          <w:szCs w:val="21"/>
          <w:highlight w:val="none"/>
          <w:lang w:val="zh-CN"/>
        </w:rPr>
        <w:t>西平社区宏伟三路45号东莞市公共资源交易中心开标室（</w:t>
      </w:r>
      <w:r>
        <w:rPr>
          <w:rFonts w:hint="eastAsia"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lang w:val="zh-CN"/>
        </w:rPr>
        <w:t>）；</w:t>
      </w:r>
    </w:p>
    <w:p w14:paraId="3849D8B5">
      <w:pPr>
        <w:pStyle w:val="166"/>
        <w:keepNext w:val="0"/>
        <w:keepLines w:val="0"/>
        <w:pageBreakBefore w:val="0"/>
        <w:kinsoku/>
        <w:overflowPunct/>
        <w:topLinePunct w:val="0"/>
        <w:bidi w:val="0"/>
        <w:spacing w:line="360" w:lineRule="auto"/>
        <w:ind w:left="420" w:hanging="420" w:hangingChars="200"/>
        <w:jc w:val="both"/>
        <w:outlineLvl w:val="9"/>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5.</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zh-CN"/>
        </w:rPr>
        <w:t xml:space="preserve"> 投标文件递交的截止时间（投标截止时间，下同）：</w:t>
      </w:r>
      <w:r>
        <w:rPr>
          <w:rFonts w:hint="eastAsia" w:hAnsi="宋体" w:eastAsia="宋体" w:cs="宋体"/>
          <w:bCs/>
          <w:color w:val="auto"/>
          <w:sz w:val="21"/>
          <w:szCs w:val="21"/>
          <w:highlight w:val="none"/>
          <w:u w:val="single"/>
          <w:lang w:val="en-US" w:eastAsia="zh-CN"/>
        </w:rPr>
        <w:t>2026</w:t>
      </w:r>
      <w:r>
        <w:rPr>
          <w:rFonts w:hint="eastAsia" w:ascii="宋体" w:hAnsi="宋体" w:eastAsia="宋体" w:cs="宋体"/>
          <w:bCs/>
          <w:color w:val="auto"/>
          <w:sz w:val="21"/>
          <w:szCs w:val="21"/>
          <w:highlight w:val="none"/>
          <w:u w:val="single"/>
          <w:lang w:val="zh-CN"/>
        </w:rPr>
        <w:t>年</w:t>
      </w:r>
      <w:r>
        <w:rPr>
          <w:rFonts w:hint="eastAsia" w:hAnsi="宋体" w:eastAsia="宋体" w:cs="宋体"/>
          <w:bCs/>
          <w:color w:val="auto"/>
          <w:sz w:val="21"/>
          <w:szCs w:val="21"/>
          <w:highlight w:val="none"/>
          <w:u w:val="single"/>
          <w:lang w:val="en-US" w:eastAsia="zh-CN"/>
        </w:rPr>
        <w:t>1</w:t>
      </w:r>
      <w:r>
        <w:rPr>
          <w:rFonts w:hint="eastAsia" w:ascii="宋体" w:hAnsi="宋体" w:eastAsia="宋体" w:cs="宋体"/>
          <w:bCs/>
          <w:color w:val="auto"/>
          <w:sz w:val="21"/>
          <w:szCs w:val="21"/>
          <w:highlight w:val="none"/>
          <w:u w:val="single"/>
          <w:lang w:val="zh-CN"/>
        </w:rPr>
        <w:t>月</w:t>
      </w:r>
      <w:r>
        <w:rPr>
          <w:rFonts w:hint="eastAsia" w:hAnsi="宋体" w:eastAsia="宋体" w:cs="宋体"/>
          <w:bCs/>
          <w:color w:val="auto"/>
          <w:sz w:val="21"/>
          <w:szCs w:val="21"/>
          <w:highlight w:val="none"/>
          <w:u w:val="single"/>
          <w:lang w:val="en-US" w:eastAsia="zh-CN"/>
        </w:rPr>
        <w:t>27</w:t>
      </w:r>
      <w:r>
        <w:rPr>
          <w:rFonts w:hint="eastAsia" w:ascii="宋体" w:hAnsi="宋体" w:eastAsia="宋体" w:cs="宋体"/>
          <w:bCs/>
          <w:color w:val="auto"/>
          <w:sz w:val="21"/>
          <w:szCs w:val="21"/>
          <w:highlight w:val="none"/>
          <w:u w:val="single"/>
          <w:lang w:val="zh-CN"/>
        </w:rPr>
        <w:t>日</w:t>
      </w:r>
      <w:r>
        <w:rPr>
          <w:rFonts w:hint="eastAsia" w:hAnsi="宋体" w:eastAsia="宋体" w:cs="宋体"/>
          <w:bCs/>
          <w:color w:val="auto"/>
          <w:sz w:val="21"/>
          <w:szCs w:val="21"/>
          <w:highlight w:val="none"/>
          <w:u w:val="single"/>
          <w:lang w:val="en-US" w:eastAsia="zh-CN"/>
        </w:rPr>
        <w:t>9</w:t>
      </w:r>
      <w:r>
        <w:rPr>
          <w:rFonts w:hint="eastAsia" w:ascii="宋体" w:hAnsi="宋体" w:eastAsia="宋体" w:cs="宋体"/>
          <w:bCs/>
          <w:color w:val="auto"/>
          <w:sz w:val="21"/>
          <w:szCs w:val="21"/>
          <w:highlight w:val="none"/>
          <w:u w:val="single"/>
          <w:lang w:val="zh-CN"/>
        </w:rPr>
        <w:t>时</w:t>
      </w:r>
      <w:r>
        <w:rPr>
          <w:rFonts w:hint="eastAsia" w:hAnsi="宋体" w:eastAsia="宋体" w:cs="宋体"/>
          <w:bCs/>
          <w:color w:val="auto"/>
          <w:sz w:val="21"/>
          <w:szCs w:val="21"/>
          <w:highlight w:val="none"/>
          <w:u w:val="single"/>
          <w:lang w:val="en-US" w:eastAsia="zh-CN"/>
        </w:rPr>
        <w:t>30</w:t>
      </w:r>
      <w:r>
        <w:rPr>
          <w:rFonts w:hint="eastAsia" w:ascii="宋体" w:hAnsi="宋体" w:eastAsia="宋体" w:cs="宋体"/>
          <w:bCs/>
          <w:color w:val="auto"/>
          <w:sz w:val="21"/>
          <w:szCs w:val="21"/>
          <w:highlight w:val="none"/>
          <w:u w:val="single"/>
          <w:lang w:val="zh-CN"/>
        </w:rPr>
        <w:t>分</w:t>
      </w:r>
      <w:r>
        <w:rPr>
          <w:rFonts w:hint="eastAsia" w:ascii="宋体" w:hAnsi="宋体" w:eastAsia="宋体" w:cs="宋体"/>
          <w:bCs/>
          <w:color w:val="auto"/>
          <w:sz w:val="21"/>
          <w:szCs w:val="21"/>
          <w:highlight w:val="none"/>
          <w:u w:val="none"/>
          <w:lang w:val="zh-CN"/>
        </w:rPr>
        <w:t>，</w:t>
      </w:r>
      <w:r>
        <w:rPr>
          <w:rFonts w:hint="eastAsia" w:ascii="宋体" w:hAnsi="宋体" w:eastAsia="宋体" w:cs="宋体"/>
          <w:bCs/>
          <w:color w:val="auto"/>
          <w:sz w:val="21"/>
          <w:szCs w:val="21"/>
          <w:highlight w:val="none"/>
          <w:lang w:val="zh-CN"/>
        </w:rPr>
        <w:t>地点：通过东莞市公共资源交易E网通管理平台建设工程交易系统网上提交；</w:t>
      </w:r>
    </w:p>
    <w:p w14:paraId="12F37949">
      <w:pPr>
        <w:pStyle w:val="166"/>
        <w:keepNext w:val="0"/>
        <w:keepLines w:val="0"/>
        <w:pageBreakBefore w:val="0"/>
        <w:kinsoku/>
        <w:overflowPunct/>
        <w:topLinePunct w:val="0"/>
        <w:bidi w:val="0"/>
        <w:spacing w:line="360" w:lineRule="auto"/>
        <w:ind w:left="420" w:hanging="420" w:hangingChars="200"/>
        <w:outlineLvl w:val="9"/>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5.</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zh-CN"/>
        </w:rPr>
        <w:t xml:space="preserve"> 投标人必须通过交易系统在线上传投标文件，上述方式外提交的投标文件及逾期通过网络上传的电子投标文件，招标人不予受理。</w:t>
      </w:r>
    </w:p>
    <w:p w14:paraId="12BA140F">
      <w:pPr>
        <w:autoSpaceDE w:val="0"/>
        <w:autoSpaceDN w:val="0"/>
        <w:adjustRightInd w:val="0"/>
        <w:spacing w:line="360" w:lineRule="auto"/>
        <w:ind w:right="-29" w:rightChars="-14" w:firstLine="210" w:firstLineChars="100"/>
        <w:outlineLvl w:val="9"/>
        <w:rPr>
          <w:rFonts w:hint="eastAsia" w:ascii="宋体" w:hAnsi="宋体" w:eastAsia="宋体" w:cs="宋体"/>
          <w:color w:val="auto"/>
          <w:kern w:val="0"/>
          <w:szCs w:val="21"/>
          <w:highlight w:val="none"/>
        </w:rPr>
      </w:pPr>
    </w:p>
    <w:p w14:paraId="3BFEAF26">
      <w:pPr>
        <w:keepNext w:val="0"/>
        <w:keepLines w:val="0"/>
        <w:pageBreakBefore w:val="0"/>
        <w:numPr>
          <w:ilvl w:val="0"/>
          <w:numId w:val="2"/>
        </w:numPr>
        <w:kinsoku/>
        <w:overflowPunct/>
        <w:topLinePunct w:val="0"/>
        <w:bidi w:val="0"/>
        <w:snapToGrid w:val="0"/>
        <w:spacing w:line="360" w:lineRule="auto"/>
        <w:ind w:right="-34"/>
        <w:outlineLvl w:val="9"/>
        <w:rPr>
          <w:rFonts w:hint="eastAsia" w:ascii="宋体" w:hAnsi="宋体" w:eastAsia="宋体" w:cs="宋体"/>
          <w:bCs/>
          <w:color w:val="auto"/>
          <w:sz w:val="21"/>
          <w:szCs w:val="21"/>
          <w:highlight w:val="none"/>
          <w:lang w:val="zh-CN"/>
        </w:rPr>
      </w:pPr>
      <w:bookmarkStart w:id="20" w:name="_Toc19461"/>
      <w:bookmarkStart w:id="21" w:name="_Toc8363"/>
      <w:r>
        <w:rPr>
          <w:rFonts w:hint="eastAsia" w:ascii="宋体" w:hAnsi="宋体" w:eastAsia="宋体" w:cs="宋体"/>
          <w:bCs/>
          <w:color w:val="auto"/>
          <w:sz w:val="21"/>
          <w:szCs w:val="21"/>
          <w:highlight w:val="none"/>
          <w:lang w:val="zh-CN"/>
        </w:rPr>
        <w:t>开标时间和地点：</w:t>
      </w:r>
      <w:bookmarkEnd w:id="20"/>
      <w:bookmarkEnd w:id="21"/>
    </w:p>
    <w:p w14:paraId="228DA692">
      <w:pPr>
        <w:pStyle w:val="166"/>
        <w:keepNext w:val="0"/>
        <w:keepLines w:val="0"/>
        <w:pageBreakBefore w:val="0"/>
        <w:kinsoku/>
        <w:overflowPunct/>
        <w:topLinePunct w:val="0"/>
        <w:bidi w:val="0"/>
        <w:spacing w:line="360" w:lineRule="auto"/>
        <w:ind w:left="420" w:hanging="420" w:hangingChars="200"/>
        <w:outlineLvl w:val="9"/>
        <w:rPr>
          <w:rFonts w:hint="eastAsia" w:ascii="宋体" w:hAnsi="宋体" w:eastAsia="宋体" w:cs="宋体"/>
          <w:bCs/>
          <w:color w:val="auto"/>
          <w:sz w:val="21"/>
          <w:szCs w:val="21"/>
          <w:highlight w:val="none"/>
          <w:lang w:val="zh-CN"/>
        </w:rPr>
      </w:pPr>
      <w:bookmarkStart w:id="22" w:name="_Toc15059"/>
      <w:bookmarkStart w:id="23" w:name="_Toc8817"/>
      <w:r>
        <w:rPr>
          <w:rFonts w:hint="eastAsia" w:ascii="宋体" w:hAnsi="宋体" w:eastAsia="宋体" w:cs="宋体"/>
          <w:bCs/>
          <w:color w:val="auto"/>
          <w:sz w:val="21"/>
          <w:szCs w:val="21"/>
          <w:highlight w:val="none"/>
          <w:lang w:val="zh-CN" w:eastAsia="zh-CN"/>
        </w:rPr>
        <w:t xml:space="preserve">6.1 </w:t>
      </w:r>
      <w:r>
        <w:rPr>
          <w:rFonts w:hint="eastAsia" w:ascii="宋体" w:hAnsi="宋体" w:eastAsia="宋体" w:cs="宋体"/>
          <w:bCs/>
          <w:color w:val="auto"/>
          <w:sz w:val="21"/>
          <w:szCs w:val="21"/>
          <w:highlight w:val="none"/>
          <w:lang w:val="zh-CN"/>
        </w:rPr>
        <w:t>开标时间：同投标截止时间；</w:t>
      </w:r>
      <w:bookmarkEnd w:id="22"/>
      <w:bookmarkEnd w:id="23"/>
    </w:p>
    <w:p w14:paraId="7F171408">
      <w:pPr>
        <w:pStyle w:val="166"/>
        <w:keepNext w:val="0"/>
        <w:keepLines w:val="0"/>
        <w:pageBreakBefore w:val="0"/>
        <w:kinsoku/>
        <w:overflowPunct/>
        <w:topLinePunct w:val="0"/>
        <w:bidi w:val="0"/>
        <w:spacing w:line="360" w:lineRule="auto"/>
        <w:ind w:left="420" w:hanging="420" w:hangingChars="200"/>
        <w:outlineLvl w:val="9"/>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eastAsia="zh-CN"/>
        </w:rPr>
        <w:t xml:space="preserve">6.2 </w:t>
      </w:r>
      <w:r>
        <w:rPr>
          <w:rFonts w:hint="eastAsia" w:ascii="宋体" w:hAnsi="宋体" w:eastAsia="宋体" w:cs="宋体"/>
          <w:bCs/>
          <w:color w:val="auto"/>
          <w:sz w:val="21"/>
          <w:szCs w:val="21"/>
          <w:highlight w:val="none"/>
          <w:lang w:val="zh-CN"/>
        </w:rPr>
        <w:t>开标地点：东莞市南城</w:t>
      </w:r>
      <w:r>
        <w:rPr>
          <w:rFonts w:hint="eastAsia" w:ascii="宋体" w:hAnsi="宋体" w:eastAsia="宋体" w:cs="宋体"/>
          <w:bCs/>
          <w:color w:val="auto"/>
          <w:sz w:val="21"/>
          <w:szCs w:val="21"/>
          <w:highlight w:val="none"/>
          <w:lang w:val="en-US" w:eastAsia="zh-CN"/>
        </w:rPr>
        <w:t>街道</w:t>
      </w:r>
      <w:r>
        <w:rPr>
          <w:rFonts w:hint="eastAsia" w:ascii="宋体" w:hAnsi="宋体" w:eastAsia="宋体" w:cs="宋体"/>
          <w:bCs/>
          <w:color w:val="auto"/>
          <w:sz w:val="21"/>
          <w:szCs w:val="21"/>
          <w:highlight w:val="none"/>
          <w:lang w:val="zh-CN"/>
        </w:rPr>
        <w:t>西平社区宏伟三路45号东莞市公共资源交易中心开标室（</w:t>
      </w:r>
      <w:r>
        <w:rPr>
          <w:rFonts w:hint="eastAsia"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lang w:val="zh-CN"/>
        </w:rPr>
        <w:t>）。</w:t>
      </w:r>
    </w:p>
    <w:p w14:paraId="424F6E47">
      <w:pPr>
        <w:autoSpaceDE w:val="0"/>
        <w:autoSpaceDN w:val="0"/>
        <w:adjustRightInd w:val="0"/>
        <w:spacing w:line="360" w:lineRule="auto"/>
        <w:ind w:left="210" w:leftChars="100" w:right="-29" w:rightChars="-14"/>
        <w:outlineLvl w:val="9"/>
        <w:rPr>
          <w:rFonts w:hint="eastAsia" w:ascii="宋体" w:hAnsi="宋体" w:eastAsia="宋体" w:cs="宋体"/>
          <w:color w:val="auto"/>
          <w:szCs w:val="21"/>
          <w:highlight w:val="none"/>
          <w:lang w:val="zh-CN"/>
        </w:rPr>
      </w:pPr>
    </w:p>
    <w:p w14:paraId="446D52B9">
      <w:pPr>
        <w:keepNext w:val="0"/>
        <w:keepLines w:val="0"/>
        <w:pageBreakBefore w:val="0"/>
        <w:widowControl w:val="0"/>
        <w:numPr>
          <w:ilvl w:val="0"/>
          <w:numId w:val="2"/>
        </w:numPr>
        <w:kinsoku/>
        <w:wordWrap w:val="0"/>
        <w:overflowPunct/>
        <w:topLinePunct w:val="0"/>
        <w:autoSpaceDE w:val="0"/>
        <w:autoSpaceDN w:val="0"/>
        <w:bidi w:val="0"/>
        <w:adjustRightInd w:val="0"/>
        <w:snapToGrid w:val="0"/>
        <w:spacing w:line="360" w:lineRule="auto"/>
        <w:ind w:left="363" w:right="-34" w:hanging="363"/>
        <w:jc w:val="left"/>
        <w:textAlignment w:val="auto"/>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本项目相关公告在以下媒介发布：全国公共资源交易平台（广东省·东莞市）（https://ygp.gdzwfw.gov.cn/#/441900/index）</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中国招标投标公共服务平台（www.cebpubservice.com）、</w:t>
      </w:r>
      <w:r>
        <w:rPr>
          <w:rFonts w:hint="eastAsia" w:ascii="宋体" w:hAnsi="宋体" w:eastAsia="宋体" w:cs="宋体"/>
          <w:bCs/>
          <w:color w:val="auto"/>
          <w:szCs w:val="21"/>
          <w:highlight w:val="none"/>
          <w:lang w:eastAsia="zh-CN"/>
        </w:rPr>
        <w:t>东莞市水务环境投资控股集团有限公司</w:t>
      </w:r>
      <w:r>
        <w:rPr>
          <w:rFonts w:hint="eastAsia" w:ascii="宋体" w:hAnsi="宋体" w:eastAsia="宋体" w:cs="宋体"/>
          <w:bCs/>
          <w:color w:val="auto"/>
          <w:szCs w:val="21"/>
          <w:highlight w:val="none"/>
        </w:rPr>
        <w:t>（www.dgweg.cn）、招标代理</w:t>
      </w:r>
      <w:r>
        <w:rPr>
          <w:rFonts w:hint="eastAsia" w:ascii="宋体" w:hAnsi="宋体" w:eastAsia="宋体" w:cs="宋体"/>
          <w:bCs/>
          <w:color w:val="auto"/>
          <w:szCs w:val="21"/>
          <w:highlight w:val="none"/>
          <w:lang w:val="en-US" w:eastAsia="zh-CN"/>
        </w:rPr>
        <w:t>机构</w:t>
      </w:r>
      <w:r>
        <w:rPr>
          <w:rFonts w:hint="eastAsia" w:ascii="宋体" w:hAnsi="宋体" w:eastAsia="宋体" w:cs="宋体"/>
          <w:bCs/>
          <w:color w:val="auto"/>
          <w:szCs w:val="21"/>
          <w:highlight w:val="none"/>
        </w:rPr>
        <w:t>网站（</w:t>
      </w:r>
      <w:r>
        <w:rPr>
          <w:rFonts w:hint="eastAsia" w:ascii="宋体" w:hAnsi="宋体" w:eastAsia="宋体" w:cs="宋体"/>
          <w:bCs/>
          <w:color w:val="auto"/>
          <w:szCs w:val="21"/>
          <w:highlight w:val="none"/>
          <w:u w:val="none"/>
          <w:lang w:eastAsia="zh-CN"/>
        </w:rPr>
        <w:t>www.sfcx.cn</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lang w:val="zh-CN"/>
        </w:rPr>
        <w:t>。</w:t>
      </w:r>
    </w:p>
    <w:p w14:paraId="6B287E87">
      <w:pPr>
        <w:pStyle w:val="52"/>
        <w:outlineLvl w:val="9"/>
        <w:rPr>
          <w:rFonts w:hint="eastAsia" w:ascii="宋体" w:hAnsi="宋体" w:eastAsia="宋体" w:cs="宋体"/>
          <w:color w:val="auto"/>
          <w:highlight w:val="none"/>
        </w:rPr>
      </w:pPr>
    </w:p>
    <w:p w14:paraId="1D461BA0">
      <w:pPr>
        <w:keepNext w:val="0"/>
        <w:keepLines w:val="0"/>
        <w:pageBreakBefore w:val="0"/>
        <w:numPr>
          <w:ilvl w:val="0"/>
          <w:numId w:val="2"/>
        </w:numPr>
        <w:kinsoku/>
        <w:overflowPunct/>
        <w:topLinePunct w:val="0"/>
        <w:autoSpaceDE w:val="0"/>
        <w:autoSpaceDN w:val="0"/>
        <w:bidi w:val="0"/>
        <w:adjustRightInd w:val="0"/>
        <w:snapToGrid w:val="0"/>
        <w:spacing w:line="360" w:lineRule="auto"/>
        <w:ind w:right="-34"/>
        <w:jc w:val="left"/>
        <w:outlineLvl w:val="9"/>
        <w:rPr>
          <w:rFonts w:hint="eastAsia" w:ascii="宋体" w:hAnsi="宋体" w:eastAsia="宋体" w:cs="宋体"/>
          <w:color w:val="auto"/>
          <w:szCs w:val="21"/>
          <w:highlight w:val="none"/>
        </w:rPr>
      </w:pPr>
      <w:bookmarkStart w:id="24" w:name="_Toc3809"/>
      <w:bookmarkStart w:id="25" w:name="_Toc16545"/>
      <w:r>
        <w:rPr>
          <w:rFonts w:hint="eastAsia" w:ascii="宋体" w:hAnsi="宋体" w:eastAsia="宋体" w:cs="宋体"/>
          <w:color w:val="auto"/>
          <w:szCs w:val="21"/>
          <w:highlight w:val="none"/>
        </w:rPr>
        <w:t>投标保证金</w:t>
      </w:r>
      <w:bookmarkEnd w:id="24"/>
      <w:bookmarkEnd w:id="25"/>
    </w:p>
    <w:p w14:paraId="748C5262">
      <w:pPr>
        <w:pStyle w:val="166"/>
        <w:keepNext w:val="0"/>
        <w:keepLines w:val="0"/>
        <w:pageBreakBefore w:val="0"/>
        <w:kinsoku/>
        <w:overflowPunct/>
        <w:topLinePunct w:val="0"/>
        <w:bidi w:val="0"/>
        <w:spacing w:line="360" w:lineRule="auto"/>
        <w:ind w:left="420" w:hanging="420" w:hangingChars="200"/>
        <w:outlineLvl w:val="9"/>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lang w:val="zh-CN"/>
        </w:rPr>
        <w:t>.1 本次招标投标人须提交投标保证金金额：</w:t>
      </w:r>
      <w:r>
        <w:rPr>
          <w:rFonts w:hint="eastAsia" w:hAnsi="宋体" w:eastAsia="宋体" w:cs="宋体"/>
          <w:bCs/>
          <w:color w:val="auto"/>
          <w:sz w:val="21"/>
          <w:szCs w:val="21"/>
          <w:highlight w:val="none"/>
          <w:lang w:val="en-US" w:eastAsia="zh-CN"/>
        </w:rPr>
        <w:t>28</w:t>
      </w:r>
      <w:r>
        <w:rPr>
          <w:rFonts w:hint="eastAsia" w:ascii="宋体" w:hAnsi="宋体" w:eastAsia="宋体" w:cs="宋体"/>
          <w:bCs/>
          <w:color w:val="auto"/>
          <w:sz w:val="21"/>
          <w:szCs w:val="21"/>
          <w:highlight w:val="none"/>
          <w:lang w:val="zh-CN"/>
        </w:rPr>
        <w:t>0,000.00元。</w:t>
      </w:r>
    </w:p>
    <w:p w14:paraId="4C70E9F8">
      <w:pPr>
        <w:pStyle w:val="166"/>
        <w:keepNext w:val="0"/>
        <w:keepLines w:val="0"/>
        <w:pageBreakBefore w:val="0"/>
        <w:kinsoku/>
        <w:overflowPunct/>
        <w:topLinePunct w:val="0"/>
        <w:bidi w:val="0"/>
        <w:spacing w:line="360" w:lineRule="auto"/>
        <w:ind w:left="420" w:hanging="420" w:hangingChars="200"/>
        <w:outlineLvl w:val="9"/>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lang w:val="zh-CN"/>
        </w:rPr>
        <w:t>.2.1</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lang w:val="zh-CN"/>
        </w:rPr>
        <w:t>投标保证金形式：单项投标保证金；银行电子保函；保险电子保单；</w:t>
      </w:r>
    </w:p>
    <w:p w14:paraId="00204D49">
      <w:pPr>
        <w:pStyle w:val="166"/>
        <w:keepNext w:val="0"/>
        <w:keepLines w:val="0"/>
        <w:pageBreakBefore w:val="0"/>
        <w:kinsoku/>
        <w:overflowPunct/>
        <w:topLinePunct w:val="0"/>
        <w:bidi w:val="0"/>
        <w:spacing w:line="360" w:lineRule="auto"/>
        <w:ind w:left="420" w:leftChars="200" w:firstLine="0" w:firstLineChars="0"/>
        <w:outlineLvl w:val="9"/>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其它：</w:t>
      </w:r>
      <w:r>
        <w:rPr>
          <w:rFonts w:hint="eastAsia" w:ascii="宋体" w:hAnsi="宋体" w:eastAsia="宋体" w:cs="宋体"/>
          <w:bCs/>
          <w:color w:val="auto"/>
          <w:sz w:val="21"/>
          <w:szCs w:val="21"/>
          <w:highlight w:val="none"/>
          <w:u w:val="single"/>
          <w:lang w:val="zh-CN"/>
        </w:rPr>
        <w:t xml:space="preserve">      /       </w:t>
      </w:r>
      <w:r>
        <w:rPr>
          <w:rFonts w:hint="eastAsia" w:ascii="宋体" w:hAnsi="宋体" w:eastAsia="宋体" w:cs="宋体"/>
          <w:bCs/>
          <w:color w:val="auto"/>
          <w:sz w:val="21"/>
          <w:szCs w:val="21"/>
          <w:highlight w:val="none"/>
          <w:lang w:val="zh-CN"/>
        </w:rPr>
        <w:t>。</w:t>
      </w:r>
    </w:p>
    <w:p w14:paraId="702A2095">
      <w:pPr>
        <w:pStyle w:val="166"/>
        <w:keepNext w:val="0"/>
        <w:keepLines w:val="0"/>
        <w:pageBreakBefore w:val="0"/>
        <w:kinsoku/>
        <w:overflowPunct/>
        <w:topLinePunct w:val="0"/>
        <w:bidi w:val="0"/>
        <w:spacing w:line="360" w:lineRule="auto"/>
        <w:ind w:left="420" w:hanging="420" w:hangingChars="200"/>
        <w:outlineLvl w:val="9"/>
        <w:rPr>
          <w:rFonts w:hint="eastAsia" w:ascii="宋体" w:hAnsi="宋体" w:eastAsia="宋体" w:cs="宋体"/>
          <w:bCs/>
          <w:color w:val="auto"/>
          <w:sz w:val="21"/>
          <w:szCs w:val="21"/>
          <w:highlight w:val="none"/>
          <w:lang w:val="zh-CN"/>
        </w:rPr>
      </w:pPr>
      <w:bookmarkStart w:id="26" w:name="_Toc14886"/>
      <w:bookmarkStart w:id="27" w:name="_Toc31252"/>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lang w:val="zh-CN"/>
        </w:rPr>
        <w:t>.</w:t>
      </w:r>
      <w:r>
        <w:rPr>
          <w:rFonts w:hint="eastAsia" w:ascii="宋体" w:hAnsi="宋体" w:eastAsia="宋体" w:cs="宋体"/>
          <w:bCs/>
          <w:color w:val="auto"/>
          <w:sz w:val="21"/>
          <w:szCs w:val="21"/>
          <w:highlight w:val="none"/>
          <w:lang w:val="en-US" w:eastAsia="zh-CN"/>
        </w:rPr>
        <w:t xml:space="preserve">3 </w:t>
      </w:r>
      <w:r>
        <w:rPr>
          <w:rFonts w:hint="eastAsia" w:ascii="宋体" w:hAnsi="宋体" w:eastAsia="宋体" w:cs="宋体"/>
          <w:bCs/>
          <w:color w:val="auto"/>
          <w:sz w:val="21"/>
          <w:szCs w:val="21"/>
          <w:highlight w:val="none"/>
          <w:lang w:val="zh-CN"/>
        </w:rPr>
        <w:t>投标保证金形式注意事项：</w:t>
      </w:r>
      <w:bookmarkEnd w:id="26"/>
      <w:bookmarkEnd w:id="27"/>
    </w:p>
    <w:p w14:paraId="66171AE5">
      <w:pPr>
        <w:pStyle w:val="166"/>
        <w:keepNext w:val="0"/>
        <w:keepLines w:val="0"/>
        <w:pageBreakBefore w:val="0"/>
        <w:kinsoku/>
        <w:overflowPunct/>
        <w:topLinePunct w:val="0"/>
        <w:bidi w:val="0"/>
        <w:spacing w:line="360" w:lineRule="auto"/>
        <w:ind w:left="420" w:hanging="420" w:hangingChars="200"/>
        <w:outlineLvl w:val="9"/>
        <w:rPr>
          <w:rFonts w:hint="eastAsia" w:ascii="宋体" w:hAnsi="宋体" w:eastAsia="宋体" w:cs="宋体"/>
          <w:bCs/>
          <w:color w:val="auto"/>
          <w:sz w:val="21"/>
          <w:szCs w:val="21"/>
          <w:highlight w:val="none"/>
          <w:lang w:val="zh-CN"/>
        </w:rPr>
      </w:pPr>
      <w:bookmarkStart w:id="28" w:name="_Toc21912"/>
      <w:bookmarkStart w:id="29" w:name="_Toc26630"/>
      <w:r>
        <w:rPr>
          <w:rFonts w:hint="eastAsia" w:ascii="宋体" w:hAnsi="宋体" w:eastAsia="宋体" w:cs="宋体"/>
          <w:bCs/>
          <w:color w:val="auto"/>
          <w:sz w:val="21"/>
          <w:szCs w:val="21"/>
          <w:highlight w:val="none"/>
          <w:lang w:val="zh-CN"/>
        </w:rPr>
        <w:t>（1）投标保证金到账时间应为投标保证金的关联时间。</w:t>
      </w:r>
      <w:bookmarkEnd w:id="28"/>
      <w:bookmarkEnd w:id="29"/>
    </w:p>
    <w:p w14:paraId="64C979CD">
      <w:pPr>
        <w:pStyle w:val="166"/>
        <w:keepNext w:val="0"/>
        <w:keepLines w:val="0"/>
        <w:pageBreakBefore w:val="0"/>
        <w:kinsoku/>
        <w:overflowPunct/>
        <w:topLinePunct w:val="0"/>
        <w:bidi w:val="0"/>
        <w:spacing w:line="360" w:lineRule="auto"/>
        <w:ind w:left="420" w:hanging="420" w:hangingChars="200"/>
        <w:outlineLvl w:val="9"/>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（2）投标保证金数据超过投标截止时间后到达交易系统的，无法关联。</w:t>
      </w:r>
    </w:p>
    <w:p w14:paraId="7BEAD3EB">
      <w:pPr>
        <w:pStyle w:val="166"/>
        <w:keepNext w:val="0"/>
        <w:keepLines w:val="0"/>
        <w:pageBreakBefore w:val="0"/>
        <w:kinsoku/>
        <w:overflowPunct/>
        <w:topLinePunct w:val="0"/>
        <w:bidi w:val="0"/>
        <w:spacing w:line="360" w:lineRule="auto"/>
        <w:ind w:left="420" w:hanging="420" w:hangingChars="200"/>
        <w:outlineLvl w:val="9"/>
        <w:rPr>
          <w:rFonts w:hint="eastAsia" w:ascii="宋体" w:hAnsi="宋体" w:eastAsia="宋体" w:cs="宋体"/>
          <w:bCs/>
          <w:color w:val="auto"/>
          <w:sz w:val="21"/>
          <w:szCs w:val="21"/>
          <w:highlight w:val="none"/>
          <w:lang w:val="zh-CN"/>
        </w:rPr>
      </w:pPr>
      <w:bookmarkStart w:id="30" w:name="_Toc2829"/>
      <w:bookmarkStart w:id="31" w:name="_Toc12832"/>
      <w:r>
        <w:rPr>
          <w:rFonts w:hint="eastAsia" w:ascii="宋体" w:hAnsi="宋体" w:eastAsia="宋体" w:cs="宋体"/>
          <w:bCs/>
          <w:color w:val="auto"/>
          <w:sz w:val="21"/>
          <w:szCs w:val="21"/>
          <w:highlight w:val="none"/>
          <w:lang w:val="zh-CN"/>
        </w:rPr>
        <w:t>（3）投标人应提前办理投标保证金手续，自行承担数据延误风险。</w:t>
      </w:r>
      <w:bookmarkEnd w:id="30"/>
      <w:bookmarkEnd w:id="31"/>
    </w:p>
    <w:p w14:paraId="5018A11C">
      <w:pPr>
        <w:numPr>
          <w:ilvl w:val="-1"/>
          <w:numId w:val="0"/>
        </w:numPr>
        <w:autoSpaceDE w:val="0"/>
        <w:autoSpaceDN w:val="0"/>
        <w:adjustRightInd w:val="0"/>
        <w:snapToGrid w:val="0"/>
        <w:spacing w:line="360" w:lineRule="auto"/>
        <w:ind w:left="0" w:right="-34" w:firstLine="0"/>
        <w:jc w:val="left"/>
        <w:outlineLvl w:val="9"/>
        <w:rPr>
          <w:rFonts w:hint="eastAsia" w:ascii="宋体" w:hAnsi="宋体" w:eastAsia="宋体" w:cs="宋体"/>
          <w:color w:val="auto"/>
          <w:szCs w:val="21"/>
          <w:highlight w:val="none"/>
        </w:rPr>
      </w:pPr>
    </w:p>
    <w:p w14:paraId="22D09DCF">
      <w:pPr>
        <w:numPr>
          <w:ilvl w:val="0"/>
          <w:numId w:val="2"/>
        </w:numPr>
        <w:autoSpaceDE w:val="0"/>
        <w:autoSpaceDN w:val="0"/>
        <w:adjustRightInd w:val="0"/>
        <w:snapToGrid w:val="0"/>
        <w:spacing w:line="360" w:lineRule="auto"/>
        <w:ind w:right="-34"/>
        <w:jc w:val="left"/>
        <w:outlineLvl w:val="9"/>
        <w:rPr>
          <w:rFonts w:hint="eastAsia" w:ascii="宋体" w:hAnsi="宋体" w:eastAsia="宋体" w:cs="宋体"/>
          <w:color w:val="auto"/>
          <w:szCs w:val="21"/>
          <w:highlight w:val="none"/>
        </w:rPr>
      </w:pPr>
      <w:r>
        <w:rPr>
          <w:rFonts w:hint="eastAsia" w:ascii="宋体" w:hAnsi="宋体" w:eastAsia="宋体" w:cs="宋体"/>
          <w:bCs/>
          <w:color w:val="auto"/>
          <w:szCs w:val="21"/>
          <w:highlight w:val="none"/>
          <w:lang w:val="zh-CN"/>
        </w:rPr>
        <w:t>招标人联系方式</w:t>
      </w:r>
    </w:p>
    <w:p w14:paraId="20231C74">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招标人：</w:t>
      </w:r>
      <w:r>
        <w:rPr>
          <w:rFonts w:hint="eastAsia" w:ascii="宋体" w:hAnsi="宋体" w:eastAsia="宋体" w:cs="宋体"/>
          <w:color w:val="auto"/>
          <w:kern w:val="0"/>
          <w:szCs w:val="21"/>
          <w:highlight w:val="none"/>
          <w:lang w:eastAsia="zh-CN"/>
        </w:rPr>
        <w:t>东莞市置拓投资有限公司</w:t>
      </w:r>
    </w:p>
    <w:p w14:paraId="537DA3DE">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w:t>
      </w:r>
      <w:r>
        <w:rPr>
          <w:rFonts w:ascii="宋体" w:hAnsi="宋体" w:eastAsia="宋体" w:cs="宋体"/>
          <w:color w:val="auto"/>
          <w:sz w:val="21"/>
          <w:szCs w:val="21"/>
        </w:rPr>
        <w:t>东莞市南城街道滨河路100号二期3号楼</w:t>
      </w:r>
    </w:p>
    <w:p w14:paraId="3C32C1AB">
      <w:pPr>
        <w:widowControl/>
        <w:autoSpaceDE w:val="0"/>
        <w:autoSpaceDN w:val="0"/>
        <w:adjustRightInd w:val="0"/>
        <w:spacing w:line="360" w:lineRule="auto"/>
        <w:ind w:right="-31" w:rightChars="-15" w:firstLine="424" w:firstLineChars="202"/>
        <w:jc w:val="left"/>
        <w:textAlignment w:val="bottom"/>
        <w:outlineLvl w:val="9"/>
        <w:rPr>
          <w:rFonts w:hint="default"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rPr>
        <w:t>联系人：</w:t>
      </w:r>
      <w:r>
        <w:rPr>
          <w:rFonts w:hint="eastAsia" w:ascii="宋体" w:hAnsi="宋体" w:eastAsia="宋体" w:cs="Times New Roman"/>
          <w:b w:val="0"/>
          <w:bCs w:val="0"/>
          <w:color w:val="auto"/>
          <w:kern w:val="0"/>
          <w:szCs w:val="21"/>
          <w:highlight w:val="none"/>
          <w:lang w:val="en-US" w:eastAsia="zh-CN"/>
        </w:rPr>
        <w:t>马工</w:t>
      </w:r>
    </w:p>
    <w:p w14:paraId="4AD9F8B5">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电  话：0769-22621996</w:t>
      </w:r>
    </w:p>
    <w:p w14:paraId="1FA7CEDB">
      <w:pPr>
        <w:autoSpaceDE w:val="0"/>
        <w:autoSpaceDN w:val="0"/>
        <w:adjustRightInd w:val="0"/>
        <w:spacing w:line="360" w:lineRule="auto"/>
        <w:ind w:right="-29" w:rightChars="-14" w:firstLine="420"/>
        <w:outlineLvl w:val="9"/>
        <w:rPr>
          <w:rFonts w:hint="eastAsia" w:ascii="宋体" w:hAnsi="宋体" w:eastAsia="宋体" w:cs="宋体"/>
          <w:color w:val="auto"/>
          <w:kern w:val="0"/>
          <w:szCs w:val="21"/>
          <w:highlight w:val="none"/>
        </w:rPr>
      </w:pPr>
    </w:p>
    <w:p w14:paraId="2F16ABFC">
      <w:pPr>
        <w:numPr>
          <w:ilvl w:val="0"/>
          <w:numId w:val="2"/>
        </w:numPr>
        <w:autoSpaceDE w:val="0"/>
        <w:autoSpaceDN w:val="0"/>
        <w:adjustRightInd w:val="0"/>
        <w:snapToGrid w:val="0"/>
        <w:spacing w:line="360" w:lineRule="auto"/>
        <w:ind w:right="-34"/>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招标代理机构联系方式</w:t>
      </w:r>
    </w:p>
    <w:p w14:paraId="4AFD64F0">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rPr>
      </w:pPr>
      <w:bookmarkStart w:id="32" w:name="_Toc450662847"/>
      <w:bookmarkStart w:id="33" w:name="_Toc31764_WPSOffice_Level1"/>
      <w:bookmarkStart w:id="34" w:name="_Toc486167661"/>
      <w:r>
        <w:rPr>
          <w:rFonts w:hint="eastAsia" w:ascii="宋体" w:hAnsi="宋体" w:eastAsia="宋体" w:cs="宋体"/>
          <w:color w:val="auto"/>
          <w:kern w:val="0"/>
          <w:szCs w:val="21"/>
          <w:highlight w:val="none"/>
        </w:rPr>
        <w:t>招标代理机构：</w:t>
      </w:r>
      <w:r>
        <w:rPr>
          <w:rFonts w:hint="eastAsia" w:ascii="宋体" w:hAnsi="宋体" w:eastAsia="宋体" w:cs="宋体"/>
          <w:color w:val="auto"/>
          <w:kern w:val="0"/>
          <w:sz w:val="21"/>
          <w:szCs w:val="21"/>
          <w:highlight w:val="none"/>
          <w:lang w:val="en-US" w:eastAsia="zh-CN" w:bidi="ar-SA"/>
        </w:rPr>
        <w:t>三方诚信招标有限公司</w:t>
      </w:r>
    </w:p>
    <w:p w14:paraId="5816E840">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地  址：</w:t>
      </w:r>
      <w:r>
        <w:rPr>
          <w:rFonts w:hint="eastAsia" w:ascii="宋体" w:hAnsi="宋体" w:eastAsia="宋体" w:cs="宋体"/>
          <w:color w:val="auto"/>
          <w:kern w:val="0"/>
          <w:szCs w:val="21"/>
          <w:highlight w:val="none"/>
          <w:lang w:eastAsia="zh-CN"/>
        </w:rPr>
        <w:t>东莞市南城街道鸿福西路81号国际商会大厦706室</w:t>
      </w:r>
    </w:p>
    <w:p w14:paraId="18FB10D1">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联系人：</w:t>
      </w:r>
      <w:r>
        <w:rPr>
          <w:rFonts w:hint="eastAsia" w:ascii="宋体" w:hAnsi="宋体" w:eastAsia="宋体" w:cs="宋体"/>
          <w:color w:val="auto"/>
          <w:kern w:val="0"/>
          <w:szCs w:val="21"/>
          <w:highlight w:val="none"/>
          <w:lang w:val="en-US" w:eastAsia="zh-CN"/>
        </w:rPr>
        <w:t>谭杰滨</w:t>
      </w:r>
      <w:r>
        <w:rPr>
          <w:rFonts w:hint="eastAsia" w:ascii="宋体" w:hAnsi="宋体" w:eastAsia="宋体" w:cs="宋体"/>
          <w:color w:val="auto"/>
          <w:kern w:val="0"/>
          <w:szCs w:val="21"/>
          <w:highlight w:val="none"/>
          <w:lang w:eastAsia="zh-CN"/>
        </w:rPr>
        <w:t>、黎灼峰</w:t>
      </w:r>
    </w:p>
    <w:p w14:paraId="115DF52C">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  话：</w:t>
      </w:r>
      <w:r>
        <w:rPr>
          <w:rFonts w:hint="eastAsia" w:ascii="宋体" w:hAnsi="宋体" w:eastAsia="宋体" w:cs="宋体"/>
          <w:color w:val="auto"/>
          <w:kern w:val="0"/>
          <w:szCs w:val="21"/>
          <w:highlight w:val="none"/>
          <w:lang w:eastAsia="zh-CN"/>
        </w:rPr>
        <w:t>0769-21682660</w:t>
      </w:r>
    </w:p>
    <w:p w14:paraId="35430E4F">
      <w:pPr>
        <w:pageBreakBefore/>
        <w:tabs>
          <w:tab w:val="left" w:pos="1080"/>
        </w:tabs>
        <w:autoSpaceDE w:val="0"/>
        <w:autoSpaceDN w:val="0"/>
        <w:adjustRightInd w:val="0"/>
        <w:spacing w:line="360" w:lineRule="auto"/>
        <w:ind w:left="-167" w:leftChars="-100" w:hanging="43"/>
        <w:jc w:val="center"/>
        <w:outlineLvl w:val="0"/>
        <w:rPr>
          <w:rFonts w:hint="eastAsia" w:ascii="宋体" w:hAnsi="宋体" w:eastAsia="宋体" w:cs="宋体"/>
          <w:b/>
          <w:bCs/>
          <w:color w:val="auto"/>
          <w:kern w:val="44"/>
          <w:sz w:val="32"/>
          <w:szCs w:val="32"/>
          <w:highlight w:val="none"/>
        </w:rPr>
      </w:pPr>
      <w:bookmarkStart w:id="35" w:name="_Toc2720"/>
      <w:bookmarkStart w:id="36" w:name="_Toc18212"/>
      <w:bookmarkStart w:id="37" w:name="_Toc15359"/>
      <w:bookmarkStart w:id="38" w:name="_Toc17076"/>
      <w:bookmarkStart w:id="39" w:name="_Toc142508311"/>
      <w:bookmarkStart w:id="40" w:name="_Toc15111"/>
      <w:r>
        <w:rPr>
          <w:rFonts w:hint="eastAsia" w:ascii="宋体" w:hAnsi="宋体" w:eastAsia="宋体" w:cs="宋体"/>
          <w:b/>
          <w:bCs/>
          <w:color w:val="auto"/>
          <w:kern w:val="44"/>
          <w:sz w:val="32"/>
          <w:szCs w:val="32"/>
          <w:highlight w:val="none"/>
          <w:lang w:val="zh-CN"/>
        </w:rPr>
        <w:t>第二篇</w:t>
      </w:r>
      <w:r>
        <w:rPr>
          <w:rFonts w:hint="eastAsia"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32"/>
      <w:bookmarkEnd w:id="33"/>
      <w:bookmarkEnd w:id="34"/>
      <w:bookmarkEnd w:id="35"/>
      <w:bookmarkEnd w:id="36"/>
      <w:bookmarkEnd w:id="37"/>
      <w:bookmarkEnd w:id="38"/>
      <w:bookmarkEnd w:id="39"/>
      <w:bookmarkEnd w:id="40"/>
    </w:p>
    <w:p w14:paraId="4F55EC10">
      <w:pPr>
        <w:keepNext/>
        <w:keepLines/>
        <w:autoSpaceDE w:val="0"/>
        <w:autoSpaceDN w:val="0"/>
        <w:adjustRightInd w:val="0"/>
        <w:spacing w:line="360" w:lineRule="auto"/>
        <w:jc w:val="left"/>
        <w:outlineLvl w:val="0"/>
        <w:rPr>
          <w:rFonts w:hint="eastAsia" w:ascii="宋体" w:hAnsi="宋体" w:eastAsia="宋体" w:cs="宋体"/>
          <w:b/>
          <w:bCs/>
          <w:color w:val="auto"/>
          <w:kern w:val="44"/>
          <w:szCs w:val="21"/>
          <w:highlight w:val="none"/>
          <w:lang w:val="zh-CN"/>
        </w:rPr>
      </w:pPr>
      <w:bookmarkStart w:id="41" w:name="_Toc450662848"/>
      <w:bookmarkStart w:id="42" w:name="_Toc14832"/>
      <w:bookmarkStart w:id="43" w:name="_Toc486167662"/>
      <w:bookmarkStart w:id="44" w:name="_Toc9555"/>
      <w:bookmarkStart w:id="45" w:name="_Toc31939"/>
      <w:bookmarkStart w:id="46" w:name="_Toc142508312"/>
      <w:bookmarkStart w:id="47" w:name="_Toc16416"/>
      <w:bookmarkStart w:id="48" w:name="_Toc15366_WPSOffice_Level2"/>
      <w:bookmarkStart w:id="49" w:name="_Toc24479"/>
      <w:bookmarkStart w:id="50" w:name="_Toc140596871"/>
      <w:r>
        <w:rPr>
          <w:rFonts w:hint="eastAsia" w:ascii="宋体" w:hAnsi="宋体" w:eastAsia="宋体" w:cs="宋体"/>
          <w:b/>
          <w:bCs/>
          <w:color w:val="auto"/>
          <w:kern w:val="44"/>
          <w:szCs w:val="21"/>
          <w:highlight w:val="none"/>
          <w:lang w:val="zh-CN"/>
        </w:rPr>
        <w:t>一、总则</w:t>
      </w:r>
      <w:bookmarkEnd w:id="41"/>
      <w:bookmarkEnd w:id="42"/>
      <w:bookmarkEnd w:id="43"/>
      <w:bookmarkEnd w:id="44"/>
      <w:bookmarkEnd w:id="45"/>
      <w:bookmarkEnd w:id="46"/>
      <w:bookmarkEnd w:id="47"/>
      <w:bookmarkEnd w:id="48"/>
      <w:bookmarkEnd w:id="49"/>
      <w:bookmarkEnd w:id="50"/>
    </w:p>
    <w:p w14:paraId="19D4E082">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51" w:name="_Toc16288"/>
      <w:bookmarkStart w:id="52" w:name="_Toc450662849"/>
      <w:bookmarkStart w:id="53" w:name="_Toc31133"/>
      <w:bookmarkStart w:id="54" w:name="_Toc23333"/>
      <w:bookmarkStart w:id="55" w:name="_Toc486167663"/>
      <w:bookmarkStart w:id="56" w:name="_Toc9608"/>
      <w:bookmarkStart w:id="57" w:name="_Toc142508313"/>
      <w:bookmarkStart w:id="58" w:name="_Toc21710_WPSOffice_Level3"/>
      <w:r>
        <w:rPr>
          <w:rFonts w:hint="eastAsia" w:ascii="宋体" w:hAnsi="宋体" w:eastAsia="宋体" w:cs="宋体"/>
          <w:color w:val="auto"/>
          <w:szCs w:val="21"/>
          <w:highlight w:val="none"/>
          <w:lang w:val="zh-CN"/>
        </w:rPr>
        <w:t>1 资金来源：企业自筹资金。</w:t>
      </w:r>
      <w:bookmarkEnd w:id="51"/>
      <w:bookmarkEnd w:id="52"/>
      <w:bookmarkEnd w:id="53"/>
      <w:bookmarkEnd w:id="54"/>
      <w:bookmarkEnd w:id="55"/>
      <w:bookmarkEnd w:id="56"/>
      <w:bookmarkEnd w:id="57"/>
      <w:bookmarkEnd w:id="58"/>
    </w:p>
    <w:p w14:paraId="1D708BA1">
      <w:pPr>
        <w:autoSpaceDE w:val="0"/>
        <w:autoSpaceDN w:val="0"/>
        <w:adjustRightInd w:val="0"/>
        <w:jc w:val="left"/>
        <w:rPr>
          <w:rFonts w:hint="eastAsia" w:ascii="宋体" w:hAnsi="宋体" w:eastAsia="宋体" w:cs="宋体"/>
          <w:color w:val="auto"/>
          <w:kern w:val="0"/>
          <w:sz w:val="24"/>
          <w:szCs w:val="24"/>
          <w:highlight w:val="none"/>
        </w:rPr>
      </w:pPr>
    </w:p>
    <w:p w14:paraId="1E9C51E8">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zh-CN"/>
        </w:rPr>
      </w:pPr>
      <w:bookmarkStart w:id="59" w:name="_Toc142508314"/>
      <w:bookmarkStart w:id="60" w:name="_Toc31095"/>
      <w:bookmarkStart w:id="61" w:name="_Toc32244"/>
      <w:bookmarkStart w:id="62" w:name="_Toc486167664"/>
      <w:bookmarkStart w:id="63" w:name="_Toc18557"/>
      <w:bookmarkStart w:id="64" w:name="_Toc450662850"/>
      <w:bookmarkStart w:id="65" w:name="_Toc4951"/>
      <w:bookmarkStart w:id="66" w:name="_Toc80_WPSOffice_Level3"/>
      <w:r>
        <w:rPr>
          <w:rFonts w:hint="eastAsia" w:ascii="宋体" w:hAnsi="宋体" w:eastAsia="宋体" w:cs="宋体"/>
          <w:b/>
          <w:color w:val="auto"/>
          <w:szCs w:val="21"/>
          <w:highlight w:val="none"/>
          <w:lang w:val="zh-CN"/>
        </w:rPr>
        <w:t>2 合格的投标人</w:t>
      </w:r>
      <w:bookmarkEnd w:id="59"/>
      <w:bookmarkEnd w:id="60"/>
      <w:bookmarkEnd w:id="61"/>
      <w:bookmarkEnd w:id="62"/>
      <w:bookmarkEnd w:id="63"/>
      <w:bookmarkEnd w:id="64"/>
      <w:bookmarkEnd w:id="65"/>
      <w:bookmarkEnd w:id="66"/>
    </w:p>
    <w:p w14:paraId="63D58538">
      <w:pPr>
        <w:autoSpaceDE w:val="0"/>
        <w:autoSpaceDN w:val="0"/>
        <w:adjustRightInd w:val="0"/>
        <w:spacing w:line="360" w:lineRule="auto"/>
        <w:ind w:left="317" w:leftChars="-100" w:hanging="527" w:hangingChars="25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合格的投标人条件见第一篇《招标公告》中第2条的“合格投标人资格要求”及本条以下2.2款至2.</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val="zh-CN"/>
        </w:rPr>
        <w:t>款的通用要求。</w:t>
      </w:r>
    </w:p>
    <w:p w14:paraId="0A1AF3D1">
      <w:pPr>
        <w:autoSpaceDE/>
        <w:autoSpaceDN/>
        <w:adjustRightInd w:val="0"/>
        <w:spacing w:line="360" w:lineRule="auto"/>
        <w:ind w:left="325" w:leftChars="-100" w:hanging="535" w:hangingChars="254"/>
        <w:rPr>
          <w:rFonts w:hint="eastAsia"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宋体"/>
          <w:b/>
          <w:color w:val="auto"/>
          <w:kern w:val="0"/>
          <w:szCs w:val="21"/>
          <w:highlight w:val="none"/>
          <w:lang w:val="zh-CN"/>
        </w:rPr>
        <w:t>处罚说明</w:t>
      </w:r>
      <w:r>
        <w:rPr>
          <w:rFonts w:hint="eastAsia" w:ascii="宋体" w:hAnsi="宋体" w:eastAsia="宋体" w:cs="宋体"/>
          <w:b/>
          <w:color w:val="auto"/>
          <w:kern w:val="0"/>
          <w:szCs w:val="21"/>
          <w:highlight w:val="none"/>
        </w:rPr>
        <w:t>”，如果不主动填报而被事后发现的，将取消其投标（中标）资格，并按有关规定从重处理。</w:t>
      </w:r>
    </w:p>
    <w:p w14:paraId="571E9857">
      <w:pPr>
        <w:autoSpaceDE w:val="0"/>
        <w:autoSpaceDN w:val="0"/>
        <w:adjustRightInd w:val="0"/>
        <w:spacing w:line="360" w:lineRule="auto"/>
        <w:ind w:left="317" w:leftChars="-100" w:hanging="527" w:hangingChars="250"/>
        <w:rPr>
          <w:rFonts w:hint="eastAsia"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2.3  投标人</w:t>
      </w:r>
      <w:r>
        <w:rPr>
          <w:rFonts w:hint="eastAsia" w:ascii="宋体" w:hAnsi="宋体" w:eastAsia="宋体" w:cs="宋体"/>
          <w:b/>
          <w:color w:val="auto"/>
          <w:szCs w:val="21"/>
          <w:highlight w:val="none"/>
          <w:lang w:val="zh-CN"/>
        </w:rPr>
        <w:t>符合《中华人民共和国招标投标法》第二十六条规定。</w:t>
      </w:r>
    </w:p>
    <w:p w14:paraId="2BE09E27">
      <w:pPr>
        <w:autoSpaceDE w:val="0"/>
        <w:autoSpaceDN w:val="0"/>
        <w:adjustRightInd w:val="0"/>
        <w:spacing w:line="360" w:lineRule="auto"/>
        <w:ind w:left="317" w:leftChars="-99" w:hanging="525" w:hangingChars="24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2.4  投标人（含其不具有独立法人资格的分支机构）未被列入“信用中国”网站（www.creditchina.gov.cn）失信被执行人、重大税收违法失信主体、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严重违法失信行为记录名单（处罚期限届满的除外）。</w:t>
      </w:r>
    </w:p>
    <w:p w14:paraId="5B3EEF92">
      <w:pPr>
        <w:autoSpaceDE w:val="0"/>
        <w:autoSpaceDN w:val="0"/>
        <w:adjustRightInd w:val="0"/>
        <w:spacing w:line="360" w:lineRule="auto"/>
        <w:ind w:left="317" w:leftChars="-100" w:hanging="527" w:hangingChars="250"/>
        <w:rPr>
          <w:rFonts w:hint="eastAsia"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 xml:space="preserve">2.5  </w:t>
      </w:r>
      <w:r>
        <w:rPr>
          <w:rFonts w:hint="eastAsia" w:ascii="宋体" w:hAnsi="宋体" w:eastAsia="宋体" w:cs="宋体"/>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14:paraId="1333410D">
      <w:pPr>
        <w:tabs>
          <w:tab w:val="left" w:pos="426"/>
        </w:tabs>
        <w:autoSpaceDE w:val="0"/>
        <w:autoSpaceDN w:val="0"/>
        <w:adjustRightInd w:val="0"/>
        <w:spacing w:line="360" w:lineRule="auto"/>
        <w:ind w:left="319" w:leftChars="-100" w:hanging="529" w:hangingChars="252"/>
        <w:rPr>
          <w:rFonts w:hint="eastAsia" w:ascii="宋体" w:hAnsi="宋体" w:eastAsia="宋体" w:cs="宋体"/>
          <w:color w:val="auto"/>
          <w:kern w:val="0"/>
          <w:szCs w:val="24"/>
          <w:highlight w:val="none"/>
        </w:rPr>
      </w:pPr>
    </w:p>
    <w:p w14:paraId="03384194">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en-US" w:eastAsia="zh-CN"/>
        </w:rPr>
      </w:pPr>
      <w:bookmarkStart w:id="67" w:name="_Toc23847_WPSOffice_Level3"/>
      <w:bookmarkStart w:id="68" w:name="_Toc142508315"/>
      <w:bookmarkStart w:id="69" w:name="_Toc8522"/>
      <w:bookmarkStart w:id="70" w:name="_Toc19774"/>
      <w:bookmarkStart w:id="71" w:name="_Toc20209"/>
      <w:bookmarkStart w:id="72" w:name="_Toc11689"/>
      <w:bookmarkStart w:id="73" w:name="_Toc486167665"/>
      <w:bookmarkStart w:id="74" w:name="_Toc450662851"/>
      <w:r>
        <w:rPr>
          <w:rFonts w:hint="eastAsia" w:ascii="宋体" w:hAnsi="宋体" w:eastAsia="宋体" w:cs="宋体"/>
          <w:b/>
          <w:color w:val="auto"/>
          <w:szCs w:val="21"/>
          <w:highlight w:val="none"/>
          <w:lang w:val="zh-CN"/>
        </w:rPr>
        <w:t>3 合格的</w:t>
      </w:r>
      <w:bookmarkEnd w:id="67"/>
      <w:bookmarkEnd w:id="68"/>
      <w:bookmarkEnd w:id="69"/>
      <w:bookmarkEnd w:id="70"/>
      <w:bookmarkEnd w:id="71"/>
      <w:bookmarkEnd w:id="72"/>
      <w:r>
        <w:rPr>
          <w:rFonts w:hint="eastAsia" w:ascii="宋体" w:hAnsi="宋体" w:eastAsia="宋体" w:cs="宋体"/>
          <w:b/>
          <w:color w:val="auto"/>
          <w:szCs w:val="21"/>
          <w:highlight w:val="none"/>
          <w:lang w:val="en-US" w:eastAsia="zh-CN"/>
        </w:rPr>
        <w:t>服务</w:t>
      </w:r>
    </w:p>
    <w:p w14:paraId="61A65430">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ascii="宋体" w:hAnsi="宋体" w:eastAsia="宋体" w:cs="Times New Roman"/>
          <w:color w:val="auto"/>
          <w:szCs w:val="21"/>
          <w:highlight w:val="none"/>
          <w:lang w:val="zh-CN"/>
        </w:rPr>
        <w:t>3.</w:t>
      </w:r>
      <w:r>
        <w:rPr>
          <w:rFonts w:hint="eastAsia" w:ascii="宋体" w:hAnsi="宋体" w:eastAsia="宋体" w:cs="Times New Roman"/>
          <w:color w:val="auto"/>
          <w:szCs w:val="21"/>
          <w:highlight w:val="none"/>
          <w:lang w:val="zh-CN"/>
        </w:rPr>
        <w:t>1</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“服务”是指投标人按招标文件规定完成的全部服务内容，其中包括完成服务所需的货物和工程，及须承担的技术支持、培训和其它伴随服务。</w:t>
      </w:r>
    </w:p>
    <w:p w14:paraId="3E4915AC">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75" w:name="_Toc1977663"/>
      <w:bookmarkStart w:id="76" w:name="_Toc533708063"/>
      <w:r>
        <w:rPr>
          <w:rFonts w:hint="eastAsia" w:ascii="宋体" w:hAnsi="宋体" w:eastAsia="宋体" w:cs="宋体"/>
          <w:color w:val="auto"/>
          <w:szCs w:val="21"/>
          <w:highlight w:val="none"/>
          <w:lang w:val="zh-CN"/>
        </w:rPr>
        <w:t xml:space="preserve">3.2  </w:t>
      </w:r>
      <w:bookmarkEnd w:id="75"/>
      <w:bookmarkEnd w:id="76"/>
      <w:bookmarkStart w:id="77" w:name="_Toc1977665"/>
      <w:bookmarkStart w:id="78" w:name="_Toc533708065"/>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必须保证提供的所有</w:t>
      </w:r>
      <w:r>
        <w:rPr>
          <w:rFonts w:hint="eastAsia" w:ascii="宋体" w:hAnsi="宋体" w:eastAsia="宋体" w:cs="Times New Roman"/>
          <w:color w:val="auto"/>
          <w:szCs w:val="21"/>
          <w:highlight w:val="none"/>
          <w:lang w:val="en-US" w:eastAsia="zh-CN"/>
        </w:rPr>
        <w:t>服务</w:t>
      </w:r>
      <w:r>
        <w:rPr>
          <w:rFonts w:hint="eastAsia" w:ascii="宋体" w:hAnsi="宋体" w:eastAsia="宋体" w:cs="Times New Roman"/>
          <w:color w:val="auto"/>
          <w:szCs w:val="21"/>
          <w:highlight w:val="none"/>
          <w:lang w:val="zh-CN"/>
        </w:rPr>
        <w:t>或</w:t>
      </w:r>
      <w:r>
        <w:rPr>
          <w:rFonts w:hint="eastAsia" w:ascii="宋体" w:hAnsi="宋体" w:eastAsia="宋体" w:cs="Times New Roman"/>
          <w:color w:val="auto"/>
          <w:szCs w:val="21"/>
          <w:highlight w:val="none"/>
          <w:lang w:val="en-US" w:eastAsia="zh-CN"/>
        </w:rPr>
        <w:t>服务</w:t>
      </w:r>
      <w:r>
        <w:rPr>
          <w:rFonts w:hint="eastAsia" w:ascii="宋体" w:hAnsi="宋体" w:eastAsia="宋体" w:cs="Times New Roman"/>
          <w:color w:val="auto"/>
          <w:szCs w:val="21"/>
          <w:highlight w:val="none"/>
          <w:lang w:val="zh-CN"/>
        </w:rPr>
        <w:t>的任何部分均为最新正式版本</w:t>
      </w:r>
      <w:r>
        <w:rPr>
          <w:rFonts w:hint="eastAsia" w:ascii="宋体" w:hAnsi="宋体" w:eastAsia="宋体" w:cs="宋体"/>
          <w:color w:val="auto"/>
          <w:szCs w:val="21"/>
          <w:highlight w:val="none"/>
          <w:lang w:val="zh-CN"/>
        </w:rPr>
        <w:t>。</w:t>
      </w:r>
      <w:bookmarkEnd w:id="77"/>
      <w:bookmarkEnd w:id="78"/>
    </w:p>
    <w:p w14:paraId="33917FF6">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79" w:name="_Toc1977666"/>
      <w:bookmarkStart w:id="80" w:name="_Toc5337080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 xml:space="preserve">  </w:t>
      </w:r>
      <w:bookmarkEnd w:id="79"/>
      <w:bookmarkEnd w:id="80"/>
      <w:bookmarkStart w:id="81" w:name="_Toc1977667"/>
      <w:bookmarkStart w:id="82" w:name="_Toc533708067"/>
      <w:r>
        <w:rPr>
          <w:rFonts w:hint="eastAsia" w:ascii="宋体" w:hAnsi="宋体" w:eastAsia="宋体" w:cs="宋体"/>
          <w:color w:val="auto"/>
          <w:szCs w:val="21"/>
          <w:highlight w:val="none"/>
          <w:lang w:val="zh-CN"/>
        </w:rPr>
        <w:t>投标人</w:t>
      </w:r>
      <w:r>
        <w:rPr>
          <w:rFonts w:hint="eastAsia" w:ascii="宋体" w:hAnsi="宋体" w:eastAsia="宋体" w:cs="Times New Roman"/>
          <w:color w:val="auto"/>
          <w:kern w:val="0"/>
          <w:szCs w:val="21"/>
          <w:highlight w:val="none"/>
        </w:rPr>
        <w:t>应保证招标人在中华人民共和国使用</w:t>
      </w:r>
      <w:r>
        <w:rPr>
          <w:rFonts w:hint="eastAsia" w:ascii="宋体" w:hAnsi="宋体" w:eastAsia="宋体" w:cs="Times New Roman"/>
          <w:color w:val="auto"/>
          <w:kern w:val="0"/>
          <w:szCs w:val="21"/>
          <w:highlight w:val="none"/>
          <w:lang w:val="en-US" w:eastAsia="zh-CN"/>
        </w:rPr>
        <w:t>服务</w:t>
      </w:r>
      <w:r>
        <w:rPr>
          <w:rFonts w:hint="eastAsia" w:ascii="宋体" w:hAnsi="宋体" w:eastAsia="宋体" w:cs="Times New Roman"/>
          <w:color w:val="auto"/>
          <w:kern w:val="0"/>
          <w:szCs w:val="21"/>
          <w:highlight w:val="none"/>
        </w:rPr>
        <w:t>或</w:t>
      </w:r>
      <w:r>
        <w:rPr>
          <w:rFonts w:hint="eastAsia" w:ascii="宋体" w:hAnsi="宋体" w:eastAsia="宋体" w:cs="Times New Roman"/>
          <w:color w:val="auto"/>
          <w:kern w:val="0"/>
          <w:szCs w:val="21"/>
          <w:highlight w:val="none"/>
          <w:lang w:val="en-US" w:eastAsia="zh-CN"/>
        </w:rPr>
        <w:t>服务</w:t>
      </w:r>
      <w:r>
        <w:rPr>
          <w:rFonts w:hint="eastAsia" w:ascii="宋体" w:hAnsi="宋体" w:eastAsia="宋体" w:cs="Times New Roman"/>
          <w:color w:val="auto"/>
          <w:kern w:val="0"/>
          <w:szCs w:val="21"/>
          <w:highlight w:val="none"/>
        </w:rPr>
        <w:t>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highlight w:val="none"/>
          <w:lang w:val="zh-CN"/>
        </w:rPr>
        <w:t>。</w:t>
      </w:r>
      <w:bookmarkEnd w:id="81"/>
      <w:bookmarkEnd w:id="82"/>
    </w:p>
    <w:p w14:paraId="242FEA7B">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83" w:name="_Toc533708068"/>
      <w:bookmarkStart w:id="84" w:name="_Toc19776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 xml:space="preserve"> </w:t>
      </w:r>
      <w:bookmarkEnd w:id="83"/>
      <w:bookmarkEnd w:id="84"/>
      <w:r>
        <w:rPr>
          <w:rFonts w:hint="eastAsia" w:ascii="宋体" w:hAnsi="宋体" w:eastAsia="宋体" w:cs="宋体"/>
          <w:color w:val="auto"/>
          <w:szCs w:val="21"/>
          <w:highlight w:val="none"/>
          <w:lang w:val="zh-CN"/>
        </w:rPr>
        <w:t>无论投标人</w:t>
      </w:r>
      <w:r>
        <w:rPr>
          <w:rFonts w:hint="eastAsia" w:ascii="宋体" w:hAnsi="宋体" w:eastAsia="宋体" w:cs="Times New Roman"/>
          <w:color w:val="auto"/>
          <w:kern w:val="0"/>
          <w:szCs w:val="21"/>
          <w:highlight w:val="none"/>
        </w:rPr>
        <w:t>是否在投标报价表中明示，均视为投标报价已包含所有应支付的对专利权</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商标权和版权、设计或其他知识产权而需要向其他方支付的版税和使用费等相关费用。如投标人未依法向第三方支付应缴版税和使用费等相关费用</w:t>
      </w:r>
      <w:r>
        <w:rPr>
          <w:rFonts w:hint="eastAsia" w:ascii="宋体" w:hAnsi="宋体" w:eastAsia="宋体" w:cs="Times New Roman"/>
          <w:color w:val="auto"/>
          <w:kern w:val="0"/>
          <w:szCs w:val="21"/>
          <w:highlight w:val="none"/>
          <w:lang w:val="en-US" w:eastAsia="zh-CN"/>
        </w:rPr>
        <w:t>的</w:t>
      </w:r>
      <w:r>
        <w:rPr>
          <w:rFonts w:hint="eastAsia" w:ascii="宋体" w:hAnsi="宋体" w:eastAsia="宋体" w:cs="Times New Roman"/>
          <w:color w:val="auto"/>
          <w:kern w:val="0"/>
          <w:szCs w:val="21"/>
          <w:highlight w:val="none"/>
        </w:rPr>
        <w:t>，造成招标人任何经济损失的，由投标人承担全部赔偿责任</w:t>
      </w:r>
      <w:r>
        <w:rPr>
          <w:rFonts w:hint="eastAsia" w:ascii="宋体" w:hAnsi="宋体" w:eastAsia="宋体" w:cs="宋体"/>
          <w:color w:val="auto"/>
          <w:szCs w:val="21"/>
          <w:highlight w:val="none"/>
          <w:lang w:val="zh-CN"/>
        </w:rPr>
        <w:t>。</w:t>
      </w:r>
    </w:p>
    <w:p w14:paraId="785AFEEF">
      <w:pPr>
        <w:autoSpaceDE w:val="0"/>
        <w:autoSpaceDN w:val="0"/>
        <w:adjustRightInd w:val="0"/>
        <w:spacing w:line="360" w:lineRule="auto"/>
        <w:jc w:val="left"/>
        <w:rPr>
          <w:rFonts w:hint="eastAsia" w:ascii="宋体" w:hAnsi="宋体" w:eastAsia="宋体" w:cs="宋体"/>
          <w:color w:val="auto"/>
          <w:szCs w:val="21"/>
          <w:highlight w:val="none"/>
          <w:lang w:val="zh-CN"/>
        </w:rPr>
      </w:pPr>
    </w:p>
    <w:p w14:paraId="6B7BB61C">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85" w:name="_Toc7422"/>
      <w:bookmarkStart w:id="86" w:name="_Toc3404"/>
      <w:bookmarkStart w:id="87" w:name="_Toc11533"/>
      <w:bookmarkStart w:id="88" w:name="_Toc142508316"/>
      <w:bookmarkStart w:id="89" w:name="_Toc9658_WPSOffice_Level3"/>
      <w:bookmarkStart w:id="90" w:name="_Toc23153"/>
      <w:r>
        <w:rPr>
          <w:rFonts w:hint="eastAsia" w:ascii="宋体" w:hAnsi="宋体" w:eastAsia="宋体" w:cs="宋体"/>
          <w:color w:val="auto"/>
          <w:szCs w:val="21"/>
          <w:highlight w:val="none"/>
          <w:lang w:val="zh-CN"/>
        </w:rPr>
        <w:t>4 其它说明</w:t>
      </w:r>
      <w:bookmarkEnd w:id="85"/>
      <w:bookmarkEnd w:id="86"/>
      <w:bookmarkEnd w:id="87"/>
      <w:bookmarkEnd w:id="88"/>
      <w:bookmarkEnd w:id="89"/>
      <w:bookmarkEnd w:id="90"/>
    </w:p>
    <w:p w14:paraId="07A4164A">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bookmarkStart w:id="91" w:name="_Toc1977670"/>
      <w:bookmarkStart w:id="92" w:name="_Toc533708070"/>
      <w:r>
        <w:rPr>
          <w:rFonts w:hint="eastAsia" w:ascii="宋体" w:hAnsi="宋体" w:eastAsia="宋体" w:cs="宋体"/>
          <w:color w:val="auto"/>
          <w:szCs w:val="21"/>
          <w:highlight w:val="none"/>
          <w:lang w:val="zh-CN"/>
        </w:rPr>
        <w:t>4.1  投标费用</w:t>
      </w:r>
      <w:bookmarkEnd w:id="91"/>
      <w:bookmarkEnd w:id="92"/>
    </w:p>
    <w:p w14:paraId="062E4ECF">
      <w:pPr>
        <w:autoSpaceDE w:val="0"/>
        <w:autoSpaceDN w:val="0"/>
        <w:adjustRightInd w:val="0"/>
        <w:spacing w:line="360" w:lineRule="auto"/>
        <w:ind w:left="210" w:leftChars="100" w:firstLine="420" w:firstLineChars="200"/>
        <w:rPr>
          <w:rFonts w:hint="eastAsia" w:ascii="宋体" w:hAnsi="宋体" w:eastAsia="宋体" w:cs="宋体"/>
          <w:color w:val="auto"/>
          <w:szCs w:val="21"/>
          <w:highlight w:val="none"/>
          <w:lang w:val="zh-CN"/>
        </w:rPr>
      </w:pPr>
      <w:bookmarkStart w:id="93" w:name="_Toc1977672"/>
      <w:bookmarkStart w:id="94" w:name="_Toc533708072"/>
      <w:r>
        <w:rPr>
          <w:rFonts w:hint="eastAsia" w:ascii="宋体" w:hAnsi="宋体" w:eastAsia="宋体" w:cs="宋体"/>
          <w:color w:val="auto"/>
          <w:szCs w:val="21"/>
          <w:highlight w:val="none"/>
          <w:lang w:val="zh-CN"/>
        </w:rPr>
        <w:t>无论招标过程中的做法和结果如何，投标人须承担所有与编写和递交投标文件有关的费用，招标人和招标代理机构在任何情况下不负担这些费用。</w:t>
      </w:r>
      <w:bookmarkEnd w:id="93"/>
      <w:bookmarkEnd w:id="94"/>
    </w:p>
    <w:p w14:paraId="354E2F2C">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bookmarkStart w:id="95" w:name="_Toc1977673"/>
      <w:bookmarkStart w:id="96" w:name="_Toc533708073"/>
      <w:r>
        <w:rPr>
          <w:rFonts w:hint="eastAsia" w:ascii="宋体" w:hAnsi="宋体" w:eastAsia="宋体" w:cs="宋体"/>
          <w:color w:val="auto"/>
          <w:szCs w:val="21"/>
          <w:highlight w:val="none"/>
          <w:lang w:val="zh-CN"/>
        </w:rPr>
        <w:t>4.2  踏勘现场</w:t>
      </w:r>
      <w:bookmarkEnd w:id="95"/>
      <w:bookmarkEnd w:id="96"/>
    </w:p>
    <w:p w14:paraId="43D579D6">
      <w:pPr>
        <w:autoSpaceDE w:val="0"/>
        <w:autoSpaceDN w:val="0"/>
        <w:adjustRightInd w:val="0"/>
        <w:spacing w:line="360" w:lineRule="auto"/>
        <w:ind w:left="300" w:leftChars="-59" w:hanging="424" w:hangingChars="202"/>
        <w:jc w:val="left"/>
        <w:rPr>
          <w:rFonts w:hint="eastAsia" w:ascii="宋体" w:hAnsi="宋体" w:eastAsia="宋体" w:cs="宋体"/>
          <w:color w:val="auto"/>
          <w:kern w:val="0"/>
          <w:szCs w:val="21"/>
          <w:highlight w:val="none"/>
        </w:rPr>
      </w:pPr>
      <w:bookmarkStart w:id="97" w:name="_Toc1977676"/>
      <w:bookmarkStart w:id="98" w:name="_Toc533708076"/>
      <w:r>
        <w:rPr>
          <w:rFonts w:hint="eastAsia" w:ascii="宋体" w:hAnsi="宋体" w:eastAsia="宋体" w:cs="宋体"/>
          <w:color w:val="auto"/>
          <w:kern w:val="0"/>
          <w:szCs w:val="21"/>
          <w:highlight w:val="none"/>
        </w:rPr>
        <w:t>（1）本项目不组织集中踏勘现场和答疑</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投标人应自行到实地踏勘考察</w:t>
      </w:r>
      <w:r>
        <w:rPr>
          <w:rFonts w:hint="eastAsia" w:ascii="宋体" w:hAnsi="宋体" w:eastAsia="宋体" w:cs="宋体"/>
          <w:color w:val="auto"/>
          <w:kern w:val="0"/>
          <w:szCs w:val="21"/>
          <w:highlight w:val="none"/>
        </w:rPr>
        <w:t>。</w:t>
      </w:r>
    </w:p>
    <w:p w14:paraId="56D0E9D6">
      <w:pPr>
        <w:autoSpaceDE w:val="0"/>
        <w:autoSpaceDN w:val="0"/>
        <w:adjustRightInd w:val="0"/>
        <w:spacing w:line="360" w:lineRule="auto"/>
        <w:ind w:left="300" w:leftChars="-59" w:hanging="424" w:hangingChars="20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（2）潜在投标人应承担踏勘现场自身所发生的费用。</w:t>
      </w:r>
    </w:p>
    <w:p w14:paraId="215B6696">
      <w:pPr>
        <w:spacing w:line="360" w:lineRule="auto"/>
        <w:ind w:left="419" w:leftChars="-59" w:hanging="543" w:hangingChars="25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14:paraId="61A023E6">
      <w:pPr>
        <w:spacing w:line="360" w:lineRule="auto"/>
        <w:ind w:left="419" w:leftChars="-59" w:hanging="543" w:hangingChars="25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14:paraId="337EEA48">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纪律与保密事项</w:t>
      </w:r>
      <w:bookmarkEnd w:id="73"/>
      <w:bookmarkEnd w:id="74"/>
      <w:bookmarkEnd w:id="97"/>
      <w:bookmarkEnd w:id="98"/>
    </w:p>
    <w:p w14:paraId="17C02FCE">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（1）获得本招标文件的投标人，不得用作本次投标以外的任何用途。</w:t>
      </w:r>
    </w:p>
    <w:p w14:paraId="74E2B5E9">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（2</w:t>
      </w:r>
      <w:r>
        <w:rPr>
          <w:rFonts w:hint="eastAsia" w:ascii="宋体" w:hAnsi="宋体" w:eastAsia="宋体" w:cs="宋体"/>
          <w:color w:val="auto"/>
          <w:kern w:val="0"/>
          <w:szCs w:val="21"/>
          <w:highlight w:val="none"/>
        </w:rPr>
        <w:t>）凡参与招标工作的有关人员均应自觉接受有关主管部门的监督，不得向他人透露可能影响公平竞争的情况。</w:t>
      </w:r>
    </w:p>
    <w:p w14:paraId="27E238CE">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（3）开标后，直至向中标人</w:t>
      </w:r>
      <w:r>
        <w:rPr>
          <w:rFonts w:hint="eastAsia" w:ascii="宋体" w:hAnsi="宋体" w:eastAsia="宋体" w:cs="宋体"/>
          <w:color w:val="auto"/>
          <w:kern w:val="0"/>
          <w:szCs w:val="21"/>
          <w:highlight w:val="none"/>
          <w:lang w:eastAsia="zh-CN"/>
        </w:rPr>
        <w:t>授予合同期间</w:t>
      </w:r>
      <w:r>
        <w:rPr>
          <w:rFonts w:hint="eastAsia" w:ascii="宋体" w:hAnsi="宋体" w:eastAsia="宋体" w:cs="宋体"/>
          <w:color w:val="auto"/>
          <w:kern w:val="0"/>
          <w:szCs w:val="21"/>
          <w:highlight w:val="none"/>
        </w:rPr>
        <w:t>，凡与审查、澄清、评价和比较报价的有关资料以及授标意见等，参与评标工作的有关人员均不得向投标人及与评标无关的其他人透露。</w:t>
      </w:r>
    </w:p>
    <w:p w14:paraId="012C1757">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14:paraId="6FD57D0A">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7375849A">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（6）投标人不得串通作弊，以不正当的手段妨碍、排挤其他投标人，扰乱采购市场，破坏公平竞争原则。</w:t>
      </w:r>
    </w:p>
    <w:p w14:paraId="5814CEAA">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rPr>
      </w:pPr>
    </w:p>
    <w:p w14:paraId="189CE783">
      <w:pPr>
        <w:keepNext/>
        <w:keepLines/>
        <w:autoSpaceDE w:val="0"/>
        <w:autoSpaceDN w:val="0"/>
        <w:adjustRightInd w:val="0"/>
        <w:spacing w:line="360" w:lineRule="auto"/>
        <w:jc w:val="left"/>
        <w:outlineLvl w:val="0"/>
        <w:rPr>
          <w:rFonts w:hint="eastAsia" w:ascii="宋体" w:hAnsi="宋体" w:eastAsia="宋体" w:cs="宋体"/>
          <w:b/>
          <w:bCs/>
          <w:color w:val="auto"/>
          <w:kern w:val="44"/>
          <w:szCs w:val="21"/>
          <w:highlight w:val="none"/>
          <w:lang w:val="zh-CN"/>
        </w:rPr>
      </w:pPr>
      <w:bookmarkStart w:id="99" w:name="_Toc20516"/>
      <w:bookmarkStart w:id="100" w:name="_Toc486167667"/>
      <w:bookmarkStart w:id="101" w:name="_Toc21611"/>
      <w:bookmarkStart w:id="102" w:name="_Toc1565"/>
      <w:bookmarkStart w:id="103" w:name="_Toc5395"/>
      <w:bookmarkStart w:id="104" w:name="_Toc142508317"/>
      <w:bookmarkStart w:id="105" w:name="_Toc140596876"/>
      <w:bookmarkStart w:id="106" w:name="_Toc5462"/>
      <w:bookmarkStart w:id="107" w:name="_Toc450662853"/>
      <w:bookmarkStart w:id="108" w:name="_Toc30507_WPSOffice_Level2"/>
      <w:r>
        <w:rPr>
          <w:rFonts w:hint="eastAsia" w:ascii="宋体" w:hAnsi="宋体" w:eastAsia="宋体" w:cs="宋体"/>
          <w:b/>
          <w:bCs/>
          <w:color w:val="auto"/>
          <w:kern w:val="44"/>
          <w:szCs w:val="21"/>
          <w:highlight w:val="none"/>
          <w:lang w:val="zh-CN"/>
        </w:rPr>
        <w:t>二、招标文件</w:t>
      </w:r>
      <w:bookmarkEnd w:id="99"/>
      <w:bookmarkEnd w:id="100"/>
      <w:bookmarkEnd w:id="101"/>
      <w:bookmarkEnd w:id="102"/>
      <w:bookmarkEnd w:id="103"/>
      <w:bookmarkEnd w:id="104"/>
      <w:bookmarkEnd w:id="105"/>
      <w:bookmarkEnd w:id="106"/>
      <w:bookmarkEnd w:id="107"/>
      <w:bookmarkEnd w:id="108"/>
    </w:p>
    <w:p w14:paraId="11B5E05B">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09" w:name="_Toc2406"/>
      <w:bookmarkStart w:id="110" w:name="_Toc486167668"/>
      <w:bookmarkStart w:id="111" w:name="_Toc26635_WPSOffice_Level3"/>
      <w:bookmarkStart w:id="112" w:name="_Toc450662854"/>
      <w:bookmarkStart w:id="113" w:name="_Toc142508318"/>
      <w:bookmarkStart w:id="114" w:name="_Toc7417"/>
      <w:bookmarkStart w:id="115" w:name="_Toc2283"/>
      <w:bookmarkStart w:id="116" w:name="_Toc28893"/>
      <w:r>
        <w:rPr>
          <w:rFonts w:hint="eastAsia" w:ascii="宋体" w:hAnsi="宋体" w:eastAsia="宋体" w:cs="宋体"/>
          <w:color w:val="auto"/>
          <w:szCs w:val="21"/>
          <w:highlight w:val="none"/>
          <w:lang w:val="zh-CN"/>
        </w:rPr>
        <w:t>5 招标文件的构成</w:t>
      </w:r>
      <w:bookmarkEnd w:id="109"/>
      <w:bookmarkEnd w:id="110"/>
      <w:bookmarkEnd w:id="111"/>
      <w:bookmarkEnd w:id="112"/>
      <w:bookmarkEnd w:id="113"/>
      <w:bookmarkEnd w:id="114"/>
      <w:bookmarkEnd w:id="115"/>
      <w:bookmarkEnd w:id="116"/>
    </w:p>
    <w:p w14:paraId="3A688EFE">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招标文件包括：</w:t>
      </w:r>
    </w:p>
    <w:p w14:paraId="724C5682">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第一篇 招标公告</w:t>
      </w:r>
    </w:p>
    <w:p w14:paraId="0CF89719">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第二篇 投标人须知</w:t>
      </w:r>
    </w:p>
    <w:p w14:paraId="708FCB59">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第三篇 用户需求书</w:t>
      </w:r>
    </w:p>
    <w:p w14:paraId="54BE174C">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zh-CN"/>
        </w:rPr>
        <w:t>第四篇 合同条款</w:t>
      </w:r>
      <w:r>
        <w:rPr>
          <w:rFonts w:hint="eastAsia" w:ascii="宋体" w:hAnsi="宋体" w:eastAsia="宋体" w:cs="宋体"/>
          <w:color w:val="auto"/>
          <w:szCs w:val="21"/>
          <w:highlight w:val="none"/>
          <w:lang w:val="en-US" w:eastAsia="zh-CN"/>
        </w:rPr>
        <w:t>格式</w:t>
      </w:r>
    </w:p>
    <w:p w14:paraId="7F90C080">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第五篇 相关保函格式</w:t>
      </w:r>
    </w:p>
    <w:p w14:paraId="6931D6A9">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第六篇 投标文件格式</w:t>
      </w:r>
    </w:p>
    <w:p w14:paraId="731065CC">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附件一：评标工作大纲</w:t>
      </w:r>
    </w:p>
    <w:p w14:paraId="6E8FA019">
      <w:pPr>
        <w:autoSpaceDE w:val="0"/>
        <w:autoSpaceDN w:val="0"/>
        <w:adjustRightInd w:val="0"/>
        <w:spacing w:line="360" w:lineRule="auto"/>
        <w:ind w:left="356" w:leftChars="-99" w:hanging="564" w:hangingChars="269"/>
        <w:rPr>
          <w:rFonts w:hint="eastAsia" w:ascii="宋体" w:hAnsi="宋体" w:eastAsia="宋体" w:cs="宋体"/>
          <w:b/>
          <w:bCs/>
          <w:color w:val="auto"/>
          <w:szCs w:val="21"/>
          <w:highlight w:val="none"/>
          <w:u w:val="singl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en-US" w:eastAsia="zh-CN"/>
        </w:rPr>
        <w:t xml:space="preserve">  </w:t>
      </w:r>
      <w:r>
        <w:rPr>
          <w:rFonts w:hint="eastAsia" w:ascii="宋体" w:hAnsi="宋体" w:eastAsia="宋体" w:cs="宋体"/>
          <w:b/>
          <w:bCs/>
          <w:color w:val="auto"/>
          <w:szCs w:val="21"/>
          <w:highlight w:val="none"/>
          <w:u w:val="single"/>
          <w:lang w:val="zh-CN"/>
        </w:rPr>
        <w:t>投标人应审阅招标文件中所有须知、格式、条款和规格。投标人未按招标文件要求提供全部资料或提交的投标文件未对招标文件作出实质性响应（★标志的部分为投标人、投标拟供服务必备的条件或重要指示），那么投标人的投标文件将有可能被拒绝接收或评审为无效投标文件。</w:t>
      </w:r>
    </w:p>
    <w:p w14:paraId="5BAD693B">
      <w:pPr>
        <w:autoSpaceDE w:val="0"/>
        <w:autoSpaceDN w:val="0"/>
        <w:adjustRightInd w:val="0"/>
        <w:spacing w:line="360" w:lineRule="auto"/>
        <w:ind w:left="356" w:leftChars="-99" w:hanging="564" w:hangingChars="269"/>
        <w:rPr>
          <w:rFonts w:hint="eastAsia"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本招标文件使用的词语有如下定义：</w:t>
      </w:r>
    </w:p>
    <w:p w14:paraId="5AFD6C4C">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（1）“招标人”指</w:t>
      </w:r>
      <w:r>
        <w:rPr>
          <w:rFonts w:hint="eastAsia" w:ascii="宋体" w:hAnsi="宋体" w:eastAsia="宋体" w:cs="宋体"/>
          <w:color w:val="auto"/>
          <w:kern w:val="0"/>
          <w:szCs w:val="21"/>
          <w:highlight w:val="none"/>
          <w:lang w:eastAsia="zh-CN"/>
        </w:rPr>
        <w:t>东莞市置拓投资有限公司</w:t>
      </w:r>
      <w:r>
        <w:rPr>
          <w:rFonts w:hint="eastAsia" w:ascii="宋体" w:hAnsi="宋体" w:eastAsia="宋体" w:cs="宋体"/>
          <w:color w:val="auto"/>
          <w:kern w:val="0"/>
          <w:szCs w:val="21"/>
          <w:highlight w:val="none"/>
        </w:rPr>
        <w:t>；</w:t>
      </w:r>
    </w:p>
    <w:p w14:paraId="63E7FCCA">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（2）“招标代理机构”指</w:t>
      </w:r>
      <w:r>
        <w:rPr>
          <w:rFonts w:hint="eastAsia" w:ascii="宋体" w:hAnsi="宋体" w:eastAsia="宋体" w:cs="宋体"/>
          <w:color w:val="auto"/>
          <w:kern w:val="0"/>
          <w:szCs w:val="21"/>
          <w:highlight w:val="none"/>
          <w:lang w:eastAsia="zh-CN"/>
        </w:rPr>
        <w:t>三方诚信招标有限公司</w:t>
      </w:r>
      <w:r>
        <w:rPr>
          <w:rFonts w:hint="eastAsia" w:ascii="宋体" w:hAnsi="宋体" w:eastAsia="宋体" w:cs="宋体"/>
          <w:color w:val="auto"/>
          <w:kern w:val="0"/>
          <w:szCs w:val="21"/>
          <w:highlight w:val="none"/>
        </w:rPr>
        <w:t>；</w:t>
      </w:r>
    </w:p>
    <w:p w14:paraId="1548AC56">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（3）“投标人”指参加</w:t>
      </w:r>
      <w:r>
        <w:rPr>
          <w:rFonts w:hint="eastAsia" w:ascii="宋体" w:hAnsi="宋体" w:eastAsia="宋体" w:cs="宋体"/>
          <w:color w:val="auto"/>
          <w:kern w:val="0"/>
          <w:szCs w:val="21"/>
          <w:highlight w:val="none"/>
          <w:lang w:eastAsia="zh-CN"/>
        </w:rPr>
        <w:t>东莞市置拓投资有限公司水业大厦2026-2027年度物业管理服务采购项目</w:t>
      </w:r>
      <w:r>
        <w:rPr>
          <w:rFonts w:hint="eastAsia" w:ascii="宋体" w:hAnsi="宋体" w:eastAsia="宋体" w:cs="宋体"/>
          <w:color w:val="auto"/>
          <w:kern w:val="0"/>
          <w:szCs w:val="21"/>
          <w:highlight w:val="none"/>
        </w:rPr>
        <w:t>所需的</w:t>
      </w:r>
      <w:r>
        <w:rPr>
          <w:rFonts w:hint="eastAsia" w:ascii="宋体" w:hAnsi="宋体" w:eastAsia="宋体" w:cs="宋体"/>
          <w:color w:val="auto"/>
          <w:kern w:val="0"/>
          <w:szCs w:val="21"/>
          <w:highlight w:val="none"/>
          <w:lang w:val="en-US" w:eastAsia="zh-CN"/>
        </w:rPr>
        <w:t>服务</w:t>
      </w:r>
      <w:r>
        <w:rPr>
          <w:rFonts w:hint="eastAsia" w:ascii="宋体" w:hAnsi="宋体" w:eastAsia="宋体" w:cs="宋体"/>
          <w:color w:val="auto"/>
          <w:kern w:val="0"/>
          <w:szCs w:val="21"/>
          <w:highlight w:val="none"/>
        </w:rPr>
        <w:t>的投标，并向</w:t>
      </w:r>
      <w:r>
        <w:rPr>
          <w:rFonts w:hint="eastAsia" w:ascii="宋体" w:hAnsi="宋体" w:eastAsia="宋体" w:cs="Times New Roman"/>
          <w:color w:val="auto"/>
          <w:kern w:val="0"/>
          <w:szCs w:val="21"/>
          <w:highlight w:val="none"/>
        </w:rPr>
        <w:t>交易系统在线上传</w:t>
      </w:r>
      <w:r>
        <w:rPr>
          <w:rFonts w:hint="eastAsia" w:ascii="宋体" w:hAnsi="宋体" w:eastAsia="宋体" w:cs="宋体"/>
          <w:color w:val="auto"/>
          <w:kern w:val="0"/>
          <w:szCs w:val="21"/>
          <w:highlight w:val="none"/>
        </w:rPr>
        <w:t>投标文件的当事人；</w:t>
      </w:r>
    </w:p>
    <w:p w14:paraId="7382D831">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（4）“评标委员会”是依照《中华人民共和国招标投标法》等法规组建的专门负责本次评标工作的临时性机构；</w:t>
      </w:r>
    </w:p>
    <w:p w14:paraId="7FCC9291">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（5）“中标人”指其投标被招标人接受，并与招标人签订合同的当事人；</w:t>
      </w:r>
    </w:p>
    <w:p w14:paraId="6A7A7449">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（6）“甲方”指在合同条款中指明的</w:t>
      </w:r>
      <w:r>
        <w:rPr>
          <w:rFonts w:hint="eastAsia" w:ascii="宋体" w:hAnsi="宋体" w:eastAsia="宋体" w:cs="Times New Roman"/>
          <w:color w:val="auto"/>
          <w:kern w:val="0"/>
          <w:szCs w:val="21"/>
          <w:highlight w:val="none"/>
        </w:rPr>
        <w:t>购买服务</w:t>
      </w:r>
      <w:r>
        <w:rPr>
          <w:rFonts w:hint="eastAsia" w:ascii="宋体" w:hAnsi="宋体" w:eastAsia="宋体" w:cs="宋体"/>
          <w:color w:val="auto"/>
          <w:kern w:val="0"/>
          <w:szCs w:val="21"/>
          <w:highlight w:val="none"/>
        </w:rPr>
        <w:t>的单位，即</w:t>
      </w:r>
      <w:r>
        <w:rPr>
          <w:rFonts w:hint="eastAsia" w:ascii="宋体" w:hAnsi="宋体" w:eastAsia="宋体" w:cs="宋体"/>
          <w:color w:val="auto"/>
          <w:kern w:val="0"/>
          <w:szCs w:val="21"/>
          <w:highlight w:val="none"/>
          <w:lang w:eastAsia="zh-CN"/>
        </w:rPr>
        <w:t>东莞市置拓投资有限公司</w:t>
      </w:r>
      <w:r>
        <w:rPr>
          <w:rFonts w:hint="eastAsia" w:ascii="宋体" w:hAnsi="宋体" w:eastAsia="宋体" w:cs="宋体"/>
          <w:color w:val="auto"/>
          <w:kern w:val="0"/>
          <w:szCs w:val="21"/>
          <w:highlight w:val="none"/>
        </w:rPr>
        <w:t>；</w:t>
      </w:r>
    </w:p>
    <w:p w14:paraId="7B755860">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（7）“乙方”指在合同条款中指明的本合同项下</w:t>
      </w:r>
      <w:r>
        <w:rPr>
          <w:rFonts w:hint="eastAsia" w:ascii="宋体" w:hAnsi="宋体" w:eastAsia="宋体" w:cs="Times New Roman"/>
          <w:color w:val="auto"/>
          <w:kern w:val="0"/>
          <w:szCs w:val="21"/>
          <w:highlight w:val="none"/>
        </w:rPr>
        <w:t>提供服务</w:t>
      </w:r>
      <w:r>
        <w:rPr>
          <w:rFonts w:hint="eastAsia" w:ascii="宋体" w:hAnsi="宋体" w:eastAsia="宋体" w:cs="宋体"/>
          <w:color w:val="auto"/>
          <w:kern w:val="0"/>
          <w:szCs w:val="21"/>
          <w:highlight w:val="none"/>
        </w:rPr>
        <w:t>的公司或实体；</w:t>
      </w:r>
    </w:p>
    <w:p w14:paraId="4E82C8E0">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（8）“招标文件”指招标公告和招标文件及其补充、变更和澄清等一系列文件；</w:t>
      </w:r>
    </w:p>
    <w:p w14:paraId="218D5519">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（9）“投标文件”指投标人根据本招标文件向</w:t>
      </w:r>
      <w:r>
        <w:rPr>
          <w:rFonts w:hint="eastAsia" w:ascii="宋体" w:hAnsi="宋体" w:eastAsia="宋体" w:cs="宋体"/>
          <w:color w:val="auto"/>
          <w:kern w:val="0"/>
          <w:szCs w:val="21"/>
          <w:highlight w:val="none"/>
          <w:lang w:val="en-US" w:eastAsia="zh-CN"/>
        </w:rPr>
        <w:t>交易系统在线上传</w:t>
      </w:r>
      <w:r>
        <w:rPr>
          <w:rFonts w:hint="eastAsia" w:ascii="宋体" w:hAnsi="宋体" w:eastAsia="宋体" w:cs="宋体"/>
          <w:color w:val="auto"/>
          <w:kern w:val="0"/>
          <w:szCs w:val="21"/>
          <w:highlight w:val="none"/>
        </w:rPr>
        <w:t>的全部文件；</w:t>
      </w:r>
    </w:p>
    <w:p w14:paraId="037F0943">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（10）“书面函件”指手写、打字或印刷的函件，包括电传、电报和传真；</w:t>
      </w:r>
    </w:p>
    <w:p w14:paraId="620CCDEA">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（11）“合同”指由本次招标所产生的合同或合约文件；</w:t>
      </w:r>
    </w:p>
    <w:p w14:paraId="2165B418">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（12）“日期”指公历日，“时间”指北京时间；</w:t>
      </w:r>
    </w:p>
    <w:p w14:paraId="0FB7AD07">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（13）本招标文件中的“境内”特指中华人民共和国海关关境以内，“境外”特指中华人民共和国海关关境以外；</w:t>
      </w:r>
    </w:p>
    <w:p w14:paraId="6F336DDD">
      <w:pPr>
        <w:autoSpaceDE/>
        <w:autoSpaceDN/>
        <w:adjustRightInd w:val="0"/>
        <w:spacing w:line="360" w:lineRule="auto"/>
        <w:ind w:left="504" w:leftChars="-60" w:hanging="630" w:hangingChars="3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不含税价，即为《中华人民共和国增值税暂行条例》（国务院令第691号修订版）规定的销售额。本招标文件所称的不含税价和不含税合同价是指不含本采购项目投标人的销项税额，包含了投标人完成合同义务（含投标人代缴代扣、采购货物等所产生的价税）的其他全部费用。本采购项目投标人的销项税额由招标人承担，不计入投标报价。</w:t>
      </w:r>
    </w:p>
    <w:p w14:paraId="6C7E4720">
      <w:pPr>
        <w:autoSpaceDE w:val="0"/>
        <w:autoSpaceDN w:val="0"/>
        <w:adjustRightInd w:val="0"/>
        <w:spacing w:line="360" w:lineRule="auto"/>
        <w:ind w:left="951" w:leftChars="78" w:hanging="787" w:hangingChars="375"/>
        <w:rPr>
          <w:rFonts w:hint="eastAsia" w:ascii="宋体" w:hAnsi="宋体" w:eastAsia="宋体" w:cs="宋体"/>
          <w:color w:val="auto"/>
          <w:szCs w:val="21"/>
          <w:highlight w:val="none"/>
          <w:lang w:val="zh-CN"/>
        </w:rPr>
      </w:pPr>
    </w:p>
    <w:p w14:paraId="71EE0594">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17" w:name="_Toc19474"/>
      <w:bookmarkStart w:id="118" w:name="_Toc27518"/>
      <w:bookmarkStart w:id="119" w:name="_Toc450662855"/>
      <w:bookmarkStart w:id="120" w:name="_Toc142508319"/>
      <w:bookmarkStart w:id="121" w:name="_Toc11346"/>
      <w:bookmarkStart w:id="122" w:name="_Toc486167669"/>
      <w:bookmarkStart w:id="123" w:name="_Toc29125_WPSOffice_Level3"/>
      <w:bookmarkStart w:id="124" w:name="_Toc3727"/>
      <w:r>
        <w:rPr>
          <w:rFonts w:hint="eastAsia" w:ascii="宋体" w:hAnsi="宋体" w:eastAsia="宋体" w:cs="宋体"/>
          <w:color w:val="auto"/>
          <w:szCs w:val="21"/>
          <w:highlight w:val="none"/>
          <w:lang w:val="zh-CN"/>
        </w:rPr>
        <w:t>6 招标文件的异议</w:t>
      </w:r>
      <w:bookmarkEnd w:id="117"/>
      <w:bookmarkEnd w:id="118"/>
      <w:bookmarkEnd w:id="119"/>
      <w:bookmarkEnd w:id="120"/>
      <w:bookmarkEnd w:id="121"/>
      <w:bookmarkEnd w:id="122"/>
      <w:bookmarkEnd w:id="123"/>
      <w:bookmarkEnd w:id="124"/>
    </w:p>
    <w:p w14:paraId="05E0D40A">
      <w:pPr>
        <w:autoSpaceDE w:val="0"/>
        <w:autoSpaceDN w:val="0"/>
        <w:adjustRightInd w:val="0"/>
        <w:spacing w:line="360" w:lineRule="auto"/>
        <w:ind w:left="288" w:leftChars="137" w:firstLine="420" w:firstLineChars="200"/>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投标人或者其他利害关系人对招标文件有异议的，应当在投标截止时间10日前</w:t>
      </w:r>
      <w:r>
        <w:rPr>
          <w:rFonts w:hint="eastAsia" w:ascii="宋体" w:hAnsi="宋体" w:eastAsia="宋体" w:cs="宋体"/>
          <w:color w:val="auto"/>
          <w:szCs w:val="21"/>
          <w:highlight w:val="none"/>
          <w:lang w:val="zh-CN"/>
        </w:rPr>
        <w:t>以书面形式向招标代理机构提出，并将材料原件送达招标代理机构，逾期则视为对招标文件所有内容无异议。</w:t>
      </w:r>
      <w:r>
        <w:rPr>
          <w:rFonts w:hint="eastAsia" w:ascii="宋体" w:hAnsi="宋体" w:eastAsia="宋体" w:cs="宋体"/>
          <w:bCs/>
          <w:color w:val="auto"/>
          <w:szCs w:val="21"/>
          <w:highlight w:val="none"/>
          <w:lang w:val="zh-CN"/>
        </w:rPr>
        <w:t>异议</w:t>
      </w:r>
      <w:r>
        <w:rPr>
          <w:rFonts w:hint="eastAsia" w:ascii="宋体" w:hAnsi="宋体" w:eastAsia="宋体" w:cs="宋体"/>
          <w:color w:val="auto"/>
          <w:szCs w:val="21"/>
          <w:highlight w:val="none"/>
          <w:lang w:val="zh-CN"/>
        </w:rPr>
        <w:t>书面材料必须加盖投标人法人公章，并注明联系人、联系电话、联系地址。</w:t>
      </w:r>
      <w:r>
        <w:rPr>
          <w:rFonts w:hint="eastAsia" w:ascii="宋体" w:hAnsi="宋体" w:eastAsia="宋体" w:cs="宋体"/>
          <w:bCs/>
          <w:color w:val="auto"/>
          <w:szCs w:val="21"/>
          <w:highlight w:val="none"/>
          <w:lang w:val="zh-CN"/>
        </w:rPr>
        <w:t>超出</w:t>
      </w:r>
      <w:r>
        <w:rPr>
          <w:rFonts w:hint="eastAsia" w:ascii="宋体" w:hAnsi="宋体" w:eastAsia="宋体" w:cs="宋体"/>
          <w:color w:val="auto"/>
          <w:szCs w:val="21"/>
          <w:highlight w:val="none"/>
          <w:lang w:val="zh-CN"/>
        </w:rPr>
        <w:t>提交接收异议截止时间而</w:t>
      </w:r>
      <w:r>
        <w:rPr>
          <w:rFonts w:hint="eastAsia" w:ascii="宋体" w:hAnsi="宋体" w:eastAsia="宋体" w:cs="宋体"/>
          <w:bCs/>
          <w:color w:val="auto"/>
          <w:szCs w:val="21"/>
          <w:highlight w:val="none"/>
          <w:lang w:val="zh-CN"/>
        </w:rPr>
        <w:t>提出的任何疑问，招标代理机构可不予答复。</w:t>
      </w:r>
      <w:r>
        <w:rPr>
          <w:rFonts w:hint="eastAsia" w:ascii="宋体" w:hAnsi="宋体" w:eastAsia="宋体" w:cs="宋体"/>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14:paraId="0D307342">
      <w:pPr>
        <w:autoSpaceDE w:val="0"/>
        <w:autoSpaceDN w:val="0"/>
        <w:adjustRightInd w:val="0"/>
        <w:spacing w:line="360" w:lineRule="auto"/>
        <w:ind w:left="290" w:leftChars="137" w:hanging="2" w:hangingChars="1"/>
        <w:rPr>
          <w:rFonts w:hint="eastAsia" w:ascii="宋体" w:hAnsi="宋体" w:eastAsia="宋体" w:cs="宋体"/>
          <w:b/>
          <w:bCs/>
          <w:color w:val="auto"/>
          <w:szCs w:val="21"/>
          <w:highlight w:val="none"/>
          <w:lang w:val="zh-CN"/>
        </w:rPr>
      </w:pPr>
    </w:p>
    <w:p w14:paraId="43313630">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25" w:name="_Toc26961"/>
      <w:bookmarkStart w:id="126" w:name="_Toc142508320"/>
      <w:bookmarkStart w:id="127" w:name="_Toc23483_WPSOffice_Level3"/>
      <w:bookmarkStart w:id="128" w:name="_Toc18648"/>
      <w:bookmarkStart w:id="129" w:name="_Toc450662856"/>
      <w:bookmarkStart w:id="130" w:name="_Toc17145"/>
      <w:bookmarkStart w:id="131" w:name="_Toc29864"/>
      <w:bookmarkStart w:id="132" w:name="_Toc486167670"/>
      <w:r>
        <w:rPr>
          <w:rFonts w:hint="eastAsia" w:ascii="宋体" w:hAnsi="宋体" w:eastAsia="宋体" w:cs="宋体"/>
          <w:color w:val="auto"/>
          <w:szCs w:val="21"/>
          <w:highlight w:val="none"/>
          <w:lang w:val="zh-CN"/>
        </w:rPr>
        <w:t>7 招标文件的澄清及修改</w:t>
      </w:r>
      <w:bookmarkEnd w:id="125"/>
      <w:bookmarkEnd w:id="126"/>
      <w:bookmarkEnd w:id="127"/>
      <w:bookmarkEnd w:id="128"/>
      <w:bookmarkEnd w:id="129"/>
      <w:bookmarkEnd w:id="130"/>
      <w:bookmarkEnd w:id="131"/>
      <w:bookmarkEnd w:id="132"/>
    </w:p>
    <w:p w14:paraId="39E7B766">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15日前，在招标信息发布媒介上发布更正公告，请各投标人密切留意。该澄清或者修改的内容为招标文件的组成部分。</w:t>
      </w:r>
    </w:p>
    <w:p w14:paraId="52B443FB">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14:paraId="7830FB81">
      <w:pPr>
        <w:keepNext w:val="0"/>
        <w:keepLines w:val="0"/>
        <w:pageBreakBefore w:val="0"/>
        <w:widowControl w:val="0"/>
        <w:kinsoku/>
        <w:wordWrap w:val="0"/>
        <w:overflowPunct/>
        <w:topLinePunct w:val="0"/>
        <w:autoSpaceDE w:val="0"/>
        <w:autoSpaceDN w:val="0"/>
        <w:bidi w:val="0"/>
        <w:adjustRightInd w:val="0"/>
        <w:snapToGrid/>
        <w:spacing w:line="360" w:lineRule="auto"/>
        <w:ind w:left="357" w:leftChars="-100" w:hanging="567"/>
        <w:jc w:val="left"/>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7.3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招标文件的修改、补充通知在全国公共资源交易平台（广东省·东莞市）（https://ygp.gdzwfw.gov.cn/#/441900/index）、中国招标投标公共服务平台（</w:t>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"http://www.cebpubservice.com）、广东省招标投标监管"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www.cebpubservice.com）、</w:t>
      </w:r>
      <w:r>
        <w:rPr>
          <w:rFonts w:hint="eastAsia" w:ascii="宋体" w:hAnsi="宋体" w:eastAsia="宋体" w:cs="宋体"/>
          <w:color w:val="auto"/>
          <w:szCs w:val="21"/>
          <w:highlight w:val="none"/>
          <w:lang w:val="zh-CN"/>
        </w:rPr>
        <w:fldChar w:fldCharType="end"/>
      </w:r>
      <w:r>
        <w:rPr>
          <w:rFonts w:hint="eastAsia" w:ascii="宋体" w:hAnsi="宋体" w:eastAsia="宋体" w:cs="宋体"/>
          <w:bCs/>
          <w:color w:val="auto"/>
          <w:szCs w:val="21"/>
          <w:highlight w:val="none"/>
          <w:lang w:eastAsia="zh-CN"/>
        </w:rPr>
        <w:t>东莞市水务环境投资控股集团有限公司</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"www.dgswjt.cn）、招标代理公司网站（http://%20%20%20%20%20%20%20%20%20%20%20%20%20%20）"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www.dgswjt.cn）、招标代理机构网站（</w:t>
      </w:r>
      <w:r>
        <w:rPr>
          <w:rFonts w:hint="eastAsia" w:ascii="宋体" w:hAnsi="宋体" w:eastAsia="宋体" w:cs="宋体"/>
          <w:color w:val="auto"/>
          <w:szCs w:val="21"/>
          <w:highlight w:val="none"/>
          <w:lang w:val="zh-CN" w:eastAsia="zh-CN"/>
        </w:rPr>
        <w:t>www.sfcx.cn</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t>公布，请各投标人密切留意。</w:t>
      </w:r>
    </w:p>
    <w:p w14:paraId="50B72E5F">
      <w:pPr>
        <w:autoSpaceDE w:val="0"/>
        <w:autoSpaceDN w:val="0"/>
        <w:adjustRightInd w:val="0"/>
        <w:spacing w:line="360" w:lineRule="auto"/>
        <w:ind w:left="357" w:leftChars="-100" w:hanging="567"/>
        <w:rPr>
          <w:rFonts w:hint="eastAsia" w:ascii="宋体" w:hAnsi="宋体" w:eastAsia="宋体" w:cs="宋体"/>
          <w:color w:val="auto"/>
          <w:szCs w:val="21"/>
          <w:highlight w:val="none"/>
        </w:rPr>
      </w:pPr>
    </w:p>
    <w:p w14:paraId="144C6514">
      <w:pPr>
        <w:keepNext/>
        <w:keepLines/>
        <w:tabs>
          <w:tab w:val="left" w:pos="509"/>
        </w:tabs>
        <w:autoSpaceDE w:val="0"/>
        <w:autoSpaceDN w:val="0"/>
        <w:adjustRightInd w:val="0"/>
        <w:spacing w:line="360" w:lineRule="auto"/>
        <w:jc w:val="left"/>
        <w:outlineLvl w:val="0"/>
        <w:rPr>
          <w:rFonts w:hint="eastAsia" w:ascii="宋体" w:hAnsi="宋体" w:eastAsia="宋体" w:cs="宋体"/>
          <w:b/>
          <w:bCs/>
          <w:color w:val="auto"/>
          <w:kern w:val="44"/>
          <w:szCs w:val="21"/>
          <w:highlight w:val="none"/>
          <w:lang w:val="zh-CN"/>
        </w:rPr>
      </w:pPr>
      <w:bookmarkStart w:id="133" w:name="_Toc142508321"/>
      <w:bookmarkStart w:id="134" w:name="_Toc8711"/>
      <w:bookmarkStart w:id="135" w:name="_Toc3479"/>
      <w:bookmarkStart w:id="136" w:name="_Toc23342"/>
      <w:bookmarkStart w:id="137" w:name="_Toc19940"/>
      <w:bookmarkStart w:id="138" w:name="_Toc450662857"/>
      <w:bookmarkStart w:id="139" w:name="_Toc140596880"/>
      <w:bookmarkStart w:id="140" w:name="_Toc486167671"/>
      <w:bookmarkStart w:id="141" w:name="_Toc29659_WPSOffice_Level2"/>
      <w:bookmarkStart w:id="142" w:name="_Toc24583"/>
      <w:r>
        <w:rPr>
          <w:rFonts w:hint="eastAsia" w:ascii="宋体" w:hAnsi="宋体" w:eastAsia="宋体" w:cs="宋体"/>
          <w:b/>
          <w:bCs/>
          <w:color w:val="auto"/>
          <w:kern w:val="44"/>
          <w:szCs w:val="21"/>
          <w:highlight w:val="none"/>
          <w:lang w:val="zh-CN"/>
        </w:rPr>
        <w:t>三、投标文件的编制</w:t>
      </w:r>
      <w:bookmarkEnd w:id="133"/>
      <w:bookmarkEnd w:id="134"/>
      <w:bookmarkEnd w:id="135"/>
      <w:bookmarkEnd w:id="136"/>
      <w:bookmarkEnd w:id="137"/>
      <w:bookmarkEnd w:id="138"/>
      <w:bookmarkEnd w:id="139"/>
      <w:bookmarkEnd w:id="140"/>
      <w:bookmarkEnd w:id="141"/>
      <w:bookmarkEnd w:id="142"/>
    </w:p>
    <w:p w14:paraId="2E6DCD8B">
      <w:pPr>
        <w:tabs>
          <w:tab w:val="left" w:pos="67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43" w:name="_Toc6244"/>
      <w:bookmarkStart w:id="144" w:name="_Toc31162"/>
      <w:bookmarkStart w:id="145" w:name="_Toc142508322"/>
      <w:bookmarkStart w:id="146" w:name="_Toc30579"/>
      <w:bookmarkStart w:id="147" w:name="_Toc10015_WPSOffice_Level3"/>
      <w:bookmarkStart w:id="148" w:name="_Toc486167672"/>
      <w:bookmarkStart w:id="149" w:name="_Toc4453"/>
      <w:bookmarkStart w:id="150" w:name="_Toc450662858"/>
      <w:r>
        <w:rPr>
          <w:rFonts w:hint="eastAsia" w:ascii="宋体" w:hAnsi="宋体" w:eastAsia="宋体" w:cs="宋体"/>
          <w:color w:val="auto"/>
          <w:szCs w:val="21"/>
          <w:highlight w:val="none"/>
          <w:lang w:val="zh-CN"/>
        </w:rPr>
        <w:t>8 投标使用的文字及度量衡单位</w:t>
      </w:r>
      <w:bookmarkEnd w:id="143"/>
      <w:bookmarkEnd w:id="144"/>
      <w:bookmarkEnd w:id="145"/>
      <w:bookmarkEnd w:id="146"/>
      <w:bookmarkEnd w:id="147"/>
      <w:bookmarkEnd w:id="148"/>
      <w:bookmarkEnd w:id="149"/>
      <w:bookmarkEnd w:id="150"/>
    </w:p>
    <w:p w14:paraId="33548281">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14:paraId="5B1041DF">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14:paraId="0DEB427F">
      <w:pPr>
        <w:autoSpaceDE w:val="0"/>
        <w:autoSpaceDN w:val="0"/>
        <w:adjustRightInd w:val="0"/>
        <w:spacing w:line="360" w:lineRule="auto"/>
        <w:rPr>
          <w:rFonts w:hint="eastAsia" w:ascii="宋体" w:hAnsi="宋体" w:eastAsia="宋体" w:cs="宋体"/>
          <w:color w:val="auto"/>
          <w:szCs w:val="21"/>
          <w:highlight w:val="none"/>
          <w:lang w:val="zh-CN"/>
        </w:rPr>
      </w:pPr>
    </w:p>
    <w:p w14:paraId="10F8B56C">
      <w:pPr>
        <w:tabs>
          <w:tab w:val="left" w:pos="540"/>
        </w:tabs>
        <w:autoSpaceDE w:val="0"/>
        <w:autoSpaceDN w:val="0"/>
        <w:adjustRightInd w:val="0"/>
        <w:spacing w:line="360" w:lineRule="auto"/>
        <w:ind w:left="357" w:leftChars="-100" w:hanging="567"/>
        <w:jc w:val="left"/>
        <w:outlineLvl w:val="2"/>
        <w:rPr>
          <w:rFonts w:hint="eastAsia" w:ascii="宋体" w:hAnsi="宋体" w:eastAsia="宋体" w:cs="宋体"/>
          <w:color w:val="auto"/>
          <w:sz w:val="24"/>
          <w:szCs w:val="24"/>
          <w:highlight w:val="none"/>
          <w:lang w:val="zh-CN"/>
        </w:rPr>
      </w:pPr>
      <w:bookmarkStart w:id="151" w:name="_Toc14943"/>
      <w:bookmarkStart w:id="152" w:name="_Toc142508323"/>
      <w:bookmarkStart w:id="153" w:name="_Toc24738"/>
      <w:bookmarkStart w:id="154" w:name="_Toc450662859"/>
      <w:bookmarkStart w:id="155" w:name="_Toc31286"/>
      <w:bookmarkStart w:id="156" w:name="_Toc24916_WPSOffice_Level3"/>
      <w:bookmarkStart w:id="157" w:name="_Toc486167673"/>
      <w:bookmarkStart w:id="158" w:name="_Toc7348"/>
      <w:r>
        <w:rPr>
          <w:rFonts w:hint="eastAsia" w:ascii="宋体" w:hAnsi="宋体" w:eastAsia="宋体" w:cs="宋体"/>
          <w:color w:val="auto"/>
          <w:szCs w:val="21"/>
          <w:highlight w:val="none"/>
          <w:lang w:val="zh-CN"/>
        </w:rPr>
        <w:t>9</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51"/>
      <w:bookmarkEnd w:id="152"/>
      <w:bookmarkEnd w:id="153"/>
      <w:bookmarkEnd w:id="154"/>
      <w:bookmarkEnd w:id="155"/>
      <w:bookmarkEnd w:id="156"/>
      <w:bookmarkEnd w:id="157"/>
      <w:bookmarkEnd w:id="158"/>
    </w:p>
    <w:p w14:paraId="67DDFE57">
      <w:pPr>
        <w:autoSpaceDE w:val="0"/>
        <w:autoSpaceDN w:val="0"/>
        <w:adjustRightInd w:val="0"/>
        <w:spacing w:line="360" w:lineRule="auto"/>
        <w:ind w:left="422" w:leftChars="-100" w:hanging="632" w:hangingChars="3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宋体"/>
          <w:b/>
          <w:color w:val="auto"/>
          <w:kern w:val="0"/>
          <w:szCs w:val="21"/>
          <w:highlight w:val="none"/>
          <w:u w:val="single"/>
        </w:rPr>
        <w:t>商务标、技术标、报价信封三部分组成</w:t>
      </w:r>
      <w:r>
        <w:rPr>
          <w:rFonts w:hint="eastAsia" w:ascii="宋体" w:hAnsi="宋体" w:eastAsia="宋体" w:cs="宋体"/>
          <w:b/>
          <w:color w:val="auto"/>
          <w:kern w:val="0"/>
          <w:szCs w:val="21"/>
          <w:highlight w:val="none"/>
        </w:rPr>
        <w:t>。</w:t>
      </w:r>
    </w:p>
    <w:p w14:paraId="09CA55E0">
      <w:pPr>
        <w:autoSpaceDE w:val="0"/>
        <w:autoSpaceDN w:val="0"/>
        <w:adjustRightInd w:val="0"/>
        <w:spacing w:line="360" w:lineRule="auto"/>
        <w:ind w:left="422" w:leftChars="-100" w:hanging="632" w:hangingChars="3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9.1.1 商务</w:t>
      </w:r>
      <w:r>
        <w:rPr>
          <w:rFonts w:hint="eastAsia" w:ascii="宋体" w:hAnsi="宋体" w:eastAsia="宋体" w:cs="宋体"/>
          <w:b/>
          <w:color w:val="auto"/>
          <w:kern w:val="0"/>
          <w:szCs w:val="24"/>
          <w:highlight w:val="none"/>
          <w:lang w:val="en-US" w:eastAsia="zh-CN"/>
        </w:rPr>
        <w:t>标</w:t>
      </w:r>
      <w:r>
        <w:rPr>
          <w:rFonts w:hint="eastAsia" w:ascii="宋体" w:hAnsi="宋体" w:eastAsia="宋体" w:cs="宋体"/>
          <w:b/>
          <w:color w:val="auto"/>
          <w:kern w:val="0"/>
          <w:szCs w:val="24"/>
          <w:highlight w:val="none"/>
        </w:rPr>
        <w:t>：</w:t>
      </w:r>
    </w:p>
    <w:p w14:paraId="34630ABB">
      <w:pPr>
        <w:autoSpaceDE w:val="0"/>
        <w:autoSpaceDN w:val="0"/>
        <w:adjustRightInd w:val="0"/>
        <w:spacing w:line="360" w:lineRule="auto"/>
        <w:jc w:val="left"/>
        <w:rPr>
          <w:rFonts w:hint="eastAsia" w:ascii="宋体" w:hAnsi="宋体" w:eastAsia="宋体" w:cs="宋体"/>
          <w:b/>
          <w:color w:val="auto"/>
          <w:kern w:val="0"/>
          <w:szCs w:val="21"/>
          <w:highlight w:val="none"/>
          <w:lang w:val="zh-CN"/>
        </w:rPr>
      </w:pPr>
      <w:r>
        <w:rPr>
          <w:rFonts w:hint="eastAsia" w:ascii="宋体" w:hAnsi="宋体" w:eastAsia="宋体" w:cs="宋体"/>
          <w:color w:val="auto"/>
          <w:kern w:val="0"/>
          <w:sz w:val="24"/>
          <w:szCs w:val="24"/>
          <w:highlight w:val="none"/>
          <w:lang w:val="zh-CN"/>
        </w:rPr>
        <w:t xml:space="preserve">   </w:t>
      </w:r>
      <w:r>
        <w:rPr>
          <w:rFonts w:hint="eastAsia" w:ascii="宋体" w:hAnsi="宋体" w:eastAsia="宋体" w:cs="宋体"/>
          <w:b/>
          <w:color w:val="auto"/>
          <w:kern w:val="0"/>
          <w:szCs w:val="21"/>
          <w:highlight w:val="none"/>
          <w:lang w:val="zh-CN"/>
        </w:rPr>
        <w:t>目录：</w:t>
      </w:r>
    </w:p>
    <w:p w14:paraId="391D1165">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14:paraId="19481A89">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14:paraId="4A95485A">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zh-CN"/>
        </w:rPr>
        <w:t>（3）供货及/或提供服务过程承诺函；</w:t>
      </w:r>
    </w:p>
    <w:p w14:paraId="786C2F1F">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）投标报价表</w:t>
      </w:r>
      <w:r>
        <w:rPr>
          <w:rFonts w:hint="eastAsia" w:ascii="宋体" w:hAnsi="宋体" w:eastAsia="宋体" w:cs="宋体"/>
          <w:color w:val="auto"/>
          <w:szCs w:val="21"/>
          <w:highlight w:val="none"/>
          <w:lang w:val="en-US" w:eastAsia="zh-CN"/>
        </w:rPr>
        <w:t>格式</w:t>
      </w:r>
      <w:r>
        <w:rPr>
          <w:rFonts w:hint="eastAsia" w:ascii="宋体" w:hAnsi="宋体" w:eastAsia="宋体" w:cs="宋体"/>
          <w:color w:val="auto"/>
          <w:szCs w:val="21"/>
          <w:highlight w:val="none"/>
          <w:lang w:val="zh-CN"/>
        </w:rPr>
        <w:t>；</w:t>
      </w:r>
    </w:p>
    <w:p w14:paraId="70A17814">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）投标人资格证明文件：</w:t>
      </w:r>
    </w:p>
    <w:p w14:paraId="5BF28CD7">
      <w:pPr>
        <w:autoSpaceDE w:val="0"/>
        <w:autoSpaceDN w:val="0"/>
        <w:adjustRightInd w:val="0"/>
        <w:spacing w:line="360" w:lineRule="auto"/>
        <w:ind w:left="283" w:hanging="283" w:hangingChars="1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1）多证合一营业执照</w:t>
      </w:r>
      <w:r>
        <w:rPr>
          <w:rFonts w:hint="eastAsia" w:ascii="宋体" w:hAnsi="宋体" w:eastAsia="宋体" w:cs="宋体"/>
          <w:color w:val="auto"/>
          <w:kern w:val="0"/>
          <w:szCs w:val="21"/>
          <w:highlight w:val="none"/>
        </w:rPr>
        <w:t>（或事业单位法人证书）</w:t>
      </w:r>
      <w:r>
        <w:rPr>
          <w:rFonts w:hint="eastAsia" w:ascii="宋体" w:hAnsi="宋体" w:eastAsia="宋体" w:cs="宋体"/>
          <w:color w:val="auto"/>
          <w:kern w:val="0"/>
          <w:szCs w:val="21"/>
          <w:highlight w:val="none"/>
          <w:lang w:val="en-US" w:eastAsia="zh-CN"/>
        </w:rPr>
        <w:t>原件扫</w:t>
      </w:r>
      <w:r>
        <w:rPr>
          <w:rFonts w:hint="eastAsia" w:ascii="宋体" w:hAnsi="宋体" w:eastAsia="宋体" w:cs="宋体"/>
          <w:color w:val="auto"/>
          <w:szCs w:val="21"/>
          <w:highlight w:val="none"/>
          <w:lang w:val="zh-CN"/>
        </w:rPr>
        <w:t>描件；</w:t>
      </w:r>
    </w:p>
    <w:p w14:paraId="6B271975">
      <w:pPr>
        <w:autoSpaceDE/>
        <w:autoSpaceDN/>
        <w:adjustRightInd w:val="0"/>
        <w:spacing w:line="360" w:lineRule="auto"/>
        <w:ind w:left="315"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开户许可证原件扫描件（基本存款账户），如投标人企业银行账户开户所在地区已取消企业银行账户许可，投标人应提供基本存款账户开户名称、开户银行、账号、编号等信息及相关备案证明（如有）或其他能证明其为基本存款账户的资料原件扫描件；</w:t>
      </w:r>
    </w:p>
    <w:p w14:paraId="0AC76044">
      <w:pPr>
        <w:autoSpaceDE/>
        <w:autoSpaceDN/>
        <w:adjustRightInd w:val="0"/>
        <w:spacing w:line="360" w:lineRule="auto"/>
        <w:ind w:left="304" w:hanging="304" w:hangingChars="14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）法定代表人身份证明书和法定代表人授权书（法定代表人投标时只提供法定代表人身份证明书，委托</w:t>
      </w:r>
      <w:r>
        <w:rPr>
          <w:rFonts w:hint="eastAsia" w:ascii="宋体" w:hAnsi="宋体" w:eastAsia="宋体" w:cs="宋体"/>
          <w:color w:val="auto"/>
          <w:szCs w:val="21"/>
          <w:highlight w:val="none"/>
        </w:rPr>
        <w:t>他人</w:t>
      </w:r>
      <w:r>
        <w:rPr>
          <w:rFonts w:hint="eastAsia" w:ascii="宋体" w:hAnsi="宋体" w:eastAsia="宋体" w:cs="宋体"/>
          <w:color w:val="auto"/>
          <w:szCs w:val="21"/>
          <w:highlight w:val="none"/>
          <w:lang w:val="zh-CN"/>
        </w:rPr>
        <w:t>为投标代表时同时提供法定代表人授权书）；</w:t>
      </w:r>
    </w:p>
    <w:p w14:paraId="76D83D8C">
      <w:pPr>
        <w:tabs>
          <w:tab w:val="left" w:pos="1276"/>
        </w:tabs>
        <w:spacing w:line="360" w:lineRule="auto"/>
        <w:ind w:left="283" w:hanging="283" w:hangingChars="135"/>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r>
        <w:rPr>
          <w:rFonts w:hint="eastAsia" w:ascii="宋体" w:hAnsi="宋体" w:eastAsia="宋体"/>
          <w:color w:val="auto"/>
          <w:szCs w:val="21"/>
          <w:highlight w:val="none"/>
        </w:rPr>
        <w:t>资格业绩【</w:t>
      </w:r>
      <w:r>
        <w:rPr>
          <w:rFonts w:hint="eastAsia" w:ascii="宋体" w:hAnsi="宋体" w:eastAsia="宋体"/>
          <w:color w:val="auto"/>
          <w:szCs w:val="21"/>
          <w:highlight w:val="none"/>
          <w:lang w:val="zh-CN"/>
        </w:rPr>
        <w:t>投标人202</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lang w:val="zh-CN"/>
        </w:rPr>
        <w:t>年1月1日以来(以合同签订日期为准)至少承接一个物业管理服务项目业绩(服务内容必须为物业管理服务且同时包含保洁（或清洁或环境卫生）及保安（或安保或秩序维护）服务，合同签订日期为</w:t>
      </w:r>
      <w:r>
        <w:rPr>
          <w:rFonts w:hint="eastAsia" w:ascii="宋体" w:hAnsi="宋体" w:eastAsia="宋体"/>
          <w:color w:val="auto"/>
          <w:szCs w:val="21"/>
          <w:highlight w:val="none"/>
          <w:lang w:val="en-US" w:eastAsia="zh-CN"/>
        </w:rPr>
        <w:t>2022</w:t>
      </w:r>
      <w:r>
        <w:rPr>
          <w:rFonts w:hint="eastAsia" w:ascii="宋体" w:hAnsi="宋体" w:eastAsia="宋体"/>
          <w:color w:val="auto"/>
          <w:szCs w:val="21"/>
          <w:highlight w:val="none"/>
          <w:lang w:val="zh-CN"/>
        </w:rPr>
        <w:t>年</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lang w:val="zh-CN"/>
        </w:rPr>
        <w:t>月</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lang w:val="zh-CN"/>
        </w:rPr>
        <w:t>日或以后）</w:t>
      </w:r>
      <w:r>
        <w:rPr>
          <w:rFonts w:hint="eastAsia" w:ascii="宋体" w:hAnsi="宋体" w:eastAsia="宋体"/>
          <w:color w:val="auto"/>
          <w:szCs w:val="21"/>
          <w:highlight w:val="none"/>
        </w:rPr>
        <w:t>，资格业绩证明材料提交要求详见招标文件第六篇投标文件格式</w:t>
      </w:r>
      <w:r>
        <w:rPr>
          <w:rFonts w:hint="eastAsia" w:ascii="宋体" w:hAnsi="宋体" w:eastAsia="宋体"/>
          <w:color w:val="auto"/>
          <w:szCs w:val="21"/>
          <w:highlight w:val="none"/>
          <w:u w:val="single"/>
          <w:lang w:val="en-US" w:eastAsia="zh-CN"/>
        </w:rPr>
        <w:t>5</w:t>
      </w:r>
      <w:r>
        <w:rPr>
          <w:rFonts w:hint="eastAsia" w:ascii="宋体" w:hAnsi="宋体" w:eastAsia="宋体"/>
          <w:color w:val="auto"/>
          <w:szCs w:val="21"/>
          <w:highlight w:val="none"/>
          <w:u w:val="single"/>
        </w:rPr>
        <w:t>.</w:t>
      </w:r>
      <w:r>
        <w:rPr>
          <w:rFonts w:hint="eastAsia" w:ascii="宋体" w:hAnsi="宋体" w:eastAsia="宋体"/>
          <w:color w:val="auto"/>
          <w:szCs w:val="21"/>
          <w:highlight w:val="none"/>
          <w:u w:val="single"/>
          <w:lang w:val="en-US" w:eastAsia="zh-CN"/>
        </w:rPr>
        <w:t>4</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w:t>
      </w:r>
    </w:p>
    <w:p w14:paraId="3584EE25">
      <w:pPr>
        <w:autoSpaceDE w:val="0"/>
        <w:autoSpaceDN w:val="0"/>
        <w:adjustRightInd w:val="0"/>
        <w:spacing w:line="360" w:lineRule="auto"/>
        <w:ind w:left="913" w:hanging="913" w:hangingChars="4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p>
    <w:p w14:paraId="6ABEED96">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）投标人基本情况一览表；</w:t>
      </w:r>
    </w:p>
    <w:p w14:paraId="6DA69352">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）投标人财务状况表；</w:t>
      </w:r>
    </w:p>
    <w:p w14:paraId="6A0FC1D3">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val="zh-CN"/>
        </w:rPr>
        <w:t>）标准化体系认证；</w:t>
      </w:r>
    </w:p>
    <w:p w14:paraId="0B347EBB">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）合同条款响应程度（合同条款偏离表）；</w:t>
      </w:r>
    </w:p>
    <w:p w14:paraId="7E0D2E81">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）业绩表；</w:t>
      </w:r>
    </w:p>
    <w:p w14:paraId="763BE601">
      <w:pPr>
        <w:tabs>
          <w:tab w:val="left" w:pos="567"/>
        </w:tabs>
        <w:autoSpaceDE/>
        <w:autoSpaceDN/>
        <w:adjustRightInd w:val="0"/>
        <w:spacing w:line="360" w:lineRule="auto"/>
        <w:ind w:left="420" w:leftChars="-100" w:hanging="630" w:hangingChars="30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服务便利性；</w:t>
      </w:r>
    </w:p>
    <w:p w14:paraId="2FEC1C7E">
      <w:pPr>
        <w:tabs>
          <w:tab w:val="left" w:pos="567"/>
        </w:tabs>
        <w:autoSpaceDE/>
        <w:autoSpaceDN/>
        <w:adjustRightInd w:val="0"/>
        <w:spacing w:line="360" w:lineRule="auto"/>
        <w:ind w:left="420" w:leftChars="-100" w:hanging="630" w:hangingChars="300"/>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扫描件等投标人认为有需要证明其具备为本次招标项目提供服务能力的有关其它商务文件（不做强制要求）。</w:t>
      </w:r>
    </w:p>
    <w:p w14:paraId="1213E6AC">
      <w:pPr>
        <w:autoSpaceDE w:val="0"/>
        <w:autoSpaceDN w:val="0"/>
        <w:adjustRightInd w:val="0"/>
        <w:spacing w:line="360" w:lineRule="auto"/>
        <w:ind w:left="422" w:leftChars="-100" w:hanging="632" w:hangingChars="300"/>
        <w:rPr>
          <w:rFonts w:hint="eastAsia"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w:t>
      </w:r>
      <w:r>
        <w:rPr>
          <w:rFonts w:hint="eastAsia" w:ascii="宋体" w:hAnsi="宋体" w:eastAsia="宋体" w:cs="宋体"/>
          <w:b/>
          <w:color w:val="auto"/>
          <w:kern w:val="0"/>
          <w:szCs w:val="24"/>
          <w:highlight w:val="none"/>
          <w:lang w:val="en-US" w:eastAsia="zh-CN"/>
        </w:rPr>
        <w:t>标</w:t>
      </w:r>
      <w:r>
        <w:rPr>
          <w:rFonts w:hint="eastAsia" w:ascii="宋体" w:hAnsi="宋体" w:eastAsia="宋体" w:cs="宋体"/>
          <w:b/>
          <w:color w:val="auto"/>
          <w:kern w:val="0"/>
          <w:szCs w:val="24"/>
          <w:highlight w:val="none"/>
        </w:rPr>
        <w:t>：</w:t>
      </w:r>
    </w:p>
    <w:p w14:paraId="16C21315">
      <w:pPr>
        <w:autoSpaceDE w:val="0"/>
        <w:autoSpaceDN w:val="0"/>
        <w:adjustRightInd w:val="0"/>
        <w:spacing w:line="360" w:lineRule="auto"/>
        <w:ind w:right="-23" w:rightChars="-11"/>
        <w:jc w:val="left"/>
        <w:rPr>
          <w:rFonts w:hint="eastAsia" w:ascii="宋体" w:hAnsi="宋体" w:eastAsia="宋体" w:cs="宋体"/>
          <w:b/>
          <w:bCs/>
          <w:color w:val="auto"/>
          <w:kern w:val="0"/>
          <w:szCs w:val="21"/>
          <w:highlight w:val="none"/>
          <w:lang w:val="zh-CN"/>
        </w:rPr>
      </w:pPr>
      <w:r>
        <w:rPr>
          <w:rFonts w:hint="eastAsia" w:ascii="宋体" w:hAnsi="宋体" w:eastAsia="宋体" w:cs="宋体"/>
          <w:b/>
          <w:bCs/>
          <w:color w:val="auto"/>
          <w:kern w:val="0"/>
          <w:szCs w:val="21"/>
          <w:highlight w:val="none"/>
          <w:lang w:val="zh-CN"/>
        </w:rPr>
        <w:t xml:space="preserve">    目录：</w:t>
      </w:r>
    </w:p>
    <w:p w14:paraId="2E00B095">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（1）用户需求响应程度（即用户需求偏离表）；</w:t>
      </w:r>
    </w:p>
    <w:p w14:paraId="45C347F5">
      <w:pPr>
        <w:spacing w:line="360" w:lineRule="auto"/>
        <w:ind w:left="105" w:leftChars="-100" w:hanging="315" w:hangingChars="1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物业管理带教服务方案（投标人自行编写）</w:t>
      </w:r>
      <w:r>
        <w:rPr>
          <w:rFonts w:hint="eastAsia" w:ascii="宋体" w:hAnsi="宋体" w:eastAsia="宋体" w:cs="宋体"/>
          <w:color w:val="auto"/>
          <w:kern w:val="0"/>
          <w:szCs w:val="21"/>
          <w:highlight w:val="none"/>
          <w:lang w:eastAsia="zh-CN"/>
        </w:rPr>
        <w:t>；</w:t>
      </w:r>
    </w:p>
    <w:p w14:paraId="4CA13BAA">
      <w:pPr>
        <w:spacing w:line="360" w:lineRule="auto"/>
        <w:ind w:left="105" w:leftChars="-100" w:hanging="315" w:hangingChars="1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（3）物业管理运营服务方案</w:t>
      </w:r>
      <w:r>
        <w:rPr>
          <w:rFonts w:hint="eastAsia" w:ascii="宋体" w:hAnsi="宋体" w:eastAsia="宋体" w:cs="宋体"/>
          <w:color w:val="auto"/>
          <w:kern w:val="0"/>
          <w:szCs w:val="21"/>
          <w:highlight w:val="none"/>
        </w:rPr>
        <w:t>（投标人自行编写）</w:t>
      </w:r>
      <w:r>
        <w:rPr>
          <w:rFonts w:hint="eastAsia" w:ascii="宋体" w:hAnsi="宋体" w:eastAsia="宋体" w:cs="宋体"/>
          <w:color w:val="auto"/>
          <w:kern w:val="0"/>
          <w:szCs w:val="21"/>
          <w:highlight w:val="none"/>
          <w:lang w:eastAsia="zh-CN"/>
        </w:rPr>
        <w:t>；</w:t>
      </w:r>
    </w:p>
    <w:p w14:paraId="7549175F">
      <w:pPr>
        <w:spacing w:line="360" w:lineRule="auto"/>
        <w:ind w:left="105" w:leftChars="-100" w:hanging="315" w:hangingChars="1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拟投入本项目的服务人员情况</w:t>
      </w:r>
      <w:r>
        <w:rPr>
          <w:rFonts w:hint="eastAsia" w:ascii="宋体" w:hAnsi="宋体" w:eastAsia="宋体" w:cs="宋体"/>
          <w:color w:val="auto"/>
          <w:kern w:val="0"/>
          <w:szCs w:val="21"/>
          <w:highlight w:val="none"/>
          <w:lang w:eastAsia="zh-CN"/>
        </w:rPr>
        <w:t>；</w:t>
      </w:r>
    </w:p>
    <w:p w14:paraId="6E49E0C8">
      <w:pPr>
        <w:spacing w:line="360" w:lineRule="auto"/>
        <w:ind w:left="105" w:leftChars="-100" w:hanging="315" w:hangingChars="1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拟投入的设备及软件系统情况</w:t>
      </w:r>
      <w:r>
        <w:rPr>
          <w:rFonts w:hint="eastAsia" w:ascii="宋体" w:hAnsi="宋体" w:eastAsia="宋体" w:cs="宋体"/>
          <w:color w:val="auto"/>
          <w:kern w:val="0"/>
          <w:szCs w:val="21"/>
          <w:highlight w:val="none"/>
          <w:lang w:eastAsia="zh-CN"/>
        </w:rPr>
        <w:t>；</w:t>
      </w:r>
    </w:p>
    <w:p w14:paraId="7EBD9CF9">
      <w:pPr>
        <w:spacing w:line="360" w:lineRule="auto"/>
        <w:ind w:left="105" w:leftChars="-100" w:hanging="315" w:hangingChars="1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（6）应急预案和重大活动保障措施（投标人自行编写）；</w:t>
      </w:r>
    </w:p>
    <w:p w14:paraId="7D1C0859">
      <w:pPr>
        <w:spacing w:line="360" w:lineRule="auto"/>
        <w:ind w:left="105" w:leftChars="-100" w:hanging="315" w:hangingChars="1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（7）投标人认为有必要提供的其它材料（不做强制要求）</w:t>
      </w:r>
      <w:r>
        <w:rPr>
          <w:rFonts w:hint="eastAsia" w:ascii="宋体" w:hAnsi="宋体" w:eastAsia="宋体" w:cs="宋体"/>
          <w:color w:val="auto"/>
          <w:kern w:val="0"/>
          <w:szCs w:val="21"/>
          <w:highlight w:val="none"/>
        </w:rPr>
        <w:t>。</w:t>
      </w:r>
    </w:p>
    <w:p w14:paraId="189A4E6E">
      <w:pPr>
        <w:autoSpaceDE w:val="0"/>
        <w:autoSpaceDN w:val="0"/>
        <w:adjustRightInd w:val="0"/>
        <w:spacing w:line="360" w:lineRule="auto"/>
        <w:ind w:left="422" w:leftChars="-100" w:hanging="632" w:hangingChars="300"/>
        <w:outlineLvl w:val="9"/>
        <w:rPr>
          <w:rFonts w:hint="eastAsia" w:ascii="宋体" w:hAnsi="宋体" w:eastAsia="宋体" w:cs="宋体"/>
          <w:b/>
          <w:bCs/>
          <w:color w:val="auto"/>
          <w:szCs w:val="21"/>
          <w:highlight w:val="none"/>
          <w:lang w:val="zh-CN"/>
        </w:rPr>
      </w:pPr>
      <w:bookmarkStart w:id="159" w:name="_Toc27336"/>
      <w:bookmarkStart w:id="160" w:name="_Toc25590"/>
      <w:r>
        <w:rPr>
          <w:rFonts w:hint="eastAsia" w:ascii="宋体" w:hAnsi="宋体" w:eastAsia="宋体" w:cs="宋体"/>
          <w:b/>
          <w:bCs/>
          <w:color w:val="auto"/>
          <w:szCs w:val="21"/>
          <w:highlight w:val="none"/>
          <w:lang w:val="zh-CN"/>
        </w:rPr>
        <w:t>9.1.</w:t>
      </w:r>
      <w:r>
        <w:rPr>
          <w:rFonts w:hint="eastAsia" w:ascii="宋体" w:hAnsi="宋体" w:eastAsia="宋体" w:cs="宋体"/>
          <w:b/>
          <w:bCs/>
          <w:color w:val="auto"/>
          <w:szCs w:val="21"/>
          <w:highlight w:val="none"/>
        </w:rPr>
        <w:t>3</w:t>
      </w:r>
      <w:r>
        <w:rPr>
          <w:rFonts w:hint="eastAsia" w:ascii="宋体" w:hAnsi="宋体" w:eastAsia="宋体" w:cs="宋体"/>
          <w:b/>
          <w:bCs/>
          <w:color w:val="auto"/>
          <w:szCs w:val="21"/>
          <w:highlight w:val="none"/>
          <w:lang w:val="zh-CN"/>
        </w:rPr>
        <w:t xml:space="preserve"> 报价信封</w:t>
      </w:r>
      <w:bookmarkEnd w:id="159"/>
      <w:bookmarkEnd w:id="160"/>
    </w:p>
    <w:p w14:paraId="6F1E9F52">
      <w:pPr>
        <w:autoSpaceDE w:val="0"/>
        <w:autoSpaceDN w:val="0"/>
        <w:adjustRightInd w:val="0"/>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按照投标文件格式中的要求进行编制。</w:t>
      </w:r>
    </w:p>
    <w:p w14:paraId="29F549E1">
      <w:pPr>
        <w:autoSpaceDE w:val="0"/>
        <w:autoSpaceDN w:val="0"/>
        <w:adjustRightInd w:val="0"/>
        <w:spacing w:line="360" w:lineRule="auto"/>
        <w:ind w:left="317" w:leftChars="-100" w:hanging="527" w:hangingChars="250"/>
        <w:outlineLvl w:val="9"/>
        <w:rPr>
          <w:rFonts w:hint="eastAsia" w:ascii="宋体" w:hAnsi="宋体" w:eastAsia="宋体" w:cs="宋体"/>
          <w:b/>
          <w:bCs/>
          <w:color w:val="auto"/>
          <w:szCs w:val="21"/>
          <w:highlight w:val="none"/>
        </w:rPr>
      </w:pPr>
      <w:bookmarkStart w:id="161" w:name="_Toc10574"/>
      <w:bookmarkStart w:id="162" w:name="_Toc4502"/>
      <w:r>
        <w:rPr>
          <w:rFonts w:hint="eastAsia" w:ascii="宋体" w:hAnsi="宋体" w:eastAsia="宋体" w:cs="宋体"/>
          <w:b/>
          <w:bCs/>
          <w:color w:val="auto"/>
          <w:szCs w:val="21"/>
          <w:highlight w:val="none"/>
        </w:rPr>
        <w:t>9.2  投标文件格式</w:t>
      </w:r>
      <w:bookmarkEnd w:id="161"/>
      <w:bookmarkEnd w:id="162"/>
    </w:p>
    <w:p w14:paraId="6E507CD9">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）商务标必须按招标文件所附的商务标格式编制（参见第六篇）。</w:t>
      </w:r>
    </w:p>
    <w:p w14:paraId="6F763E4C">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）技术标必须按招标文件所附的技术标格式编制（参见第六篇）。</w:t>
      </w:r>
    </w:p>
    <w:p w14:paraId="12369747">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）报价信封由投标人使用电子标书制作软件编制（参见第六篇）。</w:t>
      </w:r>
    </w:p>
    <w:p w14:paraId="428BD847">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 xml:space="preserve">  投标人按照投标文件的组成目录编制投标文件应包括上述内容，但不限于上述内容。招标文件提供了相关格式的，严格按照招标文件的要求编制，投标文件未含格式的，投标人自行编制。投标文件编制中要求的扫描件、照片可为该资料扫描件。</w:t>
      </w:r>
    </w:p>
    <w:p w14:paraId="2298B3A8">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 xml:space="preserve">  </w:t>
      </w:r>
      <w:r>
        <w:rPr>
          <w:rFonts w:hint="eastAsia" w:ascii="宋体" w:hAnsi="宋体" w:eastAsia="宋体" w:cs="宋体"/>
          <w:b/>
          <w:color w:val="auto"/>
          <w:szCs w:val="21"/>
          <w:highlight w:val="none"/>
          <w:u w:val="single"/>
          <w:lang w:val="zh-CN"/>
        </w:rPr>
        <w:t>投标文件中相关证件、证书、合同、发票、照片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14:paraId="544F2A97">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p>
    <w:p w14:paraId="72BDBDFA">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63" w:name="_Toc13214"/>
      <w:bookmarkStart w:id="164" w:name="_Toc142508324"/>
      <w:bookmarkStart w:id="165" w:name="_Toc28788"/>
      <w:bookmarkStart w:id="166" w:name="_Toc486167674"/>
      <w:bookmarkStart w:id="167" w:name="_Toc17386"/>
      <w:bookmarkStart w:id="168" w:name="_Toc450662860"/>
      <w:bookmarkStart w:id="169" w:name="_Toc8675_WPSOffice_Level3"/>
      <w:bookmarkStart w:id="170" w:name="_Toc11170"/>
      <w:r>
        <w:rPr>
          <w:rFonts w:hint="eastAsia" w:ascii="宋体" w:hAnsi="宋体" w:eastAsia="宋体" w:cs="宋体"/>
          <w:color w:val="auto"/>
          <w:szCs w:val="21"/>
          <w:highlight w:val="none"/>
          <w:lang w:val="zh-CN"/>
        </w:rPr>
        <w:t>10 投标函</w:t>
      </w:r>
      <w:bookmarkEnd w:id="163"/>
      <w:bookmarkEnd w:id="164"/>
      <w:bookmarkEnd w:id="165"/>
      <w:bookmarkEnd w:id="166"/>
      <w:bookmarkEnd w:id="167"/>
      <w:bookmarkEnd w:id="168"/>
      <w:bookmarkEnd w:id="169"/>
      <w:bookmarkEnd w:id="170"/>
    </w:p>
    <w:p w14:paraId="1E1F5885">
      <w:pPr>
        <w:autoSpaceDE w:val="0"/>
        <w:autoSpaceDN w:val="0"/>
        <w:adjustRightInd w:val="0"/>
        <w:spacing w:line="360" w:lineRule="auto"/>
        <w:ind w:left="265" w:leftChars="119" w:hanging="1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14:paraId="0422B40D">
      <w:pPr>
        <w:autoSpaceDE w:val="0"/>
        <w:autoSpaceDN w:val="0"/>
        <w:adjustRightInd w:val="0"/>
        <w:spacing w:line="360" w:lineRule="auto"/>
        <w:ind w:left="265" w:leftChars="119" w:hanging="15"/>
        <w:rPr>
          <w:rFonts w:hint="eastAsia" w:ascii="宋体" w:hAnsi="宋体" w:eastAsia="宋体" w:cs="宋体"/>
          <w:color w:val="auto"/>
          <w:szCs w:val="21"/>
          <w:highlight w:val="none"/>
          <w:lang w:val="zh-CN"/>
        </w:rPr>
      </w:pPr>
    </w:p>
    <w:p w14:paraId="42CD0799">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71" w:name="_Toc10252"/>
      <w:bookmarkStart w:id="172" w:name="_Toc24311"/>
      <w:bookmarkStart w:id="173" w:name="_Toc486167675"/>
      <w:bookmarkStart w:id="174" w:name="_Toc7391"/>
      <w:bookmarkStart w:id="175" w:name="_Toc450662861"/>
      <w:bookmarkStart w:id="176" w:name="_Toc15427"/>
      <w:bookmarkStart w:id="177" w:name="_Toc142508325"/>
      <w:bookmarkStart w:id="178" w:name="_Toc4385_WPSOffice_Level3"/>
      <w:r>
        <w:rPr>
          <w:rFonts w:hint="eastAsia" w:ascii="宋体" w:hAnsi="宋体" w:eastAsia="宋体" w:cs="宋体"/>
          <w:color w:val="auto"/>
          <w:szCs w:val="21"/>
          <w:highlight w:val="none"/>
          <w:lang w:val="zh-CN"/>
        </w:rPr>
        <w:t>11 投标报价</w:t>
      </w:r>
      <w:bookmarkEnd w:id="171"/>
      <w:bookmarkEnd w:id="172"/>
      <w:bookmarkEnd w:id="173"/>
      <w:bookmarkEnd w:id="174"/>
      <w:bookmarkEnd w:id="175"/>
      <w:bookmarkEnd w:id="176"/>
      <w:bookmarkEnd w:id="177"/>
      <w:bookmarkEnd w:id="178"/>
    </w:p>
    <w:p w14:paraId="7A8D7673">
      <w:pPr>
        <w:tabs>
          <w:tab w:val="left" w:pos="567"/>
        </w:tabs>
        <w:autoSpaceDE w:val="0"/>
        <w:autoSpaceDN w:val="0"/>
        <w:adjustRightInd w:val="0"/>
        <w:spacing w:line="360" w:lineRule="auto"/>
        <w:ind w:left="357" w:leftChars="-100" w:hanging="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 xml:space="preserve">11.1  </w:t>
      </w:r>
      <w:r>
        <w:rPr>
          <w:rFonts w:hint="eastAsia" w:ascii="宋体" w:hAnsi="宋体" w:eastAsia="宋体" w:cs="宋体"/>
          <w:b/>
          <w:bCs w:val="0"/>
          <w:color w:val="auto"/>
          <w:szCs w:val="21"/>
          <w:highlight w:val="none"/>
          <w:lang w:val="zh-CN"/>
        </w:rPr>
        <w:t>本项目只允许有一个报价价格</w:t>
      </w:r>
      <w:r>
        <w:rPr>
          <w:rFonts w:hint="eastAsia" w:ascii="宋体" w:hAnsi="宋体" w:eastAsia="宋体" w:cs="宋体"/>
          <w:b/>
          <w:color w:val="auto"/>
          <w:szCs w:val="21"/>
          <w:highlight w:val="none"/>
          <w:lang w:val="zh-CN"/>
        </w:rPr>
        <w:t>，任何有选择的或</w:t>
      </w:r>
      <w:r>
        <w:rPr>
          <w:rFonts w:hint="eastAsia" w:ascii="宋体" w:hAnsi="宋体" w:eastAsia="宋体" w:cs="宋体"/>
          <w:b/>
          <w:color w:val="auto"/>
          <w:kern w:val="0"/>
          <w:szCs w:val="21"/>
          <w:highlight w:val="none"/>
          <w:lang w:val="zh-CN"/>
        </w:rPr>
        <w:t>不是固定价的</w:t>
      </w:r>
      <w:r>
        <w:rPr>
          <w:rFonts w:hint="eastAsia" w:ascii="宋体" w:hAnsi="宋体" w:eastAsia="宋体" w:cs="宋体"/>
          <w:b/>
          <w:color w:val="auto"/>
          <w:szCs w:val="21"/>
          <w:highlight w:val="none"/>
          <w:lang w:val="zh-CN"/>
        </w:rPr>
        <w:t>投标报价将不予接受，</w:t>
      </w:r>
      <w:r>
        <w:rPr>
          <w:rFonts w:hint="eastAsia" w:ascii="宋体" w:hAnsi="宋体" w:eastAsia="宋体" w:cs="宋体"/>
          <w:b/>
          <w:color w:val="auto"/>
          <w:kern w:val="0"/>
          <w:szCs w:val="21"/>
          <w:highlight w:val="none"/>
          <w:lang w:val="zh-CN"/>
        </w:rPr>
        <w:t>作为非实质性响应投标而予以拒绝。</w:t>
      </w:r>
      <w:r>
        <w:rPr>
          <w:rFonts w:hint="eastAsia" w:ascii="宋体" w:hAnsi="宋体" w:eastAsia="宋体" w:cs="宋体"/>
          <w:b/>
          <w:color w:val="auto"/>
          <w:kern w:val="0"/>
          <w:szCs w:val="21"/>
          <w:highlight w:val="none"/>
        </w:rPr>
        <w:t>投标人不得以低于企业自身成本的价格竞投</w:t>
      </w:r>
      <w:r>
        <w:rPr>
          <w:rFonts w:hint="eastAsia" w:ascii="宋体" w:hAnsi="宋体" w:eastAsia="宋体" w:cs="宋体"/>
          <w:b/>
          <w:color w:val="auto"/>
          <w:szCs w:val="21"/>
          <w:highlight w:val="none"/>
          <w:lang w:val="zh-CN"/>
        </w:rPr>
        <w:t>。</w:t>
      </w:r>
    </w:p>
    <w:p w14:paraId="58780D0C">
      <w:pPr>
        <w:tabs>
          <w:tab w:val="left" w:pos="567"/>
        </w:tabs>
        <w:autoSpaceDE w:val="0"/>
        <w:autoSpaceDN w:val="0"/>
        <w:adjustRightInd w:val="0"/>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102AD754">
      <w:pPr>
        <w:tabs>
          <w:tab w:val="left" w:pos="567"/>
        </w:tabs>
        <w:autoSpaceDE w:val="0"/>
        <w:autoSpaceDN w:val="0"/>
        <w:adjustRightInd w:val="0"/>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lang w:val="en-US" w:eastAsia="zh-CN"/>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14:paraId="758BCA7D">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项目报价为不含税价，即为《中华人民共和国增值税暂行条例》(国务院令第691号修订版)规定的销售额。本招标文件所称的不含税价和合同价是指不含本采购项目投标人的销项税额，包含了投标人完成合同义务(含投标人代缴代扣、分包及委外服务、施工、采购货物等所产生的价税)的其他全部费用。本采购项目依法计算的销项税额由招标人承担，不计入投标报价。投标报价包括物业管理带教服务费用、物业管理运营服务费用最高限额、物业管理运营服务人工费用最高限额，包括但不限于以下内容涉及的费用：</w:t>
      </w:r>
    </w:p>
    <w:p w14:paraId="1CA26243">
      <w:pPr>
        <w:spacing w:line="360" w:lineRule="auto"/>
        <w:ind w:left="357" w:leftChars="-100" w:hanging="567"/>
        <w:outlineLvl w:val="9"/>
        <w:rPr>
          <w:rFonts w:hint="eastAsia" w:ascii="宋体" w:hAnsi="宋体" w:eastAsia="宋体" w:cs="宋体"/>
          <w:color w:val="auto"/>
          <w:szCs w:val="21"/>
          <w:highlight w:val="none"/>
          <w:lang w:val="en-US" w:eastAsia="zh-CN"/>
        </w:rPr>
      </w:pPr>
      <w:bookmarkStart w:id="179" w:name="_Toc12620"/>
      <w:bookmarkStart w:id="180" w:name="_Toc16129"/>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物业管理带教服务费用：招标人按中标人投标报价的金额结合考核结果分期向中标人支付，包括但不限于：中标人对招标人委派的学员进行系统化的带教，使学员全面掌握写字楼物业项目的运营管理知识与技能，具备独立处理复杂问题、带领团队、达成业绩指标的能力等相关费用，开展项目管理体系、客户服务与关系维护、工程运维管理、秩序维护与环境管理、运营管理与财务知识、管理能力与领导力等带教内容，以及制定专项培养计划、组建带教团队、投入培训资源、带教过程实施、带教成果资料交付、带教考核验收等带教工作相关费用；合理利润、中标人销项税额以外的税费等；法律法规、商业公认、招标文件规定由中标人承担的其他直接及间接费用。</w:t>
      </w:r>
    </w:p>
    <w:p w14:paraId="1C73E880">
      <w:pPr>
        <w:spacing w:line="360" w:lineRule="auto"/>
        <w:ind w:left="357" w:leftChars="-100" w:hanging="567" w:firstLineChars="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（2）物业管理运营服务费用最高限额：</w:t>
      </w:r>
      <w:bookmarkEnd w:id="179"/>
      <w:bookmarkEnd w:id="180"/>
      <w:r>
        <w:rPr>
          <w:rFonts w:hint="eastAsia" w:ascii="宋体" w:hAnsi="宋体" w:eastAsia="宋体" w:cs="宋体"/>
          <w:color w:val="auto"/>
          <w:szCs w:val="21"/>
          <w:highlight w:val="none"/>
          <w:lang w:val="en-US" w:eastAsia="zh-CN"/>
        </w:rPr>
        <w:t>是指完成包括但不限于客户服务管理、安全保卫管理、清洁卫生管理、园林绿化的养护和管理、空调系统维护保养管理、消防系统维护保养管理、供配电系统维护保养管理、给排水系统维护保养管理、智能化系统维护与保养管理、电梯系统维护与保养管理、突发应急管理、楼宇主体及其附属设施、公共配套设施维护与保养、日常物业维修及物业使用人装修管理、其他服务等服务以及对应人工的费用最高限额。物业管理运营服务费用在中标人投标报价的单项费用最高限额内，据实支付；若单项服务实际发生费用（不含销项税额）超出中标人投标报价该单项费用最高限额的，超过最高限额部分招标人不予支付，由中标人承担，并且招标人有权根据本合同约定的考核标准、违约责任条款追究中标人的违约责任。物业管理运营服务人工费用最高限额是指综合支持、安保、环境、客服、工程等岗位人员的费用最高限额，此项费用已包含在物业管理运营服务费用最高限额内。</w:t>
      </w:r>
    </w:p>
    <w:p w14:paraId="540584F1">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11.3 </w:t>
      </w:r>
      <w:r>
        <w:rPr>
          <w:rFonts w:hint="eastAsia" w:ascii="宋体" w:hAnsi="宋体" w:eastAsia="宋体" w:cs="宋体"/>
          <w:color w:val="auto"/>
          <w:szCs w:val="21"/>
          <w:highlight w:val="none"/>
          <w:lang w:val="zh-CN"/>
        </w:rPr>
        <w:t>投标人根据</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第11.</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款</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t>所报的价格分项仅供评标委员会评审时使用；在任何情况下不限制投标人以不同的条件中标的权利。</w:t>
      </w:r>
    </w:p>
    <w:p w14:paraId="57EFAF00">
      <w:pPr>
        <w:autoSpaceDE w:val="0"/>
        <w:autoSpaceDN w:val="0"/>
        <w:adjustRightInd w:val="0"/>
        <w:spacing w:line="360" w:lineRule="auto"/>
        <w:ind w:left="268" w:leftChars="-100" w:hanging="478" w:hangingChars="228"/>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 xml:space="preserve"> </w:t>
      </w:r>
    </w:p>
    <w:p w14:paraId="1BF8C53D">
      <w:pPr>
        <w:autoSpaceDE w:val="0"/>
        <w:autoSpaceDN w:val="0"/>
        <w:adjustRightInd w:val="0"/>
        <w:spacing w:line="360" w:lineRule="auto"/>
        <w:ind w:left="357" w:leftChars="-100" w:hanging="567"/>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11.5 合同项下，招标人需要的</w:t>
      </w:r>
      <w:r>
        <w:rPr>
          <w:rFonts w:hint="eastAsia" w:ascii="宋体" w:hAnsi="宋体" w:eastAsia="宋体" w:cs="宋体"/>
          <w:b/>
          <w:bCs/>
          <w:color w:val="auto"/>
          <w:szCs w:val="21"/>
          <w:highlight w:val="none"/>
          <w:lang w:val="en-US" w:eastAsia="zh-CN"/>
        </w:rPr>
        <w:t>相关</w:t>
      </w:r>
      <w:r>
        <w:rPr>
          <w:rFonts w:hint="eastAsia" w:ascii="宋体" w:hAnsi="宋体" w:eastAsia="宋体" w:cs="宋体"/>
          <w:b/>
          <w:bCs/>
          <w:color w:val="auto"/>
          <w:szCs w:val="21"/>
          <w:highlight w:val="none"/>
          <w:lang w:val="zh-CN"/>
        </w:rPr>
        <w:t>服务所需的费用，投标人都应计入投标报价总价。</w:t>
      </w:r>
    </w:p>
    <w:p w14:paraId="37998856">
      <w:pPr>
        <w:autoSpaceDE w:val="0"/>
        <w:autoSpaceDN w:val="0"/>
        <w:adjustRightInd w:val="0"/>
        <w:spacing w:line="360" w:lineRule="auto"/>
        <w:ind w:left="357" w:leftChars="-100" w:hanging="567"/>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11.6 本项目不含税最高投标限价为13,305,194.51元（大写：</w:t>
      </w:r>
      <w:r>
        <w:rPr>
          <w:rFonts w:hint="eastAsia" w:ascii="宋体" w:hAnsi="宋体" w:eastAsia="宋体" w:cs="宋体"/>
          <w:b/>
          <w:bCs/>
          <w:color w:val="auto"/>
          <w:szCs w:val="21"/>
          <w:highlight w:val="none"/>
          <w:lang w:val="en-US" w:eastAsia="zh-CN"/>
        </w:rPr>
        <w:t>人民币壹仟叁佰叁拾万零伍仟壹佰玖拾肆元伍角壹分</w:t>
      </w:r>
      <w:r>
        <w:rPr>
          <w:rFonts w:hint="eastAsia" w:ascii="宋体" w:hAnsi="宋体" w:eastAsia="宋体" w:cs="宋体"/>
          <w:b/>
          <w:bCs/>
          <w:color w:val="auto"/>
          <w:szCs w:val="21"/>
          <w:highlight w:val="none"/>
          <w:lang w:val="zh-CN"/>
        </w:rPr>
        <w:t>）,其中各单项报价的最高投标限价如下：物业管理带教服务费</w:t>
      </w:r>
      <w:r>
        <w:rPr>
          <w:rFonts w:hint="eastAsia" w:ascii="宋体" w:hAnsi="宋体" w:eastAsia="宋体" w:cs="宋体"/>
          <w:b/>
          <w:bCs/>
          <w:color w:val="auto"/>
          <w:szCs w:val="21"/>
          <w:highlight w:val="none"/>
          <w:lang w:val="en-US" w:eastAsia="zh-CN"/>
        </w:rPr>
        <w:t>不含税</w:t>
      </w:r>
      <w:r>
        <w:rPr>
          <w:rFonts w:hint="eastAsia" w:ascii="宋体" w:hAnsi="宋体" w:eastAsia="宋体" w:cs="宋体"/>
          <w:b/>
          <w:bCs/>
          <w:color w:val="auto"/>
          <w:szCs w:val="21"/>
          <w:highlight w:val="none"/>
          <w:lang w:val="zh-CN"/>
        </w:rPr>
        <w:t>最高投标限价为937</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lang w:val="zh-CN"/>
        </w:rPr>
        <w:t>253.2</w:t>
      </w:r>
      <w:r>
        <w:rPr>
          <w:rFonts w:hint="eastAsia" w:ascii="宋体" w:hAnsi="宋体" w:eastAsia="宋体" w:cs="宋体"/>
          <w:b/>
          <w:bCs/>
          <w:color w:val="auto"/>
          <w:szCs w:val="21"/>
          <w:highlight w:val="none"/>
          <w:lang w:val="en-US" w:eastAsia="zh-CN"/>
        </w:rPr>
        <w:t>0</w:t>
      </w:r>
      <w:r>
        <w:rPr>
          <w:rFonts w:hint="eastAsia" w:ascii="宋体" w:hAnsi="宋体" w:eastAsia="宋体" w:cs="宋体"/>
          <w:b/>
          <w:bCs/>
          <w:color w:val="auto"/>
          <w:szCs w:val="21"/>
          <w:highlight w:val="none"/>
          <w:lang w:val="zh-CN"/>
        </w:rPr>
        <w:t>元（大写：</w:t>
      </w:r>
      <w:r>
        <w:rPr>
          <w:rFonts w:hint="eastAsia" w:ascii="宋体" w:hAnsi="宋体" w:eastAsia="宋体" w:cs="宋体"/>
          <w:b/>
          <w:bCs/>
          <w:color w:val="auto"/>
          <w:szCs w:val="21"/>
          <w:highlight w:val="none"/>
          <w:lang w:val="en-US" w:eastAsia="zh-CN"/>
        </w:rPr>
        <w:t>人民币</w:t>
      </w:r>
      <w:r>
        <w:rPr>
          <w:rFonts w:hint="eastAsia" w:ascii="宋体" w:hAnsi="宋体" w:eastAsia="宋体" w:cs="宋体"/>
          <w:b/>
          <w:bCs/>
          <w:color w:val="auto"/>
          <w:szCs w:val="21"/>
          <w:highlight w:val="none"/>
          <w:u w:val="none"/>
          <w:lang w:val="en-US" w:eastAsia="zh-CN"/>
        </w:rPr>
        <w:t>玖拾叁万柒仟贰佰伍拾叁元贰角</w:t>
      </w:r>
      <w:r>
        <w:rPr>
          <w:rFonts w:hint="eastAsia" w:ascii="宋体" w:hAnsi="宋体" w:eastAsia="宋体" w:cs="宋体"/>
          <w:b/>
          <w:bCs/>
          <w:color w:val="auto"/>
          <w:szCs w:val="21"/>
          <w:highlight w:val="none"/>
          <w:lang w:val="zh-CN"/>
        </w:rPr>
        <w:t>）、物业管理运营服务费用最高限额</w:t>
      </w:r>
      <w:r>
        <w:rPr>
          <w:rFonts w:hint="eastAsia" w:ascii="宋体" w:hAnsi="宋体" w:eastAsia="宋体" w:cs="宋体"/>
          <w:b/>
          <w:bCs/>
          <w:color w:val="auto"/>
          <w:szCs w:val="21"/>
          <w:highlight w:val="none"/>
          <w:lang w:val="en-US" w:eastAsia="zh-CN"/>
        </w:rPr>
        <w:t>的不含税</w:t>
      </w:r>
      <w:r>
        <w:rPr>
          <w:rFonts w:hint="eastAsia" w:ascii="宋体" w:hAnsi="宋体" w:eastAsia="宋体" w:cs="宋体"/>
          <w:b/>
          <w:bCs/>
          <w:color w:val="auto"/>
          <w:szCs w:val="21"/>
          <w:highlight w:val="none"/>
          <w:lang w:val="zh-CN"/>
        </w:rPr>
        <w:t>最高投标限价为12,367,941.31元（大写：</w:t>
      </w:r>
      <w:r>
        <w:rPr>
          <w:rFonts w:hint="eastAsia" w:ascii="宋体" w:hAnsi="宋体" w:eastAsia="宋体" w:cs="宋体"/>
          <w:b/>
          <w:bCs/>
          <w:color w:val="auto"/>
          <w:szCs w:val="21"/>
          <w:highlight w:val="none"/>
          <w:lang w:val="en-US" w:eastAsia="zh-CN"/>
        </w:rPr>
        <w:t>人民币壹仟贰佰叁拾陆万柒仟玖佰肆拾壹元叁角壹分</w:t>
      </w:r>
      <w:r>
        <w:rPr>
          <w:rFonts w:hint="eastAsia" w:ascii="宋体" w:hAnsi="宋体" w:eastAsia="宋体" w:cs="宋体"/>
          <w:b/>
          <w:bCs/>
          <w:color w:val="auto"/>
          <w:szCs w:val="21"/>
          <w:highlight w:val="none"/>
          <w:lang w:val="zh-CN"/>
        </w:rPr>
        <w:t>）、</w:t>
      </w:r>
      <w:r>
        <w:rPr>
          <w:rFonts w:hint="eastAsia" w:ascii="宋体" w:hAnsi="宋体" w:eastAsia="宋体" w:cs="宋体"/>
          <w:b/>
          <w:bCs/>
          <w:color w:val="auto"/>
          <w:szCs w:val="21"/>
          <w:highlight w:val="none"/>
          <w:lang w:val="en-US" w:eastAsia="zh-CN"/>
        </w:rPr>
        <w:t>物业管理运营服务费中的</w:t>
      </w:r>
      <w:r>
        <w:rPr>
          <w:rFonts w:hint="eastAsia" w:ascii="宋体" w:hAnsi="宋体" w:eastAsia="宋体" w:cs="宋体"/>
          <w:b/>
          <w:bCs/>
          <w:color w:val="auto"/>
          <w:szCs w:val="21"/>
          <w:highlight w:val="none"/>
          <w:lang w:val="zh-CN"/>
        </w:rPr>
        <w:t>物业管理运营服务人工费用最高限额的</w:t>
      </w:r>
      <w:r>
        <w:rPr>
          <w:rFonts w:hint="eastAsia" w:ascii="宋体" w:hAnsi="宋体" w:eastAsia="宋体" w:cs="宋体"/>
          <w:b/>
          <w:bCs/>
          <w:color w:val="auto"/>
          <w:szCs w:val="21"/>
          <w:highlight w:val="none"/>
          <w:lang w:val="en-US" w:eastAsia="zh-CN"/>
        </w:rPr>
        <w:t>不含税</w:t>
      </w:r>
      <w:r>
        <w:rPr>
          <w:rFonts w:hint="eastAsia" w:ascii="宋体" w:hAnsi="宋体" w:eastAsia="宋体" w:cs="宋体"/>
          <w:b/>
          <w:bCs/>
          <w:color w:val="auto"/>
          <w:szCs w:val="21"/>
          <w:highlight w:val="none"/>
          <w:lang w:val="zh-CN"/>
        </w:rPr>
        <w:t>最高投标限价为9,924,674.98元（大写：</w:t>
      </w:r>
      <w:r>
        <w:rPr>
          <w:rFonts w:hint="eastAsia" w:ascii="宋体" w:hAnsi="宋体" w:eastAsia="宋体" w:cs="宋体"/>
          <w:b/>
          <w:bCs/>
          <w:color w:val="auto"/>
          <w:szCs w:val="21"/>
          <w:highlight w:val="none"/>
          <w:lang w:val="en-US" w:eastAsia="zh-CN"/>
        </w:rPr>
        <w:t>人民币玖佰玖拾贰万肆仟陆佰柒拾肆元玖角捌分</w:t>
      </w:r>
      <w:r>
        <w:rPr>
          <w:rFonts w:hint="eastAsia" w:ascii="宋体" w:hAnsi="宋体" w:eastAsia="宋体" w:cs="宋体"/>
          <w:b/>
          <w:bCs/>
          <w:color w:val="auto"/>
          <w:szCs w:val="21"/>
          <w:highlight w:val="none"/>
          <w:lang w:val="zh-CN"/>
        </w:rPr>
        <w:t>）。投标人的</w:t>
      </w:r>
      <w:r>
        <w:rPr>
          <w:rFonts w:hint="eastAsia" w:ascii="宋体" w:hAnsi="宋体" w:eastAsia="宋体" w:cs="宋体"/>
          <w:b/>
          <w:bCs/>
          <w:color w:val="auto"/>
          <w:szCs w:val="21"/>
          <w:highlight w:val="none"/>
          <w:lang w:val="en-US" w:eastAsia="zh-CN"/>
        </w:rPr>
        <w:t>投标</w:t>
      </w:r>
      <w:r>
        <w:rPr>
          <w:rFonts w:hint="eastAsia" w:ascii="宋体" w:hAnsi="宋体" w:eastAsia="宋体" w:cs="宋体"/>
          <w:b/>
          <w:bCs/>
          <w:color w:val="auto"/>
          <w:szCs w:val="21"/>
          <w:highlight w:val="none"/>
          <w:lang w:val="zh-CN"/>
        </w:rPr>
        <w:t>报价</w:t>
      </w:r>
      <w:r>
        <w:rPr>
          <w:rFonts w:hint="eastAsia" w:ascii="宋体" w:hAnsi="宋体" w:eastAsia="宋体" w:cs="宋体"/>
          <w:b/>
          <w:bCs/>
          <w:color w:val="auto"/>
          <w:szCs w:val="21"/>
          <w:highlight w:val="none"/>
          <w:lang w:val="en-US" w:eastAsia="zh-CN"/>
        </w:rPr>
        <w:t>高于</w:t>
      </w:r>
      <w:r>
        <w:rPr>
          <w:rFonts w:hint="eastAsia" w:ascii="宋体" w:hAnsi="宋体" w:eastAsia="宋体" w:cs="宋体"/>
          <w:b/>
          <w:bCs/>
          <w:color w:val="auto"/>
          <w:szCs w:val="21"/>
          <w:highlight w:val="none"/>
          <w:lang w:val="zh-CN"/>
        </w:rPr>
        <w:t>不含税最高投标限价的或单项报价超过</w:t>
      </w:r>
      <w:r>
        <w:rPr>
          <w:rFonts w:hint="eastAsia" w:ascii="宋体" w:hAnsi="宋体" w:eastAsia="宋体" w:cs="宋体"/>
          <w:b/>
          <w:bCs/>
          <w:color w:val="auto"/>
          <w:szCs w:val="21"/>
          <w:highlight w:val="none"/>
          <w:lang w:val="en-US" w:eastAsia="zh-CN"/>
        </w:rPr>
        <w:t>对应</w:t>
      </w:r>
      <w:r>
        <w:rPr>
          <w:rFonts w:hint="eastAsia" w:ascii="宋体" w:hAnsi="宋体" w:eastAsia="宋体" w:cs="宋体"/>
          <w:b/>
          <w:bCs/>
          <w:color w:val="auto"/>
          <w:szCs w:val="21"/>
          <w:highlight w:val="none"/>
          <w:lang w:val="zh-CN"/>
        </w:rPr>
        <w:t>单项最高投标限价的，该投标人的投标文件将被视为无效投标。</w:t>
      </w:r>
    </w:p>
    <w:p w14:paraId="16062F4F">
      <w:pPr>
        <w:autoSpaceDE w:val="0"/>
        <w:autoSpaceDN w:val="0"/>
        <w:adjustRightInd w:val="0"/>
        <w:spacing w:line="360" w:lineRule="auto"/>
        <w:ind w:left="357" w:leftChars="-100" w:hanging="567"/>
        <w:rPr>
          <w:rFonts w:hint="eastAsia" w:ascii="宋体" w:hAnsi="宋体" w:eastAsia="宋体" w:cs="宋体"/>
          <w:b/>
          <w:color w:val="auto"/>
          <w:szCs w:val="21"/>
          <w:highlight w:val="none"/>
          <w:lang w:val="zh-CN"/>
        </w:rPr>
      </w:pPr>
    </w:p>
    <w:p w14:paraId="512881E5">
      <w:pPr>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zh-CN"/>
        </w:rPr>
      </w:pPr>
      <w:bookmarkStart w:id="181" w:name="_Toc30042_WPSOffice_Level3"/>
      <w:bookmarkStart w:id="182" w:name="_Toc486167676"/>
      <w:bookmarkStart w:id="183" w:name="_Toc3469"/>
      <w:bookmarkStart w:id="184" w:name="_Toc7573"/>
      <w:bookmarkStart w:id="185" w:name="_Toc12427"/>
      <w:bookmarkStart w:id="186" w:name="_Toc450662862"/>
      <w:bookmarkStart w:id="187" w:name="_Toc142508326"/>
      <w:bookmarkStart w:id="188" w:name="_Toc20312"/>
      <w:r>
        <w:rPr>
          <w:rFonts w:hint="eastAsia" w:ascii="宋体" w:hAnsi="宋体" w:eastAsia="宋体" w:cs="宋体"/>
          <w:b/>
          <w:color w:val="auto"/>
          <w:szCs w:val="21"/>
          <w:highlight w:val="none"/>
          <w:lang w:val="zh-CN"/>
        </w:rPr>
        <w:t>12 投标报价货币</w:t>
      </w:r>
      <w:bookmarkEnd w:id="181"/>
      <w:bookmarkEnd w:id="182"/>
      <w:bookmarkEnd w:id="183"/>
      <w:bookmarkEnd w:id="184"/>
      <w:bookmarkEnd w:id="185"/>
      <w:bookmarkEnd w:id="186"/>
      <w:bookmarkEnd w:id="187"/>
      <w:bookmarkEnd w:id="188"/>
    </w:p>
    <w:p w14:paraId="436ECA22">
      <w:pPr>
        <w:autoSpaceDE w:val="0"/>
        <w:autoSpaceDN w:val="0"/>
        <w:adjustRightInd w:val="0"/>
        <w:spacing w:line="360" w:lineRule="auto"/>
        <w:ind w:left="265" w:leftChars="119" w:hanging="15"/>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投标报价表上的价格须以人民币报价，以其</w:t>
      </w:r>
      <w:r>
        <w:rPr>
          <w:rFonts w:hint="eastAsia" w:ascii="宋体" w:hAnsi="宋体" w:eastAsia="宋体" w:cs="宋体"/>
          <w:b/>
          <w:color w:val="auto"/>
          <w:szCs w:val="21"/>
          <w:highlight w:val="none"/>
          <w:lang w:val="en-US" w:eastAsia="zh-CN"/>
        </w:rPr>
        <w:t>他</w:t>
      </w:r>
      <w:r>
        <w:rPr>
          <w:rFonts w:hint="eastAsia" w:ascii="宋体" w:hAnsi="宋体" w:eastAsia="宋体" w:cs="宋体"/>
          <w:b/>
          <w:color w:val="auto"/>
          <w:szCs w:val="21"/>
          <w:highlight w:val="none"/>
          <w:lang w:val="zh-CN"/>
        </w:rPr>
        <w:t>货币标价的投标将予以拒绝。</w:t>
      </w:r>
    </w:p>
    <w:p w14:paraId="39D87C9F">
      <w:pPr>
        <w:autoSpaceDE w:val="0"/>
        <w:autoSpaceDN w:val="0"/>
        <w:adjustRightInd w:val="0"/>
        <w:spacing w:line="360" w:lineRule="auto"/>
        <w:ind w:left="265" w:leftChars="119" w:hanging="15"/>
        <w:rPr>
          <w:rFonts w:hint="eastAsia" w:ascii="宋体" w:hAnsi="宋体" w:eastAsia="宋体" w:cs="宋体"/>
          <w:color w:val="auto"/>
          <w:szCs w:val="21"/>
          <w:highlight w:val="none"/>
        </w:rPr>
      </w:pPr>
    </w:p>
    <w:p w14:paraId="7ED30E20">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89" w:name="_Toc9955"/>
      <w:bookmarkStart w:id="190" w:name="_Toc486167677"/>
      <w:bookmarkStart w:id="191" w:name="_Toc450662863"/>
      <w:bookmarkStart w:id="192" w:name="_Toc20031"/>
      <w:bookmarkStart w:id="193" w:name="_Toc9411_WPSOffice_Level3"/>
      <w:bookmarkStart w:id="194" w:name="_Toc142508327"/>
      <w:bookmarkStart w:id="195" w:name="_Toc3961"/>
      <w:bookmarkStart w:id="196" w:name="_Toc7151"/>
      <w:r>
        <w:rPr>
          <w:rFonts w:hint="eastAsia" w:ascii="宋体" w:hAnsi="宋体" w:eastAsia="宋体" w:cs="宋体"/>
          <w:color w:val="auto"/>
          <w:szCs w:val="21"/>
          <w:highlight w:val="none"/>
          <w:lang w:val="zh-CN"/>
        </w:rPr>
        <w:t>13 证明投标人的合格性和资格的声明文件</w:t>
      </w:r>
      <w:bookmarkEnd w:id="189"/>
      <w:bookmarkEnd w:id="190"/>
      <w:bookmarkEnd w:id="191"/>
      <w:bookmarkEnd w:id="192"/>
      <w:bookmarkEnd w:id="193"/>
      <w:bookmarkEnd w:id="194"/>
      <w:bookmarkEnd w:id="195"/>
      <w:bookmarkEnd w:id="196"/>
    </w:p>
    <w:p w14:paraId="2B4BD8E4">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14:paraId="6DC09117">
      <w:pPr>
        <w:autoSpaceDE w:val="0"/>
        <w:autoSpaceDN w:val="0"/>
        <w:adjustRightInd w:val="0"/>
        <w:spacing w:line="360" w:lineRule="auto"/>
        <w:ind w:left="357" w:leftChars="-100" w:hanging="567"/>
        <w:rPr>
          <w:rFonts w:hint="eastAsia" w:ascii="宋体" w:hAnsi="宋体" w:eastAsia="宋体" w:cs="宋体"/>
          <w:color w:val="auto"/>
          <w:szCs w:val="21"/>
          <w:highlight w:val="none"/>
          <w:vertAlign w:val="superscript"/>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p>
    <w:p w14:paraId="1951865A">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14:paraId="6432B2EB">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14:paraId="3CC35E5A">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（3）投标人证明其相应资格符合或优于招标文件要求的其它文件。</w:t>
      </w:r>
    </w:p>
    <w:p w14:paraId="220227AD">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 投标人根据招标文件载明的相关服务要求的实际情况，拟在中标后将中标项目的非主体、非关键性专业工作交由他人完成的，应当在投标文件中载明，并提供他人的资质、能力证明材料。</w:t>
      </w:r>
    </w:p>
    <w:p w14:paraId="05A3519A">
      <w:pPr>
        <w:autoSpaceDE w:val="0"/>
        <w:autoSpaceDN w:val="0"/>
        <w:adjustRightInd w:val="0"/>
        <w:spacing w:line="360" w:lineRule="auto"/>
        <w:ind w:left="560" w:leftChars="128" w:hanging="291" w:hangingChars="139"/>
        <w:rPr>
          <w:rFonts w:hint="eastAsia" w:ascii="宋体" w:hAnsi="宋体" w:eastAsia="宋体" w:cs="宋体"/>
          <w:color w:val="auto"/>
          <w:szCs w:val="21"/>
          <w:highlight w:val="none"/>
        </w:rPr>
      </w:pPr>
    </w:p>
    <w:p w14:paraId="4804138B">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97" w:name="_Toc29754"/>
      <w:bookmarkStart w:id="198" w:name="_Toc27771_WPSOffice_Level3"/>
      <w:bookmarkStart w:id="199" w:name="_Toc8615"/>
      <w:bookmarkStart w:id="200" w:name="_Toc486167678"/>
      <w:bookmarkStart w:id="201" w:name="_Toc21262"/>
      <w:bookmarkStart w:id="202" w:name="_Toc142508328"/>
      <w:bookmarkStart w:id="203" w:name="_Toc7708"/>
      <w:bookmarkStart w:id="204" w:name="_Toc450662864"/>
      <w:r>
        <w:rPr>
          <w:rFonts w:hint="eastAsia" w:ascii="宋体" w:hAnsi="宋体" w:eastAsia="宋体" w:cs="宋体"/>
          <w:color w:val="auto"/>
          <w:szCs w:val="21"/>
          <w:highlight w:val="none"/>
          <w:lang w:val="zh-CN"/>
        </w:rPr>
        <w:t>14 证明服务的合格性并符合招标文件规定的声明文件</w:t>
      </w:r>
      <w:bookmarkEnd w:id="197"/>
      <w:bookmarkEnd w:id="198"/>
      <w:bookmarkEnd w:id="199"/>
      <w:bookmarkEnd w:id="200"/>
      <w:bookmarkEnd w:id="201"/>
      <w:bookmarkEnd w:id="202"/>
      <w:bookmarkEnd w:id="203"/>
      <w:bookmarkEnd w:id="204"/>
    </w:p>
    <w:p w14:paraId="6BABF206">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lang w:val="zh-CN"/>
        </w:rPr>
        <w:t>的合格性并符合招标文件规定的声明文件，作为投标文件的一部分。</w:t>
      </w:r>
    </w:p>
    <w:p w14:paraId="553956B5">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lang w:eastAsia="zh-CN"/>
        </w:rPr>
        <w:t>相关</w:t>
      </w:r>
      <w:r>
        <w:rPr>
          <w:rFonts w:hint="eastAsia" w:ascii="宋体" w:hAnsi="宋体" w:eastAsia="宋体" w:cs="宋体"/>
          <w:color w:val="auto"/>
          <w:kern w:val="0"/>
          <w:szCs w:val="21"/>
          <w:highlight w:val="none"/>
        </w:rPr>
        <w:t>服务</w:t>
      </w:r>
      <w:r>
        <w:rPr>
          <w:rFonts w:hint="eastAsia" w:ascii="宋体" w:hAnsi="宋体" w:eastAsia="宋体" w:cs="宋体"/>
          <w:color w:val="auto"/>
          <w:szCs w:val="21"/>
          <w:highlight w:val="none"/>
          <w:lang w:val="zh-CN"/>
        </w:rPr>
        <w:t>与招标文件的要求相一致的文件可以是文字资料、图纸和数据资料。</w:t>
      </w:r>
    </w:p>
    <w:p w14:paraId="2183FB04">
      <w:pPr>
        <w:autoSpaceDE w:val="0"/>
        <w:autoSpaceDN w:val="0"/>
        <w:adjustRightInd w:val="0"/>
        <w:spacing w:line="360" w:lineRule="auto"/>
        <w:ind w:left="317" w:leftChars="-100" w:hanging="527" w:hangingChars="251"/>
        <w:rPr>
          <w:rFonts w:hint="eastAsia"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为说明第14.2款的规定，投标人应注意本招标文件在《用户需求书》中对服务要求</w:t>
      </w:r>
      <w:r>
        <w:rPr>
          <w:rFonts w:hint="eastAsia" w:ascii="宋体" w:hAnsi="宋体" w:eastAsia="宋体" w:cs="宋体"/>
          <w:b/>
          <w:color w:val="auto"/>
          <w:szCs w:val="21"/>
          <w:highlight w:val="none"/>
          <w:lang w:val="en-US" w:eastAsia="zh-CN"/>
        </w:rPr>
        <w:t>的</w:t>
      </w:r>
      <w:r>
        <w:rPr>
          <w:rFonts w:hint="eastAsia" w:ascii="宋体" w:hAnsi="宋体" w:eastAsia="宋体" w:cs="宋体"/>
          <w:b/>
          <w:color w:val="auto"/>
          <w:szCs w:val="21"/>
          <w:highlight w:val="none"/>
          <w:lang w:val="zh-CN"/>
        </w:rPr>
        <w:t>说明只是概括性的，不能理解为所需要的全部服务的要求，投标人应按国家、行业相关技术标准、规范和以往的服务经验，合格优质的完成采购内容和包含的全部服务。但凡标有“★”的地方均被视为重要的技术指标要求或性能要求。投标人要特别加以注意，必须对此回答并完全满足这些要求，否则若有一项带“★”的指标未响应或不满足，将按无效投标处理。</w:t>
      </w:r>
    </w:p>
    <w:p w14:paraId="19C0DE64">
      <w:pPr>
        <w:autoSpaceDE w:val="0"/>
        <w:autoSpaceDN w:val="0"/>
        <w:adjustRightInd w:val="0"/>
        <w:spacing w:line="360" w:lineRule="auto"/>
        <w:rPr>
          <w:rFonts w:hint="eastAsia" w:ascii="宋体" w:hAnsi="宋体" w:eastAsia="宋体" w:cs="宋体"/>
          <w:color w:val="auto"/>
          <w:kern w:val="0"/>
          <w:sz w:val="24"/>
          <w:szCs w:val="24"/>
          <w:highlight w:val="none"/>
        </w:rPr>
      </w:pPr>
    </w:p>
    <w:p w14:paraId="6A63D6FC">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05" w:name="_Toc486167679"/>
      <w:bookmarkStart w:id="206" w:name="_Toc5356_WPSOffice_Level3"/>
      <w:bookmarkStart w:id="207" w:name="_Toc30555"/>
      <w:bookmarkStart w:id="208" w:name="_Toc195714233"/>
      <w:bookmarkStart w:id="209" w:name="_Toc27132"/>
      <w:bookmarkStart w:id="210" w:name="_Toc7860"/>
      <w:bookmarkStart w:id="211" w:name="_Toc142508329"/>
      <w:bookmarkStart w:id="212" w:name="_Toc3206"/>
      <w:bookmarkStart w:id="213" w:name="_Toc8644"/>
      <w:r>
        <w:rPr>
          <w:rFonts w:hint="eastAsia" w:ascii="宋体" w:hAnsi="宋体" w:eastAsia="宋体" w:cs="宋体"/>
          <w:color w:val="auto"/>
          <w:szCs w:val="21"/>
          <w:highlight w:val="none"/>
          <w:lang w:val="zh-CN"/>
        </w:rPr>
        <w:t>15 投标保证金</w:t>
      </w:r>
      <w:bookmarkEnd w:id="205"/>
      <w:bookmarkEnd w:id="206"/>
      <w:bookmarkEnd w:id="207"/>
      <w:bookmarkEnd w:id="208"/>
      <w:bookmarkEnd w:id="209"/>
      <w:bookmarkEnd w:id="210"/>
      <w:bookmarkEnd w:id="211"/>
      <w:bookmarkEnd w:id="212"/>
      <w:bookmarkEnd w:id="213"/>
    </w:p>
    <w:p w14:paraId="2CB59CE3">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.1 投标人在投标截止时间前，应按第一篇《招标公告》中规定的形式和金额提交投标保证金。投标保证金到账时间应为投标保证金的关联时间。投标保证金数据超过投标截止时间后到达交易系统的，无法关联。投标人应提前办理投标保证金手续，自行承担数据延误风险。投标人如发现到账异常情况，须在投标截止时间前向东莞市公共资源交易中心（以下简称交易中心）工作人员提出投标保证金到账异常处理申请。投标人必须在招标人接受的方式中任选一种提交投标保证金。对应于各种方式的投标保证金的提交要求如下：</w:t>
      </w:r>
    </w:p>
    <w:p w14:paraId="1E647962">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（1）若采用单项投标保证金，投标人必须按全国公共资源交易平台（广东省·东莞市）办事指南的规定及时向交易中心缴存单项投标保证金，并确保上述款项在投标文件提交截止时间前匹配到本</w:t>
      </w:r>
      <w:r>
        <w:rPr>
          <w:rFonts w:hint="eastAsia" w:ascii="宋体" w:hAnsi="宋体" w:eastAsia="宋体" w:cs="宋体"/>
          <w:bCs/>
          <w:color w:val="auto"/>
          <w:kern w:val="0"/>
          <w:szCs w:val="21"/>
          <w:highlight w:val="none"/>
          <w:lang w:val="en-US" w:eastAsia="zh-CN"/>
        </w:rPr>
        <w:t>项目</w:t>
      </w:r>
      <w:r>
        <w:rPr>
          <w:rFonts w:hint="eastAsia" w:ascii="宋体" w:hAnsi="宋体" w:eastAsia="宋体" w:cs="宋体"/>
          <w:bCs/>
          <w:color w:val="auto"/>
          <w:kern w:val="0"/>
          <w:szCs w:val="21"/>
          <w:highlight w:val="none"/>
          <w:lang w:val="zh-CN"/>
        </w:rPr>
        <w:t>，否则，其投标保证金视为无效。</w:t>
      </w:r>
    </w:p>
    <w:p w14:paraId="03365D92">
      <w:pPr>
        <w:autoSpaceDE w:val="0"/>
        <w:autoSpaceDN w:val="0"/>
        <w:adjustRightInd w:val="0"/>
        <w:spacing w:line="360" w:lineRule="auto"/>
        <w:ind w:left="225" w:leftChars="107" w:firstLine="489" w:firstLineChars="233"/>
        <w:jc w:val="left"/>
        <w:rPr>
          <w:rFonts w:hint="eastAsia" w:ascii="宋体" w:hAnsi="宋体" w:eastAsia="宋体" w:cs="宋体"/>
          <w:bCs w:val="0"/>
          <w:color w:val="auto"/>
          <w:kern w:val="0"/>
          <w:szCs w:val="21"/>
          <w:highlight w:val="none"/>
          <w:lang w:val="zh-CN"/>
        </w:rPr>
      </w:pPr>
      <w:r>
        <w:rPr>
          <w:rFonts w:hint="eastAsia" w:ascii="宋体" w:hAnsi="宋体" w:eastAsia="宋体" w:cs="宋体"/>
          <w:bCs w:val="0"/>
          <w:color w:val="auto"/>
          <w:kern w:val="0"/>
          <w:szCs w:val="21"/>
          <w:highlight w:val="none"/>
          <w:lang w:val="zh-CN"/>
        </w:rPr>
        <w:t>投标截止时间前，已在公共资源交易企业库建档的投标人应将保证金关联至本</w:t>
      </w:r>
      <w:r>
        <w:rPr>
          <w:rFonts w:hint="eastAsia" w:ascii="宋体" w:hAnsi="宋体" w:eastAsia="宋体" w:cs="宋体"/>
          <w:bCs w:val="0"/>
          <w:color w:val="auto"/>
          <w:kern w:val="0"/>
          <w:szCs w:val="21"/>
          <w:highlight w:val="none"/>
          <w:lang w:val="en-US" w:eastAsia="zh-CN"/>
        </w:rPr>
        <w:t>项目</w:t>
      </w:r>
      <w:r>
        <w:rPr>
          <w:rFonts w:hint="eastAsia" w:ascii="宋体" w:hAnsi="宋体" w:eastAsia="宋体" w:cs="宋体"/>
          <w:bCs w:val="0"/>
          <w:color w:val="auto"/>
          <w:kern w:val="0"/>
          <w:szCs w:val="21"/>
          <w:highlight w:val="none"/>
          <w:lang w:val="zh-CN"/>
        </w:rPr>
        <w:t>。具体要求详见全国公共资源交易平台（广东省·东莞市）（网址：https://ygp.gdzwfw.gov.cn/#/441900/index）办事指南中的相关规定。</w:t>
      </w:r>
    </w:p>
    <w:p w14:paraId="0C23CBC6">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2）按《关于实行投标保证金企业基本账户备案制度的通知》(东建市〔2014〕18号)要求，缴纳的投标保证金须由投标人基本账户转出。投标人开具银行电子保函或保险电子保单存入的保证金（如有）及相关费用须从基本账户转出。投标保证金或相关费用不由其基本账户转入的，交易中心一律不予认定，无法参与投标的相关责任由投标人自行承担。</w:t>
      </w:r>
    </w:p>
    <w:p w14:paraId="66B30BEC">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3）若采用银行电子保函或保险电子保单，投标人必须按《东莞市住房和城乡建设局关于我市房屋建筑和市政基础设施工程建设项目投标保证金使用银行电子保函及保险电子保单的通知》(东建市〔2022〕6号)规定办理，保证出具的保函或保单有效。保函或保单在投标人签到时关联。</w:t>
      </w:r>
    </w:p>
    <w:p w14:paraId="19C67547">
      <w:pPr>
        <w:autoSpaceDE w:val="0"/>
        <w:autoSpaceDN w:val="0"/>
        <w:adjustRightInd w:val="0"/>
        <w:spacing w:line="360" w:lineRule="auto"/>
        <w:ind w:left="401" w:leftChars="191" w:firstLine="436" w:firstLineChars="208"/>
        <w:jc w:val="left"/>
        <w:rPr>
          <w:rFonts w:hint="eastAsia" w:ascii="宋体" w:hAnsi="宋体" w:eastAsia="宋体" w:cs="宋体"/>
          <w:bCs w:val="0"/>
          <w:color w:val="auto"/>
          <w:kern w:val="0"/>
          <w:szCs w:val="21"/>
          <w:highlight w:val="none"/>
          <w:lang w:val="zh-CN"/>
        </w:rPr>
      </w:pPr>
      <w:r>
        <w:rPr>
          <w:rFonts w:hint="eastAsia" w:ascii="宋体" w:hAnsi="宋体" w:eastAsia="宋体" w:cs="宋体"/>
          <w:bCs w:val="0"/>
          <w:color w:val="auto"/>
          <w:kern w:val="0"/>
          <w:szCs w:val="21"/>
          <w:highlight w:val="none"/>
          <w:lang w:val="zh-CN"/>
        </w:rPr>
        <w:t>银行电子保函参考样式按照《住房和城乡建设部关于印发工程保函示范文本的通知》（建市〔2021〕11号）执行。保险公司所提供的建设工程保证保险条款应当经国家金融监督管理总局批准、备案或注册，并在本公司门户网站主动公开单位信息、投保单（范本）以及保险合同含条款（范本）。</w:t>
      </w:r>
    </w:p>
    <w:p w14:paraId="6118A335">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.2 投标人签到时应按本投标人须知第</w:t>
      </w: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.1</w:t>
      </w:r>
      <w:r>
        <w:rPr>
          <w:rFonts w:hint="eastAsia" w:ascii="宋体" w:hAnsi="宋体" w:eastAsia="宋体" w:cs="宋体"/>
          <w:bCs/>
          <w:color w:val="auto"/>
          <w:kern w:val="0"/>
          <w:szCs w:val="21"/>
          <w:highlight w:val="none"/>
          <w:lang w:val="en-US" w:eastAsia="zh-CN"/>
        </w:rPr>
        <w:t>款</w:t>
      </w:r>
      <w:r>
        <w:rPr>
          <w:rFonts w:hint="eastAsia" w:ascii="宋体" w:hAnsi="宋体" w:eastAsia="宋体" w:cs="宋体"/>
          <w:bCs/>
          <w:color w:val="auto"/>
          <w:kern w:val="0"/>
          <w:szCs w:val="21"/>
          <w:highlight w:val="none"/>
          <w:lang w:val="zh-CN"/>
        </w:rPr>
        <w:t>要求提交投标保证金。投标截止时间前，投标人如果撤销签到，已关联的投标保证金同步取消关联；撤销签到的投标人可以重新签到并关联保证金。投标截止后，已关联的投标保证金不能取消关联。</w:t>
      </w:r>
    </w:p>
    <w:p w14:paraId="1FD9273A">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Cs/>
          <w:color w:val="auto"/>
          <w:kern w:val="0"/>
          <w:szCs w:val="21"/>
          <w:highlight w:val="none"/>
          <w:lang w:val="zh-CN"/>
        </w:rPr>
      </w:pPr>
      <w:bookmarkStart w:id="214" w:name="_Toc19219"/>
      <w:bookmarkStart w:id="215" w:name="_Toc3875"/>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.3 投标保证金退还程序。</w:t>
      </w:r>
      <w:bookmarkEnd w:id="214"/>
      <w:bookmarkEnd w:id="215"/>
    </w:p>
    <w:p w14:paraId="7C994BD1">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（1）对未通过资格</w:t>
      </w:r>
      <w:r>
        <w:rPr>
          <w:rFonts w:hint="eastAsia" w:ascii="宋体" w:hAnsi="宋体" w:eastAsia="宋体" w:cs="宋体"/>
          <w:bCs/>
          <w:color w:val="auto"/>
          <w:kern w:val="0"/>
          <w:szCs w:val="21"/>
          <w:highlight w:val="none"/>
          <w:lang w:val="en-US" w:eastAsia="zh-CN"/>
        </w:rPr>
        <w:t>性</w:t>
      </w:r>
      <w:r>
        <w:rPr>
          <w:rFonts w:hint="eastAsia" w:ascii="宋体" w:hAnsi="宋体" w:eastAsia="宋体" w:cs="宋体"/>
          <w:bCs/>
          <w:color w:val="auto"/>
          <w:kern w:val="0"/>
          <w:szCs w:val="21"/>
          <w:highlight w:val="none"/>
          <w:lang w:val="zh-CN"/>
        </w:rPr>
        <w:t>审查或未通过</w:t>
      </w:r>
      <w:r>
        <w:rPr>
          <w:rFonts w:hint="eastAsia" w:ascii="宋体" w:hAnsi="宋体" w:eastAsia="宋体" w:cs="宋体"/>
          <w:bCs/>
          <w:color w:val="auto"/>
          <w:kern w:val="0"/>
          <w:szCs w:val="21"/>
          <w:highlight w:val="none"/>
          <w:lang w:val="en-US" w:eastAsia="zh-CN"/>
        </w:rPr>
        <w:t>符合性检查</w:t>
      </w:r>
      <w:r>
        <w:rPr>
          <w:rFonts w:hint="eastAsia" w:ascii="宋体" w:hAnsi="宋体" w:eastAsia="宋体" w:cs="宋体"/>
          <w:bCs/>
          <w:color w:val="auto"/>
          <w:kern w:val="0"/>
          <w:szCs w:val="21"/>
          <w:highlight w:val="none"/>
          <w:lang w:val="zh-CN"/>
        </w:rPr>
        <w:t>的投标人，招标人在</w:t>
      </w:r>
      <w:r>
        <w:rPr>
          <w:rFonts w:hint="eastAsia" w:ascii="宋体" w:hAnsi="宋体" w:eastAsia="宋体" w:cs="宋体"/>
          <w:bCs/>
          <w:color w:val="auto"/>
          <w:kern w:val="0"/>
          <w:szCs w:val="21"/>
          <w:highlight w:val="none"/>
          <w:lang w:val="en-US" w:eastAsia="zh-CN"/>
        </w:rPr>
        <w:t>评标会</w:t>
      </w:r>
      <w:r>
        <w:rPr>
          <w:rFonts w:hint="eastAsia" w:ascii="宋体" w:hAnsi="宋体" w:eastAsia="宋体" w:cs="宋体"/>
          <w:bCs/>
          <w:color w:val="auto"/>
          <w:kern w:val="0"/>
          <w:szCs w:val="21"/>
          <w:highlight w:val="none"/>
          <w:lang w:val="zh-CN"/>
        </w:rPr>
        <w:t>结束后第一个工作日向交易中心发送退还指令；</w:t>
      </w:r>
    </w:p>
    <w:p w14:paraId="626F1060">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（2）对除中标候选人外的投标人，招标人在发布评标结果公示后3个工作日内向交易中心发送退还指令；</w:t>
      </w:r>
    </w:p>
    <w:p w14:paraId="2C6F913D">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（3）招标人与中标人在签订书面合同后3个工作日内向交易中心对中标人及其余中标候选人投标保证金发送退还指令。</w:t>
      </w:r>
    </w:p>
    <w:p w14:paraId="3708DC74">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（4）若</w:t>
      </w:r>
      <w:r>
        <w:rPr>
          <w:rFonts w:hint="eastAsia" w:ascii="宋体" w:hAnsi="宋体" w:eastAsia="宋体" w:cs="宋体"/>
          <w:bCs/>
          <w:color w:val="auto"/>
          <w:kern w:val="0"/>
          <w:szCs w:val="21"/>
          <w:highlight w:val="none"/>
          <w:lang w:val="en-US" w:eastAsia="zh-CN"/>
        </w:rPr>
        <w:t>项目</w:t>
      </w:r>
      <w:r>
        <w:rPr>
          <w:rFonts w:hint="eastAsia" w:ascii="宋体" w:hAnsi="宋体" w:eastAsia="宋体" w:cs="宋体"/>
          <w:bCs/>
          <w:color w:val="auto"/>
          <w:kern w:val="0"/>
          <w:szCs w:val="21"/>
          <w:highlight w:val="none"/>
          <w:lang w:val="zh-CN"/>
        </w:rPr>
        <w:t>受到监督部门调查时，招标人根据实际情况处理投标保证金退回有关工作。招标人将按调查结果处理涉事投标保证金。</w:t>
      </w:r>
    </w:p>
    <w:p w14:paraId="4E0B54FD">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（5）如因投诉等异常情况不能正常签发中标通知书，招标人可以退回未中标的且不涉及异常情况处理投标人的投标保证金发送退还指令。</w:t>
      </w:r>
    </w:p>
    <w:p w14:paraId="60D3385E">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.4 投标保证金有效期应当与投标有效期一致。招标人如果按本</w:t>
      </w:r>
      <w:r>
        <w:rPr>
          <w:rFonts w:hint="eastAsia" w:ascii="宋体" w:hAnsi="宋体" w:eastAsia="宋体" w:cs="宋体"/>
          <w:bCs/>
          <w:color w:val="auto"/>
          <w:kern w:val="0"/>
          <w:szCs w:val="21"/>
          <w:highlight w:val="none"/>
          <w:lang w:val="en-US" w:eastAsia="zh-CN"/>
        </w:rPr>
        <w:t>投标人</w:t>
      </w:r>
      <w:r>
        <w:rPr>
          <w:rFonts w:hint="eastAsia" w:ascii="宋体" w:hAnsi="宋体" w:eastAsia="宋体" w:cs="宋体"/>
          <w:bCs/>
          <w:color w:val="auto"/>
          <w:kern w:val="0"/>
          <w:szCs w:val="21"/>
          <w:highlight w:val="none"/>
          <w:lang w:val="zh-CN"/>
        </w:rPr>
        <w:t>须知第</w:t>
      </w:r>
      <w:r>
        <w:rPr>
          <w:rFonts w:hint="eastAsia" w:ascii="宋体" w:hAnsi="宋体" w:eastAsia="宋体" w:cs="宋体"/>
          <w:bCs/>
          <w:color w:val="auto"/>
          <w:kern w:val="0"/>
          <w:szCs w:val="21"/>
          <w:highlight w:val="none"/>
          <w:lang w:val="en-US" w:eastAsia="zh-CN"/>
        </w:rPr>
        <w:t>16.3款</w:t>
      </w:r>
      <w:r>
        <w:rPr>
          <w:rFonts w:hint="eastAsia" w:ascii="宋体" w:hAnsi="宋体" w:eastAsia="宋体" w:cs="宋体"/>
          <w:bCs/>
          <w:color w:val="auto"/>
          <w:kern w:val="0"/>
          <w:szCs w:val="21"/>
          <w:highlight w:val="none"/>
          <w:lang w:val="zh-CN"/>
        </w:rPr>
        <w:t>的规定延长了投标文件有效期，则投标保证金的有效期也相应延长。</w:t>
      </w:r>
    </w:p>
    <w:p w14:paraId="5F8E61C1">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 xml:space="preserve">.5 若发生下列情况，招标人在书面通知投标人（或中标人）后有权不予退还投标保证金： </w:t>
      </w:r>
    </w:p>
    <w:p w14:paraId="58D2999D">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（1）投标人在规定的投标截止时间后至投标有效期满之前撤销或修改其投标文件；</w:t>
      </w:r>
    </w:p>
    <w:p w14:paraId="718923D1">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（2）中标人未能在规定期限内提交履约担保；</w:t>
      </w:r>
    </w:p>
    <w:p w14:paraId="3A1CF21A">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（3）未根据</w:t>
      </w:r>
      <w:r>
        <w:rPr>
          <w:rFonts w:hint="eastAsia" w:ascii="宋体" w:hAnsi="宋体" w:eastAsia="宋体" w:cs="宋体"/>
          <w:bCs/>
          <w:color w:val="auto"/>
          <w:kern w:val="0"/>
          <w:szCs w:val="21"/>
          <w:highlight w:val="none"/>
          <w:lang w:val="en-US" w:eastAsia="zh-CN"/>
        </w:rPr>
        <w:t>本投标人须知</w:t>
      </w:r>
      <w:r>
        <w:rPr>
          <w:rFonts w:hint="eastAsia" w:ascii="宋体" w:hAnsi="宋体" w:eastAsia="宋体" w:cs="宋体"/>
          <w:bCs/>
          <w:color w:val="auto"/>
          <w:kern w:val="0"/>
          <w:szCs w:val="21"/>
          <w:highlight w:val="none"/>
          <w:lang w:val="zh-CN"/>
        </w:rPr>
        <w:t>第34条规定签署合同；</w:t>
      </w:r>
    </w:p>
    <w:p w14:paraId="074B53EE">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（4）将中标项目转让给他人，或者在投标文件中未说明，且未经招标人同意，将中标项目的合同的权利义务转让给第三方的；</w:t>
      </w:r>
    </w:p>
    <w:p w14:paraId="51E64698">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（5）提供虚假投标文件或虚假补充文件的，或违反《中华人民共和国招标投标法》等有关法律、法规、规章及招标投标相关规定的行为。</w:t>
      </w:r>
    </w:p>
    <w:p w14:paraId="5482E33F">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Cs/>
          <w:color w:val="auto"/>
          <w:kern w:val="0"/>
          <w:szCs w:val="21"/>
          <w:highlight w:val="none"/>
          <w:lang w:val="en-US"/>
        </w:rPr>
      </w:pPr>
      <w:bookmarkStart w:id="216" w:name="_Toc22708"/>
      <w:bookmarkStart w:id="217" w:name="_Toc30462"/>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en-US"/>
        </w:rPr>
        <w:t>.6</w:t>
      </w:r>
      <w:r>
        <w:rPr>
          <w:rFonts w:hint="eastAsia" w:ascii="宋体" w:hAnsi="宋体" w:eastAsia="宋体" w:cs="宋体"/>
          <w:bCs/>
          <w:color w:val="auto"/>
          <w:kern w:val="0"/>
          <w:szCs w:val="21"/>
          <w:highlight w:val="none"/>
          <w:lang w:val="en-US" w:eastAsia="zh-CN"/>
        </w:rPr>
        <w:t xml:space="preserve"> </w:t>
      </w:r>
      <w:r>
        <w:rPr>
          <w:rFonts w:hint="eastAsia" w:ascii="宋体" w:hAnsi="宋体" w:eastAsia="宋体" w:cs="宋体"/>
          <w:bCs/>
          <w:color w:val="auto"/>
          <w:kern w:val="0"/>
          <w:szCs w:val="21"/>
          <w:highlight w:val="none"/>
          <w:lang w:val="en-US"/>
        </w:rPr>
        <w:t>对于提交银行电子保函（保险电子保单）的有关注意事项：</w:t>
      </w:r>
      <w:bookmarkEnd w:id="216"/>
      <w:bookmarkEnd w:id="217"/>
    </w:p>
    <w:p w14:paraId="7B9296BD">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6.1投标人所提交的银行电子保函（保险电子保单）经核实出现以下情况的，作自动弃权处理：①担保的有效期或金额不符合要求的；②出现不符合招标文件要求或招标人不能接受的条款。</w:t>
      </w:r>
    </w:p>
    <w:p w14:paraId="42019FF3">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6.2投标人应当选择具备银行电子保函（保险电子保单）相关业务的银行（保险公司）开具投标保函（保单）。具备相关业务的银行（保险公司）应满足能与交易中心端口对接、关联基本账户、退款等条件，以保证电子指令的正常发送与接收。</w:t>
      </w:r>
    </w:p>
    <w:p w14:paraId="78E0AB01">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6.3银行电子保函采用“电子保函+电子指令”模式，保险电子保单采用“电子保单+电子指令”模式，即银行（保险公司）向投标人开具电子保函（保单）的同时向交易中心发送经加密的电子指令，投标人自行登录交易系统进行确认。</w:t>
      </w:r>
    </w:p>
    <w:p w14:paraId="269E7F59">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6.4投标人需预留足够的时间，提前办理好银行电子保函或保险电子保单，自行查询确认电子指令是否已经送到交易中心，并核对相关资料和信息的准确性。若投标人未预留足够的时间办理相关手续，因网络或系统等原因导致电子指令超过投标文件递交截止时间未能到达交易系统导致招标人拒绝其投标的，其后果由投标人自行负责。</w:t>
      </w:r>
    </w:p>
    <w:p w14:paraId="6500E168">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7</w:t>
      </w:r>
      <w:r>
        <w:rPr>
          <w:rFonts w:hint="eastAsia" w:ascii="宋体" w:hAnsi="宋体" w:eastAsia="宋体" w:cs="宋体"/>
          <w:bCs/>
          <w:color w:val="auto"/>
          <w:kern w:val="0"/>
          <w:szCs w:val="21"/>
          <w:highlight w:val="none"/>
          <w:lang w:val="en-US" w:eastAsia="zh-CN"/>
        </w:rPr>
        <w:t xml:space="preserve"> </w:t>
      </w:r>
      <w:r>
        <w:rPr>
          <w:rFonts w:hint="eastAsia" w:ascii="宋体" w:hAnsi="宋体" w:eastAsia="宋体" w:cs="宋体"/>
          <w:bCs/>
          <w:color w:val="auto"/>
          <w:kern w:val="0"/>
          <w:szCs w:val="21"/>
          <w:highlight w:val="none"/>
          <w:lang w:val="zh-CN"/>
        </w:rPr>
        <w:t>投标保证金缴存银行</w:t>
      </w:r>
      <w:r>
        <w:rPr>
          <w:rFonts w:hint="eastAsia" w:ascii="宋体" w:hAnsi="宋体" w:eastAsia="宋体" w:cs="宋体"/>
          <w:bCs/>
          <w:color w:val="auto"/>
          <w:kern w:val="0"/>
          <w:szCs w:val="21"/>
          <w:highlight w:val="none"/>
          <w:lang w:val="en-US" w:eastAsia="zh-CN"/>
        </w:rPr>
        <w:t>账</w:t>
      </w:r>
      <w:r>
        <w:rPr>
          <w:rFonts w:hint="eastAsia" w:ascii="宋体" w:hAnsi="宋体" w:eastAsia="宋体" w:cs="宋体"/>
          <w:bCs/>
          <w:color w:val="auto"/>
          <w:kern w:val="0"/>
          <w:szCs w:val="21"/>
          <w:highlight w:val="none"/>
          <w:lang w:val="zh-CN"/>
        </w:rPr>
        <w:t>户见全国公共资源交易平台（广东省·东莞市）办事指南。</w:t>
      </w:r>
    </w:p>
    <w:p w14:paraId="4F5035FF">
      <w:pPr>
        <w:tabs>
          <w:tab w:val="left" w:pos="1134"/>
        </w:tabs>
        <w:autoSpaceDE w:val="0"/>
        <w:autoSpaceDN w:val="0"/>
        <w:adjustRightInd w:val="0"/>
        <w:spacing w:line="360" w:lineRule="auto"/>
        <w:ind w:left="840" w:leftChars="150" w:hanging="525" w:hangingChars="250"/>
        <w:jc w:val="left"/>
        <w:rPr>
          <w:rFonts w:hint="eastAsia" w:ascii="宋体" w:hAnsi="宋体" w:eastAsia="宋体" w:cs="宋体"/>
          <w:color w:val="auto"/>
          <w:kern w:val="0"/>
          <w:szCs w:val="21"/>
          <w:highlight w:val="none"/>
        </w:rPr>
      </w:pPr>
    </w:p>
    <w:p w14:paraId="0D5E1944">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18" w:name="_Toc22649_WPSOffice_Level3"/>
      <w:bookmarkStart w:id="219" w:name="_Toc24580"/>
      <w:bookmarkStart w:id="220" w:name="_Toc142508330"/>
      <w:bookmarkStart w:id="221" w:name="_Toc1458"/>
      <w:bookmarkStart w:id="222" w:name="_Toc486167680"/>
      <w:bookmarkStart w:id="223" w:name="_Toc29607"/>
      <w:bookmarkStart w:id="224" w:name="_Toc450662865"/>
      <w:bookmarkStart w:id="225" w:name="_Toc14272"/>
      <w:r>
        <w:rPr>
          <w:rFonts w:hint="eastAsia" w:ascii="宋体" w:hAnsi="宋体" w:eastAsia="宋体" w:cs="宋体"/>
          <w:color w:val="auto"/>
          <w:szCs w:val="21"/>
          <w:highlight w:val="none"/>
          <w:lang w:val="zh-CN"/>
        </w:rPr>
        <w:t>16 投标有效期</w:t>
      </w:r>
      <w:bookmarkEnd w:id="218"/>
      <w:bookmarkEnd w:id="219"/>
      <w:bookmarkEnd w:id="220"/>
      <w:bookmarkEnd w:id="221"/>
      <w:bookmarkEnd w:id="222"/>
      <w:bookmarkEnd w:id="223"/>
      <w:bookmarkEnd w:id="224"/>
      <w:bookmarkEnd w:id="225"/>
    </w:p>
    <w:p w14:paraId="694EDB67">
      <w:pPr>
        <w:tabs>
          <w:tab w:val="left" w:pos="567"/>
        </w:tabs>
        <w:autoSpaceDE w:val="0"/>
        <w:autoSpaceDN w:val="0"/>
        <w:adjustRightInd w:val="0"/>
        <w:spacing w:line="360" w:lineRule="auto"/>
        <w:ind w:left="357" w:leftChars="-100" w:hanging="567"/>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14:paraId="0A4FD627">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14:paraId="257F23B0">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将退还其投标保证金。对于同意该要求的投标人，既不要求也不允许其修改投标文件，但将要求其相应延长投标保证金的有效期。第15条投标保证金的有关规定在投标保证金延长期内仍适用。</w:t>
      </w:r>
    </w:p>
    <w:p w14:paraId="17FEA35E">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p>
    <w:p w14:paraId="1E469096">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26" w:name="_Toc20422"/>
      <w:bookmarkStart w:id="227" w:name="_Toc15065"/>
      <w:bookmarkStart w:id="228" w:name="_Toc142508331"/>
      <w:bookmarkStart w:id="229" w:name="_Toc932"/>
      <w:bookmarkStart w:id="230" w:name="_Toc450662866"/>
      <w:bookmarkStart w:id="231" w:name="_Toc195714235"/>
      <w:bookmarkStart w:id="232" w:name="_Toc119"/>
      <w:bookmarkStart w:id="233" w:name="_Toc16430"/>
      <w:bookmarkStart w:id="234" w:name="_Toc486167681"/>
      <w:bookmarkStart w:id="235" w:name="_Toc25637_WPSOffice_Level3"/>
      <w:r>
        <w:rPr>
          <w:rFonts w:hint="eastAsia" w:ascii="宋体" w:hAnsi="宋体" w:eastAsia="宋体" w:cs="宋体"/>
          <w:color w:val="auto"/>
          <w:szCs w:val="21"/>
          <w:highlight w:val="none"/>
          <w:lang w:val="zh-CN"/>
        </w:rPr>
        <w:t>17 投标文件的编制和签署</w:t>
      </w:r>
      <w:bookmarkEnd w:id="226"/>
      <w:bookmarkEnd w:id="227"/>
      <w:bookmarkEnd w:id="228"/>
      <w:bookmarkEnd w:id="229"/>
      <w:bookmarkEnd w:id="230"/>
      <w:bookmarkEnd w:id="231"/>
      <w:bookmarkEnd w:id="232"/>
      <w:bookmarkEnd w:id="233"/>
      <w:bookmarkEnd w:id="234"/>
      <w:bookmarkEnd w:id="235"/>
    </w:p>
    <w:p w14:paraId="55F28CEF">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投标文件采用电子标书形式编制。投标人使用网络上传投标文件。</w:t>
      </w:r>
    </w:p>
    <w:p w14:paraId="6201BE1A">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投标人应使用全国公共资源交易平台（广东省·东莞市发布的投标文件电子标书制作软件（以下简称“电子标书制作软件”）进行投标文件的合成、电子</w:t>
      </w:r>
      <w:r>
        <w:rPr>
          <w:rFonts w:hint="eastAsia" w:ascii="宋体" w:hAnsi="宋体" w:eastAsia="宋体" w:cs="宋体"/>
          <w:color w:val="auto"/>
          <w:szCs w:val="21"/>
          <w:highlight w:val="none"/>
          <w:lang w:val="en-US"/>
        </w:rPr>
        <w:t>签名</w:t>
      </w:r>
      <w:r>
        <w:rPr>
          <w:rFonts w:hint="eastAsia" w:ascii="宋体" w:hAnsi="宋体" w:eastAsia="宋体" w:cs="宋体"/>
          <w:color w:val="auto"/>
          <w:szCs w:val="21"/>
          <w:highlight w:val="none"/>
          <w:lang w:val="zh-CN"/>
        </w:rPr>
        <w:t>工作。</w:t>
      </w:r>
    </w:p>
    <w:p w14:paraId="4CD66C6F">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投标人应使用依法设立的电子认证服务提供者签发的电子签名认证证书对电子投标文件进行电子签名。该电子</w:t>
      </w:r>
      <w:r>
        <w:rPr>
          <w:rFonts w:hint="eastAsia" w:ascii="宋体" w:hAnsi="宋体" w:eastAsia="宋体" w:cs="宋体"/>
          <w:color w:val="auto"/>
          <w:szCs w:val="21"/>
          <w:highlight w:val="none"/>
          <w:lang w:val="en-US"/>
        </w:rPr>
        <w:t>签名</w:t>
      </w:r>
      <w:r>
        <w:rPr>
          <w:rFonts w:hint="eastAsia" w:ascii="宋体" w:hAnsi="宋体" w:eastAsia="宋体" w:cs="宋体"/>
          <w:color w:val="auto"/>
          <w:szCs w:val="21"/>
          <w:highlight w:val="none"/>
          <w:lang w:val="zh-CN"/>
        </w:rPr>
        <w:t>与手写签名或者盖章具有同等的法律效力。</w:t>
      </w:r>
    </w:p>
    <w:p w14:paraId="2DB362DE">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.4</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投标人使用电子标书制作软件编制电子投标文件时必须按招标文件相关条款及投标文件格式中的要求进行编制。</w:t>
      </w:r>
    </w:p>
    <w:p w14:paraId="1893A6DF">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.5</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投标文件应按上述编制的要求编制电子标书。如投标文件未按上述编制要求编制的，所引起交易系统无法检索、读取相关信息时，其结果将由投标人自行承担。</w:t>
      </w:r>
    </w:p>
    <w:p w14:paraId="7BE7FD9F">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bookmarkStart w:id="236" w:name="_Toc9587"/>
      <w:bookmarkStart w:id="237" w:name="_Toc26960"/>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.6</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投标文件必须按下列要求编制、使用数字证书电子</w:t>
      </w:r>
      <w:r>
        <w:rPr>
          <w:rFonts w:hint="eastAsia" w:ascii="宋体" w:hAnsi="宋体" w:eastAsia="宋体" w:cs="宋体"/>
          <w:color w:val="auto"/>
          <w:szCs w:val="21"/>
          <w:highlight w:val="none"/>
          <w:lang w:val="en-US"/>
        </w:rPr>
        <w:t>签名</w:t>
      </w:r>
      <w:r>
        <w:rPr>
          <w:rFonts w:hint="eastAsia" w:ascii="宋体" w:hAnsi="宋体" w:eastAsia="宋体" w:cs="宋体"/>
          <w:color w:val="auto"/>
          <w:szCs w:val="21"/>
          <w:highlight w:val="none"/>
          <w:lang w:val="en-US" w:eastAsia="zh-CN"/>
        </w:rPr>
        <w:t>：</w:t>
      </w:r>
      <w:bookmarkEnd w:id="236"/>
      <w:bookmarkEnd w:id="237"/>
    </w:p>
    <w:p w14:paraId="07012649">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.6.1按本投标人须知第</w:t>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0</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14</w:t>
      </w:r>
      <w:r>
        <w:rPr>
          <w:rFonts w:hint="eastAsia" w:ascii="宋体" w:hAnsi="宋体" w:eastAsia="宋体" w:cs="宋体"/>
          <w:color w:val="auto"/>
          <w:szCs w:val="21"/>
          <w:highlight w:val="none"/>
          <w:lang w:val="zh-CN"/>
        </w:rPr>
        <w:t>条的规定编制，按本投标人须知第1</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条的规定填报投标报价，“投标文件的组成”中列明的内容在投标文件中不能有漏缺。</w:t>
      </w:r>
    </w:p>
    <w:p w14:paraId="125A7A40">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bookmarkStart w:id="238" w:name="_Toc3092"/>
      <w:bookmarkStart w:id="239" w:name="_Toc19767"/>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.6.2投标文件商务标、技术标编制要求：</w:t>
      </w:r>
      <w:bookmarkEnd w:id="238"/>
      <w:bookmarkEnd w:id="239"/>
    </w:p>
    <w:p w14:paraId="4B7C766B">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（1）投标文件必须按招标文件中规定的投标文件格式编制，并转换成PDF格式合成到电子投标文件中；</w:t>
      </w:r>
    </w:p>
    <w:p w14:paraId="7D38BFED">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（2）投标文件商务标、技术标必须按招标文件的规定填写，不能出现缺项、缺页、手写、关键语句（或字）错误； </w:t>
      </w:r>
    </w:p>
    <w:p w14:paraId="13A547FF">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（3）投标文件的任何一页都不应有涂改、行间插字或删除；</w:t>
      </w:r>
    </w:p>
    <w:p w14:paraId="63E448AE">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（4）投标文件商务标、技术标应按其格式要求由投标人的法定代表人或其授权代表电子签名、企业数字证书电子签名；</w:t>
      </w:r>
    </w:p>
    <w:p w14:paraId="01169A20">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（5）严格按照第六篇投标文件格式内的要求完整、真实的填写《合同条款偏离表》《用户需求偏离表》；</w:t>
      </w:r>
    </w:p>
    <w:p w14:paraId="4406C2FA">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（6）投标人要特别加以注意，必须严格按照第六篇商务标格式的要求完整、真实的填写《资格业绩》及提供对应证明资料；</w:t>
      </w:r>
    </w:p>
    <w:p w14:paraId="6018695F">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（7）投标文件技术标部分必须按招标文件第六篇“技术标格式”编制。</w:t>
      </w:r>
    </w:p>
    <w:p w14:paraId="6588F512">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bookmarkStart w:id="240" w:name="_Toc26313"/>
      <w:bookmarkStart w:id="241" w:name="_Toc3854"/>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.6.3投标文件报价信封编制要求：</w:t>
      </w:r>
      <w:bookmarkEnd w:id="240"/>
      <w:bookmarkEnd w:id="241"/>
    </w:p>
    <w:p w14:paraId="484E94FC">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（1）投标人应使用电子标书制作软件编制并生成报价信封，内容根据招标文件设置的报价信封内容按实填报。</w:t>
      </w:r>
    </w:p>
    <w:p w14:paraId="55CE151E">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（2）大写金额数字用“零、壹、贰、叁、肆、伍、陆、柒、捌、玖、拾、佰、仟、万、亿”填写。投标值大写与小写不一致时，以大写数额为准，修正小写数额。</w:t>
      </w:r>
    </w:p>
    <w:p w14:paraId="20715FCF">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（3）投标文件价格部分应按其格式要求使用依法设立的电子认证服务提供者签发的电子签名认证证书对电子投标文件进行电子签名。该电子签名与手写签名或者盖章具有同等的法律效力。</w:t>
      </w:r>
    </w:p>
    <w:p w14:paraId="1AA3169A">
      <w:pPr>
        <w:autoSpaceDE w:val="0"/>
        <w:autoSpaceDN w:val="0"/>
        <w:adjustRightInd w:val="0"/>
        <w:jc w:val="left"/>
        <w:rPr>
          <w:rFonts w:hint="eastAsia" w:ascii="宋体" w:hAnsi="宋体" w:eastAsia="宋体" w:cs="宋体"/>
          <w:color w:val="auto"/>
          <w:kern w:val="0"/>
          <w:sz w:val="24"/>
          <w:szCs w:val="24"/>
          <w:highlight w:val="none"/>
        </w:rPr>
      </w:pPr>
      <w:bookmarkStart w:id="242" w:name="_Toc450662867"/>
    </w:p>
    <w:bookmarkEnd w:id="242"/>
    <w:p w14:paraId="0D774974">
      <w:pPr>
        <w:keepNext/>
        <w:keepLines/>
        <w:tabs>
          <w:tab w:val="left" w:pos="509"/>
        </w:tabs>
        <w:autoSpaceDE w:val="0"/>
        <w:autoSpaceDN w:val="0"/>
        <w:adjustRightInd w:val="0"/>
        <w:spacing w:line="360" w:lineRule="auto"/>
        <w:jc w:val="left"/>
        <w:outlineLvl w:val="1"/>
        <w:rPr>
          <w:rFonts w:hint="eastAsia" w:ascii="宋体" w:hAnsi="宋体" w:eastAsia="宋体" w:cs="宋体"/>
          <w:b/>
          <w:bCs/>
          <w:color w:val="auto"/>
          <w:kern w:val="44"/>
          <w:szCs w:val="21"/>
          <w:highlight w:val="none"/>
          <w:lang w:val="zh-CN"/>
        </w:rPr>
      </w:pPr>
      <w:bookmarkStart w:id="243" w:name="_Toc22356_WPSOffice_Level2"/>
      <w:bookmarkStart w:id="244" w:name="_Toc195714236"/>
      <w:bookmarkStart w:id="245" w:name="_Toc7829"/>
      <w:bookmarkStart w:id="246" w:name="_Toc17199"/>
      <w:bookmarkStart w:id="247" w:name="_Toc4919"/>
      <w:bookmarkStart w:id="248" w:name="_Toc26605"/>
      <w:bookmarkStart w:id="249" w:name="_Toc140596891"/>
      <w:bookmarkStart w:id="250" w:name="_Toc486167682"/>
      <w:bookmarkStart w:id="251" w:name="_Toc142508332"/>
      <w:bookmarkStart w:id="252" w:name="_Toc11307"/>
      <w:r>
        <w:rPr>
          <w:rFonts w:hint="eastAsia" w:ascii="宋体" w:hAnsi="宋体" w:eastAsia="宋体" w:cs="宋体"/>
          <w:b/>
          <w:bCs/>
          <w:color w:val="auto"/>
          <w:kern w:val="44"/>
          <w:szCs w:val="21"/>
          <w:highlight w:val="none"/>
          <w:lang w:val="zh-CN"/>
        </w:rPr>
        <w:t>四、投标</w:t>
      </w:r>
      <w:bookmarkEnd w:id="243"/>
      <w:bookmarkEnd w:id="244"/>
      <w:bookmarkEnd w:id="245"/>
      <w:bookmarkEnd w:id="246"/>
      <w:bookmarkEnd w:id="247"/>
      <w:bookmarkEnd w:id="248"/>
      <w:bookmarkEnd w:id="249"/>
      <w:bookmarkEnd w:id="250"/>
      <w:bookmarkEnd w:id="251"/>
      <w:bookmarkEnd w:id="252"/>
    </w:p>
    <w:p w14:paraId="23F3658D">
      <w:pPr>
        <w:tabs>
          <w:tab w:val="left" w:pos="567"/>
        </w:tabs>
        <w:autoSpaceDE w:val="0"/>
        <w:autoSpaceDN w:val="0"/>
        <w:adjustRightInd w:val="0"/>
        <w:spacing w:line="360" w:lineRule="auto"/>
        <w:ind w:left="357" w:leftChars="-100" w:right="15" w:rightChars="7" w:hanging="567"/>
        <w:outlineLvl w:val="2"/>
        <w:rPr>
          <w:rFonts w:hint="eastAsia" w:ascii="宋体" w:hAnsi="宋体" w:eastAsia="宋体" w:cs="宋体"/>
          <w:color w:val="auto"/>
          <w:szCs w:val="21"/>
          <w:highlight w:val="none"/>
          <w:lang w:val="zh-CN"/>
        </w:rPr>
      </w:pPr>
      <w:bookmarkStart w:id="253" w:name="_Toc12192_WPSOffice_Level3"/>
      <w:bookmarkStart w:id="254" w:name="_Toc31551"/>
      <w:bookmarkStart w:id="255" w:name="_Toc195714237"/>
      <w:bookmarkStart w:id="256" w:name="_Toc450662868"/>
      <w:bookmarkStart w:id="257" w:name="_Toc29885"/>
      <w:bookmarkStart w:id="258" w:name="_Toc142508333"/>
      <w:bookmarkStart w:id="259" w:name="_Toc486167683"/>
      <w:bookmarkStart w:id="260" w:name="_Toc22475"/>
      <w:bookmarkStart w:id="261" w:name="_Toc19325"/>
      <w:bookmarkStart w:id="262" w:name="_Toc3466"/>
      <w:r>
        <w:rPr>
          <w:rFonts w:hint="eastAsia" w:ascii="宋体" w:hAnsi="宋体" w:eastAsia="宋体" w:cs="宋体"/>
          <w:color w:val="auto"/>
          <w:szCs w:val="21"/>
          <w:highlight w:val="none"/>
          <w:lang w:val="zh-CN"/>
        </w:rPr>
        <w:t xml:space="preserve">18 </w:t>
      </w:r>
      <w:bookmarkEnd w:id="253"/>
      <w:bookmarkEnd w:id="254"/>
      <w:bookmarkEnd w:id="255"/>
      <w:bookmarkEnd w:id="256"/>
      <w:bookmarkEnd w:id="257"/>
      <w:bookmarkEnd w:id="258"/>
      <w:bookmarkEnd w:id="259"/>
      <w:r>
        <w:rPr>
          <w:rFonts w:hint="eastAsia" w:ascii="宋体" w:hAnsi="宋体" w:eastAsia="宋体" w:cs="宋体"/>
          <w:color w:val="auto"/>
          <w:szCs w:val="21"/>
          <w:highlight w:val="none"/>
          <w:lang w:val="zh-CN"/>
        </w:rPr>
        <w:t>投标文件的加密</w:t>
      </w:r>
      <w:bookmarkEnd w:id="260"/>
      <w:bookmarkEnd w:id="261"/>
      <w:bookmarkEnd w:id="262"/>
    </w:p>
    <w:p w14:paraId="064FC39E">
      <w:pPr>
        <w:tabs>
          <w:tab w:val="left" w:pos="567"/>
        </w:tabs>
        <w:adjustRightInd w:val="0"/>
        <w:spacing w:line="360" w:lineRule="auto"/>
        <w:ind w:firstLine="144" w:firstLineChars="6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投标人应使用依法设立的电子认证服务提供者签发的电子签章认证证书对电子投标文件进行电子签章并加密。</w:t>
      </w:r>
    </w:p>
    <w:p w14:paraId="67243BC0">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rPr>
      </w:pPr>
    </w:p>
    <w:p w14:paraId="6F89E4D2">
      <w:pPr>
        <w:tabs>
          <w:tab w:val="left" w:pos="567"/>
        </w:tabs>
        <w:autoSpaceDE w:val="0"/>
        <w:autoSpaceDN w:val="0"/>
        <w:adjustRightInd w:val="0"/>
        <w:spacing w:line="360" w:lineRule="auto"/>
        <w:ind w:left="357" w:leftChars="-100" w:right="15" w:rightChars="7" w:hanging="567"/>
        <w:outlineLvl w:val="2"/>
        <w:rPr>
          <w:rFonts w:hint="eastAsia" w:ascii="宋体" w:hAnsi="宋体" w:eastAsia="宋体" w:cs="宋体"/>
          <w:color w:val="auto"/>
          <w:szCs w:val="21"/>
          <w:highlight w:val="none"/>
          <w:lang w:val="zh-CN"/>
        </w:rPr>
      </w:pPr>
      <w:bookmarkStart w:id="263" w:name="_Toc3867"/>
      <w:bookmarkStart w:id="264" w:name="_Toc32766"/>
      <w:bookmarkStart w:id="265" w:name="_Toc195714238"/>
      <w:bookmarkStart w:id="266" w:name="_Toc27535"/>
      <w:r>
        <w:rPr>
          <w:rFonts w:hint="eastAsia" w:ascii="宋体" w:hAnsi="宋体" w:eastAsia="宋体" w:cs="宋体"/>
          <w:color w:val="auto"/>
          <w:szCs w:val="21"/>
          <w:highlight w:val="none"/>
          <w:lang w:val="zh-CN"/>
        </w:rPr>
        <w:t>19 投标文件的提交</w:t>
      </w:r>
      <w:bookmarkEnd w:id="263"/>
      <w:bookmarkEnd w:id="264"/>
      <w:bookmarkEnd w:id="265"/>
      <w:bookmarkEnd w:id="266"/>
    </w:p>
    <w:p w14:paraId="5A59C4BC">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投标人应在本招标公告规定的投标截止时间前通过交易系统在线上传投标文件。上述方式外提交的投标文件，招标人将不予受理。</w:t>
      </w:r>
    </w:p>
    <w:p w14:paraId="6CC1BFDA">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在通过交易系统在线上传投标文件时，需设置投标文件查询密码（用于查询投标文件递交情况、撤销投标文件及签到时匹配对应的招标文件）。上传成功后，投标人应打印“电子标书网站上传回执”作为成功上传的凭证。</w:t>
      </w:r>
    </w:p>
    <w:p w14:paraId="6E736BDE">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投标文件成功上传后，交易系统将生成投标文件识别码。本识别码是投标人提交投标文件的唯一凭证，投标人须妥善保管。识别码丢失后，投标人将无法找回投标文件，需重新上传提交。</w:t>
      </w:r>
    </w:p>
    <w:p w14:paraId="22C99281">
      <w:pPr>
        <w:tabs>
          <w:tab w:val="left" w:pos="567"/>
        </w:tabs>
        <w:autoSpaceDE w:val="0"/>
        <w:autoSpaceDN w:val="0"/>
        <w:adjustRightInd w:val="0"/>
        <w:spacing w:line="360" w:lineRule="auto"/>
        <w:ind w:left="357" w:leftChars="-100" w:right="15" w:rightChars="7" w:hanging="567"/>
        <w:outlineLvl w:val="9"/>
        <w:rPr>
          <w:rFonts w:hint="eastAsia" w:ascii="宋体" w:hAnsi="宋体" w:eastAsia="宋体" w:cs="宋体"/>
          <w:color w:val="auto"/>
          <w:szCs w:val="21"/>
          <w:highlight w:val="none"/>
          <w:lang w:val="zh-CN"/>
        </w:rPr>
      </w:pPr>
      <w:bookmarkStart w:id="267" w:name="_Toc10837"/>
      <w:bookmarkStart w:id="268" w:name="_Toc8570"/>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.4</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投标会议</w:t>
      </w:r>
      <w:r>
        <w:rPr>
          <w:rFonts w:hint="eastAsia" w:ascii="宋体" w:hAnsi="宋体" w:eastAsia="宋体" w:cs="宋体"/>
          <w:color w:val="auto"/>
          <w:szCs w:val="21"/>
          <w:highlight w:val="none"/>
          <w:lang w:val="en-US" w:eastAsia="zh-CN"/>
        </w:rPr>
        <w:t>时间及</w:t>
      </w:r>
      <w:r>
        <w:rPr>
          <w:rFonts w:hint="eastAsia" w:ascii="宋体" w:hAnsi="宋体" w:eastAsia="宋体" w:cs="宋体"/>
          <w:color w:val="auto"/>
          <w:szCs w:val="21"/>
          <w:highlight w:val="none"/>
          <w:lang w:val="zh-CN"/>
        </w:rPr>
        <w:t>地点：见招标公告。</w:t>
      </w:r>
      <w:bookmarkEnd w:id="267"/>
      <w:bookmarkEnd w:id="268"/>
    </w:p>
    <w:p w14:paraId="330D3C59">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.5</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逾期送达的或者未按指定方式提交的投标文件，招标人不予受理。</w:t>
      </w:r>
    </w:p>
    <w:p w14:paraId="49E79B5B">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p>
    <w:p w14:paraId="26531B83">
      <w:pPr>
        <w:tabs>
          <w:tab w:val="left" w:pos="567"/>
        </w:tabs>
        <w:autoSpaceDE w:val="0"/>
        <w:autoSpaceDN w:val="0"/>
        <w:adjustRightInd w:val="0"/>
        <w:spacing w:line="360" w:lineRule="auto"/>
        <w:ind w:left="357" w:leftChars="-100" w:right="15" w:rightChars="7" w:hanging="567"/>
        <w:outlineLvl w:val="2"/>
        <w:rPr>
          <w:rFonts w:hint="eastAsia" w:ascii="宋体" w:hAnsi="宋体" w:eastAsia="宋体" w:cs="宋体"/>
          <w:color w:val="auto"/>
          <w:szCs w:val="21"/>
          <w:highlight w:val="none"/>
          <w:lang w:val="zh-CN"/>
        </w:rPr>
      </w:pPr>
      <w:bookmarkStart w:id="269" w:name="_Toc10027"/>
      <w:bookmarkStart w:id="270" w:name="_Toc195714239"/>
      <w:bookmarkStart w:id="271" w:name="_Toc2123"/>
      <w:bookmarkStart w:id="272" w:name="_Toc8540"/>
      <w:r>
        <w:rPr>
          <w:rFonts w:hint="eastAsia" w:ascii="宋体" w:hAnsi="宋体" w:eastAsia="宋体" w:cs="宋体"/>
          <w:color w:val="auto"/>
          <w:szCs w:val="21"/>
          <w:highlight w:val="none"/>
          <w:lang w:val="zh-CN"/>
        </w:rPr>
        <w:t>20 投标会时间、地点及投标文件提交的截止时间</w:t>
      </w:r>
      <w:bookmarkEnd w:id="269"/>
      <w:bookmarkEnd w:id="270"/>
      <w:bookmarkEnd w:id="271"/>
      <w:bookmarkEnd w:id="272"/>
    </w:p>
    <w:p w14:paraId="6EA18476">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投标人应按招标公告的时间、地点，或根据本投标人须知第</w:t>
      </w:r>
      <w:r>
        <w:rPr>
          <w:rFonts w:hint="eastAsia" w:ascii="宋体" w:hAnsi="宋体" w:eastAsia="宋体" w:cs="宋体"/>
          <w:color w:val="auto"/>
          <w:szCs w:val="21"/>
          <w:highlight w:val="none"/>
        </w:rPr>
        <w:t>7.2</w:t>
      </w:r>
      <w:r>
        <w:rPr>
          <w:rFonts w:hint="eastAsia" w:ascii="宋体" w:hAnsi="宋体" w:eastAsia="宋体" w:cs="宋体"/>
          <w:color w:val="auto"/>
          <w:szCs w:val="21"/>
          <w:highlight w:val="none"/>
          <w:lang w:val="zh-CN"/>
        </w:rPr>
        <w:t xml:space="preserve">款规定所延长的日期和时间之前通过交易系统在线上传投标文件。 </w:t>
      </w:r>
    </w:p>
    <w:p w14:paraId="7F2B0715">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招标人有权按本投标人须知第</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条的规定发出补充通知书，延长投标文件递交的截止时间。这时，原截止时间前，招标人与投标人的权利和义务相应延长至新的投标截止时间。</w:t>
      </w:r>
    </w:p>
    <w:p w14:paraId="210D7BAA">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p>
    <w:p w14:paraId="05871A5A">
      <w:pPr>
        <w:tabs>
          <w:tab w:val="left" w:pos="567"/>
        </w:tabs>
        <w:autoSpaceDE w:val="0"/>
        <w:autoSpaceDN w:val="0"/>
        <w:adjustRightInd w:val="0"/>
        <w:spacing w:line="360" w:lineRule="auto"/>
        <w:ind w:left="357" w:leftChars="-100" w:right="15" w:rightChars="7" w:hanging="567"/>
        <w:outlineLvl w:val="2"/>
        <w:rPr>
          <w:rFonts w:hint="eastAsia" w:ascii="宋体" w:hAnsi="宋体" w:eastAsia="宋体" w:cs="宋体"/>
          <w:color w:val="auto"/>
          <w:szCs w:val="21"/>
          <w:highlight w:val="none"/>
          <w:lang w:val="zh-CN"/>
        </w:rPr>
      </w:pPr>
      <w:bookmarkStart w:id="273" w:name="_Toc11228"/>
      <w:bookmarkStart w:id="274" w:name="_Toc20231"/>
      <w:bookmarkStart w:id="275" w:name="_Toc195714240"/>
      <w:bookmarkStart w:id="276" w:name="_Toc5699"/>
      <w:r>
        <w:rPr>
          <w:rFonts w:hint="eastAsia" w:ascii="宋体" w:hAnsi="宋体" w:eastAsia="宋体" w:cs="宋体"/>
          <w:color w:val="auto"/>
          <w:szCs w:val="21"/>
          <w:highlight w:val="none"/>
          <w:lang w:val="zh-CN"/>
        </w:rPr>
        <w:t>21 投标文件的拒绝</w:t>
      </w:r>
      <w:bookmarkEnd w:id="273"/>
      <w:bookmarkEnd w:id="274"/>
      <w:bookmarkEnd w:id="275"/>
      <w:bookmarkEnd w:id="276"/>
    </w:p>
    <w:p w14:paraId="26FE11B1">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投标会上，出现下列情形之一的投标文件，将被招标人拒绝：</w:t>
      </w:r>
    </w:p>
    <w:p w14:paraId="06228771">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.1.1招标人在本投标人须知第</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.4款规定的投标截止时间以后或指定方式以外收到的投标文件。</w:t>
      </w:r>
    </w:p>
    <w:p w14:paraId="7B47912A">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.1.2投标人未按本投标人须知第</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.4款规定提交的投标文件。</w:t>
      </w:r>
    </w:p>
    <w:p w14:paraId="3A087F20">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p>
    <w:p w14:paraId="6CF31B5B">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77" w:name="_Toc195714241"/>
      <w:bookmarkStart w:id="278" w:name="_Toc26166"/>
      <w:bookmarkStart w:id="279" w:name="_Toc32469"/>
      <w:bookmarkStart w:id="280" w:name="_Toc1676"/>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2 </w:t>
      </w:r>
      <w:r>
        <w:rPr>
          <w:rFonts w:hint="eastAsia" w:ascii="宋体" w:hAnsi="宋体" w:eastAsia="宋体" w:cs="宋体"/>
          <w:color w:val="auto"/>
          <w:szCs w:val="21"/>
          <w:highlight w:val="none"/>
          <w:lang w:val="zh-CN"/>
        </w:rPr>
        <w:t>投标文件的补充、修改与撤回</w:t>
      </w:r>
      <w:bookmarkEnd w:id="277"/>
      <w:bookmarkEnd w:id="278"/>
      <w:bookmarkEnd w:id="279"/>
      <w:bookmarkEnd w:id="280"/>
    </w:p>
    <w:p w14:paraId="34604E5E">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在本投标人须知第</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.1款规定的投标截止时间前，投标人可以修改或撤回已递交的投标文件。在投标截止时间之后，投标人不得补充、修改投标文件。</w:t>
      </w:r>
    </w:p>
    <w:p w14:paraId="2FC9A03B">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投标人应使用企业数字证书、投标文件识别码及投标文件查询密码通过网络撤回已递交投标文件。</w:t>
      </w:r>
    </w:p>
    <w:p w14:paraId="0BF5E7E0">
      <w:pPr>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在投标截止时间至投标有效期满之前，投标人不得撤销其投标文件。投标截止后投标人撤销投标文件的，招标人没收其投标保证金（逾期未解密投标文件的除外）。</w:t>
      </w:r>
    </w:p>
    <w:p w14:paraId="0A453243">
      <w:pPr>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p>
    <w:p w14:paraId="15078455">
      <w:pPr>
        <w:keepNext/>
        <w:keepLines/>
        <w:tabs>
          <w:tab w:val="left" w:pos="509"/>
        </w:tabs>
        <w:autoSpaceDE w:val="0"/>
        <w:autoSpaceDN w:val="0"/>
        <w:adjustRightInd w:val="0"/>
        <w:spacing w:line="360" w:lineRule="auto"/>
        <w:jc w:val="left"/>
        <w:outlineLvl w:val="1"/>
        <w:rPr>
          <w:rFonts w:hint="eastAsia" w:ascii="宋体" w:hAnsi="宋体" w:eastAsia="宋体" w:cs="宋体"/>
          <w:b/>
          <w:bCs/>
          <w:color w:val="auto"/>
          <w:kern w:val="44"/>
          <w:szCs w:val="21"/>
          <w:highlight w:val="none"/>
          <w:lang w:val="zh-CN"/>
        </w:rPr>
      </w:pPr>
      <w:bookmarkStart w:id="281" w:name="_Toc450662872"/>
      <w:bookmarkStart w:id="282" w:name="_Toc28824"/>
      <w:bookmarkStart w:id="283" w:name="_Toc195714242"/>
      <w:bookmarkStart w:id="284" w:name="_Toc3055"/>
      <w:bookmarkStart w:id="285" w:name="_Toc30428"/>
      <w:bookmarkStart w:id="286" w:name="_Toc29729"/>
      <w:bookmarkStart w:id="287" w:name="_Toc142508337"/>
      <w:bookmarkStart w:id="288" w:name="_Toc140596896"/>
      <w:bookmarkStart w:id="289" w:name="_Toc486167687"/>
      <w:bookmarkStart w:id="290" w:name="_Toc1049_WPSOffice_Level2"/>
      <w:bookmarkStart w:id="291" w:name="_Toc5498"/>
      <w:bookmarkStart w:id="292" w:name="_Toc450662880"/>
      <w:r>
        <w:rPr>
          <w:rFonts w:hint="eastAsia" w:ascii="宋体" w:hAnsi="宋体" w:eastAsia="宋体" w:cs="宋体"/>
          <w:b/>
          <w:bCs/>
          <w:color w:val="auto"/>
          <w:kern w:val="44"/>
          <w:szCs w:val="21"/>
          <w:highlight w:val="none"/>
          <w:lang w:val="zh-CN"/>
        </w:rPr>
        <w:t>五、开标与评标</w:t>
      </w:r>
      <w:bookmarkEnd w:id="281"/>
      <w:bookmarkEnd w:id="282"/>
      <w:bookmarkEnd w:id="283"/>
      <w:bookmarkEnd w:id="284"/>
      <w:bookmarkEnd w:id="285"/>
      <w:bookmarkEnd w:id="286"/>
      <w:bookmarkEnd w:id="287"/>
      <w:bookmarkEnd w:id="288"/>
      <w:bookmarkEnd w:id="289"/>
      <w:bookmarkEnd w:id="290"/>
      <w:bookmarkEnd w:id="291"/>
    </w:p>
    <w:p w14:paraId="330D0272">
      <w:pPr>
        <w:tabs>
          <w:tab w:val="left" w:pos="567"/>
        </w:tabs>
        <w:autoSpaceDE w:val="0"/>
        <w:autoSpaceDN w:val="0"/>
        <w:adjustRightInd w:val="0"/>
        <w:spacing w:line="360" w:lineRule="auto"/>
        <w:ind w:left="357" w:leftChars="-100" w:right="15" w:rightChars="7" w:hanging="567"/>
        <w:outlineLvl w:val="2"/>
        <w:rPr>
          <w:rFonts w:hint="eastAsia" w:ascii="宋体" w:hAnsi="宋体" w:eastAsia="宋体" w:cs="宋体"/>
          <w:color w:val="auto"/>
          <w:szCs w:val="21"/>
          <w:highlight w:val="none"/>
          <w:lang w:val="zh-CN"/>
        </w:rPr>
      </w:pPr>
      <w:bookmarkStart w:id="293" w:name="_Toc19111"/>
      <w:bookmarkStart w:id="294" w:name="_Toc31296"/>
      <w:bookmarkStart w:id="295" w:name="_Toc17477"/>
      <w:bookmarkStart w:id="296" w:name="_Toc195714243"/>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3 </w:t>
      </w:r>
      <w:r>
        <w:rPr>
          <w:rFonts w:hint="eastAsia" w:ascii="宋体" w:hAnsi="宋体" w:eastAsia="宋体" w:cs="宋体"/>
          <w:color w:val="auto"/>
          <w:szCs w:val="21"/>
          <w:highlight w:val="none"/>
          <w:lang w:val="zh-CN"/>
        </w:rPr>
        <w:t>开标</w:t>
      </w:r>
      <w:bookmarkEnd w:id="293"/>
      <w:bookmarkEnd w:id="294"/>
      <w:bookmarkEnd w:id="295"/>
      <w:bookmarkEnd w:id="296"/>
    </w:p>
    <w:p w14:paraId="57744CF1">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招标人在19.1款规定的投标截止时间（开标时间）和19.4款规定的地点召开投标会并公开开标，投标人可在规定的时间和地点参加投标会或通过登录交易系统在线查看开标过程相关信息。</w:t>
      </w:r>
    </w:p>
    <w:p w14:paraId="7EC194E3">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23.2 </w:t>
      </w:r>
      <w:r>
        <w:rPr>
          <w:rFonts w:hint="eastAsia" w:ascii="宋体" w:hAnsi="宋体" w:eastAsia="宋体" w:cs="宋体"/>
          <w:b/>
          <w:bCs/>
          <w:color w:val="auto"/>
          <w:szCs w:val="21"/>
          <w:highlight w:val="none"/>
          <w:lang w:val="en-US" w:eastAsia="zh-CN"/>
        </w:rPr>
        <w:t>投标人网上签到时间为开标当天上午6时至投标截止时间</w:t>
      </w:r>
      <w:r>
        <w:rPr>
          <w:rFonts w:hint="eastAsia" w:ascii="宋体" w:hAnsi="宋体" w:eastAsia="宋体" w:cs="宋体"/>
          <w:color w:val="auto"/>
          <w:szCs w:val="21"/>
          <w:highlight w:val="none"/>
          <w:lang w:val="en-US" w:eastAsia="zh-CN"/>
        </w:rPr>
        <w:t>，使用企业数字证书（机构证书或业务证书）登录交易系统在线完成投标保证金关联及电子投标文件关联等的网上签到手续。招标人在投标会现场不受理投标人签到事项，因投标人原因造成投标人签到失败、关联相关投标信息错误及不完整的，视为其投标文件无效，招标人将否决其投标。</w:t>
      </w:r>
    </w:p>
    <w:p w14:paraId="2492F806">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23.3 投标人网上签到需要由法定代表人或</w:t>
      </w:r>
      <w:r>
        <w:rPr>
          <w:rFonts w:hint="eastAsia" w:ascii="宋体" w:hAnsi="宋体" w:eastAsia="宋体" w:cs="宋体"/>
          <w:color w:val="auto"/>
          <w:szCs w:val="21"/>
          <w:highlight w:val="none"/>
          <w:lang w:val="zh-CN"/>
        </w:rPr>
        <w:t>其授权代表</w:t>
      </w:r>
      <w:r>
        <w:rPr>
          <w:rFonts w:hint="eastAsia" w:ascii="宋体" w:hAnsi="宋体" w:eastAsia="宋体" w:cs="宋体"/>
          <w:color w:val="auto"/>
          <w:szCs w:val="21"/>
          <w:highlight w:val="none"/>
          <w:lang w:val="en-US" w:eastAsia="zh-CN"/>
        </w:rPr>
        <w:t>进行人脸识别完成签到。（注：投标人在网上签到时须关联的法定代表人</w:t>
      </w:r>
      <w:r>
        <w:rPr>
          <w:rFonts w:hint="eastAsia" w:ascii="宋体" w:hAnsi="宋体" w:eastAsia="宋体" w:cs="宋体"/>
          <w:color w:val="auto"/>
          <w:szCs w:val="21"/>
          <w:highlight w:val="none"/>
          <w:lang w:val="zh-CN"/>
        </w:rPr>
        <w:t>授权代表</w:t>
      </w:r>
      <w:r>
        <w:rPr>
          <w:rFonts w:hint="eastAsia" w:ascii="宋体" w:hAnsi="宋体" w:eastAsia="宋体" w:cs="宋体"/>
          <w:color w:val="auto"/>
          <w:szCs w:val="21"/>
          <w:highlight w:val="none"/>
          <w:lang w:val="en-US" w:eastAsia="zh-CN"/>
        </w:rPr>
        <w:t>为本项目法定代表人授权书列明的被授权人。）</w:t>
      </w:r>
    </w:p>
    <w:p w14:paraId="1566BCE6">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投标文件提交截止时间后，招标人按本投标人须知第2</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.1款规定拒绝不符合要求的投标文件。</w:t>
      </w:r>
    </w:p>
    <w:p w14:paraId="7E555027">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 xml:space="preserve"> </w:t>
      </w:r>
      <w:r>
        <w:rPr>
          <w:rFonts w:hint="eastAsia" w:ascii="宋体" w:hAnsi="宋体" w:eastAsia="宋体" w:cs="宋体"/>
          <w:b/>
          <w:bCs/>
          <w:color w:val="auto"/>
          <w:szCs w:val="21"/>
          <w:highlight w:val="none"/>
          <w:lang w:val="zh-CN"/>
        </w:rPr>
        <w:t>解密投标文件的时间：投标文件提交截止时间后60分钟内</w:t>
      </w:r>
      <w:r>
        <w:rPr>
          <w:rFonts w:hint="eastAsia" w:ascii="宋体" w:hAnsi="宋体" w:eastAsia="宋体" w:cs="宋体"/>
          <w:b w:val="0"/>
          <w:bCs w:val="0"/>
          <w:color w:val="auto"/>
          <w:szCs w:val="21"/>
          <w:highlight w:val="none"/>
          <w:lang w:val="zh-CN"/>
        </w:rPr>
        <w:t>。</w:t>
      </w:r>
      <w:r>
        <w:rPr>
          <w:rFonts w:hint="eastAsia" w:ascii="宋体" w:hAnsi="宋体" w:eastAsia="宋体" w:cs="宋体"/>
          <w:color w:val="auto"/>
          <w:szCs w:val="21"/>
          <w:highlight w:val="none"/>
          <w:lang w:val="zh-CN"/>
        </w:rPr>
        <w:t>若全部投标文件均在解密时间内完成解密，经招标人确认，可以提前进入下一环节。投标会现场不受理投标人的投标文件解密等事项。因投标人原因造成投标文件未解密的，视为撤销其投标文件；因投标人</w:t>
      </w:r>
      <w:r>
        <w:rPr>
          <w:rFonts w:hint="eastAsia" w:ascii="宋体" w:hAnsi="宋体" w:eastAsia="宋体" w:cs="宋体"/>
          <w:color w:val="auto"/>
          <w:szCs w:val="21"/>
          <w:highlight w:val="none"/>
          <w:lang w:val="en-US" w:eastAsia="zh-CN"/>
        </w:rPr>
        <w:t>之外的</w:t>
      </w:r>
      <w:r>
        <w:rPr>
          <w:rFonts w:hint="eastAsia" w:ascii="宋体" w:hAnsi="宋体" w:eastAsia="宋体" w:cs="宋体"/>
          <w:color w:val="auto"/>
          <w:szCs w:val="21"/>
          <w:highlight w:val="none"/>
          <w:lang w:val="zh-CN"/>
        </w:rPr>
        <w:t>原因造成投标文件未解密的，视为撤回其投标文件。投标文件解密需要由法定代表人或其授权代表进行人脸识别完成解密。</w:t>
      </w:r>
      <w:r>
        <w:rPr>
          <w:rFonts w:hint="eastAsia" w:ascii="宋体" w:hAnsi="宋体" w:eastAsia="宋体" w:cs="宋体"/>
          <w:color w:val="auto"/>
          <w:szCs w:val="21"/>
          <w:highlight w:val="none"/>
          <w:lang w:val="en-US" w:eastAsia="zh-CN"/>
        </w:rPr>
        <w:t>（注：投标人在网上签到时须关联的法定代表人</w:t>
      </w:r>
      <w:r>
        <w:rPr>
          <w:rFonts w:hint="eastAsia" w:ascii="宋体" w:hAnsi="宋体" w:eastAsia="宋体" w:cs="宋体"/>
          <w:color w:val="auto"/>
          <w:szCs w:val="21"/>
          <w:highlight w:val="none"/>
          <w:lang w:val="zh-CN"/>
        </w:rPr>
        <w:t>授权代表</w:t>
      </w:r>
      <w:r>
        <w:rPr>
          <w:rFonts w:hint="eastAsia" w:ascii="宋体" w:hAnsi="宋体" w:eastAsia="宋体" w:cs="宋体"/>
          <w:color w:val="auto"/>
          <w:szCs w:val="21"/>
          <w:highlight w:val="none"/>
          <w:lang w:val="en-US" w:eastAsia="zh-CN"/>
        </w:rPr>
        <w:t>为本项目法定代表人授权书列明的被授权人。）</w:t>
      </w:r>
    </w:p>
    <w:p w14:paraId="3C6CC488">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23.6 由招标人及其委托的招标代理机构开启投标文件的报价信封进行唱标。</w:t>
      </w:r>
    </w:p>
    <w:p w14:paraId="3E0F996B">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招标人将所有已解密的电子投标文件，按要求通过开标系统将进入评标环节的投标文件打包并导入评标系统。</w:t>
      </w:r>
    </w:p>
    <w:p w14:paraId="7F9DC725">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招标人、招标代理工作人员、监督部门（如有）等有关人员在开标记录上签字确认，开标记录封存。</w:t>
      </w:r>
    </w:p>
    <w:p w14:paraId="4F46F28E">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kern w:val="0"/>
          <w:szCs w:val="21"/>
          <w:highlight w:val="none"/>
        </w:rPr>
      </w:pPr>
    </w:p>
    <w:p w14:paraId="6D57F60B">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97" w:name="_Toc450662874"/>
      <w:bookmarkStart w:id="298" w:name="_Toc14180"/>
      <w:bookmarkStart w:id="299" w:name="_Toc195714244"/>
      <w:bookmarkStart w:id="300" w:name="_Toc29774"/>
      <w:bookmarkStart w:id="301" w:name="_Toc142508339"/>
      <w:bookmarkStart w:id="302" w:name="_Toc5684"/>
      <w:bookmarkStart w:id="303" w:name="_Toc486167689"/>
      <w:bookmarkStart w:id="304" w:name="_Toc32534"/>
      <w:bookmarkStart w:id="305" w:name="_Toc23059"/>
      <w:bookmarkStart w:id="306" w:name="_Toc12165_WPSOffice_Level3"/>
      <w:r>
        <w:rPr>
          <w:rFonts w:hint="eastAsia" w:ascii="宋体" w:hAnsi="宋体" w:eastAsia="宋体" w:cs="宋体"/>
          <w:color w:val="auto"/>
          <w:szCs w:val="21"/>
          <w:highlight w:val="none"/>
        </w:rPr>
        <w:t>24</w:t>
      </w:r>
      <w:r>
        <w:rPr>
          <w:rFonts w:hint="eastAsia"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bookmarkEnd w:id="297"/>
      <w:bookmarkEnd w:id="298"/>
      <w:bookmarkEnd w:id="299"/>
      <w:bookmarkEnd w:id="300"/>
      <w:bookmarkEnd w:id="301"/>
      <w:bookmarkEnd w:id="302"/>
      <w:bookmarkEnd w:id="303"/>
      <w:bookmarkEnd w:id="304"/>
      <w:bookmarkEnd w:id="305"/>
      <w:bookmarkEnd w:id="306"/>
    </w:p>
    <w:p w14:paraId="55E7DCD9">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递交投标文件后，直至向中标人授予合同期间，凡与审查、澄清、评估和比较投标报价的有关资料以及意见等，均不得向投标人及与评审无关的其他人透露，否则追究有关当事人的法律责任。</w:t>
      </w:r>
    </w:p>
    <w:p w14:paraId="67A450FB">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24</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14:paraId="661D94B5">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p>
    <w:p w14:paraId="437A7A59">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07" w:name="_Toc450662875"/>
      <w:bookmarkStart w:id="308" w:name="_Toc19681"/>
      <w:bookmarkStart w:id="309" w:name="_Toc15565_WPSOffice_Level3"/>
      <w:bookmarkStart w:id="310" w:name="_Toc195714245"/>
      <w:bookmarkStart w:id="311" w:name="_Toc800"/>
      <w:bookmarkStart w:id="312" w:name="_Toc486167690"/>
      <w:bookmarkStart w:id="313" w:name="_Toc32615"/>
      <w:bookmarkStart w:id="314" w:name="_Toc142508340"/>
      <w:bookmarkStart w:id="315" w:name="_Toc16920"/>
      <w:r>
        <w:rPr>
          <w:rFonts w:hint="eastAsia" w:ascii="宋体" w:hAnsi="宋体" w:eastAsia="宋体" w:cs="宋体"/>
          <w:color w:val="auto"/>
          <w:szCs w:val="21"/>
          <w:highlight w:val="none"/>
        </w:rPr>
        <w:t>25</w:t>
      </w:r>
      <w:r>
        <w:rPr>
          <w:rFonts w:hint="eastAsia" w:ascii="宋体" w:hAnsi="宋体" w:eastAsia="宋体" w:cs="宋体"/>
          <w:color w:val="auto"/>
          <w:szCs w:val="21"/>
          <w:highlight w:val="none"/>
          <w:lang w:val="zh-CN"/>
        </w:rPr>
        <w:t xml:space="preserve"> 评标委员会</w:t>
      </w:r>
      <w:bookmarkEnd w:id="307"/>
      <w:bookmarkEnd w:id="308"/>
      <w:bookmarkEnd w:id="309"/>
      <w:bookmarkEnd w:id="310"/>
      <w:bookmarkEnd w:id="311"/>
      <w:bookmarkEnd w:id="312"/>
      <w:bookmarkEnd w:id="313"/>
      <w:bookmarkEnd w:id="314"/>
      <w:bookmarkEnd w:id="315"/>
    </w:p>
    <w:p w14:paraId="16A757F6">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25</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14:paraId="236FCEFE">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25</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14:paraId="6B25BE37">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p>
    <w:p w14:paraId="4C3A732C">
      <w:pPr>
        <w:autoSpaceDE w:val="0"/>
        <w:autoSpaceDN w:val="0"/>
        <w:adjustRightInd w:val="0"/>
        <w:spacing w:line="360" w:lineRule="auto"/>
        <w:ind w:left="357" w:leftChars="-100" w:hanging="567"/>
        <w:outlineLvl w:val="2"/>
        <w:rPr>
          <w:rFonts w:hint="eastAsia" w:ascii="宋体" w:hAnsi="宋体" w:eastAsia="宋体" w:cs="宋体"/>
          <w:color w:val="auto"/>
          <w:szCs w:val="21"/>
          <w:highlight w:val="none"/>
          <w:lang w:val="zh-CN"/>
        </w:rPr>
      </w:pPr>
      <w:bookmarkStart w:id="316" w:name="_Toc13854"/>
      <w:bookmarkStart w:id="317" w:name="_Toc29870"/>
      <w:bookmarkStart w:id="318" w:name="_Toc195714246"/>
      <w:bookmarkStart w:id="319" w:name="_Toc4946"/>
      <w:r>
        <w:rPr>
          <w:rFonts w:hint="eastAsia" w:ascii="宋体" w:hAnsi="宋体" w:eastAsia="宋体" w:cs="宋体"/>
          <w:color w:val="auto"/>
          <w:szCs w:val="21"/>
          <w:highlight w:val="none"/>
          <w:lang w:val="zh-CN"/>
        </w:rPr>
        <w:t>26</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投标文件的有效性</w:t>
      </w:r>
      <w:bookmarkEnd w:id="316"/>
      <w:bookmarkEnd w:id="317"/>
      <w:bookmarkEnd w:id="318"/>
      <w:bookmarkEnd w:id="319"/>
    </w:p>
    <w:p w14:paraId="66A49E40">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26.1开标（评标）时，投标文件出现下列情形之一的，应当作为无效投标文件：</w:t>
      </w:r>
    </w:p>
    <w:p w14:paraId="0D8C4D7D">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bookmarkStart w:id="320" w:name="_Toc1252"/>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上传的投标文件损坏或无法读取的；</w:t>
      </w:r>
      <w:bookmarkEnd w:id="320"/>
    </w:p>
    <w:p w14:paraId="360F3C06">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经招标人确认，投标人在公共资源交易企业库填报的与本项目密切相关的信息与事实不相符的；</w:t>
      </w:r>
    </w:p>
    <w:p w14:paraId="07F922F6">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26.1.3投标文件中使用的本项目招标文件版本，与交易系统上发布的本项目招标文件的最新版本不一致的；</w:t>
      </w:r>
    </w:p>
    <w:p w14:paraId="2B383FFB">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投标文件签名使用的数字证书与签到的投标人名称不一致的；</w:t>
      </w:r>
    </w:p>
    <w:p w14:paraId="0774FF97">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投标人的投标编制MAC信息、投标编制CPU序列号、投标编制硬盘序列号均与其他投标人相同的；</w:t>
      </w:r>
    </w:p>
    <w:p w14:paraId="61C7AF1E">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投标文件附有招标人不能接受的条件的；</w:t>
      </w:r>
    </w:p>
    <w:p w14:paraId="447C32A1">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投标人资格不满足本投标人须知第</w:t>
      </w:r>
      <w:r>
        <w:rPr>
          <w:rFonts w:hint="eastAsia" w:ascii="宋体" w:hAnsi="宋体" w:eastAsia="宋体" w:cs="宋体"/>
          <w:color w:val="auto"/>
          <w:szCs w:val="21"/>
          <w:highlight w:val="none"/>
          <w:lang w:val="en-US" w:eastAsia="zh-CN"/>
        </w:rPr>
        <w:t>2条</w:t>
      </w:r>
      <w:r>
        <w:rPr>
          <w:rFonts w:hint="eastAsia" w:ascii="宋体" w:hAnsi="宋体" w:eastAsia="宋体" w:cs="宋体"/>
          <w:color w:val="auto"/>
          <w:szCs w:val="21"/>
          <w:highlight w:val="none"/>
          <w:lang w:val="zh-CN"/>
        </w:rPr>
        <w:t>的要求；</w:t>
      </w:r>
    </w:p>
    <w:p w14:paraId="73540924">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val="zh-CN"/>
        </w:rPr>
        <w:t>投标人未按招标文件要求交纳投标保证金的；</w:t>
      </w:r>
    </w:p>
    <w:p w14:paraId="1B727EF8">
      <w:pPr>
        <w:autoSpaceDE w:val="0"/>
        <w:autoSpaceDN w:val="0"/>
        <w:adjustRightInd w:val="0"/>
        <w:spacing w:line="360" w:lineRule="auto"/>
        <w:ind w:left="357" w:leftChars="-100" w:hanging="567"/>
        <w:outlineLvl w:val="9"/>
        <w:rPr>
          <w:rFonts w:hint="eastAsia" w:ascii="宋体" w:hAnsi="宋体" w:eastAsia="宋体" w:cs="宋体"/>
          <w:color w:val="auto"/>
          <w:szCs w:val="21"/>
          <w:highlight w:val="yellow"/>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val="zh-CN"/>
        </w:rPr>
        <w:t>投标文件报价信封中填报的投标报价高于</w:t>
      </w:r>
      <w:r>
        <w:rPr>
          <w:rFonts w:hint="eastAsia" w:ascii="宋体" w:hAnsi="宋体" w:eastAsia="宋体" w:cs="宋体"/>
          <w:color w:val="auto"/>
          <w:szCs w:val="21"/>
          <w:highlight w:val="none"/>
        </w:rPr>
        <w:t>最高投标限价</w:t>
      </w:r>
      <w:r>
        <w:rPr>
          <w:rFonts w:hint="eastAsia" w:ascii="宋体" w:hAnsi="宋体" w:eastAsia="宋体" w:cs="宋体"/>
          <w:color w:val="auto"/>
          <w:szCs w:val="21"/>
          <w:highlight w:val="none"/>
          <w:lang w:val="zh-CN"/>
        </w:rPr>
        <w:t>的</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val="en-US" w:eastAsia="zh-CN"/>
        </w:rPr>
        <w:t>投标报价表中</w:t>
      </w:r>
      <w:r>
        <w:rPr>
          <w:rFonts w:hint="eastAsia" w:ascii="宋体" w:hAnsi="宋体" w:eastAsia="宋体" w:cs="宋体"/>
          <w:color w:val="auto"/>
          <w:szCs w:val="21"/>
          <w:highlight w:val="none"/>
        </w:rPr>
        <w:t>投标报价超过最高投标限价的或单项报价超过</w:t>
      </w:r>
      <w:r>
        <w:rPr>
          <w:rFonts w:hint="eastAsia" w:ascii="宋体" w:hAnsi="宋体" w:eastAsia="宋体" w:cs="宋体"/>
          <w:color w:val="auto"/>
          <w:szCs w:val="21"/>
          <w:highlight w:val="none"/>
          <w:lang w:val="en-US" w:eastAsia="zh-CN"/>
        </w:rPr>
        <w:t>对应</w:t>
      </w:r>
      <w:r>
        <w:rPr>
          <w:rFonts w:hint="eastAsia" w:ascii="宋体" w:hAnsi="宋体" w:eastAsia="宋体" w:cs="宋体"/>
          <w:color w:val="auto"/>
          <w:szCs w:val="21"/>
          <w:highlight w:val="none"/>
        </w:rPr>
        <w:t>单项最高投标限价的</w:t>
      </w:r>
      <w:r>
        <w:rPr>
          <w:rFonts w:hint="eastAsia" w:ascii="宋体" w:hAnsi="宋体" w:eastAsia="宋体" w:cs="宋体"/>
          <w:color w:val="auto"/>
          <w:szCs w:val="21"/>
          <w:highlight w:val="none"/>
          <w:lang w:val="zh-CN"/>
        </w:rPr>
        <w:t>；</w:t>
      </w:r>
    </w:p>
    <w:p w14:paraId="1A72725A">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投标人以低于企业成本价报价，且投标人不能合理说明或不能提供相关证明材料；</w:t>
      </w:r>
    </w:p>
    <w:p w14:paraId="11D5C522">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lang w:val="zh-CN"/>
        </w:rPr>
        <w:t>投标人递交两份或多份内容不同的投标文件，或在一份投标文件中报有两个或多个报价，且未书面声明哪一个有效；</w:t>
      </w:r>
    </w:p>
    <w:p w14:paraId="0B385764">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lang w:val="zh-CN"/>
        </w:rPr>
        <w:t>投标文件未按</w:t>
      </w:r>
      <w:r>
        <w:rPr>
          <w:rFonts w:hint="eastAsia" w:ascii="宋体" w:hAnsi="宋体" w:eastAsia="宋体" w:cs="宋体"/>
          <w:color w:val="auto"/>
          <w:szCs w:val="21"/>
          <w:highlight w:val="none"/>
          <w:lang w:val="en-US" w:eastAsia="zh-CN"/>
        </w:rPr>
        <w:t>本</w:t>
      </w:r>
      <w:r>
        <w:rPr>
          <w:rFonts w:hint="eastAsia" w:ascii="宋体" w:hAnsi="宋体" w:eastAsia="宋体" w:cs="宋体"/>
          <w:color w:val="auto"/>
          <w:szCs w:val="21"/>
          <w:highlight w:val="none"/>
          <w:lang w:val="zh-CN"/>
        </w:rPr>
        <w:t>投标人须知第17</w:t>
      </w:r>
      <w:r>
        <w:rPr>
          <w:rFonts w:hint="eastAsia" w:ascii="宋体" w:hAnsi="宋体" w:eastAsia="宋体" w:cs="宋体"/>
          <w:color w:val="auto"/>
          <w:szCs w:val="21"/>
          <w:highlight w:val="none"/>
          <w:lang w:val="en-US" w:eastAsia="zh-CN"/>
        </w:rPr>
        <w:t>条</w:t>
      </w:r>
      <w:r>
        <w:rPr>
          <w:rFonts w:hint="eastAsia" w:ascii="宋体" w:hAnsi="宋体" w:eastAsia="宋体" w:cs="宋体"/>
          <w:color w:val="auto"/>
          <w:szCs w:val="21"/>
          <w:highlight w:val="none"/>
          <w:lang w:val="zh-CN"/>
        </w:rPr>
        <w:t>的要求编制、使用企业数字证书或个人数字证书电子签名的；</w:t>
      </w:r>
    </w:p>
    <w:p w14:paraId="4596C408">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bookmarkStart w:id="321" w:name="_Toc30574"/>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13</w:t>
      </w:r>
      <w:r>
        <w:rPr>
          <w:rFonts w:hint="eastAsia" w:ascii="宋体" w:hAnsi="宋体" w:eastAsia="宋体" w:cs="宋体"/>
          <w:color w:val="auto"/>
          <w:szCs w:val="21"/>
          <w:highlight w:val="none"/>
          <w:lang w:val="zh-CN"/>
        </w:rPr>
        <w:t>投标有效期限不符合要求；</w:t>
      </w:r>
      <w:bookmarkEnd w:id="321"/>
    </w:p>
    <w:p w14:paraId="0CAE3BE9">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14</w:t>
      </w:r>
      <w:r>
        <w:rPr>
          <w:rFonts w:hint="eastAsia" w:ascii="宋体" w:hAnsi="宋体" w:eastAsia="宋体" w:cs="宋体"/>
          <w:color w:val="auto"/>
          <w:szCs w:val="21"/>
          <w:highlight w:val="none"/>
          <w:lang w:val="zh-CN"/>
        </w:rPr>
        <w:t>投标文件未对招标范围内的全部内容进行投标报价或投标方案不是唯一；</w:t>
      </w:r>
    </w:p>
    <w:p w14:paraId="4F03A0DE">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lang w:val="zh-CN"/>
        </w:rPr>
        <w:t>未提供或虚假填写《合同条款偏离表》，或对《合同条款偏离表》有负偏离的；</w:t>
      </w:r>
    </w:p>
    <w:p w14:paraId="6B733C95">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bookmarkStart w:id="322" w:name="_Toc3291"/>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16</w:t>
      </w:r>
      <w:r>
        <w:rPr>
          <w:rFonts w:hint="eastAsia" w:ascii="宋体" w:hAnsi="宋体" w:eastAsia="宋体" w:cs="宋体"/>
          <w:color w:val="auto"/>
          <w:szCs w:val="21"/>
          <w:highlight w:val="none"/>
          <w:lang w:val="zh-CN"/>
        </w:rPr>
        <w:t>未填写或虚假填写《用户需求偏离表》的；</w:t>
      </w:r>
      <w:bookmarkEnd w:id="322"/>
    </w:p>
    <w:p w14:paraId="058E3EDF">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17</w:t>
      </w:r>
      <w:r>
        <w:rPr>
          <w:rFonts w:hint="eastAsia" w:ascii="宋体" w:hAnsi="宋体" w:eastAsia="宋体" w:cs="宋体"/>
          <w:color w:val="auto"/>
          <w:szCs w:val="21"/>
          <w:highlight w:val="none"/>
          <w:lang w:val="zh-CN"/>
        </w:rPr>
        <w:t>未响应招标文件提出的实质性要求和条件（标注★的条款）；</w:t>
      </w:r>
    </w:p>
    <w:p w14:paraId="102EBA3D">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18</w:t>
      </w:r>
      <w:r>
        <w:rPr>
          <w:rFonts w:hint="eastAsia" w:ascii="宋体" w:hAnsi="宋体" w:eastAsia="宋体" w:cs="宋体"/>
          <w:color w:val="auto"/>
          <w:szCs w:val="21"/>
          <w:highlight w:val="none"/>
          <w:lang w:val="zh-CN"/>
        </w:rPr>
        <w:t>属于招标文件中规定为无效标的；属于法律、法规、规章规定的应作无效投标文件处理的。</w:t>
      </w:r>
    </w:p>
    <w:p w14:paraId="1145EC89">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p>
    <w:p w14:paraId="44E8A21D">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zh-CN"/>
        </w:rPr>
      </w:pPr>
      <w:bookmarkStart w:id="323" w:name="_Toc195714247"/>
      <w:bookmarkStart w:id="324" w:name="_Toc3068"/>
      <w:bookmarkStart w:id="325" w:name="_Toc8692"/>
      <w:bookmarkStart w:id="326" w:name="_Toc450662876"/>
      <w:bookmarkStart w:id="327" w:name="_Toc12715"/>
      <w:bookmarkStart w:id="328" w:name="_Toc486167691"/>
      <w:bookmarkStart w:id="329" w:name="_Toc22266"/>
      <w:bookmarkStart w:id="330" w:name="_Toc142508341"/>
      <w:bookmarkStart w:id="331" w:name="_Toc28910_WPSOffice_Level3"/>
      <w:bookmarkStart w:id="332" w:name="_Toc18668"/>
      <w:r>
        <w:rPr>
          <w:rFonts w:hint="eastAsia" w:ascii="宋体" w:hAnsi="宋体" w:eastAsia="宋体" w:cs="宋体"/>
          <w:b/>
          <w:color w:val="auto"/>
          <w:szCs w:val="21"/>
          <w:highlight w:val="none"/>
          <w:lang w:val="zh-CN"/>
        </w:rPr>
        <w:t>2</w:t>
      </w: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 xml:space="preserve"> 投标文件的初审</w:t>
      </w:r>
      <w:bookmarkEnd w:id="323"/>
      <w:bookmarkEnd w:id="324"/>
      <w:bookmarkEnd w:id="325"/>
      <w:bookmarkEnd w:id="326"/>
      <w:bookmarkEnd w:id="327"/>
      <w:bookmarkEnd w:id="328"/>
      <w:bookmarkEnd w:id="329"/>
      <w:bookmarkEnd w:id="330"/>
      <w:bookmarkEnd w:id="331"/>
      <w:bookmarkEnd w:id="332"/>
    </w:p>
    <w:p w14:paraId="3CFF65CF">
      <w:pPr>
        <w:autoSpaceDE w:val="0"/>
        <w:autoSpaceDN w:val="0"/>
        <w:adjustRightInd w:val="0"/>
        <w:spacing w:line="360" w:lineRule="auto"/>
        <w:ind w:left="357" w:leftChars="-100" w:hanging="567"/>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zh-CN"/>
        </w:rPr>
        <w:t>2</w:t>
      </w: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.1 资格性检查：依据法律法规和招标文件的规定，对投标文件中的资格证明、投标保证金等进行审查，以确定投标人是否具备投标资格。</w:t>
      </w:r>
    </w:p>
    <w:p w14:paraId="4C6A9E4E">
      <w:pPr>
        <w:autoSpaceDE w:val="0"/>
        <w:autoSpaceDN w:val="0"/>
        <w:adjustRightInd w:val="0"/>
        <w:spacing w:line="360" w:lineRule="auto"/>
        <w:ind w:left="330" w:leftChars="-100" w:hanging="54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w:t>
      </w: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.2 符合性检查：依据招标文件的规定，从投标文件的有效性、完整性和对招标文件的响应程度进行审查，以确定是否对招标文件的实质性要求作出响应。</w:t>
      </w:r>
    </w:p>
    <w:p w14:paraId="75A1A516">
      <w:pPr>
        <w:autoSpaceDE w:val="0"/>
        <w:autoSpaceDN w:val="0"/>
        <w:adjustRightInd w:val="0"/>
        <w:spacing w:line="360" w:lineRule="auto"/>
        <w:ind w:left="330" w:leftChars="-100" w:hanging="540"/>
        <w:rPr>
          <w:rFonts w:hint="eastAsia" w:ascii="宋体" w:hAnsi="宋体" w:eastAsia="宋体" w:cs="宋体"/>
          <w:b/>
          <w:color w:val="auto"/>
          <w:szCs w:val="21"/>
          <w:highlight w:val="none"/>
          <w:lang w:val="zh-CN"/>
        </w:rPr>
      </w:pPr>
    </w:p>
    <w:p w14:paraId="4BCB70E7">
      <w:pPr>
        <w:tabs>
          <w:tab w:val="left" w:pos="52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33" w:name="_Toc195714248"/>
      <w:bookmarkStart w:id="334" w:name="_Toc6362"/>
      <w:bookmarkStart w:id="335" w:name="_Toc4837"/>
      <w:bookmarkStart w:id="336" w:name="_Toc30225"/>
      <w:bookmarkStart w:id="337" w:name="_Toc27027"/>
      <w:bookmarkStart w:id="338" w:name="_Toc486167692"/>
      <w:bookmarkStart w:id="339" w:name="_Toc142508342"/>
      <w:bookmarkStart w:id="340" w:name="_Toc14701"/>
      <w:bookmarkStart w:id="341" w:name="_Toc338_WPSOffice_Level3"/>
      <w:bookmarkStart w:id="342" w:name="_Toc450662877"/>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 xml:space="preserve"> 投标文件的澄清</w:t>
      </w:r>
      <w:bookmarkEnd w:id="333"/>
      <w:bookmarkEnd w:id="334"/>
      <w:bookmarkEnd w:id="335"/>
      <w:bookmarkEnd w:id="336"/>
      <w:bookmarkEnd w:id="337"/>
      <w:bookmarkEnd w:id="338"/>
      <w:bookmarkEnd w:id="339"/>
      <w:bookmarkEnd w:id="340"/>
      <w:bookmarkEnd w:id="341"/>
      <w:bookmarkEnd w:id="342"/>
    </w:p>
    <w:p w14:paraId="3FBB9399">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4926E71E">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bookmarkStart w:id="343" w:name="_Toc450662879"/>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 xml:space="preserve">.2 </w:t>
      </w:r>
      <w:r>
        <w:rPr>
          <w:rFonts w:hint="eastAsia" w:ascii="宋体" w:hAnsi="宋体" w:eastAsia="宋体" w:cs="宋体"/>
          <w:color w:val="auto"/>
          <w:szCs w:val="21"/>
          <w:highlight w:val="none"/>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因此温馨提示各投标人：编制投标文件时，请认真填写本项目递交投标文件时法定代表人或法定代表人授权书列明的被授权人的联系电话，如招标文件</w:t>
      </w:r>
      <w:r>
        <w:rPr>
          <w:rFonts w:hint="eastAsia" w:ascii="宋体" w:hAnsi="宋体" w:eastAsia="宋体" w:cs="宋体"/>
          <w:color w:val="auto"/>
          <w:szCs w:val="21"/>
          <w:highlight w:val="none"/>
          <w:lang w:val="en-US" w:eastAsia="zh-CN"/>
        </w:rPr>
        <w:t>第六篇</w:t>
      </w:r>
      <w:r>
        <w:rPr>
          <w:rFonts w:hint="eastAsia" w:ascii="宋体" w:hAnsi="宋体" w:eastAsia="宋体" w:cs="宋体"/>
          <w:color w:val="auto"/>
          <w:szCs w:val="21"/>
          <w:highlight w:val="none"/>
          <w:lang w:val="zh-CN"/>
        </w:rPr>
        <w:t>投标文件格式“投标函”</w:t>
      </w:r>
      <w:r>
        <w:rPr>
          <w:rFonts w:hint="eastAsia" w:ascii="宋体" w:hAnsi="宋体" w:eastAsia="宋体" w:cs="宋体"/>
          <w:color w:val="auto"/>
          <w:szCs w:val="21"/>
          <w:highlight w:val="none"/>
          <w:lang w:val="en-US" w:eastAsia="zh-CN"/>
        </w:rPr>
        <w:t>和“法定代表人授权书”</w:t>
      </w:r>
      <w:r>
        <w:rPr>
          <w:rFonts w:hint="eastAsia" w:ascii="宋体" w:hAnsi="宋体" w:eastAsia="宋体" w:cs="宋体"/>
          <w:color w:val="auto"/>
          <w:szCs w:val="21"/>
          <w:highlight w:val="none"/>
          <w:lang w:val="zh-CN"/>
        </w:rPr>
        <w:t>中的</w:t>
      </w:r>
      <w:r>
        <w:rPr>
          <w:rFonts w:hint="eastAsia" w:ascii="宋体" w:hAnsi="宋体" w:eastAsia="宋体" w:cs="宋体"/>
          <w:color w:val="auto"/>
          <w:szCs w:val="21"/>
          <w:highlight w:val="none"/>
          <w:lang w:val="en-US" w:eastAsia="zh-CN"/>
        </w:rPr>
        <w:t>联系方式及电子邮箱</w:t>
      </w:r>
      <w:r>
        <w:rPr>
          <w:rFonts w:hint="eastAsia" w:ascii="宋体" w:hAnsi="宋体" w:eastAsia="宋体" w:cs="宋体"/>
          <w:color w:val="auto"/>
          <w:szCs w:val="21"/>
          <w:highlight w:val="none"/>
          <w:lang w:val="zh-CN"/>
        </w:rPr>
        <w:t>，以便能及时收到澄清通知。</w:t>
      </w:r>
    </w:p>
    <w:p w14:paraId="42507DCA">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p>
    <w:bookmarkEnd w:id="343"/>
    <w:p w14:paraId="337F2709">
      <w:pPr>
        <w:tabs>
          <w:tab w:val="left" w:pos="52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44" w:name="_Toc10292"/>
      <w:bookmarkStart w:id="345" w:name="_Toc195714249"/>
      <w:bookmarkStart w:id="346" w:name="_Toc522047355"/>
      <w:bookmarkStart w:id="347" w:name="_Toc142508343"/>
      <w:bookmarkStart w:id="348" w:name="_Toc10967"/>
      <w:bookmarkStart w:id="349" w:name="_Toc22065"/>
      <w:bookmarkStart w:id="350" w:name="_Toc521918096"/>
      <w:bookmarkStart w:id="351" w:name="_Toc19871"/>
      <w:bookmarkStart w:id="352" w:name="_Toc6675"/>
      <w:bookmarkStart w:id="353" w:name="_Toc18368_WPSOffice_Level3"/>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 xml:space="preserve"> 对投标文件的比较和评价</w:t>
      </w:r>
      <w:bookmarkEnd w:id="344"/>
      <w:bookmarkEnd w:id="345"/>
      <w:bookmarkEnd w:id="346"/>
      <w:bookmarkEnd w:id="347"/>
      <w:bookmarkEnd w:id="348"/>
      <w:bookmarkEnd w:id="349"/>
      <w:bookmarkEnd w:id="350"/>
      <w:bookmarkEnd w:id="351"/>
      <w:bookmarkEnd w:id="352"/>
      <w:bookmarkEnd w:id="353"/>
    </w:p>
    <w:p w14:paraId="586A2C9F">
      <w:pPr>
        <w:tabs>
          <w:tab w:val="left" w:pos="540"/>
        </w:tabs>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评标委员会将对资格性检查和符合性检查合格的投标文件进行比较和评价，包括商务、技术、价格</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lang w:val="zh-CN"/>
        </w:rPr>
        <w:t>详细评审。</w:t>
      </w:r>
    </w:p>
    <w:p w14:paraId="7E0AEDFF">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14:paraId="25020DFA">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14:paraId="0E1F600E">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29.4 </w:t>
      </w:r>
      <w:r>
        <w:rPr>
          <w:rFonts w:hint="eastAsia" w:ascii="宋体" w:hAnsi="宋体" w:eastAsia="宋体" w:cs="宋体"/>
          <w:color w:val="auto"/>
          <w:szCs w:val="21"/>
          <w:highlight w:val="none"/>
          <w:lang w:val="zh-CN"/>
        </w:rPr>
        <w:t>对投标价格的评审详见评标工作大纲。</w:t>
      </w:r>
    </w:p>
    <w:p w14:paraId="3002A342">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14:paraId="7FBA8B54">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14:paraId="74EE89F5">
      <w:pPr>
        <w:tabs>
          <w:tab w:val="left" w:pos="567"/>
        </w:tabs>
        <w:autoSpaceDE w:val="0"/>
        <w:autoSpaceDN w:val="0"/>
        <w:adjustRightInd w:val="0"/>
        <w:spacing w:line="360" w:lineRule="auto"/>
        <w:ind w:left="357" w:leftChars="-100" w:hanging="567"/>
        <w:jc w:val="left"/>
        <w:rPr>
          <w:rFonts w:hint="eastAsia" w:ascii="宋体" w:hAnsi="宋体" w:eastAsia="宋体" w:cs="宋体"/>
          <w:color w:val="auto"/>
          <w:szCs w:val="21"/>
          <w:highlight w:val="none"/>
          <w:lang w:val="zh-CN"/>
        </w:rPr>
      </w:pPr>
      <w:bookmarkStart w:id="354" w:name="_Toc522047356"/>
      <w:bookmarkStart w:id="355" w:name="_Toc521918097"/>
    </w:p>
    <w:p w14:paraId="7F543669">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56" w:name="_Toc12693"/>
      <w:bookmarkStart w:id="357" w:name="_Toc195714250"/>
      <w:bookmarkStart w:id="358" w:name="_Toc142508344"/>
      <w:bookmarkStart w:id="359" w:name="_Toc21460_WPSOffice_Level3"/>
      <w:bookmarkStart w:id="360" w:name="_Toc16591"/>
      <w:bookmarkStart w:id="361" w:name="_Toc27026"/>
      <w:bookmarkStart w:id="362" w:name="_Toc14804"/>
      <w:bookmarkStart w:id="363" w:name="_Toc18614"/>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val="zh-CN"/>
        </w:rPr>
        <w:t xml:space="preserve"> 评标原则及方法</w:t>
      </w:r>
      <w:bookmarkEnd w:id="354"/>
      <w:bookmarkEnd w:id="355"/>
      <w:bookmarkEnd w:id="356"/>
      <w:bookmarkEnd w:id="357"/>
      <w:bookmarkEnd w:id="358"/>
      <w:bookmarkEnd w:id="359"/>
      <w:bookmarkEnd w:id="360"/>
      <w:bookmarkEnd w:id="361"/>
      <w:bookmarkEnd w:id="362"/>
      <w:bookmarkEnd w:id="363"/>
    </w:p>
    <w:p w14:paraId="486322B1">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对所有投标文件的评审，都采用相同的程序和标准。按步骤先进行初步评审，再进行商务、技术评审、价格评审。</w:t>
      </w:r>
    </w:p>
    <w:p w14:paraId="031BB836">
      <w:pPr>
        <w:tabs>
          <w:tab w:val="left" w:pos="360"/>
        </w:tabs>
        <w:autoSpaceDE w:val="0"/>
        <w:autoSpaceDN w:val="0"/>
        <w:adjustRightInd w:val="0"/>
        <w:spacing w:line="360" w:lineRule="auto"/>
        <w:ind w:left="330" w:leftChars="-100" w:right="44" w:rightChars="21" w:hanging="540"/>
        <w:outlineLvl w:val="9"/>
        <w:rPr>
          <w:rFonts w:hint="eastAsia" w:ascii="宋体" w:hAnsi="宋体" w:eastAsia="宋体" w:cs="宋体"/>
          <w:color w:val="auto"/>
          <w:szCs w:val="21"/>
          <w:highlight w:val="none"/>
          <w:lang w:val="zh-CN"/>
        </w:rPr>
      </w:pPr>
      <w:bookmarkStart w:id="364" w:name="_Toc4225"/>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val="zh-CN"/>
        </w:rPr>
        <w:t>.2 评标严格按照招标文件的要求和条件进行。</w:t>
      </w:r>
      <w:bookmarkEnd w:id="364"/>
    </w:p>
    <w:p w14:paraId="49685EC3">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w:t>
      </w:r>
      <w:r>
        <w:rPr>
          <w:rFonts w:hint="eastAsia" w:ascii="宋体" w:hAnsi="宋体" w:eastAsia="宋体" w:cs="宋体"/>
          <w:color w:val="auto"/>
          <w:szCs w:val="21"/>
          <w:highlight w:val="none"/>
        </w:rPr>
        <w:t>29</w:t>
      </w:r>
      <w:r>
        <w:rPr>
          <w:rFonts w:hint="eastAsia" w:ascii="宋体" w:hAnsi="宋体" w:eastAsia="宋体" w:cs="宋体"/>
          <w:color w:val="auto"/>
          <w:szCs w:val="21"/>
          <w:highlight w:val="none"/>
          <w:lang w:val="zh-CN"/>
        </w:rPr>
        <w:t>条，采用综合评分法的评审方法，对所有实质响应性投标文件进行综合打分。</w:t>
      </w:r>
    </w:p>
    <w:p w14:paraId="76A52AAA">
      <w:pPr>
        <w:tabs>
          <w:tab w:val="left" w:pos="360"/>
        </w:tabs>
        <w:autoSpaceDE w:val="0"/>
        <w:autoSpaceDN w:val="0"/>
        <w:adjustRightInd w:val="0"/>
        <w:spacing w:line="360" w:lineRule="auto"/>
        <w:ind w:left="330" w:leftChars="-100" w:right="44" w:rightChars="21" w:hanging="540"/>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rPr>
        <w:t>30</w:t>
      </w:r>
      <w:r>
        <w:rPr>
          <w:rFonts w:hint="eastAsia" w:ascii="宋体" w:hAnsi="宋体" w:eastAsia="宋体" w:cs="宋体"/>
          <w:b/>
          <w:bCs/>
          <w:color w:val="auto"/>
          <w:szCs w:val="21"/>
          <w:highlight w:val="none"/>
          <w:lang w:val="zh-CN"/>
        </w:rPr>
        <w:t>.3 若本次招标过程中有效投标人不足三个时，公开招标失败</w:t>
      </w:r>
      <w:r>
        <w:rPr>
          <w:rFonts w:hint="eastAsia" w:ascii="宋体" w:hAnsi="宋体" w:eastAsia="宋体" w:cs="宋体"/>
          <w:b/>
          <w:bCs/>
          <w:color w:val="auto"/>
          <w:szCs w:val="21"/>
          <w:highlight w:val="none"/>
        </w:rPr>
        <w:t>。</w:t>
      </w:r>
    </w:p>
    <w:p w14:paraId="50CA18F1">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p>
    <w:p w14:paraId="323B66A1">
      <w:pPr>
        <w:tabs>
          <w:tab w:val="left" w:pos="52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65" w:name="_Toc32498_WPSOffice_Level3"/>
      <w:bookmarkStart w:id="366" w:name="_Toc195714251"/>
      <w:bookmarkStart w:id="367" w:name="_Toc24751"/>
      <w:bookmarkStart w:id="368" w:name="_Toc15343"/>
      <w:bookmarkStart w:id="369" w:name="_Toc142508345"/>
      <w:bookmarkStart w:id="370" w:name="_Toc4819"/>
      <w:bookmarkStart w:id="371" w:name="_Toc465358969"/>
      <w:bookmarkStart w:id="372" w:name="_Toc11615"/>
      <w:bookmarkStart w:id="373" w:name="_Toc486167694"/>
      <w:bookmarkStart w:id="374" w:name="_Toc466882017"/>
      <w:bookmarkStart w:id="375" w:name="_Toc15217"/>
      <w:r>
        <w:rPr>
          <w:rFonts w:hint="eastAsia" w:ascii="宋体" w:hAnsi="宋体" w:eastAsia="宋体" w:cs="宋体"/>
          <w:color w:val="auto"/>
          <w:szCs w:val="21"/>
          <w:highlight w:val="none"/>
        </w:rPr>
        <w:t xml:space="preserve">31 </w:t>
      </w:r>
      <w:r>
        <w:rPr>
          <w:rFonts w:hint="eastAsia" w:ascii="宋体" w:hAnsi="宋体" w:eastAsia="宋体" w:cs="宋体"/>
          <w:color w:val="auto"/>
          <w:szCs w:val="21"/>
          <w:highlight w:val="none"/>
          <w:lang w:val="zh-CN"/>
        </w:rPr>
        <w:t>评标结果公示及异议、投诉</w:t>
      </w:r>
      <w:bookmarkEnd w:id="365"/>
      <w:bookmarkEnd w:id="366"/>
      <w:bookmarkEnd w:id="367"/>
      <w:bookmarkEnd w:id="368"/>
      <w:bookmarkEnd w:id="369"/>
      <w:bookmarkEnd w:id="370"/>
      <w:bookmarkEnd w:id="371"/>
      <w:bookmarkEnd w:id="372"/>
      <w:bookmarkEnd w:id="373"/>
      <w:bookmarkEnd w:id="374"/>
      <w:bookmarkEnd w:id="375"/>
    </w:p>
    <w:p w14:paraId="2EFBEA27">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.1 招标代理机构在招标公告发布媒介公示中标候选人，公示期不得少于3日（最后一日是节假日或公休日的，应顺延到节假日或公休日后第一个工作日）。投标人或者其他利害关系人对评标结果有异议的，应当在</w:t>
      </w:r>
      <w:r>
        <w:rPr>
          <w:rFonts w:hint="eastAsia" w:ascii="宋体" w:hAnsi="宋体" w:eastAsia="宋体" w:cs="宋体"/>
          <w:color w:val="auto"/>
          <w:szCs w:val="21"/>
          <w:highlight w:val="none"/>
        </w:rPr>
        <w:t>评标结果</w:t>
      </w:r>
      <w:r>
        <w:rPr>
          <w:rFonts w:hint="eastAsia" w:ascii="宋体" w:hAnsi="宋体" w:eastAsia="宋体" w:cs="宋体"/>
          <w:color w:val="auto"/>
          <w:szCs w:val="21"/>
          <w:highlight w:val="none"/>
          <w:lang w:val="zh-CN"/>
        </w:rPr>
        <w:t>公示期间向招标代理机构以书面的形式提出，并将完整的异议书面材料原件送达招标代理机构，逾期则视为对评标结果无异议。超出提交异议截止时间而提出的任何疑问，招标代理机构可不予答复。</w:t>
      </w:r>
    </w:p>
    <w:p w14:paraId="4E6936DA">
      <w:pPr>
        <w:autoSpaceDE w:val="0"/>
        <w:autoSpaceDN w:val="0"/>
        <w:adjustRightInd w:val="0"/>
        <w:snapToGrid w:val="0"/>
        <w:spacing w:line="360" w:lineRule="auto"/>
        <w:ind w:left="210" w:leftChars="100" w:firstLine="525" w:firstLineChars="250"/>
        <w:jc w:val="left"/>
        <w:rPr>
          <w:rFonts w:hint="eastAsia"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招标代理机构将拒收未能提供完整异议书面材料的异议，完整的异议书面材料必须同时包含：异议书（加盖法人公章，并注明联系人、联系电话、联系地址）、授权提交异议的法定代表人授权书原件、反映异议人主体资格的营业执照扫描件（加盖法人公章）、以及合法来源的证据证明材料</w:t>
      </w:r>
      <w:r>
        <w:rPr>
          <w:rFonts w:hint="eastAsia" w:ascii="宋体" w:hAnsi="宋体" w:eastAsia="宋体" w:cs="宋体"/>
          <w:color w:val="auto"/>
          <w:kern w:val="0"/>
          <w:szCs w:val="21"/>
          <w:highlight w:val="none"/>
          <w:lang w:val="zh-CN"/>
        </w:rPr>
        <w:t>。</w:t>
      </w:r>
    </w:p>
    <w:p w14:paraId="21EBC3C6">
      <w:pPr>
        <w:autoSpaceDE w:val="0"/>
        <w:autoSpaceDN w:val="0"/>
        <w:adjustRightInd w:val="0"/>
        <w:spacing w:line="360" w:lineRule="auto"/>
        <w:ind w:left="284" w:hanging="568"/>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rPr>
        <w:t xml:space="preserve">31.2 </w:t>
      </w:r>
      <w:r>
        <w:rPr>
          <w:rFonts w:hint="eastAsia" w:ascii="宋体" w:hAnsi="宋体" w:eastAsia="宋体" w:cs="宋体"/>
          <w:b/>
          <w:color w:val="auto"/>
          <w:szCs w:val="21"/>
          <w:highlight w:val="none"/>
          <w:lang w:val="zh-CN"/>
        </w:rPr>
        <w:t>结果公示后，招标人有权要求中标候选人在结果公示之日起3日（最后一日是节假日或公休日的，应顺延到节假日或公休日后第一个工作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移交司法机关处理。</w:t>
      </w:r>
    </w:p>
    <w:p w14:paraId="2BE58199">
      <w:pPr>
        <w:autoSpaceDE w:val="0"/>
        <w:autoSpaceDN w:val="0"/>
        <w:adjustRightInd w:val="0"/>
        <w:snapToGrid w:val="0"/>
        <w:spacing w:line="360" w:lineRule="auto"/>
        <w:ind w:left="246" w:leftChars="117" w:firstLine="422" w:firstLineChars="200"/>
        <w:jc w:val="left"/>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宋体"/>
          <w:b/>
          <w:color w:val="auto"/>
          <w:kern w:val="0"/>
          <w:szCs w:val="21"/>
          <w:highlight w:val="none"/>
        </w:rPr>
        <w:t>第一中标候选人未能在招标人（或其委托的招标代理机构)书面要求的时间(一般不少于三个工作日)内提供完整的材料原件进行核查的</w:t>
      </w:r>
      <w:r>
        <w:rPr>
          <w:rFonts w:hint="eastAsia" w:ascii="宋体" w:hAnsi="宋体" w:eastAsia="宋体" w:cs="宋体"/>
          <w:b/>
          <w:color w:val="auto"/>
          <w:szCs w:val="21"/>
          <w:highlight w:val="none"/>
          <w:lang w:val="zh-CN"/>
        </w:rPr>
        <w:t>，视为其无法提供真实的资料，招标人有权取消其中标候选人资格。</w:t>
      </w:r>
    </w:p>
    <w:p w14:paraId="493C36B0">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1B7FF6AA">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14:paraId="018A8AD5">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14:paraId="09B1A631">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14:paraId="5F3674E7">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14:paraId="1C423B21">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14:paraId="5F3A0A27">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14:paraId="45542D8C">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14:paraId="5E18D8F8">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投诉人投诉的事项不得超出已异议事项的范围，但基于异议答复内容提出的投诉事项除外。</w:t>
      </w:r>
    </w:p>
    <w:p w14:paraId="4690D108">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监督部门：</w:t>
      </w:r>
      <w:r>
        <w:rPr>
          <w:rFonts w:hint="eastAsia" w:ascii="宋体" w:hAnsi="宋体" w:eastAsia="宋体" w:cs="宋体"/>
          <w:bCs/>
          <w:color w:val="auto"/>
          <w:szCs w:val="21"/>
          <w:highlight w:val="none"/>
          <w:lang w:eastAsia="zh-CN"/>
        </w:rPr>
        <w:t>东莞市水务环境投资控股集团有限公司</w:t>
      </w:r>
      <w:r>
        <w:rPr>
          <w:rFonts w:hint="eastAsia" w:ascii="宋体" w:hAnsi="宋体" w:eastAsia="宋体" w:cs="宋体"/>
          <w:color w:val="auto"/>
          <w:szCs w:val="21"/>
          <w:highlight w:val="none"/>
          <w:lang w:val="zh-CN"/>
        </w:rPr>
        <w:t>，联系人：莫先生，联系电话：0769-28823251。</w:t>
      </w:r>
    </w:p>
    <w:p w14:paraId="6678CDA9">
      <w:pPr>
        <w:autoSpaceDE w:val="0"/>
        <w:autoSpaceDN w:val="0"/>
        <w:adjustRightInd w:val="0"/>
        <w:snapToGrid w:val="0"/>
        <w:spacing w:line="360" w:lineRule="auto"/>
        <w:ind w:left="296" w:leftChars="100" w:hanging="86" w:hangingChars="41"/>
        <w:jc w:val="left"/>
        <w:rPr>
          <w:rFonts w:hint="eastAsia" w:ascii="宋体" w:hAnsi="宋体" w:eastAsia="宋体" w:cs="宋体"/>
          <w:color w:val="auto"/>
          <w:szCs w:val="21"/>
          <w:highlight w:val="none"/>
          <w:lang w:val="zh-CN"/>
        </w:rPr>
      </w:pPr>
    </w:p>
    <w:p w14:paraId="0F5F88AC">
      <w:pPr>
        <w:tabs>
          <w:tab w:val="left" w:pos="567"/>
        </w:tabs>
        <w:autoSpaceDE w:val="0"/>
        <w:autoSpaceDN w:val="0"/>
        <w:adjustRightInd w:val="0"/>
        <w:spacing w:line="360" w:lineRule="auto"/>
        <w:ind w:left="288" w:leftChars="-100" w:hanging="498" w:hangingChars="236"/>
        <w:outlineLvl w:val="2"/>
        <w:rPr>
          <w:rFonts w:hint="eastAsia" w:ascii="宋体" w:hAnsi="宋体" w:eastAsia="宋体" w:cs="宋体"/>
          <w:b/>
          <w:color w:val="auto"/>
          <w:szCs w:val="21"/>
          <w:highlight w:val="none"/>
          <w:lang w:val="zh-CN"/>
        </w:rPr>
      </w:pPr>
      <w:bookmarkStart w:id="376" w:name="_Toc465358970"/>
      <w:bookmarkStart w:id="377" w:name="_Toc30599"/>
      <w:bookmarkStart w:id="378" w:name="_Toc142508346"/>
      <w:bookmarkStart w:id="379" w:name="_Toc466882018"/>
      <w:bookmarkStart w:id="380" w:name="_Toc26354"/>
      <w:bookmarkStart w:id="381" w:name="_Toc195714252"/>
      <w:bookmarkStart w:id="382" w:name="_Toc1848_WPSOffice_Level3"/>
      <w:bookmarkStart w:id="383" w:name="_Toc486167695"/>
      <w:bookmarkStart w:id="384" w:name="_Toc5535"/>
      <w:bookmarkStart w:id="385" w:name="_Toc26283"/>
      <w:bookmarkStart w:id="386" w:name="_Toc3154"/>
      <w:r>
        <w:rPr>
          <w:rFonts w:hint="eastAsia" w:ascii="宋体" w:hAnsi="宋体" w:eastAsia="宋体" w:cs="宋体"/>
          <w:b/>
          <w:color w:val="auto"/>
          <w:szCs w:val="21"/>
          <w:highlight w:val="none"/>
        </w:rPr>
        <w:t>32</w:t>
      </w:r>
      <w:r>
        <w:rPr>
          <w:rFonts w:hint="eastAsia" w:ascii="宋体" w:hAnsi="宋体" w:eastAsia="宋体" w:cs="宋体"/>
          <w:b/>
          <w:color w:val="auto"/>
          <w:szCs w:val="21"/>
          <w:highlight w:val="none"/>
          <w:lang w:val="zh-CN"/>
        </w:rPr>
        <w:t xml:space="preserve"> 真实性审查</w:t>
      </w:r>
      <w:bookmarkEnd w:id="376"/>
      <w:bookmarkEnd w:id="377"/>
      <w:bookmarkEnd w:id="378"/>
      <w:bookmarkEnd w:id="379"/>
      <w:bookmarkEnd w:id="380"/>
      <w:bookmarkEnd w:id="381"/>
      <w:bookmarkEnd w:id="382"/>
      <w:bookmarkEnd w:id="383"/>
      <w:bookmarkEnd w:id="384"/>
      <w:bookmarkEnd w:id="385"/>
      <w:bookmarkEnd w:id="386"/>
    </w:p>
    <w:p w14:paraId="5933A81B">
      <w:pPr>
        <w:autoSpaceDE w:val="0"/>
        <w:autoSpaceDN w:val="0"/>
        <w:adjustRightInd w:val="0"/>
        <w:snapToGrid w:val="0"/>
        <w:spacing w:line="360" w:lineRule="auto"/>
        <w:ind w:left="321" w:leftChars="-100" w:hanging="531" w:hangingChars="25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32.1 在</w:t>
      </w:r>
      <w:r>
        <w:rPr>
          <w:rFonts w:hint="eastAsia" w:ascii="宋体" w:hAnsi="宋体" w:eastAsia="宋体" w:cs="宋体"/>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宋体"/>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宋体"/>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0F0FA149">
      <w:pPr>
        <w:autoSpaceDE w:val="0"/>
        <w:autoSpaceDN w:val="0"/>
        <w:adjustRightInd w:val="0"/>
        <w:snapToGrid w:val="0"/>
        <w:spacing w:line="360" w:lineRule="auto"/>
        <w:ind w:left="321" w:leftChars="-100" w:hanging="531" w:hangingChars="25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32.2 投标人</w:t>
      </w:r>
      <w:r>
        <w:rPr>
          <w:rFonts w:hint="eastAsia" w:ascii="宋体" w:hAnsi="宋体" w:eastAsia="宋体" w:cs="宋体"/>
          <w:b/>
          <w:color w:val="auto"/>
          <w:kern w:val="0"/>
          <w:szCs w:val="21"/>
          <w:highlight w:val="none"/>
        </w:rPr>
        <w:t>在招标人（或其委托的招标代理机构）、或评标委员会通知其提供</w:t>
      </w:r>
      <w:r>
        <w:rPr>
          <w:rFonts w:hint="eastAsia" w:ascii="宋体" w:hAnsi="宋体" w:eastAsia="宋体" w:cs="宋体"/>
          <w:b/>
          <w:color w:val="auto"/>
          <w:szCs w:val="21"/>
          <w:highlight w:val="none"/>
          <w:lang w:val="zh-CN"/>
        </w:rPr>
        <w:t>上述投标文件或投标文件外其他相关（包括但不限于业绩合同对应的发票等）的证明资料原件</w:t>
      </w:r>
      <w:r>
        <w:rPr>
          <w:rFonts w:hint="eastAsia" w:ascii="宋体" w:hAnsi="宋体" w:eastAsia="宋体" w:cs="宋体"/>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5C9CA07F">
      <w:pPr>
        <w:autoSpaceDE w:val="0"/>
        <w:autoSpaceDN w:val="0"/>
        <w:adjustRightInd w:val="0"/>
        <w:snapToGrid w:val="0"/>
        <w:spacing w:line="360" w:lineRule="auto"/>
        <w:ind w:left="321" w:leftChars="-100" w:hanging="531" w:hangingChars="25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32.3 若投标人在投标或履约过程中存在提供虚假材料、虚假响应招标文件要求等弄虚作假行为，或未能根据</w:t>
      </w:r>
      <w:r>
        <w:rPr>
          <w:rFonts w:hint="eastAsia" w:ascii="宋体" w:hAnsi="宋体" w:eastAsia="宋体" w:cs="宋体"/>
          <w:b/>
          <w:color w:val="auto"/>
          <w:szCs w:val="21"/>
          <w:highlight w:val="none"/>
          <w:lang w:eastAsia="zh-CN"/>
        </w:rPr>
        <w:t>本须知</w:t>
      </w:r>
      <w:r>
        <w:rPr>
          <w:rFonts w:hint="eastAsia" w:ascii="宋体" w:hAnsi="宋体" w:eastAsia="宋体" w:cs="宋体"/>
          <w:b/>
          <w:color w:val="auto"/>
          <w:szCs w:val="21"/>
          <w:highlight w:val="none"/>
        </w:rPr>
        <w:t>31.2款约定按时提供原件进行核查的，或不按照投标文件承诺履约或</w:t>
      </w:r>
      <w:r>
        <w:rPr>
          <w:rFonts w:hint="eastAsia" w:ascii="宋体" w:hAnsi="宋体" w:eastAsia="宋体" w:cs="宋体"/>
          <w:b/>
          <w:color w:val="auto"/>
          <w:szCs w:val="21"/>
          <w:highlight w:val="none"/>
          <w:lang w:eastAsia="zh-CN"/>
        </w:rPr>
        <w:t>撤</w:t>
      </w:r>
      <w:r>
        <w:rPr>
          <w:rFonts w:hint="eastAsia" w:ascii="宋体" w:hAnsi="宋体" w:eastAsia="宋体" w:cs="宋体"/>
          <w:b/>
          <w:color w:val="auto"/>
          <w:szCs w:val="21"/>
          <w:highlight w:val="none"/>
          <w:lang w:val="en-US" w:eastAsia="zh-CN"/>
        </w:rPr>
        <w:t>回</w:t>
      </w:r>
      <w:r>
        <w:rPr>
          <w:rFonts w:hint="eastAsia" w:ascii="宋体" w:hAnsi="宋体" w:eastAsia="宋体" w:cs="宋体"/>
          <w:b/>
          <w:color w:val="auto"/>
          <w:szCs w:val="21"/>
          <w:highlight w:val="none"/>
        </w:rPr>
        <w:t>投标或放弃中标资格或不按要求与招标人签订合同等影响中标结果的行为，因此导致投标人无法参与</w:t>
      </w:r>
      <w:r>
        <w:rPr>
          <w:rFonts w:hint="eastAsia" w:ascii="宋体" w:hAnsi="宋体" w:eastAsia="宋体" w:cs="宋体"/>
          <w:b/>
          <w:color w:val="auto"/>
          <w:szCs w:val="21"/>
          <w:highlight w:val="none"/>
          <w:lang w:eastAsia="zh-CN"/>
        </w:rPr>
        <w:t>东莞市水务环境投资控股集团有限公司</w:t>
      </w:r>
      <w:r>
        <w:rPr>
          <w:rFonts w:hint="eastAsia" w:ascii="宋体" w:hAnsi="宋体" w:eastAsia="宋体" w:cs="宋体"/>
          <w:b/>
          <w:color w:val="auto"/>
          <w:szCs w:val="21"/>
          <w:highlight w:val="none"/>
        </w:rPr>
        <w:t>相关招标采购等活动的，由投标人自行承担全部后果。</w:t>
      </w:r>
    </w:p>
    <w:p w14:paraId="3EA54554">
      <w:pPr>
        <w:autoSpaceDE w:val="0"/>
        <w:autoSpaceDN w:val="0"/>
        <w:adjustRightInd w:val="0"/>
        <w:snapToGrid w:val="0"/>
        <w:spacing w:line="360" w:lineRule="auto"/>
        <w:jc w:val="left"/>
        <w:rPr>
          <w:rFonts w:hint="eastAsia" w:ascii="宋体" w:hAnsi="宋体" w:eastAsia="宋体" w:cs="宋体"/>
          <w:color w:val="auto"/>
          <w:szCs w:val="21"/>
          <w:highlight w:val="none"/>
        </w:rPr>
      </w:pPr>
      <w:bookmarkStart w:id="387" w:name="_Toc466882019"/>
      <w:bookmarkStart w:id="388" w:name="_Toc465358971"/>
    </w:p>
    <w:p w14:paraId="3601525A">
      <w:pPr>
        <w:tabs>
          <w:tab w:val="left" w:pos="567"/>
        </w:tabs>
        <w:autoSpaceDE w:val="0"/>
        <w:autoSpaceDN w:val="0"/>
        <w:adjustRightInd w:val="0"/>
        <w:spacing w:line="360" w:lineRule="auto"/>
        <w:ind w:left="16" w:leftChars="-59" w:hanging="140" w:hangingChars="67"/>
        <w:outlineLvl w:val="2"/>
        <w:rPr>
          <w:rFonts w:hint="eastAsia" w:ascii="宋体" w:hAnsi="宋体" w:eastAsia="宋体" w:cs="宋体"/>
          <w:color w:val="auto"/>
          <w:szCs w:val="21"/>
          <w:highlight w:val="none"/>
          <w:lang w:val="zh-CN"/>
        </w:rPr>
      </w:pPr>
      <w:bookmarkStart w:id="389" w:name="_Toc142508347"/>
      <w:bookmarkStart w:id="390" w:name="_Toc486167696"/>
      <w:bookmarkStart w:id="391" w:name="_Toc195714253"/>
      <w:bookmarkStart w:id="392" w:name="_Toc6704"/>
      <w:bookmarkStart w:id="393" w:name="_Toc10867_WPSOffice_Level3"/>
      <w:bookmarkStart w:id="394" w:name="_Toc8903"/>
      <w:bookmarkStart w:id="395" w:name="_Toc8654"/>
      <w:bookmarkStart w:id="396" w:name="_Toc23672"/>
      <w:bookmarkStart w:id="397" w:name="_Toc30340"/>
      <w:r>
        <w:rPr>
          <w:rFonts w:hint="eastAsia" w:ascii="宋体" w:hAnsi="宋体" w:eastAsia="宋体" w:cs="宋体"/>
          <w:color w:val="auto"/>
          <w:szCs w:val="21"/>
          <w:highlight w:val="none"/>
        </w:rPr>
        <w:t>33</w:t>
      </w:r>
      <w:r>
        <w:rPr>
          <w:rFonts w:hint="eastAsia" w:ascii="宋体" w:hAnsi="宋体" w:eastAsia="宋体" w:cs="宋体"/>
          <w:color w:val="auto"/>
          <w:szCs w:val="21"/>
          <w:highlight w:val="none"/>
          <w:lang w:val="zh-CN"/>
        </w:rPr>
        <w:t xml:space="preserve"> 评标委员会和招标人接受或拒绝任何投标或所有投标的权利</w:t>
      </w:r>
      <w:bookmarkEnd w:id="387"/>
      <w:bookmarkEnd w:id="388"/>
      <w:bookmarkEnd w:id="389"/>
      <w:bookmarkEnd w:id="390"/>
      <w:bookmarkEnd w:id="391"/>
      <w:bookmarkEnd w:id="392"/>
      <w:bookmarkEnd w:id="393"/>
      <w:bookmarkEnd w:id="394"/>
      <w:bookmarkEnd w:id="395"/>
      <w:bookmarkEnd w:id="396"/>
      <w:bookmarkEnd w:id="397"/>
    </w:p>
    <w:p w14:paraId="5A30E0D5">
      <w:pPr>
        <w:autoSpaceDE w:val="0"/>
        <w:autoSpaceDN w:val="0"/>
        <w:adjustRightInd w:val="0"/>
        <w:spacing w:line="360" w:lineRule="auto"/>
        <w:ind w:left="248" w:leftChars="118" w:firstLine="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14:paraId="6DF269C5">
      <w:pPr>
        <w:autoSpaceDE w:val="0"/>
        <w:autoSpaceDN w:val="0"/>
        <w:adjustRightInd w:val="0"/>
        <w:snapToGrid w:val="0"/>
        <w:spacing w:line="360" w:lineRule="auto"/>
        <w:ind w:left="436" w:leftChars="-158" w:hanging="768" w:hangingChars="320"/>
        <w:jc w:val="left"/>
        <w:rPr>
          <w:rFonts w:hint="eastAsia" w:ascii="宋体" w:hAnsi="宋体" w:eastAsia="宋体" w:cs="宋体"/>
          <w:color w:val="auto"/>
          <w:kern w:val="44"/>
          <w:sz w:val="24"/>
          <w:szCs w:val="24"/>
          <w:highlight w:val="none"/>
          <w:lang w:val="zh-CN"/>
        </w:rPr>
      </w:pPr>
    </w:p>
    <w:bookmarkEnd w:id="292"/>
    <w:p w14:paraId="085EE927">
      <w:pPr>
        <w:keepNext/>
        <w:keepLines/>
        <w:autoSpaceDE w:val="0"/>
        <w:autoSpaceDN w:val="0"/>
        <w:adjustRightInd w:val="0"/>
        <w:spacing w:line="360" w:lineRule="auto"/>
        <w:jc w:val="left"/>
        <w:outlineLvl w:val="1"/>
        <w:rPr>
          <w:rFonts w:hint="eastAsia" w:ascii="宋体" w:hAnsi="宋体" w:eastAsia="宋体" w:cs="宋体"/>
          <w:b/>
          <w:bCs/>
          <w:color w:val="auto"/>
          <w:kern w:val="44"/>
          <w:szCs w:val="21"/>
          <w:highlight w:val="none"/>
          <w:lang w:val="zh-CN"/>
        </w:rPr>
      </w:pPr>
      <w:bookmarkStart w:id="398" w:name="_Toc25011"/>
      <w:bookmarkStart w:id="399" w:name="_Toc140596907"/>
      <w:bookmarkStart w:id="400" w:name="_Toc32732"/>
      <w:bookmarkStart w:id="401" w:name="_Toc16748"/>
      <w:bookmarkStart w:id="402" w:name="_Toc142508348"/>
      <w:bookmarkStart w:id="403" w:name="_Toc27936"/>
      <w:bookmarkStart w:id="404" w:name="_Toc16789"/>
      <w:bookmarkStart w:id="405" w:name="_Toc486167697"/>
      <w:bookmarkStart w:id="406" w:name="_Toc16848_WPSOffice_Level2"/>
      <w:bookmarkStart w:id="407" w:name="_Toc195714254"/>
      <w:bookmarkStart w:id="408" w:name="_Toc465358977"/>
      <w:bookmarkStart w:id="409" w:name="_Toc466882025"/>
      <w:r>
        <w:rPr>
          <w:rFonts w:hint="eastAsia" w:ascii="宋体" w:hAnsi="宋体" w:eastAsia="宋体" w:cs="宋体"/>
          <w:b/>
          <w:bCs/>
          <w:color w:val="auto"/>
          <w:kern w:val="44"/>
          <w:szCs w:val="21"/>
          <w:highlight w:val="none"/>
          <w:lang w:val="zh-CN"/>
        </w:rPr>
        <w:t>六、授予合同</w:t>
      </w:r>
      <w:bookmarkEnd w:id="398"/>
      <w:bookmarkEnd w:id="399"/>
      <w:bookmarkEnd w:id="400"/>
      <w:bookmarkEnd w:id="401"/>
      <w:bookmarkEnd w:id="402"/>
      <w:bookmarkEnd w:id="403"/>
      <w:bookmarkEnd w:id="404"/>
      <w:bookmarkEnd w:id="405"/>
      <w:bookmarkEnd w:id="406"/>
      <w:bookmarkEnd w:id="407"/>
    </w:p>
    <w:p w14:paraId="16BC66F2">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410" w:name="_Toc450662881"/>
      <w:bookmarkStart w:id="411" w:name="_Toc8531"/>
      <w:bookmarkStart w:id="412" w:name="_Toc4578"/>
      <w:bookmarkStart w:id="413" w:name="_Toc6401_WPSOffice_Level3"/>
      <w:bookmarkStart w:id="414" w:name="_Toc142508349"/>
      <w:bookmarkStart w:id="415" w:name="_Toc31713"/>
      <w:bookmarkStart w:id="416" w:name="_Toc8164"/>
      <w:bookmarkStart w:id="417" w:name="_Toc29383"/>
      <w:bookmarkStart w:id="418" w:name="_Toc486167698"/>
      <w:bookmarkStart w:id="419" w:name="_Toc195714255"/>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 xml:space="preserve"> 授予合同的准则</w:t>
      </w:r>
      <w:bookmarkEnd w:id="410"/>
      <w:bookmarkEnd w:id="411"/>
      <w:bookmarkEnd w:id="412"/>
      <w:bookmarkEnd w:id="413"/>
      <w:bookmarkEnd w:id="414"/>
      <w:bookmarkEnd w:id="415"/>
      <w:bookmarkEnd w:id="416"/>
      <w:bookmarkEnd w:id="417"/>
      <w:bookmarkEnd w:id="418"/>
      <w:bookmarkEnd w:id="419"/>
    </w:p>
    <w:p w14:paraId="3EE13BC3">
      <w:pPr>
        <w:tabs>
          <w:tab w:val="left" w:pos="645"/>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w:t>
      </w: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条、</w:t>
      </w: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33</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14:paraId="15B374CB">
      <w:pPr>
        <w:numPr>
          <w:ilvl w:val="1"/>
          <w:numId w:val="0"/>
        </w:numPr>
        <w:tabs>
          <w:tab w:val="left" w:pos="54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14:paraId="37AE187A">
      <w:pPr>
        <w:autoSpaceDE w:val="0"/>
        <w:autoSpaceDN w:val="0"/>
        <w:adjustRightInd w:val="0"/>
        <w:snapToGrid w:val="0"/>
        <w:spacing w:line="360" w:lineRule="auto"/>
        <w:ind w:left="315" w:leftChars="-100" w:hanging="525" w:hangingChars="250"/>
        <w:jc w:val="left"/>
        <w:rPr>
          <w:rFonts w:hint="eastAsia" w:ascii="宋体" w:hAnsi="宋体" w:eastAsia="宋体" w:cs="宋体"/>
          <w:b/>
          <w:color w:val="auto"/>
          <w:kern w:val="0"/>
          <w:szCs w:val="21"/>
          <w:highlight w:val="none"/>
        </w:rPr>
      </w:pPr>
      <w:r>
        <w:rPr>
          <w:rFonts w:hint="eastAsia" w:ascii="宋体" w:hAnsi="宋体" w:eastAsia="宋体" w:cs="宋体"/>
          <w:color w:val="auto"/>
          <w:szCs w:val="21"/>
          <w:highlight w:val="none"/>
        </w:rPr>
        <w:t>34</w:t>
      </w:r>
      <w:r>
        <w:rPr>
          <w:rFonts w:hint="eastAsia" w:ascii="宋体" w:hAnsi="宋体" w:eastAsia="宋体" w:cs="宋体"/>
          <w:color w:val="auto"/>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highlight w:val="none"/>
        </w:rPr>
        <w:t>。</w:t>
      </w:r>
    </w:p>
    <w:p w14:paraId="077C2251">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bookmarkStart w:id="420" w:name="_Toc450662885"/>
    </w:p>
    <w:p w14:paraId="5D8F8157">
      <w:pPr>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421" w:name="_Toc6726_WPSOffice_Level3"/>
      <w:bookmarkStart w:id="422" w:name="_Toc21308"/>
      <w:bookmarkStart w:id="423" w:name="_Toc195714256"/>
      <w:bookmarkStart w:id="424" w:name="_Toc142508350"/>
      <w:bookmarkStart w:id="425" w:name="_Toc24354"/>
      <w:bookmarkStart w:id="426" w:name="_Toc486167699"/>
      <w:bookmarkStart w:id="427" w:name="_Toc13906"/>
      <w:bookmarkStart w:id="428" w:name="_Toc8196"/>
      <w:bookmarkStart w:id="429" w:name="_Toc18984"/>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zh-CN"/>
        </w:rPr>
        <w:t xml:space="preserve"> 中标通知</w:t>
      </w:r>
      <w:bookmarkEnd w:id="420"/>
      <w:bookmarkEnd w:id="421"/>
      <w:bookmarkEnd w:id="422"/>
      <w:bookmarkEnd w:id="423"/>
      <w:bookmarkEnd w:id="424"/>
      <w:bookmarkEnd w:id="425"/>
      <w:bookmarkEnd w:id="426"/>
      <w:bookmarkEnd w:id="427"/>
      <w:bookmarkEnd w:id="428"/>
      <w:bookmarkEnd w:id="429"/>
    </w:p>
    <w:p w14:paraId="6E56B8F5">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bookmarkStart w:id="430" w:name="_Toc450662886"/>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14:paraId="08A18B70">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14:paraId="4DA0DFF4">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p>
    <w:p w14:paraId="7AA60D41">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431" w:name="_Toc28020"/>
      <w:bookmarkStart w:id="432" w:name="_Toc4722"/>
      <w:bookmarkStart w:id="433" w:name="_Toc31041"/>
      <w:bookmarkStart w:id="434" w:name="_Toc1257"/>
      <w:bookmarkStart w:id="435" w:name="_Toc9694_WPSOffice_Level3"/>
      <w:bookmarkStart w:id="436" w:name="_Toc142508351"/>
      <w:bookmarkStart w:id="437" w:name="_Toc195714257"/>
      <w:bookmarkStart w:id="438" w:name="_Toc19127"/>
      <w:bookmarkStart w:id="439" w:name="_Toc486167700"/>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签署合同</w:t>
      </w:r>
      <w:bookmarkEnd w:id="430"/>
      <w:bookmarkEnd w:id="431"/>
      <w:bookmarkEnd w:id="432"/>
      <w:bookmarkEnd w:id="433"/>
      <w:bookmarkEnd w:id="434"/>
      <w:bookmarkEnd w:id="435"/>
      <w:bookmarkEnd w:id="436"/>
      <w:bookmarkEnd w:id="437"/>
      <w:bookmarkEnd w:id="438"/>
      <w:bookmarkEnd w:id="439"/>
    </w:p>
    <w:p w14:paraId="2EDE90EA">
      <w:pPr>
        <w:tabs>
          <w:tab w:val="left" w:pos="540"/>
        </w:tabs>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Times New Roman"/>
          <w:b/>
          <w:color w:val="auto"/>
          <w:szCs w:val="21"/>
          <w:highlight w:val="none"/>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14:paraId="2C9C56BB">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2 在签署合同前，招标人可对中标人投标报价明细及附表内的计算或表达上的错误进行修正，修正原则为：</w:t>
      </w:r>
    </w:p>
    <w:p w14:paraId="149DB035">
      <w:pPr>
        <w:autoSpaceDE w:val="0"/>
        <w:autoSpaceDN w:val="0"/>
        <w:adjustRightInd w:val="0"/>
        <w:snapToGrid w:val="0"/>
        <w:spacing w:line="360" w:lineRule="auto"/>
        <w:ind w:left="315" w:leftChars="100" w:hanging="105" w:hangingChars="50"/>
        <w:jc w:val="left"/>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（1）投标报价表</w:t>
      </w:r>
      <w:r>
        <w:rPr>
          <w:rFonts w:hint="eastAsia" w:ascii="宋体" w:hAnsi="宋体" w:eastAsia="宋体" w:cs="宋体"/>
          <w:color w:val="auto"/>
          <w:kern w:val="0"/>
          <w:szCs w:val="21"/>
          <w:highlight w:val="none"/>
        </w:rPr>
        <w:t>不含税</w:t>
      </w:r>
      <w:r>
        <w:rPr>
          <w:rFonts w:hint="eastAsia" w:ascii="宋体" w:hAnsi="宋体" w:eastAsia="宋体" w:cs="Times New Roman"/>
          <w:color w:val="auto"/>
          <w:szCs w:val="21"/>
          <w:highlight w:val="none"/>
          <w:lang w:val="zh-CN"/>
        </w:rPr>
        <w:t>总报价金额与报价信封中的投标值不一致的，以报价信封中的投标值为准；</w:t>
      </w:r>
    </w:p>
    <w:p w14:paraId="56986D2D">
      <w:pPr>
        <w:autoSpaceDE w:val="0"/>
        <w:autoSpaceDN w:val="0"/>
        <w:adjustRightInd w:val="0"/>
        <w:snapToGrid w:val="0"/>
        <w:spacing w:line="360" w:lineRule="auto"/>
        <w:ind w:left="315" w:leftChars="100" w:hanging="105" w:hangingChars="50"/>
        <w:jc w:val="left"/>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lang w:val="zh-CN"/>
        </w:rPr>
        <w:t>）投标报价表内容与投标分项报价表或投标文件中相应内容不一致的，以投标报价表为准；</w:t>
      </w:r>
    </w:p>
    <w:p w14:paraId="4BA8BA1A">
      <w:pPr>
        <w:autoSpaceDE w:val="0"/>
        <w:autoSpaceDN w:val="0"/>
        <w:adjustRightInd w:val="0"/>
        <w:snapToGrid w:val="0"/>
        <w:spacing w:line="360" w:lineRule="auto"/>
        <w:ind w:left="315" w:leftChars="100" w:hanging="105" w:hangingChars="50"/>
        <w:jc w:val="left"/>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lang w:val="zh-CN"/>
        </w:rPr>
        <w:t>）当以数字表示的金额与以文字表示的金额不一致时，以文字表示的金额为准。</w:t>
      </w:r>
    </w:p>
    <w:p w14:paraId="57D41044">
      <w:pPr>
        <w:autoSpaceDE w:val="0"/>
        <w:autoSpaceDN w:val="0"/>
        <w:adjustRightInd w:val="0"/>
        <w:snapToGrid w:val="0"/>
        <w:spacing w:line="360" w:lineRule="auto"/>
        <w:ind w:left="315" w:leftChars="100" w:hanging="105" w:hangingChars="50"/>
        <w:jc w:val="left"/>
        <w:rPr>
          <w:rFonts w:hint="eastAsia" w:ascii="宋体" w:hAnsi="宋体" w:eastAsia="宋体" w:cs="Times New Roman"/>
          <w:color w:val="auto"/>
          <w:kern w:val="2"/>
          <w:szCs w:val="21"/>
          <w:highlight w:val="none"/>
          <w:lang w:val="zh-CN"/>
        </w:rPr>
      </w:pPr>
      <w:r>
        <w:rPr>
          <w:rFonts w:hint="eastAsia"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eastAsia="zh-CN"/>
        </w:rPr>
        <w:t>4</w:t>
      </w:r>
      <w:r>
        <w:rPr>
          <w:rFonts w:hint="eastAsia" w:ascii="宋体" w:hAnsi="宋体" w:eastAsia="宋体" w:cs="Times New Roman"/>
          <w:color w:val="auto"/>
          <w:szCs w:val="21"/>
          <w:highlight w:val="none"/>
          <w:lang w:val="zh-CN"/>
        </w:rPr>
        <w:t>）</w:t>
      </w:r>
      <w:r>
        <w:rPr>
          <w:rFonts w:hint="eastAsia" w:ascii="宋体" w:hAnsi="宋体" w:eastAsia="宋体" w:cs="Times New Roman"/>
          <w:color w:val="auto"/>
          <w:kern w:val="2"/>
          <w:szCs w:val="21"/>
          <w:highlight w:val="none"/>
          <w:lang w:val="zh-CN"/>
        </w:rPr>
        <w:t>单项报价的金额小数点有明显错位的，以投标报价表的总价为准，并修改单项报价；</w:t>
      </w:r>
    </w:p>
    <w:p w14:paraId="7263CE70">
      <w:pPr>
        <w:autoSpaceDE w:val="0"/>
        <w:autoSpaceDN w:val="0"/>
        <w:adjustRightInd w:val="0"/>
        <w:snapToGrid w:val="0"/>
        <w:spacing w:line="360" w:lineRule="auto"/>
        <w:ind w:left="315" w:leftChars="100" w:hanging="105" w:hangingChars="50"/>
        <w:jc w:val="left"/>
        <w:rPr>
          <w:rFonts w:hint="eastAsia" w:ascii="宋体" w:hAnsi="宋体" w:eastAsia="宋体" w:cs="Times New Roman"/>
          <w:color w:val="auto"/>
          <w:kern w:val="2"/>
          <w:szCs w:val="21"/>
          <w:highlight w:val="none"/>
          <w:lang w:val="zh-CN"/>
        </w:rPr>
      </w:pPr>
      <w:r>
        <w:rPr>
          <w:rFonts w:hint="eastAsia" w:ascii="宋体" w:hAnsi="宋体" w:eastAsia="宋体" w:cs="Times New Roman"/>
          <w:color w:val="auto"/>
          <w:kern w:val="2"/>
          <w:szCs w:val="21"/>
          <w:highlight w:val="none"/>
          <w:lang w:val="zh-CN"/>
        </w:rPr>
        <w:t>（</w:t>
      </w:r>
      <w:r>
        <w:rPr>
          <w:rFonts w:hint="eastAsia" w:ascii="宋体" w:hAnsi="宋体" w:eastAsia="宋体" w:cs="Times New Roman"/>
          <w:color w:val="auto"/>
          <w:kern w:val="2"/>
          <w:szCs w:val="21"/>
          <w:highlight w:val="none"/>
          <w:lang w:val="en-US" w:eastAsia="zh-CN"/>
        </w:rPr>
        <w:t>5</w:t>
      </w:r>
      <w:r>
        <w:rPr>
          <w:rFonts w:hint="eastAsia" w:ascii="宋体" w:hAnsi="宋体" w:eastAsia="宋体" w:cs="Times New Roman"/>
          <w:color w:val="auto"/>
          <w:kern w:val="2"/>
          <w:szCs w:val="21"/>
          <w:highlight w:val="none"/>
          <w:lang w:val="zh-CN"/>
        </w:rPr>
        <w:t>）投标报价表内单项报价汇总金额与不含税总报价不一致的，以单项报价计算结果为准；</w:t>
      </w:r>
    </w:p>
    <w:p w14:paraId="72F8D5B6">
      <w:pPr>
        <w:autoSpaceDE w:val="0"/>
        <w:autoSpaceDN w:val="0"/>
        <w:adjustRightInd w:val="0"/>
        <w:snapToGrid w:val="0"/>
        <w:spacing w:line="360" w:lineRule="auto"/>
        <w:ind w:left="315" w:leftChars="100" w:hanging="105" w:hangingChars="50"/>
        <w:jc w:val="left"/>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kern w:val="2"/>
          <w:szCs w:val="21"/>
          <w:highlight w:val="none"/>
          <w:lang w:val="zh-CN"/>
        </w:rPr>
        <w:t>（</w:t>
      </w:r>
      <w:r>
        <w:rPr>
          <w:rFonts w:hint="eastAsia" w:ascii="宋体" w:hAnsi="宋体" w:eastAsia="宋体" w:cs="Times New Roman"/>
          <w:color w:val="auto"/>
          <w:kern w:val="2"/>
          <w:szCs w:val="21"/>
          <w:highlight w:val="none"/>
          <w:lang w:val="en-US" w:eastAsia="zh-CN"/>
        </w:rPr>
        <w:t>6</w:t>
      </w:r>
      <w:r>
        <w:rPr>
          <w:rFonts w:hint="eastAsia" w:ascii="宋体" w:hAnsi="宋体" w:eastAsia="宋体" w:cs="Times New Roman"/>
          <w:color w:val="auto"/>
          <w:kern w:val="2"/>
          <w:szCs w:val="21"/>
          <w:highlight w:val="none"/>
          <w:lang w:val="zh-CN"/>
        </w:rPr>
        <w:t>）投标分项报价表内单项报价汇总金额与不含税合计金额不一致的，以单项报价金额计算结果为准</w:t>
      </w:r>
    </w:p>
    <w:p w14:paraId="26A6C507">
      <w:pPr>
        <w:autoSpaceDE w:val="0"/>
        <w:autoSpaceDN w:val="0"/>
        <w:adjustRightInd w:val="0"/>
        <w:snapToGrid w:val="0"/>
        <w:spacing w:line="360" w:lineRule="auto"/>
        <w:ind w:left="315" w:leftChars="100" w:hanging="105" w:hangingChars="50"/>
        <w:jc w:val="left"/>
        <w:rPr>
          <w:rFonts w:hint="eastAsia" w:ascii="宋体" w:hAnsi="宋体" w:eastAsia="宋体" w:cs="宋体"/>
          <w:color w:val="auto"/>
          <w:szCs w:val="21"/>
          <w:highlight w:val="none"/>
          <w:lang w:val="zh-CN"/>
        </w:rPr>
      </w:pPr>
      <w:r>
        <w:rPr>
          <w:rFonts w:hint="eastAsia"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en-US" w:eastAsia="zh-CN"/>
        </w:rPr>
        <w:t>7</w:t>
      </w:r>
      <w:r>
        <w:rPr>
          <w:rFonts w:hint="eastAsia" w:ascii="宋体" w:hAnsi="宋体" w:eastAsia="宋体" w:cs="Times New Roman"/>
          <w:color w:val="auto"/>
          <w:szCs w:val="21"/>
          <w:highlight w:val="none"/>
          <w:lang w:val="zh-CN"/>
        </w:rPr>
        <w:t>）按前述修正原则排序依次进行修正至唯一值后的报价表经双方确认后，作为合同文件的组成部分。</w:t>
      </w:r>
    </w:p>
    <w:p w14:paraId="051BB533">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p>
    <w:p w14:paraId="13C018ED">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440" w:name="_Toc8181"/>
      <w:bookmarkStart w:id="441" w:name="_Toc142508352"/>
      <w:bookmarkStart w:id="442" w:name="_Toc450662887"/>
      <w:bookmarkStart w:id="443" w:name="_Toc5304"/>
      <w:bookmarkStart w:id="444" w:name="_Toc10513_WPSOffice_Level3"/>
      <w:bookmarkStart w:id="445" w:name="_Toc195714258"/>
      <w:bookmarkStart w:id="446" w:name="_Toc20148"/>
      <w:bookmarkStart w:id="447" w:name="_Toc6114"/>
      <w:bookmarkStart w:id="448" w:name="_Toc10371"/>
      <w:bookmarkStart w:id="449" w:name="_Toc486167701"/>
      <w:r>
        <w:rPr>
          <w:rFonts w:hint="eastAsia" w:ascii="宋体" w:hAnsi="宋体" w:eastAsia="宋体" w:cs="宋体"/>
          <w:color w:val="auto"/>
          <w:szCs w:val="21"/>
          <w:highlight w:val="none"/>
        </w:rPr>
        <w:t xml:space="preserve">37 </w:t>
      </w:r>
      <w:r>
        <w:rPr>
          <w:rFonts w:hint="eastAsia" w:ascii="宋体" w:hAnsi="宋体" w:eastAsia="宋体" w:cs="宋体"/>
          <w:color w:val="auto"/>
          <w:szCs w:val="21"/>
          <w:highlight w:val="none"/>
          <w:lang w:val="zh-CN"/>
        </w:rPr>
        <w:t>履约担保</w:t>
      </w:r>
      <w:bookmarkEnd w:id="440"/>
      <w:bookmarkEnd w:id="441"/>
      <w:bookmarkEnd w:id="442"/>
      <w:bookmarkEnd w:id="443"/>
      <w:bookmarkEnd w:id="444"/>
      <w:bookmarkEnd w:id="445"/>
      <w:bookmarkEnd w:id="446"/>
      <w:bookmarkEnd w:id="447"/>
      <w:bookmarkEnd w:id="448"/>
      <w:bookmarkEnd w:id="449"/>
    </w:p>
    <w:p w14:paraId="13406B4C">
      <w:pPr>
        <w:numPr>
          <w:ilvl w:val="1"/>
          <w:numId w:val="0"/>
        </w:numPr>
        <w:autoSpaceDE w:val="0"/>
        <w:autoSpaceDN w:val="0"/>
        <w:adjustRightInd w:val="0"/>
        <w:spacing w:line="360" w:lineRule="auto"/>
        <w:ind w:left="354" w:leftChars="-100" w:right="15" w:rightChars="7" w:hanging="564" w:hangingChars="269"/>
        <w:rPr>
          <w:rFonts w:hint="eastAsia" w:ascii="宋体" w:hAnsi="宋体" w:eastAsia="宋体" w:cs="宋体"/>
          <w:b/>
          <w:bCs/>
          <w:color w:val="auto"/>
          <w:szCs w:val="21"/>
          <w:highlight w:val="none"/>
          <w:lang w:val="zh-CN"/>
        </w:rPr>
      </w:pPr>
      <w:r>
        <w:rPr>
          <w:rFonts w:hint="eastAsia" w:ascii="宋体" w:hAnsi="宋体" w:eastAsia="宋体" w:cs="宋体"/>
          <w:bCs/>
          <w:color w:val="auto"/>
          <w:szCs w:val="21"/>
          <w:highlight w:val="none"/>
        </w:rPr>
        <w:t>37</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Times New Roman"/>
          <w:b/>
          <w:bCs/>
          <w:color w:val="auto"/>
          <w:szCs w:val="21"/>
          <w:highlight w:val="none"/>
          <w:u w:val="single"/>
          <w:lang w:val="zh-CN"/>
        </w:rPr>
        <w:t>中标人应在签订合同前，按本招标文件规定金额及形式要求，向招标人提交不可撤销银行履约保函（或履约保证金</w:t>
      </w:r>
      <w:r>
        <w:rPr>
          <w:rFonts w:hint="eastAsia" w:ascii="宋体" w:hAnsi="宋体" w:eastAsia="宋体" w:cs="Times New Roman"/>
          <w:b/>
          <w:bCs/>
          <w:color w:val="auto"/>
          <w:szCs w:val="21"/>
          <w:highlight w:val="none"/>
          <w:u w:val="single"/>
          <w:lang w:val="en-US" w:eastAsia="zh-CN"/>
        </w:rPr>
        <w:t>或履约保证保险</w:t>
      </w:r>
      <w:r>
        <w:rPr>
          <w:rFonts w:hint="eastAsia" w:ascii="宋体" w:hAnsi="宋体" w:eastAsia="宋体" w:cs="Times New Roman"/>
          <w:b/>
          <w:bCs/>
          <w:color w:val="auto"/>
          <w:szCs w:val="21"/>
          <w:highlight w:val="none"/>
          <w:u w:val="single"/>
          <w:lang w:val="zh-CN"/>
        </w:rPr>
        <w:t>或担保公司履约担保书），作为履约担保（所需费用由中标人自行承担），</w:t>
      </w:r>
      <w:r>
        <w:rPr>
          <w:rFonts w:ascii="宋体" w:hAnsi="宋体" w:eastAsia="宋体" w:cs="Arial"/>
          <w:b/>
          <w:bCs/>
          <w:color w:val="auto"/>
          <w:kern w:val="0"/>
          <w:szCs w:val="24"/>
          <w:highlight w:val="none"/>
          <w:u w:val="single"/>
        </w:rPr>
        <w:t>否则招标人可取消中标人的中标资格，</w:t>
      </w:r>
      <w:r>
        <w:rPr>
          <w:rFonts w:hint="eastAsia" w:ascii="宋体" w:hAnsi="宋体" w:eastAsia="宋体" w:cs="Arial"/>
          <w:b/>
          <w:bCs/>
          <w:color w:val="auto"/>
          <w:kern w:val="0"/>
          <w:szCs w:val="24"/>
          <w:highlight w:val="none"/>
          <w:u w:val="single"/>
        </w:rPr>
        <w:t>不予退还其投标保证金。</w:t>
      </w:r>
      <w:r>
        <w:rPr>
          <w:rFonts w:hint="eastAsia" w:ascii="宋体" w:hAnsi="宋体" w:eastAsia="宋体" w:cs="Times New Roman"/>
          <w:b/>
          <w:bCs/>
          <w:color w:val="auto"/>
          <w:szCs w:val="21"/>
          <w:highlight w:val="none"/>
          <w:u w:val="single"/>
          <w:lang w:val="zh-CN"/>
        </w:rPr>
        <w:t>其中，采用履约保证金（银行转账形式）的金额为人民币叁拾万元整（¥300,000.00），采用不可撤销银行履约保函形式的金额为人民币肆拾捌万元整（¥480,000.00），采用</w:t>
      </w:r>
      <w:r>
        <w:rPr>
          <w:rFonts w:hint="eastAsia" w:ascii="宋体" w:hAnsi="宋体" w:eastAsia="宋体" w:cs="Times New Roman"/>
          <w:b/>
          <w:bCs/>
          <w:color w:val="auto"/>
          <w:szCs w:val="21"/>
          <w:highlight w:val="none"/>
          <w:u w:val="single"/>
          <w:lang w:val="en-US" w:eastAsia="zh-CN"/>
        </w:rPr>
        <w:t>履约保证保险</w:t>
      </w:r>
      <w:r>
        <w:rPr>
          <w:rFonts w:hint="eastAsia" w:ascii="宋体" w:hAnsi="宋体" w:eastAsia="宋体" w:cs="Times New Roman"/>
          <w:b/>
          <w:bCs/>
          <w:color w:val="auto"/>
          <w:szCs w:val="21"/>
          <w:highlight w:val="none"/>
          <w:u w:val="single"/>
          <w:lang w:val="zh-CN"/>
        </w:rPr>
        <w:t>形式的金额为人民币陆拾万元整（¥600,000.00），采用担保公司履约担保书形式的金额为人民币陆拾万元整（¥600,000.00）。</w:t>
      </w:r>
      <w:r>
        <w:rPr>
          <w:rFonts w:hint="eastAsia" w:ascii="宋体" w:hAnsi="宋体" w:eastAsia="宋体" w:cs="宋体"/>
          <w:bCs/>
          <w:color w:val="auto"/>
          <w:kern w:val="0"/>
          <w:szCs w:val="24"/>
          <w:highlight w:val="none"/>
        </w:rPr>
        <w:t>合同履行过程中，中标人</w:t>
      </w:r>
      <w:r>
        <w:rPr>
          <w:rFonts w:hint="eastAsia" w:ascii="宋体" w:hAnsi="宋体" w:eastAsia="宋体" w:cs="宋体"/>
          <w:color w:val="auto"/>
          <w:kern w:val="0"/>
          <w:szCs w:val="24"/>
          <w:highlight w:val="none"/>
        </w:rPr>
        <w:t>给招标人或招标人权属子公司造成的损失超过履约担保数额的，中标人还应当对超过部分予以赔偿，招标人或招标人权属子公司并依法追究中标人的相应责任。</w:t>
      </w:r>
    </w:p>
    <w:p w14:paraId="28F15A8B">
      <w:pPr>
        <w:tabs>
          <w:tab w:val="left" w:pos="360"/>
          <w:tab w:val="left" w:pos="4725"/>
        </w:tabs>
        <w:autoSpaceDE w:val="0"/>
        <w:autoSpaceDN w:val="0"/>
        <w:adjustRightInd w:val="0"/>
        <w:spacing w:line="360" w:lineRule="auto"/>
        <w:ind w:left="315" w:leftChars="-100" w:hanging="525" w:hanging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37.2 履约担保用于补偿招标人或招标人权属子公司因中标人不能完全履行其合同义务而蒙受的损失或其他合同约定的事项。如发生下列任一情况时，招标人或招标人权属子公司有权依合同追究违约责任外，同时有权提取履约担保并进行相应处理：</w:t>
      </w:r>
    </w:p>
    <w:p w14:paraId="7CFD0AF1">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（1）中标人将合同项下中标人的权利义务全部转让给第三方，或未经招标人或招标人权属子公司书面同意将部分权利义务转让给第三方的，招标人</w:t>
      </w:r>
      <w:r>
        <w:rPr>
          <w:rFonts w:hint="eastAsia" w:ascii="宋体" w:hAnsi="宋体" w:eastAsia="宋体" w:cs="宋体"/>
          <w:color w:val="auto"/>
          <w:kern w:val="0"/>
          <w:szCs w:val="24"/>
          <w:highlight w:val="none"/>
        </w:rPr>
        <w:t>或招标人权属子公司</w:t>
      </w:r>
      <w:r>
        <w:rPr>
          <w:rFonts w:hint="eastAsia" w:ascii="宋体" w:hAnsi="宋体" w:eastAsia="宋体" w:cs="宋体"/>
          <w:color w:val="auto"/>
          <w:kern w:val="0"/>
          <w:szCs w:val="21"/>
          <w:highlight w:val="none"/>
        </w:rPr>
        <w:t>有权没收其履约担保。</w:t>
      </w:r>
    </w:p>
    <w:p w14:paraId="5B87D353">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）在合同履行期间，因中标人服务质量问题造成损害、侵权损失</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包括但不限于招标人</w:t>
      </w:r>
      <w:r>
        <w:rPr>
          <w:rFonts w:hint="eastAsia" w:ascii="宋体" w:hAnsi="宋体" w:eastAsia="宋体" w:cs="宋体"/>
          <w:color w:val="auto"/>
          <w:kern w:val="0"/>
          <w:szCs w:val="24"/>
          <w:highlight w:val="none"/>
        </w:rPr>
        <w:t>或招标人权属子公司</w:t>
      </w:r>
      <w:r>
        <w:rPr>
          <w:rFonts w:hint="eastAsia" w:ascii="宋体" w:hAnsi="宋体" w:eastAsia="宋体" w:cs="宋体"/>
          <w:color w:val="auto"/>
          <w:kern w:val="0"/>
          <w:szCs w:val="21"/>
          <w:highlight w:val="none"/>
        </w:rPr>
        <w:t>经济损失、第三人人身财产损失等</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、拖欠原材料供应商货款或与其所雇用员工发生劳资纠纷、上访、闹事或其他影响招标人或招标人权属子公司生产经营等情况而其未及时妥善处理的，招标人</w:t>
      </w:r>
      <w:r>
        <w:rPr>
          <w:rFonts w:hint="eastAsia" w:ascii="宋体" w:hAnsi="宋体" w:eastAsia="宋体" w:cs="Arial"/>
          <w:color w:val="auto"/>
          <w:kern w:val="0"/>
          <w:szCs w:val="24"/>
          <w:highlight w:val="none"/>
        </w:rPr>
        <w:t>或招标人权属子公司</w:t>
      </w:r>
      <w:r>
        <w:rPr>
          <w:rFonts w:hint="eastAsia" w:ascii="宋体" w:hAnsi="宋体" w:eastAsia="宋体" w:cs="宋体"/>
          <w:color w:val="auto"/>
          <w:kern w:val="0"/>
          <w:szCs w:val="21"/>
          <w:highlight w:val="none"/>
        </w:rPr>
        <w:t>有权使用履约担保予以支付或作出相应处理，由此产生的一切法律后果</w:t>
      </w:r>
      <w:r>
        <w:rPr>
          <w:rFonts w:hint="eastAsia" w:ascii="宋体" w:hAnsi="宋体" w:eastAsia="宋体" w:cs="宋体"/>
          <w:color w:val="auto"/>
          <w:kern w:val="0"/>
          <w:szCs w:val="21"/>
          <w:highlight w:val="none"/>
          <w:lang w:val="en-US" w:eastAsia="zh-CN"/>
        </w:rPr>
        <w:t>和经济损失</w:t>
      </w:r>
      <w:r>
        <w:rPr>
          <w:rFonts w:hint="eastAsia" w:ascii="宋体" w:hAnsi="宋体" w:eastAsia="宋体" w:cs="宋体"/>
          <w:color w:val="auto"/>
          <w:kern w:val="0"/>
          <w:szCs w:val="21"/>
          <w:highlight w:val="none"/>
        </w:rPr>
        <w:t>由中标人承担。</w:t>
      </w:r>
    </w:p>
    <w:p w14:paraId="70613227">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）在合同履行期间，中标人违约产生的违约金、赔偿、罚款或其他应付费用等款项，招标人</w:t>
      </w:r>
      <w:r>
        <w:rPr>
          <w:rFonts w:hint="eastAsia" w:ascii="宋体" w:hAnsi="宋体" w:eastAsia="宋体" w:cs="Arial"/>
          <w:color w:val="auto"/>
          <w:kern w:val="0"/>
          <w:szCs w:val="24"/>
          <w:highlight w:val="none"/>
        </w:rPr>
        <w:t>或招标人权属子公司</w:t>
      </w:r>
      <w:r>
        <w:rPr>
          <w:rFonts w:hint="eastAsia" w:ascii="宋体" w:hAnsi="宋体" w:eastAsia="宋体" w:cs="宋体"/>
          <w:color w:val="auto"/>
          <w:kern w:val="0"/>
          <w:szCs w:val="21"/>
          <w:highlight w:val="none"/>
        </w:rPr>
        <w:t>有权直接从未付款项中直接扣除或启用履约担保予以支付。</w:t>
      </w:r>
    </w:p>
    <w:p w14:paraId="68AEA766">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）合同期内，中标人不能及时完成合同某项义务的，招标人</w:t>
      </w:r>
      <w:r>
        <w:rPr>
          <w:rFonts w:hint="eastAsia" w:ascii="宋体" w:hAnsi="宋体" w:eastAsia="宋体" w:cs="Arial"/>
          <w:color w:val="auto"/>
          <w:kern w:val="0"/>
          <w:szCs w:val="24"/>
          <w:highlight w:val="none"/>
        </w:rPr>
        <w:t>或招标人权属子公司</w:t>
      </w:r>
      <w:r>
        <w:rPr>
          <w:rFonts w:hint="eastAsia" w:ascii="宋体" w:hAnsi="宋体" w:eastAsia="宋体" w:cs="宋体"/>
          <w:color w:val="auto"/>
          <w:kern w:val="0"/>
          <w:szCs w:val="21"/>
          <w:highlight w:val="none"/>
        </w:rPr>
        <w:t>有权提取履约担保用于处理该项工作。</w:t>
      </w:r>
    </w:p>
    <w:p w14:paraId="5656B45D">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）其他根据本合同约定或法律规定，招标人</w:t>
      </w:r>
      <w:r>
        <w:rPr>
          <w:rFonts w:hint="eastAsia" w:ascii="宋体" w:hAnsi="宋体" w:eastAsia="宋体" w:cs="Arial"/>
          <w:color w:val="auto"/>
          <w:kern w:val="0"/>
          <w:szCs w:val="24"/>
          <w:highlight w:val="none"/>
        </w:rPr>
        <w:t>或招标人权属子公司</w:t>
      </w:r>
      <w:r>
        <w:rPr>
          <w:rFonts w:hint="eastAsia" w:ascii="宋体" w:hAnsi="宋体" w:eastAsia="宋体" w:cs="宋体"/>
          <w:color w:val="auto"/>
          <w:kern w:val="0"/>
          <w:szCs w:val="21"/>
          <w:highlight w:val="none"/>
        </w:rPr>
        <w:t>可启用履约担保的情形。</w:t>
      </w:r>
    </w:p>
    <w:p w14:paraId="222A576F">
      <w:pPr>
        <w:tabs>
          <w:tab w:val="left" w:pos="360"/>
          <w:tab w:val="left" w:pos="4725"/>
        </w:tabs>
        <w:autoSpaceDE w:val="0"/>
        <w:autoSpaceDN w:val="0"/>
        <w:adjustRightInd w:val="0"/>
        <w:spacing w:line="360" w:lineRule="auto"/>
        <w:ind w:left="315" w:leftChars="-100" w:hanging="525" w:hangingChars="250"/>
        <w:jc w:val="left"/>
        <w:outlineLvl w:val="9"/>
        <w:rPr>
          <w:rFonts w:hint="eastAsia" w:ascii="宋体" w:hAnsi="宋体" w:eastAsia="宋体" w:cs="宋体"/>
          <w:color w:val="auto"/>
          <w:kern w:val="0"/>
          <w:szCs w:val="21"/>
          <w:highlight w:val="none"/>
        </w:rPr>
      </w:pPr>
      <w:bookmarkStart w:id="450" w:name="_Toc32290"/>
      <w:r>
        <w:rPr>
          <w:rFonts w:hint="eastAsia" w:ascii="宋体" w:hAnsi="宋体" w:eastAsia="宋体" w:cs="宋体"/>
          <w:color w:val="auto"/>
          <w:kern w:val="0"/>
          <w:szCs w:val="21"/>
          <w:highlight w:val="none"/>
        </w:rPr>
        <w:t>37.3  履约担保应符合如下规定：</w:t>
      </w:r>
      <w:bookmarkEnd w:id="450"/>
    </w:p>
    <w:p w14:paraId="0EAD2669">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（1）出具履约保函的银行必须是境内支行一级以上机构，并经招标人或招标人权属子公司同意，执行本款时所发生的费用由中标人承担。</w:t>
      </w:r>
    </w:p>
    <w:p w14:paraId="53D82DB1">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履约担保格式应采用招标文件中提供的（格式参见第五篇），投标人如以履约保函（或履约保证保险或担保公司履约担保书）形式提供履约担保的，投标前应当自行向其拟申请开具保函的银行（或保险或担保）机构落实履约保函（或履约保证保险或担保公司履约担保书）格式情况，以确保能按本招标文件规定的格式提供保函。如使用其他格式的履约保函（或履约保证保险或担保公司履约担保书），须事先经招标人或招标人权属子公司的书面同意。</w:t>
      </w:r>
    </w:p>
    <w:p w14:paraId="5850DEE4">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（3）提供担保</w:t>
      </w:r>
      <w:r>
        <w:rPr>
          <w:rFonts w:hint="eastAsia" w:ascii="宋体" w:hAnsi="宋体" w:eastAsia="宋体" w:cs="宋体"/>
          <w:color w:val="auto"/>
          <w:kern w:val="0"/>
          <w:szCs w:val="21"/>
          <w:highlight w:val="none"/>
          <w:lang w:val="en-US" w:eastAsia="zh-CN"/>
        </w:rPr>
        <w:t>书</w:t>
      </w:r>
      <w:r>
        <w:rPr>
          <w:rFonts w:hint="eastAsia" w:ascii="宋体" w:hAnsi="宋体" w:eastAsia="宋体" w:cs="宋体"/>
          <w:color w:val="auto"/>
          <w:kern w:val="0"/>
          <w:szCs w:val="21"/>
          <w:highlight w:val="none"/>
        </w:rPr>
        <w:t>的担保机构经济性质须为东莞市国有企业，或政府性融资担保机构（中标人须提供能证明其属于政府性融资担保机构的证明文件），并经招标人或招标人权属子公司同意，执行本款时所发生的费用由中标人承担。如招标人或招标人权属子公司合同条款接受担保公司预付款担保函的，对担保机构要求参照本条执行。</w:t>
      </w:r>
    </w:p>
    <w:p w14:paraId="65E82C66">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如果中标人提交的履约担保的有效期届满时间先于招标文件、合同文件要求的，中标人应在原提交的履约担保有效期届满前15日内，无条件办理符合招标人或招标人权属子公司要求的履约担保延期手续，否则视为中标人违约，招标人或招标人权属子公司有权在不可撤销银行履约保函或履约保证保险或担保公司履约担保书到期前向出具履约担保的机构提取履约担保金。在不可撤销银行履约保函（或履约保证保险或担保公司履约担保书）到期后中标人未按招标人或招标人权属子公司要求重新提供的，招标人或招标人权属子公司有权要求中标人以履约担保金额为限承担违约金，违约金可直接从未付采购合同费用中扣除。</w:t>
      </w:r>
    </w:p>
    <w:p w14:paraId="20D5FC09">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在合同履行过程中，不论何种原因导致履约担保金数额不符合招标文件要求的，中标人应当在5日内予以补足。逾期不予补足的，招标人或招标人权属子公司有权按需补足的金额要求中标人承担违约金，并要求限期补足。如中标人仍不补足的，招标人或招标人权属子公司有权单方解除合同，违约金可直接从未付合同款或履约担保中扣除。</w:t>
      </w:r>
    </w:p>
    <w:p w14:paraId="3C419012">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（6）不可撤销银行履约保函（或履约保证保险或担保公司履约担保书）</w:t>
      </w:r>
      <w:r>
        <w:rPr>
          <w:rFonts w:hint="eastAsia" w:ascii="宋体" w:hAnsi="宋体" w:eastAsia="宋体" w:cs="宋体"/>
          <w:color w:val="auto"/>
          <w:kern w:val="0"/>
          <w:szCs w:val="21"/>
        </w:rPr>
        <w:t>应在本项目合同期限届满并完成合同全部服务义务后二十八（</w:t>
      </w:r>
      <w:r>
        <w:rPr>
          <w:rFonts w:ascii="宋体" w:hAnsi="宋体" w:eastAsia="宋体" w:cs="宋体"/>
          <w:color w:val="auto"/>
          <w:kern w:val="0"/>
          <w:szCs w:val="21"/>
        </w:rPr>
        <w:t>28）日内保持有效</w:t>
      </w:r>
      <w:r>
        <w:rPr>
          <w:rFonts w:hint="eastAsia" w:ascii="宋体" w:hAnsi="宋体" w:eastAsia="宋体" w:cs="宋体"/>
          <w:color w:val="auto"/>
          <w:kern w:val="0"/>
          <w:szCs w:val="21"/>
          <w:highlight w:val="none"/>
        </w:rPr>
        <w:t>。</w:t>
      </w:r>
    </w:p>
    <w:p w14:paraId="1E048775">
      <w:pPr>
        <w:tabs>
          <w:tab w:val="left" w:pos="360"/>
          <w:tab w:val="left" w:pos="4725"/>
        </w:tabs>
        <w:autoSpaceDE w:val="0"/>
        <w:autoSpaceDN w:val="0"/>
        <w:adjustRightInd w:val="0"/>
        <w:spacing w:line="360" w:lineRule="auto"/>
        <w:ind w:left="315" w:leftChars="-100" w:hanging="525" w:hangingChars="250"/>
        <w:jc w:val="left"/>
        <w:outlineLvl w:val="9"/>
        <w:rPr>
          <w:rFonts w:hint="eastAsia" w:ascii="宋体" w:hAnsi="宋体" w:eastAsia="宋体" w:cs="宋体"/>
          <w:color w:val="auto"/>
          <w:kern w:val="0"/>
          <w:szCs w:val="21"/>
          <w:highlight w:val="none"/>
        </w:rPr>
      </w:pPr>
      <w:bookmarkStart w:id="451" w:name="_Toc26730"/>
      <w:r>
        <w:rPr>
          <w:rFonts w:hint="eastAsia" w:ascii="宋体" w:hAnsi="宋体" w:eastAsia="宋体" w:cs="宋体"/>
          <w:color w:val="auto"/>
          <w:kern w:val="0"/>
          <w:szCs w:val="21"/>
          <w:highlight w:val="none"/>
        </w:rPr>
        <w:t>37.4  履约保证金应用本合同货币。</w:t>
      </w:r>
      <w:bookmarkEnd w:id="451"/>
    </w:p>
    <w:p w14:paraId="694E2CD9">
      <w:pPr>
        <w:tabs>
          <w:tab w:val="left" w:pos="360"/>
          <w:tab w:val="left" w:pos="4725"/>
        </w:tabs>
        <w:autoSpaceDE w:val="0"/>
        <w:autoSpaceDN w:val="0"/>
        <w:adjustRightInd w:val="0"/>
        <w:spacing w:line="360" w:lineRule="auto"/>
        <w:ind w:left="315" w:leftChars="-100" w:hanging="525" w:hanging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37.5  中标人也可以按招标文件约定的额度和时间，向招标人或招标人权属子公司交纳同等数额的履约保证金作为履约担保。如中标人提交的履约保证金是其分支机构以转账形式转入的，要提交中标人的法人书面授权，不接受由私人账户和其它单位转入的保证金，也不接受现金形式提交。履约保证金应以存入招标人指定的以下银行账户为准。</w:t>
      </w:r>
    </w:p>
    <w:p w14:paraId="0A832191">
      <w:pPr>
        <w:tabs>
          <w:tab w:val="left" w:pos="360"/>
          <w:tab w:val="left" w:pos="4725"/>
        </w:tabs>
        <w:autoSpaceDE w:val="0"/>
        <w:autoSpaceDN w:val="0"/>
        <w:adjustRightInd w:val="0"/>
        <w:spacing w:line="360" w:lineRule="auto"/>
        <w:ind w:firstLine="632" w:firstLineChars="300"/>
        <w:jc w:val="left"/>
        <w:outlineLvl w:val="9"/>
        <w:rPr>
          <w:rFonts w:hint="eastAsia" w:ascii="宋体" w:hAnsi="宋体" w:eastAsia="宋体" w:cs="宋体"/>
          <w:b/>
          <w:color w:val="auto"/>
          <w:kern w:val="0"/>
          <w:szCs w:val="21"/>
          <w:highlight w:val="none"/>
        </w:rPr>
      </w:pPr>
      <w:bookmarkStart w:id="452" w:name="_Toc26661"/>
      <w:r>
        <w:rPr>
          <w:rFonts w:hint="eastAsia" w:ascii="宋体" w:hAnsi="宋体" w:eastAsia="宋体" w:cs="宋体"/>
          <w:b/>
          <w:color w:val="auto"/>
          <w:kern w:val="0"/>
          <w:szCs w:val="21"/>
          <w:highlight w:val="none"/>
        </w:rPr>
        <w:t>履约保证金账户：</w:t>
      </w:r>
      <w:r>
        <w:rPr>
          <w:rFonts w:hint="eastAsia" w:ascii="宋体" w:hAnsi="宋体" w:eastAsia="宋体" w:cs="宋体"/>
          <w:b/>
          <w:color w:val="auto"/>
          <w:kern w:val="0"/>
          <w:szCs w:val="21"/>
          <w:highlight w:val="none"/>
          <w:u w:val="single"/>
        </w:rPr>
        <w:t>（特别提醒，本账户非投标保证金账户）</w:t>
      </w:r>
      <w:bookmarkEnd w:id="452"/>
    </w:p>
    <w:p w14:paraId="51DA8B6B">
      <w:pPr>
        <w:snapToGrid w:val="0"/>
        <w:spacing w:line="360" w:lineRule="auto"/>
        <w:ind w:firstLine="632" w:firstLineChars="3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开户名称：东莞市置拓投资有限公司</w:t>
      </w:r>
    </w:p>
    <w:p w14:paraId="36CBFD6B">
      <w:pPr>
        <w:snapToGrid w:val="0"/>
        <w:spacing w:line="360" w:lineRule="auto"/>
        <w:ind w:firstLine="632" w:firstLineChars="3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开户银行：中国工商银行股份有限公司东莞分行</w:t>
      </w:r>
    </w:p>
    <w:p w14:paraId="0664B9D5">
      <w:pPr>
        <w:snapToGrid w:val="0"/>
        <w:spacing w:line="360" w:lineRule="auto"/>
        <w:ind w:firstLine="632" w:firstLineChars="3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账    号：2010021319200579580</w:t>
      </w:r>
    </w:p>
    <w:bookmarkEnd w:id="408"/>
    <w:bookmarkEnd w:id="409"/>
    <w:p w14:paraId="43D32E77">
      <w:pPr>
        <w:autoSpaceDE w:val="0"/>
        <w:autoSpaceDN w:val="0"/>
        <w:adjustRightInd w:val="0"/>
        <w:spacing w:line="360" w:lineRule="auto"/>
        <w:ind w:left="420" w:leftChars="-100" w:hanging="630" w:hangingChars="3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37.6  中标</w:t>
      </w:r>
      <w:r>
        <w:rPr>
          <w:rFonts w:hint="eastAsia" w:ascii="宋体" w:hAnsi="宋体" w:eastAsia="宋体" w:cs="宋体"/>
          <w:color w:val="auto"/>
          <w:kern w:val="0"/>
          <w:szCs w:val="24"/>
          <w:highlight w:val="none"/>
        </w:rPr>
        <w:t>单位提交了履约担保后，当履约保证金转达招标人或招标人权属子公司履约保证金账户后，</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4"/>
          <w:highlight w:val="none"/>
        </w:rPr>
        <w:t>人将履约保证金的汇款凭证用A4纸</w:t>
      </w:r>
      <w:r>
        <w:rPr>
          <w:rFonts w:hint="eastAsia" w:ascii="宋体" w:hAnsi="宋体" w:eastAsia="宋体" w:cs="宋体"/>
          <w:color w:val="auto"/>
          <w:kern w:val="0"/>
          <w:szCs w:val="24"/>
          <w:highlight w:val="none"/>
          <w:lang w:val="en-US" w:eastAsia="zh-CN"/>
        </w:rPr>
        <w:t>复印</w:t>
      </w:r>
      <w:r>
        <w:rPr>
          <w:rFonts w:hint="eastAsia" w:ascii="宋体" w:hAnsi="宋体" w:eastAsia="宋体" w:cs="宋体"/>
          <w:color w:val="auto"/>
          <w:kern w:val="0"/>
          <w:szCs w:val="24"/>
          <w:highlight w:val="none"/>
          <w:lang w:eastAsia="zh-CN"/>
        </w:rPr>
        <w:t>件</w:t>
      </w:r>
      <w:r>
        <w:rPr>
          <w:rFonts w:hint="eastAsia" w:ascii="宋体" w:hAnsi="宋体" w:eastAsia="宋体" w:cs="宋体"/>
          <w:color w:val="auto"/>
          <w:kern w:val="0"/>
          <w:szCs w:val="24"/>
          <w:highlight w:val="none"/>
        </w:rPr>
        <w:t>（</w:t>
      </w:r>
      <w:r>
        <w:rPr>
          <w:rFonts w:hint="eastAsia" w:ascii="宋体" w:hAnsi="宋体" w:eastAsia="宋体" w:cs="宋体"/>
          <w:bCs/>
          <w:color w:val="auto"/>
          <w:kern w:val="0"/>
          <w:szCs w:val="24"/>
          <w:highlight w:val="none"/>
        </w:rPr>
        <w:t>注明</w:t>
      </w:r>
      <w:r>
        <w:rPr>
          <w:rFonts w:hint="eastAsia" w:ascii="宋体" w:hAnsi="宋体" w:eastAsia="宋体" w:cs="宋体"/>
          <w:bCs/>
          <w:color w:val="auto"/>
          <w:szCs w:val="21"/>
          <w:highlight w:val="none"/>
          <w:lang w:val="zh-CN"/>
        </w:rPr>
        <w:t>招标</w:t>
      </w:r>
      <w:r>
        <w:rPr>
          <w:rFonts w:hint="eastAsia" w:ascii="宋体" w:hAnsi="宋体" w:eastAsia="宋体" w:cs="宋体"/>
          <w:bCs/>
          <w:color w:val="auto"/>
          <w:kern w:val="0"/>
          <w:szCs w:val="24"/>
          <w:highlight w:val="none"/>
        </w:rPr>
        <w:t>编号</w:t>
      </w:r>
      <w:r>
        <w:rPr>
          <w:rFonts w:hint="eastAsia" w:ascii="宋体" w:hAnsi="宋体" w:eastAsia="宋体" w:cs="宋体"/>
          <w:color w:val="auto"/>
          <w:kern w:val="0"/>
          <w:szCs w:val="24"/>
          <w:highlight w:val="none"/>
        </w:rPr>
        <w:t>）一式二份并加盖</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4"/>
          <w:highlight w:val="none"/>
        </w:rPr>
        <w:t>人的公章送招标代理机构，[或当中标人采取不可撤销银行履约保函（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或担保公司履约担保书）的方式缴纳履约担保时，中标人将不可撤销银行履约保函（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或担保公司履约担保书）原件</w:t>
      </w:r>
      <w:r>
        <w:rPr>
          <w:rFonts w:hint="eastAsia" w:ascii="宋体" w:hAnsi="宋体" w:eastAsia="宋体" w:cs="宋体"/>
          <w:color w:val="auto"/>
          <w:szCs w:val="21"/>
          <w:highlight w:val="none"/>
          <w:lang w:val="zh-CN"/>
        </w:rPr>
        <w:t>交给招标人或招标人权属子公司，由招标人或招标人权属子公司在</w:t>
      </w:r>
      <w:r>
        <w:rPr>
          <w:rFonts w:hint="eastAsia" w:ascii="宋体" w:hAnsi="宋体" w:eastAsia="宋体" w:cs="宋体"/>
          <w:color w:val="auto"/>
          <w:kern w:val="0"/>
          <w:szCs w:val="24"/>
          <w:highlight w:val="none"/>
        </w:rPr>
        <w:t>履约保函一式两份</w:t>
      </w:r>
      <w:r>
        <w:rPr>
          <w:rFonts w:hint="eastAsia" w:ascii="宋体" w:hAnsi="宋体" w:eastAsia="宋体" w:cs="宋体"/>
          <w:color w:val="auto"/>
          <w:kern w:val="0"/>
          <w:szCs w:val="24"/>
          <w:highlight w:val="none"/>
          <w:lang w:val="en-US" w:eastAsia="zh-CN"/>
        </w:rPr>
        <w:t>复印</w:t>
      </w:r>
      <w:r>
        <w:rPr>
          <w:rFonts w:hint="eastAsia" w:ascii="宋体" w:hAnsi="宋体" w:eastAsia="宋体" w:cs="宋体"/>
          <w:color w:val="auto"/>
          <w:kern w:val="0"/>
          <w:szCs w:val="24"/>
          <w:highlight w:val="none"/>
          <w:lang w:eastAsia="zh-CN"/>
        </w:rPr>
        <w:t>件</w:t>
      </w:r>
      <w:r>
        <w:rPr>
          <w:rFonts w:hint="eastAsia" w:ascii="宋体" w:hAnsi="宋体" w:eastAsia="宋体" w:cs="宋体"/>
          <w:color w:val="auto"/>
          <w:kern w:val="0"/>
          <w:szCs w:val="24"/>
          <w:highlight w:val="none"/>
        </w:rPr>
        <w:t>上</w:t>
      </w:r>
      <w:r>
        <w:rPr>
          <w:rFonts w:hint="eastAsia" w:ascii="宋体" w:hAnsi="宋体" w:eastAsia="宋体" w:cs="宋体"/>
          <w:color w:val="auto"/>
          <w:szCs w:val="21"/>
          <w:highlight w:val="none"/>
          <w:lang w:val="zh-CN"/>
        </w:rPr>
        <w:t>注明“原件已收”及签收人、日期后，中标人在每份</w:t>
      </w:r>
      <w:r>
        <w:rPr>
          <w:rFonts w:hint="eastAsia" w:ascii="宋体" w:hAnsi="宋体" w:eastAsia="宋体" w:cs="宋体"/>
          <w:color w:val="auto"/>
          <w:kern w:val="0"/>
          <w:szCs w:val="24"/>
          <w:highlight w:val="none"/>
          <w:lang w:val="en-US" w:eastAsia="zh-CN"/>
        </w:rPr>
        <w:t>复印</w:t>
      </w:r>
      <w:r>
        <w:rPr>
          <w:rFonts w:hint="eastAsia" w:ascii="宋体" w:hAnsi="宋体" w:eastAsia="宋体" w:cs="宋体"/>
          <w:color w:val="auto"/>
          <w:szCs w:val="21"/>
          <w:highlight w:val="none"/>
          <w:lang w:val="zh-CN"/>
        </w:rPr>
        <w:t>件上</w:t>
      </w:r>
      <w:r>
        <w:rPr>
          <w:rFonts w:hint="eastAsia" w:ascii="宋体" w:hAnsi="宋体" w:eastAsia="宋体" w:cs="宋体"/>
          <w:color w:val="auto"/>
          <w:kern w:val="0"/>
          <w:szCs w:val="24"/>
          <w:highlight w:val="none"/>
        </w:rPr>
        <w:t>加盖</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4"/>
          <w:highlight w:val="none"/>
        </w:rPr>
        <w:t>人的公章，送招标代理机构]</w:t>
      </w:r>
      <w:r>
        <w:rPr>
          <w:rFonts w:hint="eastAsia" w:ascii="宋体" w:hAnsi="宋体" w:eastAsia="宋体" w:cs="宋体"/>
          <w:color w:val="auto"/>
          <w:kern w:val="0"/>
          <w:szCs w:val="21"/>
          <w:highlight w:val="none"/>
        </w:rPr>
        <w:t>。</w:t>
      </w:r>
    </w:p>
    <w:p w14:paraId="1567B090">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 xml:space="preserve">37.7  </w:t>
      </w:r>
      <w:r>
        <w:rPr>
          <w:rFonts w:hint="eastAsia" w:ascii="宋体" w:hAnsi="宋体" w:eastAsia="宋体" w:cs="宋体"/>
          <w:color w:val="auto"/>
          <w:kern w:val="0"/>
          <w:szCs w:val="21"/>
          <w:highlight w:val="none"/>
        </w:rPr>
        <w:t>中标人以履约保证金（银行转账形式）提供履约担保的</w:t>
      </w:r>
      <w:r>
        <w:rPr>
          <w:rFonts w:hint="eastAsia" w:ascii="宋体" w:hAnsi="宋体" w:eastAsia="宋体" w:cs="宋体"/>
          <w:color w:val="auto"/>
          <w:kern w:val="0"/>
          <w:szCs w:val="21"/>
        </w:rPr>
        <w:t>的在依法完成本项目的所有合同义务</w:t>
      </w:r>
      <w:r>
        <w:rPr>
          <w:rFonts w:hint="eastAsia" w:ascii="宋体" w:hAnsi="宋体" w:eastAsia="宋体" w:cs="宋体"/>
          <w:color w:val="auto"/>
          <w:kern w:val="0"/>
          <w:szCs w:val="21"/>
          <w:highlight w:val="none"/>
        </w:rPr>
        <w:t>，经招标人确认，中标人可向招标人提交退回履约担保的申请。招标人或招标人权属子公司审核无异议后，办理履约担保退还手续，退回时一律以银行转账的形式无息退回到中标人的账户。</w:t>
      </w:r>
    </w:p>
    <w:p w14:paraId="1549249B">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rPr>
      </w:pPr>
    </w:p>
    <w:p w14:paraId="3193255A">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453" w:name="_Toc486167702"/>
      <w:bookmarkStart w:id="454" w:name="_Toc10548"/>
      <w:bookmarkStart w:id="455" w:name="_Toc11309"/>
      <w:bookmarkStart w:id="456" w:name="_Toc195714259"/>
      <w:bookmarkStart w:id="457" w:name="_Toc3311"/>
      <w:bookmarkStart w:id="458" w:name="_Toc21728"/>
      <w:bookmarkStart w:id="459" w:name="_Toc142508353"/>
      <w:bookmarkStart w:id="460" w:name="_Toc27162"/>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在合同履行中变更采购范围的权利</w:t>
      </w:r>
      <w:bookmarkEnd w:id="453"/>
      <w:bookmarkEnd w:id="454"/>
      <w:bookmarkEnd w:id="455"/>
      <w:bookmarkEnd w:id="456"/>
      <w:bookmarkEnd w:id="457"/>
      <w:bookmarkEnd w:id="458"/>
      <w:bookmarkEnd w:id="459"/>
      <w:bookmarkEnd w:id="460"/>
    </w:p>
    <w:p w14:paraId="134DD858">
      <w:pPr>
        <w:autoSpaceDE w:val="0"/>
        <w:autoSpaceDN w:val="0"/>
        <w:adjustRightInd w:val="0"/>
        <w:spacing w:line="360" w:lineRule="auto"/>
        <w:ind w:left="328" w:leftChars="-114"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38.1 合同履行中，招标人在合同约定的范围内，招标人有权根据项目实际情况及有关法律法规、政策的规定对采购范围进行变更调整，变更采购范围后，投标人应遵照执行。</w:t>
      </w:r>
    </w:p>
    <w:p w14:paraId="1995725F">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bookmarkStart w:id="461" w:name="_Toc450662888"/>
    </w:p>
    <w:p w14:paraId="1C79AB82">
      <w:pPr>
        <w:tabs>
          <w:tab w:val="left" w:pos="46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462" w:name="_Toc142508354"/>
      <w:bookmarkStart w:id="463" w:name="_Toc28921_WPSOffice_Level3"/>
      <w:bookmarkStart w:id="464" w:name="_Toc23218"/>
      <w:bookmarkStart w:id="465" w:name="_Toc14850"/>
      <w:bookmarkStart w:id="466" w:name="_Toc486167703"/>
      <w:bookmarkStart w:id="467" w:name="_Toc22944"/>
      <w:bookmarkStart w:id="468" w:name="_Toc2401"/>
      <w:bookmarkStart w:id="469" w:name="_Toc6369"/>
      <w:bookmarkStart w:id="470" w:name="_Toc195714260"/>
      <w:r>
        <w:rPr>
          <w:rFonts w:hint="eastAsia" w:ascii="宋体" w:hAnsi="宋体" w:eastAsia="宋体" w:cs="宋体"/>
          <w:color w:val="auto"/>
          <w:szCs w:val="21"/>
          <w:highlight w:val="none"/>
        </w:rPr>
        <w:t>39</w:t>
      </w:r>
      <w:r>
        <w:rPr>
          <w:rFonts w:hint="eastAsia" w:ascii="宋体" w:hAnsi="宋体" w:eastAsia="宋体" w:cs="宋体"/>
          <w:color w:val="auto"/>
          <w:szCs w:val="21"/>
          <w:highlight w:val="none"/>
          <w:lang w:val="zh-CN"/>
        </w:rPr>
        <w:t xml:space="preserve"> 中标服务费</w:t>
      </w:r>
      <w:bookmarkEnd w:id="461"/>
      <w:bookmarkEnd w:id="462"/>
      <w:bookmarkEnd w:id="463"/>
      <w:bookmarkEnd w:id="464"/>
      <w:bookmarkEnd w:id="465"/>
      <w:bookmarkEnd w:id="466"/>
      <w:bookmarkEnd w:id="467"/>
      <w:bookmarkEnd w:id="468"/>
      <w:bookmarkEnd w:id="469"/>
      <w:bookmarkEnd w:id="470"/>
    </w:p>
    <w:p w14:paraId="583B05B4">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bookmarkStart w:id="471" w:name="_Toc450662889"/>
      <w:r>
        <w:rPr>
          <w:rFonts w:hint="eastAsia" w:ascii="宋体" w:hAnsi="宋体" w:eastAsia="宋体" w:cs="宋体"/>
          <w:color w:val="auto"/>
          <w:szCs w:val="21"/>
          <w:highlight w:val="none"/>
        </w:rPr>
        <w:t>39.1 中标人应向招标代理机构一次性交纳中标服务费（中标服务费参照国家计委《关于印发〈招标代理服务收费管理暂行办法〉的通知》（计价格〔2002〕1980号）及《国家发展改革委关于降低部分建设项目收费标准规范收费行为等有关问题的通知》（发改价格〔2011〕534号）等标准的80%计算。以本项目的</w:t>
      </w:r>
      <w:r>
        <w:rPr>
          <w:rFonts w:hint="eastAsia" w:ascii="宋体" w:hAnsi="宋体" w:eastAsia="宋体" w:cs="宋体"/>
          <w:color w:val="auto"/>
          <w:szCs w:val="21"/>
          <w:highlight w:val="none"/>
          <w:lang w:val="en-US" w:eastAsia="zh-CN"/>
        </w:rPr>
        <w:t>暂定</w:t>
      </w:r>
      <w:r>
        <w:rPr>
          <w:rFonts w:hint="eastAsia" w:ascii="宋体" w:hAnsi="宋体" w:eastAsia="宋体" w:cs="宋体"/>
          <w:color w:val="auto"/>
          <w:sz w:val="21"/>
          <w:szCs w:val="21"/>
          <w:highlight w:val="none"/>
        </w:rPr>
        <w:t>合同</w:t>
      </w:r>
      <w:r>
        <w:rPr>
          <w:rFonts w:hint="eastAsia" w:ascii="宋体" w:hAnsi="宋体" w:eastAsia="宋体" w:cs="宋体"/>
          <w:color w:val="auto"/>
          <w:sz w:val="21"/>
          <w:szCs w:val="21"/>
          <w:highlight w:val="none"/>
          <w:lang w:val="en-US" w:eastAsia="zh-CN"/>
        </w:rPr>
        <w:t>总价</w:t>
      </w:r>
      <w:r>
        <w:rPr>
          <w:rFonts w:hint="eastAsia" w:ascii="宋体" w:hAnsi="宋体" w:eastAsia="宋体" w:cs="宋体"/>
          <w:color w:val="auto"/>
          <w:szCs w:val="21"/>
          <w:highlight w:val="none"/>
        </w:rPr>
        <w:t>为计费额，本项目业务性质：按</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rPr>
        <w:t>类招标代理服务收费）。</w:t>
      </w:r>
    </w:p>
    <w:p w14:paraId="309B60D7">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39.2 中标人收到中标通知后，须在15日内向招标代理机构交纳中标服务费用。</w:t>
      </w:r>
    </w:p>
    <w:p w14:paraId="57AA0F0E">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39.3 中标服务费只接受以银行转账、电汇方式交纳</w:t>
      </w:r>
    </w:p>
    <w:p w14:paraId="26CFF617">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中标服务费汇入账号（特别提醒，本账户非投标保证金汇入账户)：</w:t>
      </w:r>
    </w:p>
    <w:p w14:paraId="7C9C5AEC">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开户名称：</w:t>
      </w:r>
      <w:r>
        <w:rPr>
          <w:rFonts w:hint="eastAsia" w:ascii="宋体" w:hAnsi="宋体" w:eastAsia="宋体" w:cs="宋体"/>
          <w:color w:val="auto"/>
          <w:szCs w:val="21"/>
          <w:highlight w:val="none"/>
          <w:lang w:eastAsia="zh-CN"/>
        </w:rPr>
        <w:t>三方诚信招标有限公司</w:t>
      </w:r>
      <w:r>
        <w:rPr>
          <w:rFonts w:hint="eastAsia" w:ascii="宋体" w:hAnsi="宋体" w:eastAsia="宋体" w:cs="宋体"/>
          <w:color w:val="auto"/>
          <w:szCs w:val="21"/>
          <w:highlight w:val="none"/>
        </w:rPr>
        <w:t>东莞分公司</w:t>
      </w:r>
    </w:p>
    <w:p w14:paraId="7CF28F69">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银行</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号：2010021309900018461</w:t>
      </w:r>
    </w:p>
    <w:p w14:paraId="478EBB91">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开户银行：</w:t>
      </w:r>
      <w:r>
        <w:rPr>
          <w:rFonts w:hint="eastAsia" w:ascii="宋体" w:hAnsi="宋体" w:eastAsia="宋体"/>
          <w:color w:val="auto"/>
          <w:sz w:val="21"/>
          <w:szCs w:val="21"/>
          <w:highlight w:val="none"/>
        </w:rPr>
        <w:t>中国工商银行东莞市分行</w:t>
      </w:r>
      <w:r>
        <w:rPr>
          <w:rFonts w:hint="eastAsia" w:ascii="宋体" w:hAnsi="宋体" w:eastAsia="宋体" w:cs="宋体"/>
          <w:color w:val="auto"/>
          <w:szCs w:val="21"/>
          <w:highlight w:val="none"/>
        </w:rPr>
        <w:t xml:space="preserve"> </w:t>
      </w:r>
    </w:p>
    <w:p w14:paraId="466C3F51">
      <w:pPr>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39.4 中标人如未按第39.1款、第39.2款规定办理，将不予退还其投标保证金。</w:t>
      </w:r>
    </w:p>
    <w:p w14:paraId="4CEFDD8B">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p>
    <w:p w14:paraId="1A177BC7">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472" w:name="_Toc142508355"/>
      <w:bookmarkStart w:id="473" w:name="_Toc6796"/>
      <w:bookmarkStart w:id="474" w:name="_Toc486167704"/>
      <w:bookmarkStart w:id="475" w:name="_Toc31030"/>
      <w:bookmarkStart w:id="476" w:name="_Toc1473"/>
      <w:bookmarkStart w:id="477" w:name="_Toc23317"/>
      <w:bookmarkStart w:id="478" w:name="_Toc21985"/>
      <w:bookmarkStart w:id="479" w:name="_Toc195714261"/>
      <w:bookmarkStart w:id="480" w:name="_Toc6764_WPSOffice_Level3"/>
      <w:r>
        <w:rPr>
          <w:rFonts w:hint="eastAsia" w:ascii="宋体" w:hAnsi="宋体" w:eastAsia="宋体" w:cs="宋体"/>
          <w:color w:val="auto"/>
          <w:szCs w:val="21"/>
          <w:highlight w:val="none"/>
        </w:rPr>
        <w:t>40</w:t>
      </w:r>
      <w:r>
        <w:rPr>
          <w:rFonts w:hint="eastAsia" w:ascii="宋体" w:hAnsi="宋体" w:eastAsia="宋体" w:cs="宋体"/>
          <w:color w:val="auto"/>
          <w:szCs w:val="21"/>
          <w:highlight w:val="none"/>
          <w:lang w:val="zh-CN"/>
        </w:rPr>
        <w:t xml:space="preserve"> 发票</w:t>
      </w:r>
      <w:bookmarkEnd w:id="471"/>
      <w:bookmarkEnd w:id="472"/>
      <w:bookmarkEnd w:id="473"/>
      <w:bookmarkEnd w:id="474"/>
      <w:bookmarkEnd w:id="475"/>
      <w:bookmarkEnd w:id="476"/>
      <w:bookmarkEnd w:id="477"/>
      <w:bookmarkEnd w:id="478"/>
      <w:bookmarkEnd w:id="479"/>
      <w:bookmarkEnd w:id="480"/>
    </w:p>
    <w:p w14:paraId="49B285BB">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40</w:t>
      </w:r>
      <w:r>
        <w:rPr>
          <w:rFonts w:hint="eastAsia" w:ascii="宋体" w:hAnsi="宋体" w:eastAsia="宋体" w:cs="宋体"/>
          <w:color w:val="auto"/>
          <w:szCs w:val="21"/>
          <w:highlight w:val="none"/>
          <w:lang w:val="zh-CN"/>
        </w:rPr>
        <w:t>.1</w:t>
      </w:r>
      <w:bookmarkStart w:id="481" w:name="_Toc486167705"/>
      <w:bookmarkStart w:id="482" w:name="_Toc31106_WPSOffice_Level3"/>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该项目获得中标的中标人在执行合同过程中，向招标人出具的发票必须是由中标人开具，不得以其他单位或个人名义出具，本项目中标人向招标人出具的发票类型为增值税专用发票。</w:t>
      </w:r>
    </w:p>
    <w:p w14:paraId="154705CD">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rPr>
      </w:pPr>
    </w:p>
    <w:p w14:paraId="00FC0113">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rPr>
      </w:pPr>
      <w:bookmarkStart w:id="483" w:name="_Toc142508356"/>
      <w:bookmarkStart w:id="484" w:name="_Toc7977"/>
      <w:bookmarkStart w:id="485" w:name="_Toc8619"/>
      <w:bookmarkStart w:id="486" w:name="_Toc24547"/>
      <w:bookmarkStart w:id="487" w:name="_Toc5624"/>
      <w:bookmarkStart w:id="488" w:name="_Toc195714262"/>
      <w:bookmarkStart w:id="489" w:name="_Toc10243"/>
      <w:r>
        <w:rPr>
          <w:rFonts w:hint="eastAsia" w:ascii="宋体" w:hAnsi="宋体" w:eastAsia="宋体" w:cs="宋体"/>
          <w:b/>
          <w:color w:val="auto"/>
          <w:szCs w:val="21"/>
          <w:highlight w:val="none"/>
        </w:rPr>
        <w:t>41 招标相关补充约定</w:t>
      </w:r>
      <w:bookmarkEnd w:id="483"/>
      <w:bookmarkEnd w:id="484"/>
      <w:bookmarkEnd w:id="485"/>
      <w:bookmarkEnd w:id="486"/>
      <w:bookmarkEnd w:id="487"/>
      <w:bookmarkEnd w:id="488"/>
      <w:bookmarkEnd w:id="489"/>
    </w:p>
    <w:p w14:paraId="33B84612">
      <w:pPr>
        <w:autoSpaceDE w:val="0"/>
        <w:autoSpaceDN w:val="0"/>
        <w:adjustRightInd w:val="0"/>
        <w:snapToGrid w:val="0"/>
        <w:spacing w:line="360" w:lineRule="auto"/>
        <w:ind w:left="317" w:leftChars="-100" w:hanging="527" w:hangingChars="25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41.1</w:t>
      </w:r>
      <w:r>
        <w:rPr>
          <w:rFonts w:hint="eastAsia" w:ascii="宋体" w:hAnsi="宋体" w:eastAsia="宋体" w:cs="宋体"/>
          <w:b/>
          <w:color w:val="auto"/>
          <w:szCs w:val="21"/>
          <w:highlight w:val="none"/>
        </w:rPr>
        <w:tab/>
      </w:r>
      <w:r>
        <w:rPr>
          <w:rFonts w:hint="eastAsia" w:ascii="宋体" w:hAnsi="宋体" w:eastAsia="宋体" w:cs="宋体"/>
          <w:b/>
          <w:color w:val="auto"/>
          <w:szCs w:val="21"/>
          <w:highlight w:val="none"/>
        </w:rPr>
        <w:t>本项目投标人须知第2条所述行政处罚信息，以开标当天在“信用中国”网站（www.creditchina.gov.cn）查询结果为准，或以司法、仲裁机构等出具的生效文件予以认定,时间以认定文件的落款时间为准。开标结束后，有关投标单位的行政处罚信息，以开标当天查询结果为准；结果公示期间，如投标人对有关投标单位的行政处罚信息存在异议，但不涉及第一中标候选人的，视为对中标结果没有造成实质影响。</w:t>
      </w:r>
    </w:p>
    <w:p w14:paraId="0F8AF0B7">
      <w:pPr>
        <w:autoSpaceDE w:val="0"/>
        <w:autoSpaceDN w:val="0"/>
        <w:adjustRightInd w:val="0"/>
        <w:snapToGrid w:val="0"/>
        <w:spacing w:line="360" w:lineRule="auto"/>
        <w:jc w:val="left"/>
        <w:rPr>
          <w:rFonts w:hint="eastAsia" w:ascii="宋体" w:hAnsi="宋体" w:eastAsia="宋体" w:cs="宋体"/>
          <w:color w:val="auto"/>
          <w:szCs w:val="21"/>
          <w:highlight w:val="none"/>
        </w:rPr>
      </w:pPr>
    </w:p>
    <w:p w14:paraId="2FBD1B60">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rPr>
      </w:pPr>
      <w:bookmarkStart w:id="490" w:name="_Toc22346"/>
      <w:bookmarkStart w:id="491" w:name="_Toc29758"/>
      <w:bookmarkStart w:id="492" w:name="_Toc20859"/>
      <w:bookmarkStart w:id="493" w:name="_Toc142508357"/>
      <w:bookmarkStart w:id="494" w:name="_Toc195714263"/>
      <w:bookmarkStart w:id="495" w:name="_Toc21193"/>
      <w:bookmarkStart w:id="496" w:name="_Toc26594"/>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 xml:space="preserve"> 本次招标活动的最终解释权归招标代理机构及招标人所有。</w:t>
      </w:r>
      <w:bookmarkEnd w:id="481"/>
      <w:bookmarkEnd w:id="482"/>
      <w:bookmarkEnd w:id="490"/>
      <w:bookmarkEnd w:id="491"/>
      <w:bookmarkEnd w:id="492"/>
      <w:bookmarkEnd w:id="493"/>
      <w:bookmarkEnd w:id="494"/>
      <w:bookmarkEnd w:id="495"/>
      <w:bookmarkEnd w:id="496"/>
    </w:p>
    <w:p w14:paraId="709731BC">
      <w:pPr>
        <w:autoSpaceDE w:val="0"/>
        <w:autoSpaceDN w:val="0"/>
        <w:adjustRightInd w:val="0"/>
        <w:spacing w:line="360" w:lineRule="auto"/>
        <w:ind w:firstLine="0" w:firstLineChars="0"/>
        <w:jc w:val="left"/>
        <w:rPr>
          <w:rFonts w:hint="eastAsia" w:ascii="宋体" w:hAnsi="宋体" w:eastAsia="宋体" w:cs="宋体"/>
          <w:color w:val="auto"/>
          <w:kern w:val="0"/>
          <w:szCs w:val="21"/>
          <w:highlight w:val="none"/>
        </w:rPr>
      </w:pPr>
    </w:p>
    <w:p w14:paraId="22AD2D39">
      <w:pPr>
        <w:pageBreakBefore/>
        <w:tabs>
          <w:tab w:val="left" w:pos="1080"/>
        </w:tabs>
        <w:autoSpaceDE w:val="0"/>
        <w:autoSpaceDN w:val="0"/>
        <w:adjustRightInd w:val="0"/>
        <w:spacing w:line="360" w:lineRule="auto"/>
        <w:ind w:left="357" w:leftChars="-100" w:hanging="567"/>
        <w:jc w:val="center"/>
        <w:outlineLvl w:val="1"/>
        <w:rPr>
          <w:rFonts w:ascii="宋体" w:hAnsi="宋体" w:eastAsia="宋体" w:cs="宋体"/>
          <w:b/>
          <w:bCs/>
          <w:color w:val="auto"/>
          <w:kern w:val="44"/>
          <w:sz w:val="32"/>
          <w:szCs w:val="32"/>
          <w:highlight w:val="none"/>
          <w:lang w:val="zh-CN"/>
        </w:rPr>
      </w:pPr>
      <w:bookmarkStart w:id="497" w:name="_Toc6282"/>
      <w:bookmarkStart w:id="498" w:name="_Toc4217"/>
      <w:bookmarkStart w:id="499" w:name="_Toc22810"/>
      <w:bookmarkStart w:id="500" w:name="_Toc27939_WPSOffice_Level1"/>
      <w:bookmarkStart w:id="501" w:name="_Toc450662891"/>
      <w:bookmarkStart w:id="502" w:name="_Toc29361"/>
      <w:bookmarkStart w:id="503" w:name="_Toc28218"/>
      <w:bookmarkStart w:id="504" w:name="_Toc142508358"/>
      <w:bookmarkStart w:id="505" w:name="_Toc486167706"/>
      <w:bookmarkStart w:id="506" w:name="_Toc486167708"/>
      <w:bookmarkStart w:id="507" w:name="_Toc450662895"/>
      <w:bookmarkStart w:id="508" w:name="_Toc15817"/>
      <w:bookmarkStart w:id="509" w:name="_Toc25246"/>
      <w:bookmarkStart w:id="510" w:name="_Toc9840"/>
      <w:bookmarkStart w:id="511" w:name="_Toc32761_WPSOffice_Level1"/>
      <w:bookmarkStart w:id="512" w:name="_Toc142508361"/>
      <w:r>
        <w:rPr>
          <w:rFonts w:hint="eastAsia" w:ascii="宋体" w:hAnsi="宋体" w:eastAsia="宋体" w:cs="宋体"/>
          <w:b/>
          <w:bCs/>
          <w:color w:val="auto"/>
          <w:kern w:val="44"/>
          <w:sz w:val="32"/>
          <w:szCs w:val="32"/>
          <w:highlight w:val="none"/>
          <w:lang w:val="zh-CN"/>
        </w:rPr>
        <w:t>第三篇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用户需求书</w:t>
      </w:r>
      <w:bookmarkEnd w:id="497"/>
    </w:p>
    <w:bookmarkEnd w:id="498"/>
    <w:bookmarkEnd w:id="499"/>
    <w:bookmarkEnd w:id="500"/>
    <w:bookmarkEnd w:id="501"/>
    <w:bookmarkEnd w:id="502"/>
    <w:bookmarkEnd w:id="503"/>
    <w:bookmarkEnd w:id="504"/>
    <w:bookmarkEnd w:id="505"/>
    <w:p w14:paraId="42E63AC3">
      <w:pPr>
        <w:pStyle w:val="2"/>
        <w:adjustRightInd w:val="0"/>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一、项目概况</w:t>
      </w:r>
    </w:p>
    <w:p w14:paraId="0C68D6C3">
      <w:pPr>
        <w:adjustRightInd w:val="0"/>
        <w:snapToGrid w:val="0"/>
        <w:spacing w:line="360" w:lineRule="auto"/>
        <w:ind w:firstLine="420"/>
        <w:rPr>
          <w:rFonts w:hint="eastAsia" w:ascii="宋体" w:hAnsi="宋体" w:eastAsia="宋体" w:cs="宋体"/>
          <w:color w:val="auto"/>
          <w:sz w:val="21"/>
          <w:szCs w:val="21"/>
          <w:highlight w:val="none"/>
          <w:lang w:bidi="en-US"/>
        </w:rPr>
      </w:pPr>
      <w:r>
        <w:rPr>
          <w:rFonts w:hint="eastAsia" w:ascii="宋体" w:hAnsi="宋体" w:eastAsia="宋体" w:cs="宋体"/>
          <w:color w:val="auto"/>
          <w:sz w:val="21"/>
          <w:szCs w:val="21"/>
          <w:highlight w:val="none"/>
          <w:lang w:eastAsia="zh-CN"/>
        </w:rPr>
        <w:t>水业大厦项目地处南城CBD，占地面积11604.95㎡，总建筑面积</w:t>
      </w:r>
      <w:r>
        <w:rPr>
          <w:rFonts w:hint="eastAsia" w:ascii="宋体" w:hAnsi="宋体" w:eastAsia="宋体" w:cs="宋体"/>
          <w:color w:val="auto"/>
          <w:sz w:val="21"/>
          <w:szCs w:val="21"/>
          <w:highlight w:val="none"/>
          <w:lang w:val="en-US" w:eastAsia="zh-CN"/>
        </w:rPr>
        <w:t>约</w:t>
      </w:r>
      <w:r>
        <w:rPr>
          <w:rFonts w:hint="eastAsia" w:ascii="宋体" w:hAnsi="宋体" w:eastAsia="宋体" w:cs="宋体"/>
          <w:color w:val="auto"/>
          <w:sz w:val="21"/>
          <w:szCs w:val="21"/>
          <w:highlight w:val="none"/>
          <w:lang w:eastAsia="zh-CN"/>
        </w:rPr>
        <w:t>96056.38㎡，由两栋塔楼（含18层商务写字楼和4层商业裙楼）和3层地下停车场组成。其中写字楼总面积为</w:t>
      </w:r>
      <w:r>
        <w:rPr>
          <w:rFonts w:hint="eastAsia" w:ascii="宋体" w:hAnsi="宋体" w:eastAsia="宋体" w:cs="宋体"/>
          <w:color w:val="auto"/>
          <w:sz w:val="21"/>
          <w:szCs w:val="21"/>
          <w:highlight w:val="none"/>
          <w:lang w:val="en-US" w:eastAsia="zh-CN"/>
        </w:rPr>
        <w:t>约53090.34</w:t>
      </w:r>
      <w:r>
        <w:rPr>
          <w:rFonts w:hint="eastAsia" w:ascii="宋体" w:hAnsi="宋体" w:eastAsia="宋体" w:cs="宋体"/>
          <w:color w:val="auto"/>
          <w:sz w:val="21"/>
          <w:szCs w:val="21"/>
          <w:highlight w:val="none"/>
          <w:lang w:eastAsia="zh-CN"/>
        </w:rPr>
        <w:t>㎡（5-22层），商业和公共区总面积</w:t>
      </w:r>
      <w:r>
        <w:rPr>
          <w:rFonts w:hint="eastAsia" w:ascii="宋体" w:hAnsi="宋体" w:eastAsia="宋体" w:cs="宋体"/>
          <w:color w:val="auto"/>
          <w:sz w:val="21"/>
          <w:szCs w:val="21"/>
          <w:highlight w:val="none"/>
          <w:lang w:val="en-US" w:eastAsia="zh-CN"/>
        </w:rPr>
        <w:t>约</w:t>
      </w:r>
      <w:r>
        <w:rPr>
          <w:rFonts w:hint="eastAsia" w:ascii="宋体" w:hAnsi="宋体" w:eastAsia="宋体" w:cs="宋体"/>
          <w:color w:val="auto"/>
          <w:sz w:val="21"/>
          <w:szCs w:val="21"/>
          <w:highlight w:val="none"/>
          <w:lang w:eastAsia="zh-CN"/>
        </w:rPr>
        <w:t>为15107.21㎡（裙楼1-4层），地下室总面积</w:t>
      </w:r>
      <w:r>
        <w:rPr>
          <w:rFonts w:hint="eastAsia" w:ascii="宋体" w:hAnsi="宋体" w:eastAsia="宋体" w:cs="宋体"/>
          <w:color w:val="auto"/>
          <w:sz w:val="21"/>
          <w:szCs w:val="21"/>
          <w:highlight w:val="none"/>
          <w:lang w:val="en-US" w:eastAsia="zh-CN"/>
        </w:rPr>
        <w:t>约</w:t>
      </w:r>
      <w:r>
        <w:rPr>
          <w:rFonts w:hint="eastAsia" w:ascii="宋体" w:hAnsi="宋体" w:eastAsia="宋体" w:cs="宋体"/>
          <w:color w:val="auto"/>
          <w:sz w:val="21"/>
          <w:szCs w:val="21"/>
          <w:highlight w:val="none"/>
          <w:lang w:eastAsia="zh-CN"/>
        </w:rPr>
        <w:t>为27858.83㎡（主要为地下停车场）；外墙面积（主要材质为玻璃幕墙）约37000㎡。A塔7-11层为酒店，建筑面积约为7</w:t>
      </w:r>
      <w:r>
        <w:rPr>
          <w:rFonts w:hint="eastAsia" w:ascii="宋体" w:hAnsi="宋体" w:eastAsia="宋体" w:cs="宋体"/>
          <w:color w:val="auto"/>
          <w:sz w:val="21"/>
          <w:szCs w:val="21"/>
          <w:highlight w:val="none"/>
          <w:lang w:val="en-US" w:eastAsia="zh-CN"/>
        </w:rPr>
        <w:t>600</w:t>
      </w:r>
      <w:r>
        <w:rPr>
          <w:rFonts w:hint="eastAsia" w:ascii="宋体" w:hAnsi="宋体" w:eastAsia="宋体" w:cs="宋体"/>
          <w:color w:val="auto"/>
          <w:sz w:val="21"/>
          <w:szCs w:val="21"/>
          <w:highlight w:val="none"/>
          <w:lang w:eastAsia="zh-CN"/>
        </w:rPr>
        <w:t>平方，由酒店方自行管理。</w:t>
      </w:r>
    </w:p>
    <w:p w14:paraId="2EECE62A">
      <w:pPr>
        <w:pStyle w:val="18"/>
        <w:adjustRightInd w:val="0"/>
        <w:snapToGrid w:val="0"/>
        <w:spacing w:after="0" w:line="360" w:lineRule="auto"/>
        <w:ind w:firstLine="420"/>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1.1 项目名称：</w:t>
      </w:r>
      <w:r>
        <w:rPr>
          <w:rFonts w:hint="eastAsia" w:hAnsi="宋体" w:cs="宋体"/>
          <w:b w:val="0"/>
          <w:bCs w:val="0"/>
          <w:color w:val="auto"/>
          <w:sz w:val="21"/>
          <w:szCs w:val="21"/>
          <w:highlight w:val="none"/>
          <w:lang w:eastAsia="zh-CN"/>
        </w:rPr>
        <w:t>东莞市置拓投资有限公司水业大厦2026-2027年度物业管理服务采购项目</w:t>
      </w:r>
      <w:r>
        <w:rPr>
          <w:rFonts w:hint="eastAsia" w:ascii="宋体" w:hAnsi="宋体" w:eastAsia="宋体" w:cs="宋体"/>
          <w:b w:val="0"/>
          <w:bCs w:val="0"/>
          <w:color w:val="auto"/>
          <w:sz w:val="21"/>
          <w:szCs w:val="21"/>
          <w:highlight w:val="none"/>
          <w:lang w:eastAsia="zh-CN"/>
        </w:rPr>
        <w:t>。</w:t>
      </w:r>
    </w:p>
    <w:p w14:paraId="0F76311B">
      <w:pPr>
        <w:adjustRightInd w:val="0"/>
        <w:snapToGrid w:val="0"/>
        <w:spacing w:line="360" w:lineRule="auto"/>
        <w:ind w:firstLine="420"/>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1.2 招标人：东莞市置拓投资有限公司。</w:t>
      </w:r>
    </w:p>
    <w:p w14:paraId="09B7870E">
      <w:pPr>
        <w:snapToGrid w:val="0"/>
        <w:spacing w:line="360" w:lineRule="auto"/>
        <w:ind w:firstLine="420"/>
        <w:rPr>
          <w:rFonts w:hint="eastAsia" w:ascii="宋体" w:hAnsi="宋体" w:eastAsia="宋体" w:cs="宋体"/>
          <w:color w:val="auto"/>
          <w:sz w:val="21"/>
          <w:szCs w:val="21"/>
          <w:lang w:eastAsia="zh-CN"/>
        </w:rPr>
      </w:pPr>
      <w:r>
        <w:rPr>
          <w:rFonts w:hint="eastAsia" w:ascii="宋体" w:hAnsi="宋体" w:eastAsia="宋体" w:cs="宋体"/>
          <w:color w:val="auto"/>
          <w:sz w:val="21"/>
          <w:szCs w:val="21"/>
          <w:highlight w:val="none"/>
          <w:lang w:val="en-US" w:eastAsia="zh-CN"/>
        </w:rPr>
        <w:t>1.3物业管理费收费主体：本项目物业管理费、水电费、停车费等费用均由招标人负责收取，物业管理服务内容由中标人实施。</w:t>
      </w:r>
    </w:p>
    <w:p w14:paraId="1CD28C2B">
      <w:pPr>
        <w:snapToGrid w:val="0"/>
        <w:spacing w:line="360" w:lineRule="auto"/>
        <w:ind w:firstLine="420"/>
        <w:rPr>
          <w:rFonts w:hint="eastAsia" w:ascii="宋体" w:hAnsi="宋体" w:eastAsia="宋体" w:cs="宋体"/>
          <w:color w:val="auto"/>
          <w:sz w:val="21"/>
          <w:szCs w:val="21"/>
          <w:highlight w:val="none"/>
          <w:lang w:eastAsia="zh-CN"/>
        </w:rPr>
      </w:pPr>
      <w:bookmarkStart w:id="513" w:name="_Toc17373"/>
      <w:bookmarkStart w:id="514" w:name="_Toc29312"/>
      <w:bookmarkStart w:id="515" w:name="_Toc318"/>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 xml:space="preserve"> 项目</w:t>
      </w:r>
      <w:r>
        <w:rPr>
          <w:rFonts w:hint="eastAsia" w:ascii="宋体" w:hAnsi="宋体" w:eastAsia="宋体" w:cs="宋体"/>
          <w:color w:val="auto"/>
          <w:sz w:val="21"/>
          <w:szCs w:val="21"/>
          <w:highlight w:val="none"/>
        </w:rPr>
        <w:t>建筑技术参数</w:t>
      </w:r>
      <w:bookmarkEnd w:id="513"/>
      <w:bookmarkEnd w:id="514"/>
      <w:bookmarkEnd w:id="515"/>
      <w:r>
        <w:rPr>
          <w:rFonts w:hint="eastAsia" w:ascii="宋体" w:hAnsi="宋体" w:eastAsia="宋体" w:cs="宋体"/>
          <w:color w:val="auto"/>
          <w:sz w:val="21"/>
          <w:szCs w:val="21"/>
          <w:highlight w:val="none"/>
          <w:lang w:eastAsia="zh-CN"/>
        </w:rPr>
        <w:t>：</w:t>
      </w:r>
    </w:p>
    <w:tbl>
      <w:tblPr>
        <w:tblStyle w:val="41"/>
        <w:tblW w:w="91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808"/>
        <w:gridCol w:w="1065"/>
        <w:gridCol w:w="1530"/>
        <w:gridCol w:w="1738"/>
        <w:gridCol w:w="2989"/>
      </w:tblGrid>
      <w:tr w14:paraId="5B3D5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36" w:hRule="exact"/>
          <w:jc w:val="center"/>
        </w:trPr>
        <w:tc>
          <w:tcPr>
            <w:tcW w:w="1808" w:type="dxa"/>
            <w:shd w:val="clear" w:color="auto" w:fill="FFFFFF"/>
            <w:vAlign w:val="center"/>
          </w:tcPr>
          <w:p w14:paraId="4192764E">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项目名称及地址</w:t>
            </w:r>
          </w:p>
        </w:tc>
        <w:tc>
          <w:tcPr>
            <w:tcW w:w="7322" w:type="dxa"/>
            <w:gridSpan w:val="4"/>
            <w:shd w:val="clear" w:color="auto" w:fill="FFFFFF"/>
            <w:vAlign w:val="center"/>
          </w:tcPr>
          <w:p w14:paraId="30E28742">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东莞市南城街道宏北路16号水业大厦</w:t>
            </w:r>
          </w:p>
        </w:tc>
      </w:tr>
      <w:tr w14:paraId="59E16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vMerge w:val="restart"/>
            <w:shd w:val="clear" w:color="auto" w:fill="FFFFFF"/>
            <w:vAlign w:val="center"/>
          </w:tcPr>
          <w:p w14:paraId="5CF527D3">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项目概况</w:t>
            </w:r>
          </w:p>
        </w:tc>
        <w:tc>
          <w:tcPr>
            <w:tcW w:w="4333" w:type="dxa"/>
            <w:gridSpan w:val="3"/>
            <w:shd w:val="clear" w:color="auto" w:fill="FFFFFF"/>
            <w:vAlign w:val="bottom"/>
          </w:tcPr>
          <w:p w14:paraId="618DB7FF">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物业类型</w:t>
            </w:r>
          </w:p>
        </w:tc>
        <w:tc>
          <w:tcPr>
            <w:tcW w:w="2989" w:type="dxa"/>
            <w:shd w:val="clear" w:color="auto" w:fill="FFFFFF"/>
            <w:vAlign w:val="bottom"/>
          </w:tcPr>
          <w:p w14:paraId="561A0318">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商业、写字楼、地下停车场</w:t>
            </w:r>
          </w:p>
        </w:tc>
      </w:tr>
      <w:tr w14:paraId="2F21D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vMerge w:val="continue"/>
            <w:shd w:val="clear" w:color="auto" w:fill="FFFFFF"/>
            <w:vAlign w:val="center"/>
          </w:tcPr>
          <w:p w14:paraId="0AD6F198">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p>
        </w:tc>
        <w:tc>
          <w:tcPr>
            <w:tcW w:w="4333" w:type="dxa"/>
            <w:gridSpan w:val="3"/>
            <w:shd w:val="clear" w:color="auto" w:fill="FFFFFF"/>
            <w:vAlign w:val="bottom"/>
          </w:tcPr>
          <w:p w14:paraId="0C0FE880">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红线面积（</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tc>
        <w:tc>
          <w:tcPr>
            <w:tcW w:w="2989" w:type="dxa"/>
            <w:shd w:val="clear" w:color="auto" w:fill="FFFFFF"/>
            <w:vAlign w:val="bottom"/>
          </w:tcPr>
          <w:p w14:paraId="68A13D71">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11604.95</w:t>
            </w:r>
          </w:p>
        </w:tc>
      </w:tr>
      <w:tr w14:paraId="45068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vMerge w:val="continue"/>
            <w:shd w:val="clear" w:color="auto" w:fill="FFFFFF"/>
            <w:vAlign w:val="center"/>
          </w:tcPr>
          <w:p w14:paraId="41C35F6A">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p>
        </w:tc>
        <w:tc>
          <w:tcPr>
            <w:tcW w:w="4333" w:type="dxa"/>
            <w:gridSpan w:val="3"/>
            <w:shd w:val="clear" w:color="auto" w:fill="FFFFFF"/>
            <w:vAlign w:val="bottom"/>
          </w:tcPr>
          <w:p w14:paraId="2932089A">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总建筑面积（</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tc>
        <w:tc>
          <w:tcPr>
            <w:tcW w:w="2989" w:type="dxa"/>
            <w:shd w:val="clear" w:color="auto" w:fill="FFFFFF"/>
            <w:vAlign w:val="bottom"/>
          </w:tcPr>
          <w:p w14:paraId="2D24D635">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96056.</w:t>
            </w:r>
            <w:r>
              <w:rPr>
                <w:rFonts w:hint="eastAsia" w:ascii="宋体" w:hAnsi="宋体" w:eastAsia="宋体" w:cs="宋体"/>
                <w:color w:val="auto"/>
                <w:sz w:val="21"/>
                <w:szCs w:val="21"/>
                <w:highlight w:val="none"/>
                <w:lang w:eastAsia="zh-CN"/>
              </w:rPr>
              <w:t>38</w:t>
            </w:r>
          </w:p>
        </w:tc>
      </w:tr>
      <w:tr w14:paraId="7DE5F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vMerge w:val="continue"/>
            <w:shd w:val="clear" w:color="auto" w:fill="FFFFFF"/>
          </w:tcPr>
          <w:p w14:paraId="6FB923F2">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p>
        </w:tc>
        <w:tc>
          <w:tcPr>
            <w:tcW w:w="1065" w:type="dxa"/>
            <w:vMerge w:val="restart"/>
            <w:shd w:val="clear" w:color="auto" w:fill="FFFFFF"/>
            <w:vAlign w:val="center"/>
          </w:tcPr>
          <w:p w14:paraId="31F1B89C">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其中</w:t>
            </w:r>
          </w:p>
        </w:tc>
        <w:tc>
          <w:tcPr>
            <w:tcW w:w="3268" w:type="dxa"/>
            <w:gridSpan w:val="2"/>
            <w:shd w:val="clear" w:color="auto" w:fill="FFFFFF"/>
            <w:vAlign w:val="center"/>
          </w:tcPr>
          <w:p w14:paraId="7E21C2C4">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商业建筑面积（</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tc>
        <w:tc>
          <w:tcPr>
            <w:tcW w:w="2989" w:type="dxa"/>
            <w:shd w:val="clear" w:color="auto" w:fill="FFFFFF"/>
            <w:vAlign w:val="center"/>
          </w:tcPr>
          <w:p w14:paraId="64A0A5BA">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12528.87</w:t>
            </w:r>
          </w:p>
        </w:tc>
      </w:tr>
      <w:tr w14:paraId="61E63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vMerge w:val="continue"/>
            <w:shd w:val="clear" w:color="auto" w:fill="FFFFFF"/>
          </w:tcPr>
          <w:p w14:paraId="6ED60BB5">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p>
        </w:tc>
        <w:tc>
          <w:tcPr>
            <w:tcW w:w="1065" w:type="dxa"/>
            <w:vMerge w:val="continue"/>
            <w:shd w:val="clear" w:color="auto" w:fill="FFFFFF"/>
            <w:vAlign w:val="center"/>
          </w:tcPr>
          <w:p w14:paraId="5250C729">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p>
        </w:tc>
        <w:tc>
          <w:tcPr>
            <w:tcW w:w="3268" w:type="dxa"/>
            <w:gridSpan w:val="2"/>
            <w:shd w:val="clear" w:color="auto" w:fill="FFFFFF"/>
            <w:vAlign w:val="center"/>
          </w:tcPr>
          <w:p w14:paraId="37E9C941">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写字楼、</w:t>
            </w:r>
            <w:r>
              <w:rPr>
                <w:rFonts w:hint="eastAsia" w:ascii="宋体" w:hAnsi="宋体" w:eastAsia="宋体" w:cs="宋体"/>
                <w:color w:val="auto"/>
                <w:sz w:val="21"/>
                <w:szCs w:val="21"/>
                <w:highlight w:val="none"/>
                <w:lang w:val="en-US" w:eastAsia="zh-CN"/>
              </w:rPr>
              <w:t>酒店</w:t>
            </w:r>
            <w:r>
              <w:rPr>
                <w:rFonts w:hint="eastAsia" w:ascii="宋体" w:hAnsi="宋体" w:eastAsia="宋体" w:cs="宋体"/>
                <w:color w:val="auto"/>
                <w:sz w:val="21"/>
                <w:szCs w:val="21"/>
                <w:highlight w:val="none"/>
                <w:lang w:eastAsia="zh-CN"/>
              </w:rPr>
              <w:t>建筑面积（㎡）</w:t>
            </w:r>
          </w:p>
        </w:tc>
        <w:tc>
          <w:tcPr>
            <w:tcW w:w="2989" w:type="dxa"/>
            <w:shd w:val="clear" w:color="auto" w:fill="FFFFFF"/>
            <w:vAlign w:val="center"/>
          </w:tcPr>
          <w:p w14:paraId="35D7570D">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52572.84</w:t>
            </w:r>
          </w:p>
        </w:tc>
      </w:tr>
      <w:tr w14:paraId="242DA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vMerge w:val="continue"/>
            <w:shd w:val="clear" w:color="auto" w:fill="FFFFFF"/>
          </w:tcPr>
          <w:p w14:paraId="5AEB3CB2">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p>
        </w:tc>
        <w:tc>
          <w:tcPr>
            <w:tcW w:w="1065" w:type="dxa"/>
            <w:vMerge w:val="continue"/>
            <w:shd w:val="clear" w:color="auto" w:fill="FFFFFF"/>
            <w:vAlign w:val="center"/>
          </w:tcPr>
          <w:p w14:paraId="29185A5E">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p>
        </w:tc>
        <w:tc>
          <w:tcPr>
            <w:tcW w:w="3268" w:type="dxa"/>
            <w:gridSpan w:val="2"/>
            <w:shd w:val="clear" w:color="auto" w:fill="FFFFFF"/>
            <w:vAlign w:val="center"/>
          </w:tcPr>
          <w:p w14:paraId="7F729DF8">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地下停车场设备房等面积（㎡）</w:t>
            </w:r>
          </w:p>
        </w:tc>
        <w:tc>
          <w:tcPr>
            <w:tcW w:w="2989" w:type="dxa"/>
            <w:shd w:val="clear" w:color="auto" w:fill="FFFFFF"/>
            <w:vAlign w:val="center"/>
          </w:tcPr>
          <w:p w14:paraId="2684B3D6">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428.5</w:t>
            </w:r>
          </w:p>
        </w:tc>
      </w:tr>
      <w:tr w14:paraId="74F9A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vMerge w:val="continue"/>
            <w:shd w:val="clear" w:color="auto" w:fill="FFFFFF"/>
          </w:tcPr>
          <w:p w14:paraId="3B72316A">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p>
        </w:tc>
        <w:tc>
          <w:tcPr>
            <w:tcW w:w="4333" w:type="dxa"/>
            <w:gridSpan w:val="3"/>
            <w:shd w:val="clear" w:color="auto" w:fill="FFFFFF"/>
            <w:vAlign w:val="center"/>
          </w:tcPr>
          <w:p w14:paraId="097985C8">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写字楼标准层建筑面积（㎡）</w:t>
            </w:r>
          </w:p>
        </w:tc>
        <w:tc>
          <w:tcPr>
            <w:tcW w:w="2989" w:type="dxa"/>
            <w:shd w:val="clear" w:color="auto" w:fill="FFFFFF"/>
            <w:vAlign w:val="center"/>
          </w:tcPr>
          <w:p w14:paraId="7C519637">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1460</w:t>
            </w:r>
          </w:p>
        </w:tc>
      </w:tr>
      <w:tr w14:paraId="586D2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vMerge w:val="continue"/>
            <w:shd w:val="clear" w:color="auto" w:fill="FFFFFF"/>
          </w:tcPr>
          <w:p w14:paraId="3DD09474">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4333" w:type="dxa"/>
            <w:gridSpan w:val="3"/>
            <w:shd w:val="clear" w:color="auto" w:fill="FFFFFF"/>
            <w:vAlign w:val="center"/>
          </w:tcPr>
          <w:p w14:paraId="08DFA64C">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写字楼大堂面积（㎡）</w:t>
            </w:r>
          </w:p>
        </w:tc>
        <w:tc>
          <w:tcPr>
            <w:tcW w:w="2989" w:type="dxa"/>
            <w:shd w:val="clear" w:color="auto" w:fill="FFFFFF"/>
            <w:vAlign w:val="center"/>
          </w:tcPr>
          <w:p w14:paraId="5FA0AE46">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1160.23</w:t>
            </w:r>
          </w:p>
        </w:tc>
      </w:tr>
      <w:tr w14:paraId="3410D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36" w:hRule="exact"/>
          <w:jc w:val="center"/>
        </w:trPr>
        <w:tc>
          <w:tcPr>
            <w:tcW w:w="1808" w:type="dxa"/>
            <w:vMerge w:val="continue"/>
            <w:shd w:val="clear" w:color="auto" w:fill="FFFFFF"/>
          </w:tcPr>
          <w:p w14:paraId="70FA01DD">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4333" w:type="dxa"/>
            <w:gridSpan w:val="3"/>
            <w:shd w:val="clear" w:color="auto" w:fill="FFFFFF"/>
            <w:vAlign w:val="center"/>
          </w:tcPr>
          <w:p w14:paraId="701FBEA9">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停车场建筑面积（㎡）</w:t>
            </w:r>
          </w:p>
          <w:p w14:paraId="2CCCA6F0">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（不含地下层公共机电设备房面积）</w:t>
            </w:r>
          </w:p>
        </w:tc>
        <w:tc>
          <w:tcPr>
            <w:tcW w:w="2989" w:type="dxa"/>
            <w:shd w:val="clear" w:color="auto" w:fill="FFFFFF"/>
            <w:vAlign w:val="center"/>
          </w:tcPr>
          <w:p w14:paraId="496BA817">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27429.5</w:t>
            </w:r>
          </w:p>
        </w:tc>
      </w:tr>
      <w:tr w14:paraId="267F5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vMerge w:val="continue"/>
            <w:shd w:val="clear" w:color="auto" w:fill="FFFFFF"/>
          </w:tcPr>
          <w:p w14:paraId="357706CD">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4333" w:type="dxa"/>
            <w:gridSpan w:val="3"/>
            <w:shd w:val="clear" w:color="auto" w:fill="FFFFFF"/>
            <w:vAlign w:val="center"/>
          </w:tcPr>
          <w:p w14:paraId="4399DB6C">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公共机电设备房面积（㎡）</w:t>
            </w:r>
          </w:p>
        </w:tc>
        <w:tc>
          <w:tcPr>
            <w:tcW w:w="2989" w:type="dxa"/>
            <w:shd w:val="clear" w:color="auto" w:fill="FFFFFF"/>
            <w:vAlign w:val="center"/>
          </w:tcPr>
          <w:p w14:paraId="29C2E6CB">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428.5</w:t>
            </w:r>
          </w:p>
        </w:tc>
      </w:tr>
      <w:tr w14:paraId="4B058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vMerge w:val="continue"/>
            <w:shd w:val="clear" w:color="auto" w:fill="FFFFFF"/>
          </w:tcPr>
          <w:p w14:paraId="22A1B85F">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4333" w:type="dxa"/>
            <w:gridSpan w:val="3"/>
            <w:shd w:val="clear" w:color="auto" w:fill="FFFFFF"/>
            <w:vAlign w:val="center"/>
          </w:tcPr>
          <w:p w14:paraId="0D0DDC12">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公共垃圾房面积（㎡）</w:t>
            </w:r>
          </w:p>
        </w:tc>
        <w:tc>
          <w:tcPr>
            <w:tcW w:w="2989" w:type="dxa"/>
            <w:shd w:val="clear" w:color="auto" w:fill="FFFFFF"/>
            <w:vAlign w:val="center"/>
          </w:tcPr>
          <w:p w14:paraId="4A198A2A">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48.4</w:t>
            </w:r>
          </w:p>
        </w:tc>
      </w:tr>
      <w:tr w14:paraId="47BAF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vMerge w:val="continue"/>
            <w:shd w:val="clear" w:color="auto" w:fill="FFFFFF"/>
          </w:tcPr>
          <w:p w14:paraId="40B6E3D8">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4333" w:type="dxa"/>
            <w:gridSpan w:val="3"/>
            <w:shd w:val="clear" w:color="auto" w:fill="FFFFFF"/>
            <w:vAlign w:val="center"/>
          </w:tcPr>
          <w:p w14:paraId="63B708CB">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物业办公室建筑面积（㎡）</w:t>
            </w:r>
          </w:p>
        </w:tc>
        <w:tc>
          <w:tcPr>
            <w:tcW w:w="2989" w:type="dxa"/>
            <w:shd w:val="clear" w:color="auto" w:fill="FFFFFF"/>
            <w:vAlign w:val="center"/>
          </w:tcPr>
          <w:p w14:paraId="37008941">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120</w:t>
            </w:r>
          </w:p>
        </w:tc>
      </w:tr>
      <w:tr w14:paraId="1CA69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vMerge w:val="continue"/>
            <w:shd w:val="clear" w:color="auto" w:fill="FFFFFF"/>
          </w:tcPr>
          <w:p w14:paraId="2F11AA2D">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4333" w:type="dxa"/>
            <w:gridSpan w:val="3"/>
            <w:shd w:val="clear" w:color="auto" w:fill="FFFFFF"/>
            <w:vAlign w:val="center"/>
          </w:tcPr>
          <w:p w14:paraId="1BD722BE">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外墙面积（</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tc>
        <w:tc>
          <w:tcPr>
            <w:tcW w:w="2989" w:type="dxa"/>
            <w:shd w:val="clear" w:color="auto" w:fill="FFFFFF"/>
            <w:vAlign w:val="center"/>
          </w:tcPr>
          <w:p w14:paraId="6C525794">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37000</w:t>
            </w:r>
            <w:r>
              <w:rPr>
                <w:rFonts w:hint="eastAsia" w:ascii="宋体" w:hAnsi="宋体" w:eastAsia="宋体" w:cs="宋体"/>
                <w:color w:val="auto"/>
                <w:sz w:val="21"/>
                <w:szCs w:val="21"/>
                <w:highlight w:val="none"/>
                <w:lang w:eastAsia="zh-CN"/>
              </w:rPr>
              <w:t>（非展开面）</w:t>
            </w:r>
          </w:p>
        </w:tc>
      </w:tr>
      <w:tr w14:paraId="34B5A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vMerge w:val="continue"/>
            <w:shd w:val="clear" w:color="auto" w:fill="FFFFFF"/>
          </w:tcPr>
          <w:p w14:paraId="0010AD3F">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4333" w:type="dxa"/>
            <w:gridSpan w:val="3"/>
            <w:shd w:val="clear" w:color="auto" w:fill="FFFFFF"/>
            <w:vAlign w:val="center"/>
          </w:tcPr>
          <w:p w14:paraId="09605872">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项目出入口个数</w:t>
            </w:r>
          </w:p>
        </w:tc>
        <w:tc>
          <w:tcPr>
            <w:tcW w:w="2989" w:type="dxa"/>
            <w:shd w:val="clear" w:color="auto" w:fill="FFFFFF"/>
            <w:vAlign w:val="center"/>
          </w:tcPr>
          <w:p w14:paraId="643F5BC2">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2个车道+1个人流主出入口</w:t>
            </w:r>
          </w:p>
        </w:tc>
      </w:tr>
      <w:tr w14:paraId="582D8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vMerge w:val="continue"/>
            <w:shd w:val="clear" w:color="auto" w:fill="FFFFFF"/>
          </w:tcPr>
          <w:p w14:paraId="14DA0266">
            <w:pPr>
              <w:adjustRightInd w:val="0"/>
              <w:snapToGrid w:val="0"/>
              <w:spacing w:line="240" w:lineRule="atLeast"/>
              <w:ind w:firstLine="0" w:firstLineChars="0"/>
              <w:jc w:val="both"/>
              <w:rPr>
                <w:rFonts w:hint="eastAsia" w:ascii="宋体" w:hAnsi="宋体" w:eastAsia="宋体" w:cs="宋体"/>
                <w:color w:val="auto"/>
                <w:sz w:val="21"/>
                <w:szCs w:val="21"/>
                <w:highlight w:val="none"/>
                <w:lang w:eastAsia="zh-CN"/>
              </w:rPr>
            </w:pPr>
          </w:p>
        </w:tc>
        <w:tc>
          <w:tcPr>
            <w:tcW w:w="4333" w:type="dxa"/>
            <w:gridSpan w:val="3"/>
            <w:shd w:val="clear" w:color="auto" w:fill="FFFFFF"/>
            <w:vAlign w:val="center"/>
          </w:tcPr>
          <w:p w14:paraId="60B1D064">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首层建筑物占地面积（㎡）</w:t>
            </w:r>
          </w:p>
        </w:tc>
        <w:tc>
          <w:tcPr>
            <w:tcW w:w="2989" w:type="dxa"/>
            <w:shd w:val="clear" w:color="auto" w:fill="FFFFFF"/>
            <w:vAlign w:val="center"/>
          </w:tcPr>
          <w:p w14:paraId="19BCD5F4">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4178.23</w:t>
            </w:r>
          </w:p>
        </w:tc>
      </w:tr>
      <w:tr w14:paraId="19379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vMerge w:val="continue"/>
            <w:shd w:val="clear" w:color="auto" w:fill="FFFFFF"/>
          </w:tcPr>
          <w:p w14:paraId="778C5B18">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4333" w:type="dxa"/>
            <w:gridSpan w:val="3"/>
            <w:shd w:val="clear" w:color="auto" w:fill="FFFFFF"/>
            <w:vAlign w:val="center"/>
          </w:tcPr>
          <w:p w14:paraId="4623664C">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建筑密度（%）</w:t>
            </w:r>
          </w:p>
        </w:tc>
        <w:tc>
          <w:tcPr>
            <w:tcW w:w="2989" w:type="dxa"/>
            <w:shd w:val="clear" w:color="auto" w:fill="FFFFFF"/>
            <w:vAlign w:val="center"/>
          </w:tcPr>
          <w:p w14:paraId="47345C78">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w:t>
            </w:r>
          </w:p>
        </w:tc>
      </w:tr>
      <w:tr w14:paraId="5E111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vMerge w:val="continue"/>
            <w:shd w:val="clear" w:color="auto" w:fill="FFFFFF"/>
          </w:tcPr>
          <w:p w14:paraId="3073849A">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4333" w:type="dxa"/>
            <w:gridSpan w:val="3"/>
            <w:shd w:val="clear" w:color="auto" w:fill="FFFFFF"/>
            <w:vAlign w:val="center"/>
          </w:tcPr>
          <w:p w14:paraId="0EEF4D70">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地下/地上层数</w:t>
            </w:r>
          </w:p>
        </w:tc>
        <w:tc>
          <w:tcPr>
            <w:tcW w:w="2989" w:type="dxa"/>
            <w:shd w:val="clear" w:color="auto" w:fill="FFFFFF"/>
            <w:vAlign w:val="center"/>
          </w:tcPr>
          <w:p w14:paraId="0A0B3715">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地下3层/地上22层</w:t>
            </w:r>
          </w:p>
        </w:tc>
      </w:tr>
      <w:tr w14:paraId="23419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vMerge w:val="continue"/>
            <w:shd w:val="clear" w:color="auto" w:fill="FFFFFF"/>
          </w:tcPr>
          <w:p w14:paraId="12BBED7C">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4333" w:type="dxa"/>
            <w:gridSpan w:val="3"/>
            <w:shd w:val="clear" w:color="auto" w:fill="FFFFFF"/>
            <w:vAlign w:val="center"/>
          </w:tcPr>
          <w:p w14:paraId="5681C842">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绿化</w:t>
            </w:r>
            <w:r>
              <w:rPr>
                <w:rFonts w:hint="eastAsia" w:ascii="宋体" w:hAnsi="宋体" w:eastAsia="宋体" w:cs="宋体"/>
                <w:color w:val="auto"/>
                <w:sz w:val="21"/>
                <w:szCs w:val="21"/>
                <w:highlight w:val="none"/>
                <w:lang w:val="zh-CN"/>
              </w:rPr>
              <w:t>率</w:t>
            </w:r>
            <w:r>
              <w:rPr>
                <w:rFonts w:hint="eastAsia" w:ascii="宋体" w:hAnsi="宋体" w:eastAsia="宋体" w:cs="宋体"/>
                <w:color w:val="auto"/>
                <w:sz w:val="21"/>
                <w:szCs w:val="21"/>
                <w:highlight w:val="none"/>
              </w:rPr>
              <w:t>（%）</w:t>
            </w:r>
          </w:p>
        </w:tc>
        <w:tc>
          <w:tcPr>
            <w:tcW w:w="2989" w:type="dxa"/>
            <w:shd w:val="clear" w:color="auto" w:fill="FFFFFF"/>
            <w:vAlign w:val="center"/>
          </w:tcPr>
          <w:p w14:paraId="591FA1B3">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20</w:t>
            </w:r>
          </w:p>
        </w:tc>
      </w:tr>
      <w:tr w14:paraId="1E89C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vMerge w:val="continue"/>
            <w:shd w:val="clear" w:color="auto" w:fill="FFFFFF"/>
          </w:tcPr>
          <w:p w14:paraId="610CBE60">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4333" w:type="dxa"/>
            <w:gridSpan w:val="3"/>
            <w:shd w:val="clear" w:color="auto" w:fill="FFFFFF"/>
            <w:vAlign w:val="center"/>
          </w:tcPr>
          <w:p w14:paraId="3D368B26">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最大层（高度）</w:t>
            </w:r>
          </w:p>
        </w:tc>
        <w:tc>
          <w:tcPr>
            <w:tcW w:w="2989" w:type="dxa"/>
            <w:shd w:val="clear" w:color="auto" w:fill="FFFFFF"/>
            <w:vAlign w:val="center"/>
          </w:tcPr>
          <w:p w14:paraId="308336E8">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lang w:eastAsia="zh-CN"/>
              </w:rPr>
              <w:t>层</w:t>
            </w:r>
            <w:r>
              <w:rPr>
                <w:rFonts w:hint="eastAsia" w:ascii="宋体" w:hAnsi="宋体" w:eastAsia="宋体" w:cs="宋体"/>
                <w:color w:val="auto"/>
                <w:sz w:val="21"/>
                <w:szCs w:val="21"/>
                <w:highlight w:val="none"/>
              </w:rPr>
              <w:t>（108m）</w:t>
            </w:r>
          </w:p>
        </w:tc>
      </w:tr>
      <w:tr w14:paraId="34FC0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vMerge w:val="continue"/>
            <w:shd w:val="clear" w:color="auto" w:fill="FFFFFF"/>
          </w:tcPr>
          <w:p w14:paraId="18F66BBB">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4333" w:type="dxa"/>
            <w:gridSpan w:val="3"/>
            <w:shd w:val="clear" w:color="auto" w:fill="FFFFFF"/>
            <w:vAlign w:val="center"/>
          </w:tcPr>
          <w:p w14:paraId="5E81E81E">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容积率</w:t>
            </w:r>
          </w:p>
        </w:tc>
        <w:tc>
          <w:tcPr>
            <w:tcW w:w="2989" w:type="dxa"/>
            <w:shd w:val="clear" w:color="auto" w:fill="FFFFFF"/>
            <w:vAlign w:val="center"/>
          </w:tcPr>
          <w:p w14:paraId="49231E31">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5.848</w:t>
            </w:r>
          </w:p>
        </w:tc>
      </w:tr>
      <w:tr w14:paraId="18981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vMerge w:val="restart"/>
            <w:shd w:val="clear" w:color="auto" w:fill="FFFFFF"/>
            <w:vAlign w:val="center"/>
          </w:tcPr>
          <w:p w14:paraId="4CC6D3B1">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车位</w:t>
            </w:r>
          </w:p>
        </w:tc>
        <w:tc>
          <w:tcPr>
            <w:tcW w:w="4333" w:type="dxa"/>
            <w:gridSpan w:val="3"/>
            <w:shd w:val="clear" w:color="auto" w:fill="FFFFFF"/>
            <w:vAlign w:val="center"/>
          </w:tcPr>
          <w:p w14:paraId="07745B51">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地下车库车位数（个）</w:t>
            </w:r>
          </w:p>
        </w:tc>
        <w:tc>
          <w:tcPr>
            <w:tcW w:w="2989" w:type="dxa"/>
            <w:shd w:val="clear" w:color="auto" w:fill="FFFFFF"/>
            <w:vAlign w:val="center"/>
          </w:tcPr>
          <w:p w14:paraId="1259CAD9">
            <w:pPr>
              <w:adjustRightInd w:val="0"/>
              <w:snapToGrid w:val="0"/>
              <w:spacing w:line="240" w:lineRule="atLeas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684</w:t>
            </w:r>
          </w:p>
        </w:tc>
      </w:tr>
      <w:tr w14:paraId="6979F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vMerge w:val="continue"/>
            <w:shd w:val="clear" w:color="auto" w:fill="FFFFFF"/>
            <w:vAlign w:val="center"/>
          </w:tcPr>
          <w:p w14:paraId="1BB004DE">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p>
        </w:tc>
        <w:tc>
          <w:tcPr>
            <w:tcW w:w="4333" w:type="dxa"/>
            <w:gridSpan w:val="3"/>
            <w:shd w:val="clear" w:color="auto" w:fill="FFFFFF"/>
            <w:vAlign w:val="center"/>
          </w:tcPr>
          <w:p w14:paraId="34CE886D">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室外车位数（个）</w:t>
            </w:r>
          </w:p>
        </w:tc>
        <w:tc>
          <w:tcPr>
            <w:tcW w:w="2989" w:type="dxa"/>
            <w:shd w:val="clear" w:color="auto" w:fill="FFFFFF"/>
            <w:vAlign w:val="center"/>
          </w:tcPr>
          <w:p w14:paraId="055627BA">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r>
      <w:tr w14:paraId="2BFD9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vMerge w:val="continue"/>
            <w:shd w:val="clear" w:color="auto" w:fill="FFFFFF"/>
            <w:vAlign w:val="center"/>
          </w:tcPr>
          <w:p w14:paraId="03FA7C1E">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p>
        </w:tc>
        <w:tc>
          <w:tcPr>
            <w:tcW w:w="4333" w:type="dxa"/>
            <w:gridSpan w:val="3"/>
            <w:shd w:val="clear" w:color="auto" w:fill="FFFFFF"/>
            <w:vAlign w:val="center"/>
          </w:tcPr>
          <w:p w14:paraId="51FCD5E9">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车场出入口个数</w:t>
            </w:r>
          </w:p>
        </w:tc>
        <w:tc>
          <w:tcPr>
            <w:tcW w:w="2989" w:type="dxa"/>
            <w:shd w:val="clear" w:color="auto" w:fill="FFFFFF"/>
            <w:vAlign w:val="center"/>
          </w:tcPr>
          <w:p w14:paraId="32F29162">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r>
      <w:tr w14:paraId="336C3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vMerge w:val="continue"/>
            <w:shd w:val="clear" w:color="auto" w:fill="FFFFFF"/>
            <w:vAlign w:val="center"/>
          </w:tcPr>
          <w:p w14:paraId="112760FE">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p>
        </w:tc>
        <w:tc>
          <w:tcPr>
            <w:tcW w:w="4333" w:type="dxa"/>
            <w:gridSpan w:val="3"/>
            <w:shd w:val="clear" w:color="auto" w:fill="FFFFFF"/>
            <w:vAlign w:val="center"/>
          </w:tcPr>
          <w:p w14:paraId="60F6212C">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每层地下车位面积（㎡）</w:t>
            </w:r>
          </w:p>
        </w:tc>
        <w:tc>
          <w:tcPr>
            <w:tcW w:w="2989" w:type="dxa"/>
            <w:shd w:val="clear" w:color="auto" w:fill="FFFFFF"/>
            <w:vAlign w:val="center"/>
          </w:tcPr>
          <w:p w14:paraId="7ADC62A2">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9286.27</w:t>
            </w:r>
          </w:p>
        </w:tc>
      </w:tr>
      <w:tr w14:paraId="6DC22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91" w:hRule="exact"/>
          <w:jc w:val="center"/>
        </w:trPr>
        <w:tc>
          <w:tcPr>
            <w:tcW w:w="1808" w:type="dxa"/>
            <w:shd w:val="clear" w:color="auto" w:fill="FFFFFF"/>
            <w:vAlign w:val="center"/>
          </w:tcPr>
          <w:p w14:paraId="5F9F0829">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土建工程</w:t>
            </w:r>
          </w:p>
        </w:tc>
        <w:tc>
          <w:tcPr>
            <w:tcW w:w="4333" w:type="dxa"/>
            <w:gridSpan w:val="3"/>
            <w:shd w:val="clear" w:color="auto" w:fill="FFFFFF"/>
            <w:vAlign w:val="center"/>
          </w:tcPr>
          <w:p w14:paraId="602D39E5">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裙楼及标准层层高（m）</w:t>
            </w:r>
          </w:p>
        </w:tc>
        <w:tc>
          <w:tcPr>
            <w:tcW w:w="2989" w:type="dxa"/>
            <w:shd w:val="clear" w:color="auto" w:fill="FFFFFF"/>
            <w:vAlign w:val="center"/>
          </w:tcPr>
          <w:p w14:paraId="0B7213CD">
            <w:pPr>
              <w:adjustRightInd w:val="0"/>
              <w:snapToGrid w:val="0"/>
              <w:spacing w:line="240" w:lineRule="atLeast"/>
              <w:ind w:left="105" w:leftChars="50" w:right="105" w:rightChars="5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裙楼1-2层6m；3-4层4.5m；</w:t>
            </w:r>
            <w:r>
              <w:rPr>
                <w:rFonts w:hint="eastAsia" w:ascii="宋体" w:hAnsi="宋体" w:eastAsia="宋体" w:cs="宋体"/>
                <w:color w:val="auto"/>
                <w:sz w:val="21"/>
                <w:szCs w:val="21"/>
                <w:highlight w:val="none"/>
                <w:lang w:val="en-US" w:eastAsia="zh-CN"/>
              </w:rPr>
              <w:t>写字楼</w:t>
            </w:r>
            <w:r>
              <w:rPr>
                <w:rFonts w:hint="eastAsia" w:ascii="宋体" w:hAnsi="宋体" w:eastAsia="宋体" w:cs="宋体"/>
                <w:color w:val="auto"/>
                <w:sz w:val="21"/>
                <w:szCs w:val="21"/>
                <w:highlight w:val="none"/>
                <w:lang w:eastAsia="zh-CN"/>
              </w:rPr>
              <w:t>标准层4.3m</w:t>
            </w:r>
          </w:p>
        </w:tc>
      </w:tr>
      <w:tr w14:paraId="06226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66" w:hRule="exact"/>
          <w:jc w:val="center"/>
        </w:trPr>
        <w:tc>
          <w:tcPr>
            <w:tcW w:w="1808" w:type="dxa"/>
            <w:vMerge w:val="restart"/>
            <w:shd w:val="clear" w:color="auto" w:fill="FFFFFF"/>
            <w:vAlign w:val="center"/>
          </w:tcPr>
          <w:p w14:paraId="087B6E52">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给水系统</w:t>
            </w:r>
          </w:p>
        </w:tc>
        <w:tc>
          <w:tcPr>
            <w:tcW w:w="2595" w:type="dxa"/>
            <w:gridSpan w:val="2"/>
            <w:vMerge w:val="restart"/>
            <w:shd w:val="clear" w:color="auto" w:fill="FFFFFF"/>
            <w:vAlign w:val="center"/>
          </w:tcPr>
          <w:p w14:paraId="1E26E474">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给水系统各区域配用水泵台数、流量及功率</w:t>
            </w:r>
          </w:p>
        </w:tc>
        <w:tc>
          <w:tcPr>
            <w:tcW w:w="1738" w:type="dxa"/>
            <w:shd w:val="clear" w:color="auto" w:fill="FFFFFF"/>
            <w:vAlign w:val="center"/>
          </w:tcPr>
          <w:p w14:paraId="21D99BB5">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高区</w:t>
            </w:r>
          </w:p>
        </w:tc>
        <w:tc>
          <w:tcPr>
            <w:tcW w:w="2989" w:type="dxa"/>
            <w:shd w:val="clear" w:color="auto" w:fill="FFFFFF"/>
            <w:vAlign w:val="center"/>
          </w:tcPr>
          <w:p w14:paraId="5179E13A">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3台，72m³/h，22kw/台</w:t>
            </w:r>
          </w:p>
        </w:tc>
      </w:tr>
      <w:tr w14:paraId="62683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vMerge w:val="continue"/>
            <w:shd w:val="clear" w:color="auto" w:fill="FFFFFF"/>
            <w:vAlign w:val="center"/>
          </w:tcPr>
          <w:p w14:paraId="111F66D2">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p>
        </w:tc>
        <w:tc>
          <w:tcPr>
            <w:tcW w:w="2595" w:type="dxa"/>
            <w:gridSpan w:val="2"/>
            <w:vMerge w:val="continue"/>
            <w:shd w:val="clear" w:color="auto" w:fill="FFFFFF"/>
            <w:vAlign w:val="center"/>
          </w:tcPr>
          <w:p w14:paraId="526974FD">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p>
        </w:tc>
        <w:tc>
          <w:tcPr>
            <w:tcW w:w="1738" w:type="dxa"/>
            <w:shd w:val="clear" w:color="auto" w:fill="FFFFFF"/>
            <w:vAlign w:val="center"/>
          </w:tcPr>
          <w:p w14:paraId="7346D3CE">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低区</w:t>
            </w:r>
          </w:p>
        </w:tc>
        <w:tc>
          <w:tcPr>
            <w:tcW w:w="2989" w:type="dxa"/>
            <w:shd w:val="clear" w:color="auto" w:fill="FFFFFF"/>
            <w:vAlign w:val="center"/>
          </w:tcPr>
          <w:p w14:paraId="3C9568A4">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3台，72m³/h，15kw/台</w:t>
            </w:r>
          </w:p>
        </w:tc>
      </w:tr>
      <w:tr w14:paraId="5B948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6" w:hRule="exact"/>
          <w:jc w:val="center"/>
        </w:trPr>
        <w:tc>
          <w:tcPr>
            <w:tcW w:w="1808" w:type="dxa"/>
            <w:vMerge w:val="continue"/>
            <w:shd w:val="clear" w:color="auto" w:fill="FFFFFF"/>
            <w:vAlign w:val="center"/>
          </w:tcPr>
          <w:p w14:paraId="3A67FC1F">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p>
        </w:tc>
        <w:tc>
          <w:tcPr>
            <w:tcW w:w="4333" w:type="dxa"/>
            <w:gridSpan w:val="3"/>
            <w:shd w:val="clear" w:color="auto" w:fill="FFFFFF"/>
            <w:vAlign w:val="center"/>
          </w:tcPr>
          <w:p w14:paraId="3005C786">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地下生活用水池（</w:t>
            </w: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w:t>
            </w:r>
          </w:p>
        </w:tc>
        <w:tc>
          <w:tcPr>
            <w:tcW w:w="2989" w:type="dxa"/>
            <w:shd w:val="clear" w:color="auto" w:fill="FFFFFF"/>
            <w:vAlign w:val="center"/>
          </w:tcPr>
          <w:p w14:paraId="6217C2DF">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-3层78m³（有效容积）</w:t>
            </w:r>
          </w:p>
        </w:tc>
      </w:tr>
      <w:tr w14:paraId="0584C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vMerge w:val="restart"/>
            <w:shd w:val="clear" w:color="auto" w:fill="FFFFFF"/>
            <w:vAlign w:val="center"/>
          </w:tcPr>
          <w:p w14:paraId="225008C4">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排水系统</w:t>
            </w:r>
          </w:p>
        </w:tc>
        <w:tc>
          <w:tcPr>
            <w:tcW w:w="4333" w:type="dxa"/>
            <w:gridSpan w:val="3"/>
            <w:shd w:val="clear" w:color="auto" w:fill="FFFFFF"/>
            <w:vAlign w:val="center"/>
          </w:tcPr>
          <w:p w14:paraId="455EC4FD">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车库排污泵流量/功率/台数</w:t>
            </w:r>
          </w:p>
        </w:tc>
        <w:tc>
          <w:tcPr>
            <w:tcW w:w="2989" w:type="dxa"/>
            <w:shd w:val="clear" w:color="auto" w:fill="FFFFFF"/>
            <w:vAlign w:val="center"/>
          </w:tcPr>
          <w:p w14:paraId="5B3764D6">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40m³</w:t>
            </w:r>
            <w:r>
              <w:rPr>
                <w:rFonts w:hint="eastAsia" w:ascii="宋体" w:hAnsi="宋体" w:eastAsia="宋体" w:cs="宋体"/>
                <w:color w:val="auto"/>
                <w:sz w:val="21"/>
                <w:szCs w:val="21"/>
                <w:highlight w:val="none"/>
              </w:rPr>
              <w:t xml:space="preserve">/h  7.5kw/台  </w:t>
            </w:r>
            <w:r>
              <w:rPr>
                <w:rFonts w:hint="eastAsia" w:ascii="宋体" w:hAnsi="宋体" w:eastAsia="宋体" w:cs="宋体"/>
                <w:color w:val="auto"/>
                <w:sz w:val="21"/>
                <w:szCs w:val="21"/>
                <w:highlight w:val="none"/>
                <w:lang w:eastAsia="zh-CN"/>
              </w:rPr>
              <w:t>28</w:t>
            </w:r>
            <w:r>
              <w:rPr>
                <w:rFonts w:hint="eastAsia" w:ascii="宋体" w:hAnsi="宋体" w:eastAsia="宋体" w:cs="宋体"/>
                <w:color w:val="auto"/>
                <w:sz w:val="21"/>
                <w:szCs w:val="21"/>
                <w:highlight w:val="none"/>
              </w:rPr>
              <w:t>台</w:t>
            </w:r>
          </w:p>
        </w:tc>
      </w:tr>
      <w:tr w14:paraId="5B007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vMerge w:val="continue"/>
            <w:shd w:val="clear" w:color="auto" w:fill="FFFFFF"/>
            <w:vAlign w:val="center"/>
          </w:tcPr>
          <w:p w14:paraId="5CDADCF9">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4333" w:type="dxa"/>
            <w:gridSpan w:val="3"/>
            <w:shd w:val="clear" w:color="auto" w:fill="FFFFFF"/>
            <w:vAlign w:val="center"/>
          </w:tcPr>
          <w:p w14:paraId="7D0406F2">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消防梯排水泵的流量/功率/台数</w:t>
            </w:r>
          </w:p>
        </w:tc>
        <w:tc>
          <w:tcPr>
            <w:tcW w:w="2989" w:type="dxa"/>
            <w:shd w:val="clear" w:color="auto" w:fill="FFFFFF"/>
            <w:vAlign w:val="center"/>
          </w:tcPr>
          <w:p w14:paraId="65F1F647">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40 </w:t>
            </w: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/h  7.5kw/台  8台</w:t>
            </w:r>
          </w:p>
        </w:tc>
      </w:tr>
      <w:tr w14:paraId="160A8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vMerge w:val="continue"/>
            <w:shd w:val="clear" w:color="auto" w:fill="FFFFFF"/>
            <w:vAlign w:val="center"/>
          </w:tcPr>
          <w:p w14:paraId="1D883BC3">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4333" w:type="dxa"/>
            <w:gridSpan w:val="3"/>
            <w:shd w:val="clear" w:color="auto" w:fill="FFFFFF"/>
            <w:vAlign w:val="center"/>
          </w:tcPr>
          <w:p w14:paraId="071586DB">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化粪池个数、容量</w:t>
            </w:r>
          </w:p>
        </w:tc>
        <w:tc>
          <w:tcPr>
            <w:tcW w:w="2989" w:type="dxa"/>
            <w:shd w:val="clear" w:color="auto" w:fill="FFFFFF"/>
            <w:vAlign w:val="center"/>
          </w:tcPr>
          <w:p w14:paraId="62B18CDB">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1个，7</w:t>
            </w:r>
            <w:r>
              <w:rPr>
                <w:rFonts w:hint="eastAsia" w:ascii="宋体" w:hAnsi="宋体" w:eastAsia="宋体" w:cs="宋体"/>
                <w:color w:val="auto"/>
                <w:sz w:val="21"/>
                <w:szCs w:val="21"/>
                <w:highlight w:val="none"/>
                <w:lang w:eastAsia="zh-CN"/>
              </w:rPr>
              <w:t>5m³</w:t>
            </w:r>
          </w:p>
        </w:tc>
      </w:tr>
      <w:tr w14:paraId="3C260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vMerge w:val="continue"/>
            <w:shd w:val="clear" w:color="auto" w:fill="FFFFFF"/>
            <w:vAlign w:val="center"/>
          </w:tcPr>
          <w:p w14:paraId="6EA9EFF7">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4333" w:type="dxa"/>
            <w:gridSpan w:val="3"/>
            <w:shd w:val="clear" w:color="auto" w:fill="FFFFFF"/>
            <w:vAlign w:val="center"/>
          </w:tcPr>
          <w:p w14:paraId="3D800B70">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隔油池个数、容量</w:t>
            </w:r>
          </w:p>
        </w:tc>
        <w:tc>
          <w:tcPr>
            <w:tcW w:w="2989" w:type="dxa"/>
            <w:shd w:val="clear" w:color="auto" w:fill="FFFFFF"/>
            <w:vAlign w:val="center"/>
          </w:tcPr>
          <w:p w14:paraId="5093BB25">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1个，4</w:t>
            </w:r>
            <w:r>
              <w:rPr>
                <w:rFonts w:hint="eastAsia" w:ascii="宋体" w:hAnsi="宋体" w:eastAsia="宋体" w:cs="宋体"/>
                <w:color w:val="auto"/>
                <w:sz w:val="21"/>
                <w:szCs w:val="21"/>
                <w:highlight w:val="none"/>
                <w:lang w:eastAsia="zh-CN"/>
              </w:rPr>
              <w:t>m³</w:t>
            </w:r>
          </w:p>
        </w:tc>
      </w:tr>
      <w:tr w14:paraId="517BF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65" w:hRule="exact"/>
          <w:jc w:val="center"/>
        </w:trPr>
        <w:tc>
          <w:tcPr>
            <w:tcW w:w="1808" w:type="dxa"/>
            <w:vMerge w:val="continue"/>
            <w:shd w:val="clear" w:color="auto" w:fill="FFFFFF"/>
            <w:vAlign w:val="center"/>
          </w:tcPr>
          <w:p w14:paraId="27703476">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4333" w:type="dxa"/>
            <w:gridSpan w:val="3"/>
            <w:shd w:val="clear" w:color="auto" w:fill="FFFFFF"/>
            <w:vAlign w:val="center"/>
          </w:tcPr>
          <w:p w14:paraId="07D18695">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水泵房集水泵台数、功率</w:t>
            </w:r>
          </w:p>
        </w:tc>
        <w:tc>
          <w:tcPr>
            <w:tcW w:w="2989" w:type="dxa"/>
            <w:shd w:val="clear" w:color="auto" w:fill="FFFFFF"/>
            <w:vAlign w:val="center"/>
          </w:tcPr>
          <w:p w14:paraId="7095D961">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低区：3台，15kw/台</w:t>
            </w:r>
          </w:p>
          <w:p w14:paraId="302990DB">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高区：3台，22kw/台</w:t>
            </w:r>
          </w:p>
        </w:tc>
      </w:tr>
      <w:tr w14:paraId="71597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vMerge w:val="continue"/>
            <w:shd w:val="clear" w:color="auto" w:fill="FFFFFF"/>
            <w:vAlign w:val="center"/>
          </w:tcPr>
          <w:p w14:paraId="12C1EC74">
            <w:pPr>
              <w:adjustRightInd w:val="0"/>
              <w:snapToGrid w:val="0"/>
              <w:spacing w:line="240" w:lineRule="atLeast"/>
              <w:ind w:firstLine="0" w:firstLineChars="0"/>
              <w:jc w:val="both"/>
              <w:rPr>
                <w:rFonts w:hint="eastAsia" w:ascii="宋体" w:hAnsi="宋体" w:eastAsia="宋体" w:cs="宋体"/>
                <w:color w:val="auto"/>
                <w:sz w:val="21"/>
                <w:szCs w:val="21"/>
                <w:highlight w:val="none"/>
                <w:lang w:eastAsia="zh-CN"/>
              </w:rPr>
            </w:pPr>
          </w:p>
        </w:tc>
        <w:tc>
          <w:tcPr>
            <w:tcW w:w="4333" w:type="dxa"/>
            <w:gridSpan w:val="3"/>
            <w:shd w:val="clear" w:color="auto" w:fill="FFFFFF"/>
            <w:vAlign w:val="center"/>
          </w:tcPr>
          <w:p w14:paraId="327FC82A">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其它水泵台数、功率</w:t>
            </w:r>
          </w:p>
        </w:tc>
        <w:tc>
          <w:tcPr>
            <w:tcW w:w="2989" w:type="dxa"/>
            <w:shd w:val="clear" w:color="auto" w:fill="FFFFFF"/>
            <w:vAlign w:val="center"/>
          </w:tcPr>
          <w:p w14:paraId="5EB9760F">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移动式排污泵： 1.5kw  1台</w:t>
            </w:r>
          </w:p>
        </w:tc>
      </w:tr>
      <w:tr w14:paraId="3C3B0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vMerge w:val="restart"/>
            <w:shd w:val="clear" w:color="auto" w:fill="FFFFFF"/>
            <w:vAlign w:val="center"/>
          </w:tcPr>
          <w:p w14:paraId="33BC4EF9">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消防系统</w:t>
            </w:r>
          </w:p>
        </w:tc>
        <w:tc>
          <w:tcPr>
            <w:tcW w:w="4333" w:type="dxa"/>
            <w:gridSpan w:val="3"/>
            <w:shd w:val="clear" w:color="auto" w:fill="FFFFFF"/>
            <w:vAlign w:val="center"/>
          </w:tcPr>
          <w:p w14:paraId="1EB27EDE">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消防供水系统总用水量（m³）</w:t>
            </w:r>
          </w:p>
        </w:tc>
        <w:tc>
          <w:tcPr>
            <w:tcW w:w="2989" w:type="dxa"/>
            <w:shd w:val="clear" w:color="auto" w:fill="FFFFFF"/>
            <w:vAlign w:val="center"/>
          </w:tcPr>
          <w:p w14:paraId="5CFB9BE4">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1008</w:t>
            </w:r>
          </w:p>
        </w:tc>
      </w:tr>
      <w:tr w14:paraId="52744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vMerge w:val="continue"/>
            <w:shd w:val="clear" w:color="auto" w:fill="FFFFFF"/>
            <w:vAlign w:val="center"/>
          </w:tcPr>
          <w:p w14:paraId="54762D5F">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4333" w:type="dxa"/>
            <w:gridSpan w:val="3"/>
            <w:shd w:val="clear" w:color="auto" w:fill="FFFFFF"/>
            <w:vAlign w:val="center"/>
          </w:tcPr>
          <w:p w14:paraId="04957E87">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地下消防水池容积（m³）</w:t>
            </w:r>
          </w:p>
        </w:tc>
        <w:tc>
          <w:tcPr>
            <w:tcW w:w="2989" w:type="dxa"/>
            <w:shd w:val="clear" w:color="auto" w:fill="FFFFFF"/>
            <w:vAlign w:val="center"/>
          </w:tcPr>
          <w:p w14:paraId="01FD70EF">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576</w:t>
            </w:r>
          </w:p>
        </w:tc>
      </w:tr>
      <w:tr w14:paraId="1955A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vMerge w:val="continue"/>
            <w:shd w:val="clear" w:color="auto" w:fill="FFFFFF"/>
            <w:vAlign w:val="center"/>
          </w:tcPr>
          <w:p w14:paraId="4443E8F7">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4333" w:type="dxa"/>
            <w:gridSpan w:val="3"/>
            <w:shd w:val="clear" w:color="auto" w:fill="FFFFFF"/>
            <w:vAlign w:val="center"/>
          </w:tcPr>
          <w:p w14:paraId="763D24BE">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高位消防水箱的容积/数量</w:t>
            </w:r>
          </w:p>
        </w:tc>
        <w:tc>
          <w:tcPr>
            <w:tcW w:w="2989" w:type="dxa"/>
            <w:shd w:val="clear" w:color="auto" w:fill="FFFFFF"/>
            <w:vAlign w:val="center"/>
          </w:tcPr>
          <w:p w14:paraId="38973551">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w:t>
            </w: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，1个</w:t>
            </w:r>
          </w:p>
        </w:tc>
      </w:tr>
      <w:tr w14:paraId="4BCD4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5" w:hRule="exact"/>
          <w:jc w:val="center"/>
        </w:trPr>
        <w:tc>
          <w:tcPr>
            <w:tcW w:w="1808" w:type="dxa"/>
            <w:vMerge w:val="continue"/>
            <w:shd w:val="clear" w:color="auto" w:fill="FFFFFF"/>
            <w:vAlign w:val="center"/>
          </w:tcPr>
          <w:p w14:paraId="507B7E72">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4333" w:type="dxa"/>
            <w:gridSpan w:val="3"/>
            <w:shd w:val="clear" w:color="auto" w:fill="FFFFFF"/>
            <w:vAlign w:val="center"/>
          </w:tcPr>
          <w:p w14:paraId="47ACDF88">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喷淋泵的流量/功率/台数</w:t>
            </w:r>
          </w:p>
        </w:tc>
        <w:tc>
          <w:tcPr>
            <w:tcW w:w="2989" w:type="dxa"/>
            <w:shd w:val="clear" w:color="auto" w:fill="FFFFFF"/>
            <w:vAlign w:val="center"/>
          </w:tcPr>
          <w:p w14:paraId="07DAC31A">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35L/S，90KW，3台</w:t>
            </w:r>
          </w:p>
        </w:tc>
      </w:tr>
      <w:tr w14:paraId="0C9F3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7" w:hRule="exact"/>
          <w:jc w:val="center"/>
        </w:trPr>
        <w:tc>
          <w:tcPr>
            <w:tcW w:w="1808" w:type="dxa"/>
            <w:vMerge w:val="continue"/>
            <w:shd w:val="clear" w:color="auto" w:fill="FFFFFF"/>
            <w:vAlign w:val="center"/>
          </w:tcPr>
          <w:p w14:paraId="480CA5DA">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4333" w:type="dxa"/>
            <w:gridSpan w:val="3"/>
            <w:shd w:val="clear" w:color="auto" w:fill="FFFFFF"/>
            <w:vAlign w:val="center"/>
          </w:tcPr>
          <w:p w14:paraId="6D5B786F">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消火栓泵的流量/功率/台数</w:t>
            </w:r>
          </w:p>
        </w:tc>
        <w:tc>
          <w:tcPr>
            <w:tcW w:w="2989" w:type="dxa"/>
            <w:shd w:val="clear" w:color="auto" w:fill="FFFFFF"/>
            <w:vAlign w:val="center"/>
          </w:tcPr>
          <w:p w14:paraId="0606452D">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40L/S，110KW，2台</w:t>
            </w:r>
          </w:p>
        </w:tc>
      </w:tr>
      <w:tr w14:paraId="4192F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48" w:hRule="exact"/>
          <w:jc w:val="center"/>
        </w:trPr>
        <w:tc>
          <w:tcPr>
            <w:tcW w:w="1808" w:type="dxa"/>
            <w:vMerge w:val="restart"/>
            <w:shd w:val="clear" w:color="auto" w:fill="FFFFFF"/>
            <w:vAlign w:val="center"/>
          </w:tcPr>
          <w:p w14:paraId="1661697A">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项目所设计的安全</w:t>
            </w:r>
          </w:p>
          <w:p w14:paraId="1CA3741F">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防范系统</w:t>
            </w:r>
          </w:p>
          <w:p w14:paraId="2ED1DEE6">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（有或无）</w:t>
            </w:r>
          </w:p>
        </w:tc>
        <w:tc>
          <w:tcPr>
            <w:tcW w:w="4333" w:type="dxa"/>
            <w:gridSpan w:val="3"/>
            <w:shd w:val="clear" w:color="auto" w:fill="FFFFFF"/>
            <w:vAlign w:val="center"/>
          </w:tcPr>
          <w:p w14:paraId="5F7BA927">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周界防范报警系统</w:t>
            </w:r>
          </w:p>
        </w:tc>
        <w:tc>
          <w:tcPr>
            <w:tcW w:w="2989" w:type="dxa"/>
            <w:shd w:val="clear" w:color="auto" w:fill="FFFFFF"/>
            <w:vAlign w:val="center"/>
          </w:tcPr>
          <w:p w14:paraId="60385D25">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w:t>
            </w:r>
          </w:p>
        </w:tc>
      </w:tr>
      <w:tr w14:paraId="57A95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vMerge w:val="continue"/>
            <w:shd w:val="clear" w:color="auto" w:fill="FFFFFF"/>
            <w:vAlign w:val="center"/>
          </w:tcPr>
          <w:p w14:paraId="0EE18FFA">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p>
        </w:tc>
        <w:tc>
          <w:tcPr>
            <w:tcW w:w="4333" w:type="dxa"/>
            <w:gridSpan w:val="3"/>
            <w:shd w:val="clear" w:color="auto" w:fill="FFFFFF"/>
            <w:vAlign w:val="center"/>
          </w:tcPr>
          <w:p w14:paraId="38A9E160">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综合出入口管理系统</w:t>
            </w:r>
          </w:p>
        </w:tc>
        <w:tc>
          <w:tcPr>
            <w:tcW w:w="2989" w:type="dxa"/>
            <w:shd w:val="clear" w:color="auto" w:fill="FFFFFF"/>
            <w:vAlign w:val="center"/>
          </w:tcPr>
          <w:p w14:paraId="4F2472D3">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有</w:t>
            </w:r>
          </w:p>
        </w:tc>
      </w:tr>
      <w:tr w14:paraId="7CC5C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vMerge w:val="continue"/>
            <w:shd w:val="clear" w:color="auto" w:fill="FFFFFF"/>
            <w:vAlign w:val="center"/>
          </w:tcPr>
          <w:p w14:paraId="6D7EAE08">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p>
        </w:tc>
        <w:tc>
          <w:tcPr>
            <w:tcW w:w="4333" w:type="dxa"/>
            <w:gridSpan w:val="3"/>
            <w:shd w:val="clear" w:color="auto" w:fill="FFFFFF"/>
            <w:vAlign w:val="center"/>
          </w:tcPr>
          <w:p w14:paraId="6244A2B7">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停车场管理系统</w:t>
            </w:r>
          </w:p>
        </w:tc>
        <w:tc>
          <w:tcPr>
            <w:tcW w:w="2989" w:type="dxa"/>
            <w:shd w:val="clear" w:color="auto" w:fill="FFFFFF"/>
            <w:vAlign w:val="center"/>
          </w:tcPr>
          <w:p w14:paraId="34BEDBED">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有</w:t>
            </w:r>
          </w:p>
        </w:tc>
      </w:tr>
      <w:tr w14:paraId="48082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vMerge w:val="continue"/>
            <w:shd w:val="clear" w:color="auto" w:fill="FFFFFF"/>
            <w:vAlign w:val="center"/>
          </w:tcPr>
          <w:p w14:paraId="3B6D0B5A">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p>
        </w:tc>
        <w:tc>
          <w:tcPr>
            <w:tcW w:w="4333" w:type="dxa"/>
            <w:gridSpan w:val="3"/>
            <w:shd w:val="clear" w:color="auto" w:fill="FFFFFF"/>
            <w:vAlign w:val="center"/>
          </w:tcPr>
          <w:p w14:paraId="7EEE3D9F">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无线对讲管理系统</w:t>
            </w:r>
          </w:p>
        </w:tc>
        <w:tc>
          <w:tcPr>
            <w:tcW w:w="2989" w:type="dxa"/>
            <w:shd w:val="clear" w:color="auto" w:fill="FFFFFF"/>
            <w:vAlign w:val="center"/>
          </w:tcPr>
          <w:p w14:paraId="69C87D42">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有</w:t>
            </w:r>
          </w:p>
        </w:tc>
      </w:tr>
      <w:tr w14:paraId="0A517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vMerge w:val="continue"/>
            <w:shd w:val="clear" w:color="auto" w:fill="FFFFFF"/>
            <w:vAlign w:val="center"/>
          </w:tcPr>
          <w:p w14:paraId="7C4996E7">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p>
        </w:tc>
        <w:tc>
          <w:tcPr>
            <w:tcW w:w="4333" w:type="dxa"/>
            <w:gridSpan w:val="3"/>
            <w:shd w:val="clear" w:color="auto" w:fill="FFFFFF"/>
            <w:vAlign w:val="center"/>
          </w:tcPr>
          <w:p w14:paraId="6E0C9F86">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紧急报警系统</w:t>
            </w:r>
          </w:p>
        </w:tc>
        <w:tc>
          <w:tcPr>
            <w:tcW w:w="2989" w:type="dxa"/>
            <w:shd w:val="clear" w:color="auto" w:fill="FFFFFF"/>
            <w:vAlign w:val="center"/>
          </w:tcPr>
          <w:p w14:paraId="2C18B084">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w:t>
            </w:r>
          </w:p>
        </w:tc>
      </w:tr>
      <w:tr w14:paraId="12C58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vMerge w:val="continue"/>
            <w:shd w:val="clear" w:color="auto" w:fill="FFFFFF"/>
            <w:vAlign w:val="center"/>
          </w:tcPr>
          <w:p w14:paraId="57467001">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p>
        </w:tc>
        <w:tc>
          <w:tcPr>
            <w:tcW w:w="4333" w:type="dxa"/>
            <w:gridSpan w:val="3"/>
            <w:shd w:val="clear" w:color="auto" w:fill="FFFFFF"/>
            <w:vAlign w:val="center"/>
          </w:tcPr>
          <w:p w14:paraId="38909DD8">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视频</w:t>
            </w:r>
            <w:r>
              <w:rPr>
                <w:rFonts w:hint="eastAsia" w:ascii="宋体" w:hAnsi="宋体" w:eastAsia="宋体" w:cs="宋体"/>
                <w:color w:val="auto"/>
                <w:sz w:val="21"/>
                <w:szCs w:val="21"/>
                <w:highlight w:val="none"/>
              </w:rPr>
              <w:t>监控系统</w:t>
            </w:r>
          </w:p>
        </w:tc>
        <w:tc>
          <w:tcPr>
            <w:tcW w:w="2989" w:type="dxa"/>
            <w:shd w:val="clear" w:color="auto" w:fill="FFFFFF"/>
            <w:vAlign w:val="center"/>
          </w:tcPr>
          <w:p w14:paraId="7E69F45D">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w:t>
            </w:r>
          </w:p>
        </w:tc>
      </w:tr>
    </w:tbl>
    <w:p w14:paraId="3E7FEE96">
      <w:pPr>
        <w:adjustRightInd w:val="0"/>
        <w:snapToGrid w:val="0"/>
        <w:spacing w:line="240" w:lineRule="atLeast"/>
        <w:ind w:firstLine="0" w:firstLineChars="0"/>
        <w:jc w:val="center"/>
        <w:rPr>
          <w:rFonts w:hint="eastAsia" w:ascii="宋体" w:hAnsi="宋体" w:eastAsia="宋体" w:cs="宋体"/>
          <w:color w:val="auto"/>
          <w:sz w:val="21"/>
          <w:szCs w:val="21"/>
          <w:highlight w:val="none"/>
        </w:rPr>
        <w:sectPr>
          <w:headerReference r:id="rId4" w:type="first"/>
          <w:footerReference r:id="rId6" w:type="first"/>
          <w:headerReference r:id="rId3" w:type="default"/>
          <w:footerReference r:id="rId5" w:type="default"/>
          <w:pgSz w:w="12240" w:h="15840"/>
          <w:pgMar w:top="1191" w:right="1043" w:bottom="1191" w:left="1043" w:header="720" w:footer="720" w:gutter="0"/>
          <w:pgNumType w:fmt="decimal"/>
          <w:cols w:space="720" w:num="1"/>
          <w:docGrid w:linePitch="326" w:charSpace="0"/>
        </w:sectPr>
      </w:pPr>
    </w:p>
    <w:tbl>
      <w:tblPr>
        <w:tblStyle w:val="41"/>
        <w:tblW w:w="91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27"/>
        <w:gridCol w:w="981"/>
        <w:gridCol w:w="2176"/>
        <w:gridCol w:w="1353"/>
        <w:gridCol w:w="804"/>
        <w:gridCol w:w="471"/>
        <w:gridCol w:w="1294"/>
        <w:gridCol w:w="1224"/>
      </w:tblGrid>
      <w:tr w14:paraId="537A5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restart"/>
            <w:shd w:val="clear" w:color="auto" w:fill="FFFFFF"/>
            <w:vAlign w:val="center"/>
          </w:tcPr>
          <w:p w14:paraId="2D89F960">
            <w:pPr>
              <w:pStyle w:val="18"/>
              <w:rPr>
                <w:rFonts w:hint="eastAsia"/>
                <w:color w:val="auto"/>
              </w:rPr>
            </w:pPr>
          </w:p>
        </w:tc>
        <w:tc>
          <w:tcPr>
            <w:tcW w:w="4333" w:type="dxa"/>
            <w:gridSpan w:val="3"/>
            <w:shd w:val="clear" w:color="auto" w:fill="FFFFFF"/>
            <w:vAlign w:val="center"/>
          </w:tcPr>
          <w:p w14:paraId="570738B6">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bookmarkStart w:id="516" w:name="OLE_LINK18"/>
            <w:r>
              <w:rPr>
                <w:rFonts w:hint="eastAsia" w:ascii="宋体" w:hAnsi="宋体" w:eastAsia="宋体" w:cs="宋体"/>
                <w:color w:val="auto"/>
                <w:sz w:val="21"/>
                <w:szCs w:val="21"/>
                <w:highlight w:val="none"/>
                <w:lang w:eastAsia="zh-CN"/>
              </w:rPr>
              <w:t>电子</w:t>
            </w:r>
            <w:r>
              <w:rPr>
                <w:rFonts w:hint="eastAsia" w:ascii="宋体" w:hAnsi="宋体" w:eastAsia="宋体" w:cs="宋体"/>
                <w:color w:val="auto"/>
                <w:sz w:val="21"/>
                <w:szCs w:val="21"/>
                <w:highlight w:val="none"/>
              </w:rPr>
              <w:t>巡更管理系统</w:t>
            </w:r>
            <w:bookmarkEnd w:id="516"/>
          </w:p>
        </w:tc>
        <w:tc>
          <w:tcPr>
            <w:tcW w:w="2989" w:type="dxa"/>
            <w:gridSpan w:val="3"/>
            <w:shd w:val="clear" w:color="auto" w:fill="FFFFFF"/>
            <w:vAlign w:val="center"/>
          </w:tcPr>
          <w:p w14:paraId="3F2DB044">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w:t>
            </w:r>
          </w:p>
        </w:tc>
      </w:tr>
      <w:tr w14:paraId="0735B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continue"/>
            <w:shd w:val="clear" w:color="auto" w:fill="FFFFFF"/>
            <w:vAlign w:val="center"/>
          </w:tcPr>
          <w:p w14:paraId="496A8B97">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p>
        </w:tc>
        <w:tc>
          <w:tcPr>
            <w:tcW w:w="4333" w:type="dxa"/>
            <w:gridSpan w:val="3"/>
            <w:shd w:val="clear" w:color="auto" w:fill="FFFFFF"/>
            <w:vAlign w:val="center"/>
          </w:tcPr>
          <w:p w14:paraId="0CD20546">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电梯五方通话</w:t>
            </w:r>
            <w:r>
              <w:rPr>
                <w:rFonts w:hint="eastAsia" w:ascii="宋体" w:hAnsi="宋体" w:eastAsia="宋体" w:cs="宋体"/>
                <w:color w:val="auto"/>
                <w:sz w:val="21"/>
                <w:szCs w:val="21"/>
                <w:highlight w:val="none"/>
              </w:rPr>
              <w:t>系统</w:t>
            </w:r>
          </w:p>
        </w:tc>
        <w:tc>
          <w:tcPr>
            <w:tcW w:w="2989" w:type="dxa"/>
            <w:gridSpan w:val="3"/>
            <w:shd w:val="clear" w:color="auto" w:fill="FFFFFF"/>
            <w:vAlign w:val="center"/>
          </w:tcPr>
          <w:p w14:paraId="41F5BAE6">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w:t>
            </w:r>
          </w:p>
        </w:tc>
      </w:tr>
      <w:tr w14:paraId="012C5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5" w:hRule="exact"/>
          <w:jc w:val="center"/>
        </w:trPr>
        <w:tc>
          <w:tcPr>
            <w:tcW w:w="1808" w:type="dxa"/>
            <w:gridSpan w:val="2"/>
            <w:vMerge w:val="restart"/>
            <w:shd w:val="clear" w:color="auto" w:fill="FFFFFF"/>
            <w:vAlign w:val="center"/>
          </w:tcPr>
          <w:p w14:paraId="5A70C03D">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智能化设计综合</w:t>
            </w:r>
          </w:p>
          <w:p w14:paraId="01A2F25B">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管理系统</w:t>
            </w:r>
          </w:p>
        </w:tc>
        <w:tc>
          <w:tcPr>
            <w:tcW w:w="4333" w:type="dxa"/>
            <w:gridSpan w:val="3"/>
            <w:shd w:val="clear" w:color="auto" w:fill="FFFFFF"/>
            <w:vAlign w:val="center"/>
          </w:tcPr>
          <w:p w14:paraId="39427499">
            <w:pPr>
              <w:adjustRightInd w:val="0"/>
              <w:snapToGrid w:val="0"/>
              <w:spacing w:line="240" w:lineRule="atLeast"/>
              <w:ind w:firstLine="0" w:firstLineChars="0"/>
              <w:jc w:val="center"/>
              <w:rPr>
                <w:rFonts w:hint="eastAsia" w:ascii="宋体" w:hAnsi="宋体" w:eastAsia="宋体" w:cs="宋体"/>
                <w:color w:val="auto"/>
                <w:sz w:val="21"/>
                <w:szCs w:val="21"/>
                <w:highlight w:val="none"/>
                <w:lang w:val="zh-TW" w:eastAsia="zh-TW"/>
              </w:rPr>
            </w:pPr>
            <w:r>
              <w:rPr>
                <w:rFonts w:hint="eastAsia" w:ascii="宋体" w:hAnsi="宋体" w:eastAsia="宋体" w:cs="宋体"/>
                <w:color w:val="auto"/>
                <w:sz w:val="21"/>
                <w:szCs w:val="21"/>
                <w:highlight w:val="none"/>
                <w:lang w:eastAsia="zh-CN"/>
              </w:rPr>
              <w:t>楼宇自控系统</w:t>
            </w:r>
          </w:p>
        </w:tc>
        <w:tc>
          <w:tcPr>
            <w:tcW w:w="2989" w:type="dxa"/>
            <w:gridSpan w:val="3"/>
            <w:shd w:val="clear" w:color="auto" w:fill="FFFFFF"/>
            <w:vAlign w:val="center"/>
          </w:tcPr>
          <w:p w14:paraId="7A8D44E9">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w:t>
            </w:r>
          </w:p>
        </w:tc>
      </w:tr>
      <w:tr w14:paraId="134ED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continue"/>
            <w:shd w:val="clear" w:color="auto" w:fill="FFFFFF"/>
            <w:vAlign w:val="center"/>
          </w:tcPr>
          <w:p w14:paraId="14972A10">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4333" w:type="dxa"/>
            <w:gridSpan w:val="3"/>
            <w:shd w:val="clear" w:color="auto" w:fill="FFFFFF"/>
            <w:vAlign w:val="center"/>
          </w:tcPr>
          <w:p w14:paraId="613E9746">
            <w:pPr>
              <w:adjustRightInd w:val="0"/>
              <w:snapToGrid w:val="0"/>
              <w:spacing w:line="240" w:lineRule="atLeast"/>
              <w:ind w:firstLine="0" w:firstLineChars="0"/>
              <w:jc w:val="center"/>
              <w:rPr>
                <w:rFonts w:hint="eastAsia" w:ascii="宋体" w:hAnsi="宋体" w:eastAsia="宋体" w:cs="宋体"/>
                <w:color w:val="auto"/>
                <w:sz w:val="21"/>
                <w:szCs w:val="21"/>
                <w:highlight w:val="none"/>
                <w:lang w:val="zh-TW" w:eastAsia="zh-TW"/>
              </w:rPr>
            </w:pPr>
            <w:r>
              <w:rPr>
                <w:rFonts w:hint="eastAsia" w:ascii="宋体" w:hAnsi="宋体" w:eastAsia="宋体" w:cs="宋体"/>
                <w:color w:val="auto"/>
                <w:sz w:val="21"/>
                <w:szCs w:val="21"/>
                <w:highlight w:val="none"/>
              </w:rPr>
              <w:t>能</w:t>
            </w:r>
            <w:r>
              <w:rPr>
                <w:rFonts w:hint="eastAsia" w:ascii="宋体" w:hAnsi="宋体" w:eastAsia="宋体" w:cs="宋体"/>
                <w:color w:val="auto"/>
                <w:sz w:val="21"/>
                <w:szCs w:val="21"/>
                <w:highlight w:val="none"/>
                <w:lang w:eastAsia="zh-CN"/>
              </w:rPr>
              <w:t>耗</w:t>
            </w:r>
            <w:r>
              <w:rPr>
                <w:rFonts w:hint="eastAsia" w:ascii="宋体" w:hAnsi="宋体" w:eastAsia="宋体" w:cs="宋体"/>
                <w:color w:val="auto"/>
                <w:sz w:val="21"/>
                <w:szCs w:val="21"/>
                <w:highlight w:val="none"/>
              </w:rPr>
              <w:t>管理系统</w:t>
            </w:r>
          </w:p>
        </w:tc>
        <w:tc>
          <w:tcPr>
            <w:tcW w:w="2989" w:type="dxa"/>
            <w:gridSpan w:val="3"/>
            <w:shd w:val="clear" w:color="auto" w:fill="FFFFFF"/>
            <w:vAlign w:val="center"/>
          </w:tcPr>
          <w:p w14:paraId="2BC39059">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w:t>
            </w:r>
          </w:p>
        </w:tc>
      </w:tr>
      <w:tr w14:paraId="42767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continue"/>
            <w:shd w:val="clear" w:color="auto" w:fill="FFFFFF"/>
            <w:vAlign w:val="center"/>
          </w:tcPr>
          <w:p w14:paraId="56467365">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4333" w:type="dxa"/>
            <w:gridSpan w:val="3"/>
            <w:shd w:val="clear" w:color="auto" w:fill="FFFFFF"/>
            <w:vAlign w:val="center"/>
          </w:tcPr>
          <w:p w14:paraId="25DD9E22">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背景音乐</w:t>
            </w:r>
            <w:r>
              <w:rPr>
                <w:rFonts w:hint="eastAsia" w:ascii="宋体" w:hAnsi="宋体" w:eastAsia="宋体" w:cs="宋体"/>
                <w:color w:val="auto"/>
                <w:sz w:val="21"/>
                <w:szCs w:val="21"/>
                <w:highlight w:val="none"/>
                <w:lang w:eastAsia="zh-CN"/>
              </w:rPr>
              <w:t>及广播系统</w:t>
            </w:r>
          </w:p>
        </w:tc>
        <w:tc>
          <w:tcPr>
            <w:tcW w:w="2989" w:type="dxa"/>
            <w:gridSpan w:val="3"/>
            <w:shd w:val="clear" w:color="auto" w:fill="FFFFFF"/>
            <w:vAlign w:val="center"/>
          </w:tcPr>
          <w:p w14:paraId="251EC6F0">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有</w:t>
            </w:r>
          </w:p>
        </w:tc>
      </w:tr>
      <w:tr w14:paraId="21B55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continue"/>
            <w:shd w:val="clear" w:color="auto" w:fill="FFFFFF"/>
            <w:vAlign w:val="center"/>
          </w:tcPr>
          <w:p w14:paraId="0018BE49">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4333" w:type="dxa"/>
            <w:gridSpan w:val="3"/>
            <w:shd w:val="clear" w:color="auto" w:fill="FFFFFF"/>
            <w:vAlign w:val="center"/>
          </w:tcPr>
          <w:p w14:paraId="759AD252">
            <w:pPr>
              <w:adjustRightInd w:val="0"/>
              <w:snapToGrid w:val="0"/>
              <w:spacing w:line="240" w:lineRule="atLeast"/>
              <w:ind w:firstLine="0" w:firstLineChars="0"/>
              <w:jc w:val="center"/>
              <w:rPr>
                <w:rFonts w:hint="eastAsia" w:ascii="宋体" w:hAnsi="宋体" w:eastAsia="宋体" w:cs="宋体"/>
                <w:color w:val="auto"/>
                <w:sz w:val="21"/>
                <w:szCs w:val="21"/>
                <w:highlight w:val="none"/>
                <w:lang w:val="zh-TW" w:eastAsia="zh-TW"/>
              </w:rPr>
            </w:pPr>
            <w:r>
              <w:rPr>
                <w:rFonts w:hint="eastAsia" w:ascii="宋体" w:hAnsi="宋体" w:eastAsia="宋体" w:cs="宋体"/>
                <w:color w:val="auto"/>
                <w:sz w:val="21"/>
                <w:szCs w:val="21"/>
                <w:highlight w:val="none"/>
                <w:lang w:eastAsia="zh-CN"/>
              </w:rPr>
              <w:t>智能照明</w:t>
            </w:r>
            <w:r>
              <w:rPr>
                <w:rFonts w:hint="eastAsia" w:ascii="宋体" w:hAnsi="宋体" w:eastAsia="宋体" w:cs="宋体"/>
                <w:color w:val="auto"/>
                <w:sz w:val="21"/>
                <w:szCs w:val="21"/>
                <w:highlight w:val="none"/>
              </w:rPr>
              <w:t>系统</w:t>
            </w:r>
          </w:p>
        </w:tc>
        <w:tc>
          <w:tcPr>
            <w:tcW w:w="2989" w:type="dxa"/>
            <w:gridSpan w:val="3"/>
            <w:shd w:val="clear" w:color="auto" w:fill="FFFFFF"/>
            <w:vAlign w:val="center"/>
          </w:tcPr>
          <w:p w14:paraId="5BA3A768">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w:t>
            </w:r>
          </w:p>
        </w:tc>
      </w:tr>
      <w:tr w14:paraId="26309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continue"/>
            <w:shd w:val="clear" w:color="auto" w:fill="FFFFFF"/>
            <w:vAlign w:val="center"/>
          </w:tcPr>
          <w:p w14:paraId="4E53F8EF">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4333" w:type="dxa"/>
            <w:gridSpan w:val="3"/>
            <w:shd w:val="clear" w:color="auto" w:fill="FFFFFF"/>
            <w:vAlign w:val="center"/>
          </w:tcPr>
          <w:p w14:paraId="20E03D6A">
            <w:pPr>
              <w:adjustRightInd w:val="0"/>
              <w:snapToGrid w:val="0"/>
              <w:spacing w:line="240" w:lineRule="atLeast"/>
              <w:ind w:firstLine="0" w:firstLineChars="0"/>
              <w:jc w:val="center"/>
              <w:rPr>
                <w:rFonts w:hint="eastAsia" w:ascii="宋体" w:hAnsi="宋体" w:eastAsia="宋体" w:cs="宋体"/>
                <w:color w:val="auto"/>
                <w:sz w:val="21"/>
                <w:szCs w:val="21"/>
                <w:highlight w:val="none"/>
                <w:lang w:val="zh-TW" w:eastAsia="zh-TW"/>
              </w:rPr>
            </w:pPr>
            <w:r>
              <w:rPr>
                <w:rFonts w:hint="eastAsia" w:ascii="宋体" w:hAnsi="宋体" w:eastAsia="宋体" w:cs="宋体"/>
                <w:color w:val="auto"/>
                <w:sz w:val="21"/>
                <w:szCs w:val="21"/>
                <w:highlight w:val="none"/>
              </w:rPr>
              <w:t>电梯运行管理系统</w:t>
            </w:r>
          </w:p>
        </w:tc>
        <w:tc>
          <w:tcPr>
            <w:tcW w:w="2989" w:type="dxa"/>
            <w:gridSpan w:val="3"/>
            <w:shd w:val="clear" w:color="auto" w:fill="FFFFFF"/>
            <w:vAlign w:val="center"/>
          </w:tcPr>
          <w:p w14:paraId="4D5C38F5">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w:t>
            </w:r>
          </w:p>
        </w:tc>
      </w:tr>
      <w:tr w14:paraId="392B4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continue"/>
            <w:shd w:val="clear" w:color="auto" w:fill="FFFFFF"/>
            <w:vAlign w:val="center"/>
          </w:tcPr>
          <w:p w14:paraId="38282F87">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4333" w:type="dxa"/>
            <w:gridSpan w:val="3"/>
            <w:shd w:val="clear" w:color="auto" w:fill="FFFFFF"/>
            <w:vAlign w:val="center"/>
          </w:tcPr>
          <w:p w14:paraId="07FDDC41">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光纤入户系统</w:t>
            </w:r>
          </w:p>
        </w:tc>
        <w:tc>
          <w:tcPr>
            <w:tcW w:w="2989" w:type="dxa"/>
            <w:gridSpan w:val="3"/>
            <w:shd w:val="clear" w:color="auto" w:fill="FFFFFF"/>
            <w:vAlign w:val="center"/>
          </w:tcPr>
          <w:p w14:paraId="77FF4DA5">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有</w:t>
            </w:r>
          </w:p>
        </w:tc>
      </w:tr>
      <w:tr w14:paraId="23628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continue"/>
            <w:shd w:val="clear" w:color="auto" w:fill="FFFFFF"/>
            <w:vAlign w:val="center"/>
          </w:tcPr>
          <w:p w14:paraId="205FF2ED">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4333" w:type="dxa"/>
            <w:gridSpan w:val="3"/>
            <w:shd w:val="clear" w:color="auto" w:fill="FFFFFF"/>
            <w:vAlign w:val="center"/>
          </w:tcPr>
          <w:p w14:paraId="4A276062">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综合布线系统</w:t>
            </w:r>
          </w:p>
        </w:tc>
        <w:tc>
          <w:tcPr>
            <w:tcW w:w="2989" w:type="dxa"/>
            <w:gridSpan w:val="3"/>
            <w:shd w:val="clear" w:color="auto" w:fill="FFFFFF"/>
            <w:vAlign w:val="center"/>
          </w:tcPr>
          <w:p w14:paraId="402722A2">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有</w:t>
            </w:r>
          </w:p>
        </w:tc>
      </w:tr>
      <w:tr w14:paraId="21A67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continue"/>
            <w:shd w:val="clear" w:color="auto" w:fill="FFFFFF"/>
            <w:vAlign w:val="center"/>
          </w:tcPr>
          <w:p w14:paraId="2A9C2E9F">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4333" w:type="dxa"/>
            <w:gridSpan w:val="3"/>
            <w:shd w:val="clear" w:color="auto" w:fill="FFFFFF"/>
            <w:vAlign w:val="center"/>
          </w:tcPr>
          <w:p w14:paraId="4BB3E137">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计算机网络系统</w:t>
            </w:r>
          </w:p>
        </w:tc>
        <w:tc>
          <w:tcPr>
            <w:tcW w:w="2989" w:type="dxa"/>
            <w:gridSpan w:val="3"/>
            <w:shd w:val="clear" w:color="auto" w:fill="FFFFFF"/>
            <w:vAlign w:val="center"/>
          </w:tcPr>
          <w:p w14:paraId="3E93CA0C">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有</w:t>
            </w:r>
          </w:p>
        </w:tc>
      </w:tr>
      <w:tr w14:paraId="3DC36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continue"/>
            <w:shd w:val="clear" w:color="auto" w:fill="FFFFFF"/>
            <w:vAlign w:val="center"/>
          </w:tcPr>
          <w:p w14:paraId="4BB7C74A">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4333" w:type="dxa"/>
            <w:gridSpan w:val="3"/>
            <w:shd w:val="clear" w:color="auto" w:fill="FFFFFF"/>
            <w:vAlign w:val="center"/>
          </w:tcPr>
          <w:p w14:paraId="6480C2C6">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无线WIFI系统</w:t>
            </w:r>
          </w:p>
        </w:tc>
        <w:tc>
          <w:tcPr>
            <w:tcW w:w="2989" w:type="dxa"/>
            <w:gridSpan w:val="3"/>
            <w:shd w:val="clear" w:color="auto" w:fill="FFFFFF"/>
            <w:vAlign w:val="center"/>
          </w:tcPr>
          <w:p w14:paraId="1400C0F4">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有</w:t>
            </w:r>
          </w:p>
        </w:tc>
      </w:tr>
      <w:tr w14:paraId="3AE2C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continue"/>
            <w:shd w:val="clear" w:color="auto" w:fill="FFFFFF"/>
            <w:vAlign w:val="center"/>
          </w:tcPr>
          <w:p w14:paraId="15081CE1">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4333" w:type="dxa"/>
            <w:gridSpan w:val="3"/>
            <w:shd w:val="clear" w:color="auto" w:fill="FFFFFF"/>
            <w:vAlign w:val="center"/>
          </w:tcPr>
          <w:p w14:paraId="36F9D401">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信息引导与发布系统</w:t>
            </w:r>
          </w:p>
        </w:tc>
        <w:tc>
          <w:tcPr>
            <w:tcW w:w="2989" w:type="dxa"/>
            <w:gridSpan w:val="3"/>
            <w:shd w:val="clear" w:color="auto" w:fill="FFFFFF"/>
            <w:vAlign w:val="center"/>
          </w:tcPr>
          <w:p w14:paraId="1514E645">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有</w:t>
            </w:r>
          </w:p>
        </w:tc>
      </w:tr>
      <w:tr w14:paraId="472C4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continue"/>
            <w:shd w:val="clear" w:color="auto" w:fill="FFFFFF"/>
            <w:vAlign w:val="center"/>
          </w:tcPr>
          <w:p w14:paraId="72C25814">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4333" w:type="dxa"/>
            <w:gridSpan w:val="3"/>
            <w:shd w:val="clear" w:color="auto" w:fill="FFFFFF"/>
            <w:vAlign w:val="center"/>
          </w:tcPr>
          <w:p w14:paraId="3F2B3A95">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多媒体会议系统</w:t>
            </w:r>
          </w:p>
        </w:tc>
        <w:tc>
          <w:tcPr>
            <w:tcW w:w="2989" w:type="dxa"/>
            <w:gridSpan w:val="3"/>
            <w:shd w:val="clear" w:color="auto" w:fill="FFFFFF"/>
            <w:vAlign w:val="center"/>
          </w:tcPr>
          <w:p w14:paraId="4D3E2B88">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有</w:t>
            </w:r>
          </w:p>
        </w:tc>
      </w:tr>
      <w:tr w14:paraId="6E9F1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12" w:hRule="exact"/>
          <w:jc w:val="center"/>
        </w:trPr>
        <w:tc>
          <w:tcPr>
            <w:tcW w:w="1808" w:type="dxa"/>
            <w:gridSpan w:val="2"/>
            <w:vMerge w:val="continue"/>
            <w:shd w:val="clear" w:color="auto" w:fill="FFFFFF"/>
            <w:vAlign w:val="center"/>
          </w:tcPr>
          <w:p w14:paraId="618E8AAE">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4333" w:type="dxa"/>
            <w:gridSpan w:val="3"/>
            <w:shd w:val="clear" w:color="auto" w:fill="FFFFFF"/>
            <w:vAlign w:val="center"/>
          </w:tcPr>
          <w:p w14:paraId="6150050E">
            <w:pPr>
              <w:tabs>
                <w:tab w:val="left" w:pos="1491"/>
                <w:tab w:val="center" w:pos="2216"/>
              </w:tabs>
              <w:adjustRightInd w:val="0"/>
              <w:snapToGrid w:val="0"/>
              <w:spacing w:line="240" w:lineRule="atLeast"/>
              <w:ind w:firstLine="1470" w:firstLineChars="7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5G信号覆盖</w:t>
            </w:r>
          </w:p>
          <w:p w14:paraId="06AC2B61">
            <w:pPr>
              <w:adjustRightInd w:val="0"/>
              <w:snapToGrid w:val="0"/>
              <w:spacing w:line="240" w:lineRule="atLeast"/>
              <w:ind w:firstLine="0" w:firstLineChars="0"/>
              <w:jc w:val="both"/>
              <w:rPr>
                <w:rFonts w:hint="eastAsia" w:ascii="宋体" w:hAnsi="宋体" w:eastAsia="宋体" w:cs="宋体"/>
                <w:color w:val="auto"/>
                <w:sz w:val="21"/>
                <w:szCs w:val="21"/>
                <w:highlight w:val="none"/>
                <w:lang w:val="zh-TW" w:eastAsia="zh-TW"/>
              </w:rPr>
            </w:pPr>
          </w:p>
        </w:tc>
        <w:tc>
          <w:tcPr>
            <w:tcW w:w="2989" w:type="dxa"/>
            <w:gridSpan w:val="3"/>
            <w:shd w:val="clear" w:color="auto" w:fill="FFFFFF"/>
            <w:vAlign w:val="center"/>
          </w:tcPr>
          <w:p w14:paraId="3D2D23DD">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w:t>
            </w:r>
          </w:p>
        </w:tc>
      </w:tr>
      <w:tr w14:paraId="3304D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35" w:hRule="exact"/>
          <w:jc w:val="center"/>
        </w:trPr>
        <w:tc>
          <w:tcPr>
            <w:tcW w:w="1808" w:type="dxa"/>
            <w:gridSpan w:val="2"/>
            <w:vMerge w:val="restart"/>
            <w:shd w:val="clear" w:color="auto" w:fill="FFFFFF"/>
            <w:vAlign w:val="center"/>
          </w:tcPr>
          <w:p w14:paraId="6CFF1239">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环保设计</w:t>
            </w:r>
          </w:p>
        </w:tc>
        <w:tc>
          <w:tcPr>
            <w:tcW w:w="4333" w:type="dxa"/>
            <w:gridSpan w:val="3"/>
            <w:shd w:val="clear" w:color="auto" w:fill="FFFFFF"/>
            <w:vAlign w:val="center"/>
          </w:tcPr>
          <w:p w14:paraId="7CA8249F">
            <w:pPr>
              <w:adjustRightInd w:val="0"/>
              <w:snapToGrid w:val="0"/>
              <w:spacing w:line="240" w:lineRule="atLeast"/>
              <w:ind w:firstLine="0" w:firstLineChars="0"/>
              <w:jc w:val="center"/>
              <w:rPr>
                <w:rFonts w:hint="eastAsia" w:ascii="宋体" w:hAnsi="宋体" w:eastAsia="宋体" w:cs="宋体"/>
                <w:color w:val="auto"/>
                <w:sz w:val="21"/>
                <w:szCs w:val="21"/>
                <w:highlight w:val="none"/>
                <w:lang w:val="zh-TW" w:eastAsia="zh-TW"/>
              </w:rPr>
            </w:pPr>
            <w:r>
              <w:rPr>
                <w:rFonts w:hint="eastAsia" w:ascii="宋体" w:hAnsi="宋体" w:eastAsia="宋体" w:cs="宋体"/>
                <w:color w:val="auto"/>
                <w:sz w:val="21"/>
                <w:szCs w:val="21"/>
                <w:highlight w:val="none"/>
                <w:lang w:eastAsia="zh-CN"/>
              </w:rPr>
              <w:t>厨房排烟道个数/面积；风机个数/功率/排风量</w:t>
            </w:r>
          </w:p>
        </w:tc>
        <w:tc>
          <w:tcPr>
            <w:tcW w:w="2989" w:type="dxa"/>
            <w:gridSpan w:val="3"/>
            <w:shd w:val="clear" w:color="auto" w:fill="FFFFFF"/>
            <w:vAlign w:val="center"/>
          </w:tcPr>
          <w:p w14:paraId="51770044">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bookmarkStart w:id="517" w:name="OLE_LINK19"/>
            <w:r>
              <w:rPr>
                <w:rFonts w:hint="eastAsia" w:ascii="宋体" w:hAnsi="宋体" w:eastAsia="宋体" w:cs="宋体"/>
                <w:color w:val="auto"/>
                <w:sz w:val="21"/>
                <w:szCs w:val="21"/>
                <w:highlight w:val="none"/>
              </w:rPr>
              <w:t>烟道1个</w:t>
            </w:r>
            <w:bookmarkEnd w:id="517"/>
            <w:r>
              <w:rPr>
                <w:rFonts w:hint="eastAsia" w:ascii="宋体" w:hAnsi="宋体" w:eastAsia="宋体" w:cs="宋体"/>
                <w:color w:val="auto"/>
                <w:sz w:val="21"/>
                <w:szCs w:val="21"/>
                <w:highlight w:val="none"/>
              </w:rPr>
              <w:t>（无风机）</w:t>
            </w:r>
          </w:p>
        </w:tc>
      </w:tr>
      <w:tr w14:paraId="2B04F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3" w:hRule="exact"/>
          <w:jc w:val="center"/>
        </w:trPr>
        <w:tc>
          <w:tcPr>
            <w:tcW w:w="1808" w:type="dxa"/>
            <w:gridSpan w:val="2"/>
            <w:vMerge w:val="continue"/>
            <w:shd w:val="clear" w:color="auto" w:fill="FFFFFF"/>
            <w:vAlign w:val="center"/>
          </w:tcPr>
          <w:p w14:paraId="5A9247F5">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p>
        </w:tc>
        <w:tc>
          <w:tcPr>
            <w:tcW w:w="4333" w:type="dxa"/>
            <w:gridSpan w:val="3"/>
            <w:shd w:val="clear" w:color="auto" w:fill="FFFFFF"/>
            <w:vAlign w:val="center"/>
          </w:tcPr>
          <w:p w14:paraId="24E08D6F">
            <w:pPr>
              <w:pStyle w:val="211"/>
              <w:adjustRightInd w:val="0"/>
              <w:snapToGrid w:val="0"/>
              <w:spacing w:after="0" w:line="240" w:lineRule="atLeas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卫生间排气扇数量</w:t>
            </w:r>
          </w:p>
        </w:tc>
        <w:tc>
          <w:tcPr>
            <w:tcW w:w="2989" w:type="dxa"/>
            <w:gridSpan w:val="3"/>
            <w:shd w:val="clear" w:color="auto" w:fill="FFFFFF"/>
            <w:vAlign w:val="center"/>
          </w:tcPr>
          <w:p w14:paraId="195853D1">
            <w:pPr>
              <w:pStyle w:val="211"/>
              <w:adjustRightInd w:val="0"/>
              <w:snapToGrid w:val="0"/>
              <w:spacing w:after="0" w:line="240" w:lineRule="atLeast"/>
              <w:ind w:firstLine="42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295个</w:t>
            </w:r>
          </w:p>
        </w:tc>
      </w:tr>
      <w:tr w14:paraId="1D017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97" w:hRule="exact"/>
          <w:jc w:val="center"/>
        </w:trPr>
        <w:tc>
          <w:tcPr>
            <w:tcW w:w="1808" w:type="dxa"/>
            <w:gridSpan w:val="2"/>
            <w:vMerge w:val="continue"/>
            <w:shd w:val="clear" w:color="auto" w:fill="FFFFFF"/>
            <w:vAlign w:val="center"/>
          </w:tcPr>
          <w:p w14:paraId="3053457B">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p>
        </w:tc>
        <w:tc>
          <w:tcPr>
            <w:tcW w:w="4333" w:type="dxa"/>
            <w:gridSpan w:val="3"/>
            <w:vMerge w:val="restart"/>
            <w:shd w:val="clear" w:color="auto" w:fill="FFFFFF"/>
            <w:vAlign w:val="center"/>
          </w:tcPr>
          <w:p w14:paraId="5FFAE409">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标准层/其它楼层公共卫生间个数</w:t>
            </w:r>
          </w:p>
        </w:tc>
        <w:tc>
          <w:tcPr>
            <w:tcW w:w="2989" w:type="dxa"/>
            <w:gridSpan w:val="3"/>
            <w:shd w:val="clear" w:color="auto" w:fill="FFFFFF"/>
            <w:vAlign w:val="center"/>
          </w:tcPr>
          <w:p w14:paraId="5A34F7B7">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1层：3个；2-3层：7个；4层：4个</w:t>
            </w:r>
          </w:p>
        </w:tc>
      </w:tr>
      <w:tr w14:paraId="7F54A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9" w:hRule="exact"/>
          <w:jc w:val="center"/>
        </w:trPr>
        <w:tc>
          <w:tcPr>
            <w:tcW w:w="1808" w:type="dxa"/>
            <w:gridSpan w:val="2"/>
            <w:vMerge w:val="continue"/>
            <w:shd w:val="clear" w:color="auto" w:fill="FFFFFF"/>
            <w:vAlign w:val="center"/>
          </w:tcPr>
          <w:p w14:paraId="45FC61CC">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p>
        </w:tc>
        <w:tc>
          <w:tcPr>
            <w:tcW w:w="4333" w:type="dxa"/>
            <w:gridSpan w:val="3"/>
            <w:vMerge w:val="continue"/>
            <w:shd w:val="clear" w:color="auto" w:fill="FFFFFF"/>
            <w:vAlign w:val="bottom"/>
          </w:tcPr>
          <w:p w14:paraId="3FAB171E">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p>
        </w:tc>
        <w:tc>
          <w:tcPr>
            <w:tcW w:w="2989" w:type="dxa"/>
            <w:gridSpan w:val="3"/>
            <w:shd w:val="clear" w:color="auto" w:fill="FFFFFF"/>
            <w:vAlign w:val="center"/>
          </w:tcPr>
          <w:p w14:paraId="5239055D">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标准层：4个</w:t>
            </w:r>
          </w:p>
        </w:tc>
      </w:tr>
      <w:tr w14:paraId="48355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restart"/>
            <w:shd w:val="clear" w:color="auto" w:fill="FFFFFF"/>
            <w:vAlign w:val="center"/>
          </w:tcPr>
          <w:p w14:paraId="1DE872BA">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电梯设备</w:t>
            </w:r>
          </w:p>
        </w:tc>
        <w:tc>
          <w:tcPr>
            <w:tcW w:w="2176" w:type="dxa"/>
            <w:vMerge w:val="restart"/>
            <w:shd w:val="clear" w:color="auto" w:fill="FFFFFF"/>
            <w:vAlign w:val="center"/>
          </w:tcPr>
          <w:p w14:paraId="58212DE5">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电梯</w:t>
            </w:r>
          </w:p>
        </w:tc>
        <w:tc>
          <w:tcPr>
            <w:tcW w:w="1353" w:type="dxa"/>
            <w:shd w:val="clear" w:color="auto" w:fill="FFFFFF"/>
            <w:vAlign w:val="center"/>
          </w:tcPr>
          <w:p w14:paraId="0739AABA">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数量</w:t>
            </w:r>
          </w:p>
        </w:tc>
        <w:tc>
          <w:tcPr>
            <w:tcW w:w="1275" w:type="dxa"/>
            <w:gridSpan w:val="2"/>
            <w:shd w:val="clear" w:color="auto" w:fill="FFFFFF"/>
            <w:vAlign w:val="center"/>
          </w:tcPr>
          <w:p w14:paraId="5C3EAD88">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速度</w:t>
            </w:r>
          </w:p>
        </w:tc>
        <w:tc>
          <w:tcPr>
            <w:tcW w:w="1294" w:type="dxa"/>
            <w:shd w:val="clear" w:color="auto" w:fill="FFFFFF"/>
            <w:vAlign w:val="center"/>
          </w:tcPr>
          <w:p w14:paraId="0CBFB31D">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载重量</w:t>
            </w:r>
          </w:p>
        </w:tc>
        <w:tc>
          <w:tcPr>
            <w:tcW w:w="1224" w:type="dxa"/>
            <w:shd w:val="clear" w:color="auto" w:fill="FFFFFF"/>
            <w:vAlign w:val="center"/>
          </w:tcPr>
          <w:p w14:paraId="2BB4711E">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功率</w:t>
            </w:r>
          </w:p>
        </w:tc>
      </w:tr>
      <w:tr w14:paraId="38C18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continue"/>
            <w:shd w:val="clear" w:color="auto" w:fill="FFFFFF"/>
            <w:vAlign w:val="center"/>
          </w:tcPr>
          <w:p w14:paraId="33B52E1E">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2176" w:type="dxa"/>
            <w:vMerge w:val="continue"/>
            <w:shd w:val="clear" w:color="auto" w:fill="FFFFFF"/>
            <w:vAlign w:val="center"/>
          </w:tcPr>
          <w:p w14:paraId="73764EFF">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p>
        </w:tc>
        <w:tc>
          <w:tcPr>
            <w:tcW w:w="1353" w:type="dxa"/>
            <w:shd w:val="clear" w:color="auto" w:fill="FFFFFF"/>
            <w:vAlign w:val="center"/>
          </w:tcPr>
          <w:p w14:paraId="153713F3">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（台）</w:t>
            </w:r>
          </w:p>
        </w:tc>
        <w:tc>
          <w:tcPr>
            <w:tcW w:w="1275" w:type="dxa"/>
            <w:gridSpan w:val="2"/>
            <w:shd w:val="clear" w:color="auto" w:fill="FFFFFF"/>
            <w:vAlign w:val="center"/>
          </w:tcPr>
          <w:p w14:paraId="42153ABB">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（米/秒）</w:t>
            </w:r>
          </w:p>
        </w:tc>
        <w:tc>
          <w:tcPr>
            <w:tcW w:w="1294" w:type="dxa"/>
            <w:shd w:val="clear" w:color="auto" w:fill="FFFFFF"/>
            <w:vAlign w:val="center"/>
          </w:tcPr>
          <w:p w14:paraId="16CF073A">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en-US" w:bidi="en-US"/>
              </w:rPr>
              <w:t>(KG)</w:t>
            </w:r>
          </w:p>
        </w:tc>
        <w:tc>
          <w:tcPr>
            <w:tcW w:w="1224" w:type="dxa"/>
            <w:shd w:val="clear" w:color="auto" w:fill="FFFFFF"/>
            <w:vAlign w:val="center"/>
          </w:tcPr>
          <w:p w14:paraId="4C33463F">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en-US" w:bidi="en-US"/>
              </w:rPr>
              <w:t>(KW)</w:t>
            </w:r>
          </w:p>
        </w:tc>
      </w:tr>
      <w:tr w14:paraId="44831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continue"/>
            <w:shd w:val="clear" w:color="auto" w:fill="FFFFFF"/>
            <w:vAlign w:val="center"/>
          </w:tcPr>
          <w:p w14:paraId="6598365D">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2176" w:type="dxa"/>
            <w:shd w:val="clear" w:color="auto" w:fill="FFFFFF"/>
            <w:vAlign w:val="center"/>
          </w:tcPr>
          <w:p w14:paraId="39BF0BDC">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塔楼高区客梯</w:t>
            </w:r>
          </w:p>
        </w:tc>
        <w:tc>
          <w:tcPr>
            <w:tcW w:w="1353" w:type="dxa"/>
            <w:shd w:val="clear" w:color="auto" w:fill="FFFFFF"/>
            <w:vAlign w:val="center"/>
          </w:tcPr>
          <w:p w14:paraId="74AF35E8">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1275" w:type="dxa"/>
            <w:gridSpan w:val="2"/>
            <w:shd w:val="clear" w:color="auto" w:fill="FFFFFF"/>
            <w:vAlign w:val="center"/>
          </w:tcPr>
          <w:p w14:paraId="44E1532F">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3.5</w:t>
            </w:r>
          </w:p>
        </w:tc>
        <w:tc>
          <w:tcPr>
            <w:tcW w:w="1294" w:type="dxa"/>
            <w:shd w:val="clear" w:color="auto" w:fill="FFFFFF"/>
            <w:vAlign w:val="center"/>
          </w:tcPr>
          <w:p w14:paraId="537114FC">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1600</w:t>
            </w:r>
          </w:p>
        </w:tc>
        <w:tc>
          <w:tcPr>
            <w:tcW w:w="1224" w:type="dxa"/>
            <w:shd w:val="clear" w:color="auto" w:fill="FFFFFF"/>
            <w:vAlign w:val="center"/>
          </w:tcPr>
          <w:p w14:paraId="22350D15">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r>
      <w:tr w14:paraId="75868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continue"/>
            <w:shd w:val="clear" w:color="auto" w:fill="FFFFFF"/>
            <w:vAlign w:val="center"/>
          </w:tcPr>
          <w:p w14:paraId="13EE4784">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2176" w:type="dxa"/>
            <w:shd w:val="clear" w:color="auto" w:fill="FFFFFF"/>
            <w:vAlign w:val="center"/>
          </w:tcPr>
          <w:p w14:paraId="56E224B4">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塔楼低区客梯</w:t>
            </w:r>
          </w:p>
        </w:tc>
        <w:tc>
          <w:tcPr>
            <w:tcW w:w="1353" w:type="dxa"/>
            <w:shd w:val="clear" w:color="auto" w:fill="FFFFFF"/>
            <w:vAlign w:val="center"/>
          </w:tcPr>
          <w:p w14:paraId="58923252">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1275" w:type="dxa"/>
            <w:gridSpan w:val="2"/>
            <w:shd w:val="clear" w:color="auto" w:fill="FFFFFF"/>
            <w:vAlign w:val="center"/>
          </w:tcPr>
          <w:p w14:paraId="7D53E2D1">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w:t>
            </w:r>
          </w:p>
        </w:tc>
        <w:tc>
          <w:tcPr>
            <w:tcW w:w="1294" w:type="dxa"/>
            <w:shd w:val="clear" w:color="auto" w:fill="FFFFFF"/>
            <w:vAlign w:val="center"/>
          </w:tcPr>
          <w:p w14:paraId="53C8EE08">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en-US"/>
              </w:rPr>
              <w:t>1600</w:t>
            </w:r>
          </w:p>
        </w:tc>
        <w:tc>
          <w:tcPr>
            <w:tcW w:w="1224" w:type="dxa"/>
            <w:shd w:val="clear" w:color="auto" w:fill="FFFFFF"/>
            <w:vAlign w:val="center"/>
          </w:tcPr>
          <w:p w14:paraId="1F10B4BB">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r>
      <w:tr w14:paraId="2D750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continue"/>
            <w:shd w:val="clear" w:color="auto" w:fill="FFFFFF"/>
            <w:vAlign w:val="center"/>
          </w:tcPr>
          <w:p w14:paraId="1F9F1A38">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2176" w:type="dxa"/>
            <w:shd w:val="clear" w:color="auto" w:fill="FFFFFF"/>
            <w:vAlign w:val="center"/>
          </w:tcPr>
          <w:p w14:paraId="4693F941">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消防电梯</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货梯兼</w:t>
            </w:r>
            <w:r>
              <w:rPr>
                <w:rFonts w:hint="eastAsia" w:ascii="宋体" w:hAnsi="宋体" w:eastAsia="宋体" w:cs="宋体"/>
                <w:color w:val="auto"/>
                <w:sz w:val="21"/>
                <w:szCs w:val="21"/>
                <w:highlight w:val="none"/>
                <w:lang w:eastAsia="zh-CN"/>
              </w:rPr>
              <w:t>）</w:t>
            </w:r>
          </w:p>
        </w:tc>
        <w:tc>
          <w:tcPr>
            <w:tcW w:w="1353" w:type="dxa"/>
            <w:shd w:val="clear" w:color="auto" w:fill="FFFFFF"/>
            <w:vAlign w:val="center"/>
          </w:tcPr>
          <w:p w14:paraId="5F7A7EA4">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275" w:type="dxa"/>
            <w:gridSpan w:val="2"/>
            <w:shd w:val="clear" w:color="auto" w:fill="FFFFFF"/>
            <w:vAlign w:val="center"/>
          </w:tcPr>
          <w:p w14:paraId="6752740A">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3.5</w:t>
            </w:r>
          </w:p>
        </w:tc>
        <w:tc>
          <w:tcPr>
            <w:tcW w:w="1294" w:type="dxa"/>
            <w:shd w:val="clear" w:color="auto" w:fill="FFFFFF"/>
            <w:vAlign w:val="center"/>
          </w:tcPr>
          <w:p w14:paraId="260ACEEA">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1600</w:t>
            </w:r>
          </w:p>
        </w:tc>
        <w:tc>
          <w:tcPr>
            <w:tcW w:w="1224" w:type="dxa"/>
            <w:shd w:val="clear" w:color="auto" w:fill="FFFFFF"/>
            <w:vAlign w:val="center"/>
          </w:tcPr>
          <w:p w14:paraId="7FC9FBF8">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r>
      <w:tr w14:paraId="1F6CF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continue"/>
            <w:shd w:val="clear" w:color="auto" w:fill="FFFFFF"/>
            <w:vAlign w:val="center"/>
          </w:tcPr>
          <w:p w14:paraId="48D485FB">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2176" w:type="dxa"/>
            <w:shd w:val="clear" w:color="auto" w:fill="FFFFFF"/>
            <w:vAlign w:val="center"/>
          </w:tcPr>
          <w:p w14:paraId="5B6958A4">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货梯</w:t>
            </w:r>
          </w:p>
        </w:tc>
        <w:tc>
          <w:tcPr>
            <w:tcW w:w="1353" w:type="dxa"/>
            <w:shd w:val="clear" w:color="auto" w:fill="FFFFFF"/>
            <w:vAlign w:val="center"/>
          </w:tcPr>
          <w:p w14:paraId="4DA21FB4">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275" w:type="dxa"/>
            <w:gridSpan w:val="2"/>
            <w:shd w:val="clear" w:color="auto" w:fill="FFFFFF"/>
            <w:vAlign w:val="center"/>
          </w:tcPr>
          <w:p w14:paraId="6C4B52EB">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en-US"/>
              </w:rPr>
              <w:t>1.</w:t>
            </w:r>
            <w:r>
              <w:rPr>
                <w:rFonts w:hint="eastAsia" w:ascii="宋体" w:hAnsi="宋体" w:eastAsia="宋体" w:cs="宋体"/>
                <w:color w:val="auto"/>
                <w:sz w:val="21"/>
                <w:szCs w:val="21"/>
                <w:highlight w:val="none"/>
                <w:lang w:val="en-US" w:eastAsia="zh-CN"/>
              </w:rPr>
              <w:t>0</w:t>
            </w:r>
          </w:p>
        </w:tc>
        <w:tc>
          <w:tcPr>
            <w:tcW w:w="1294" w:type="dxa"/>
            <w:shd w:val="clear" w:color="auto" w:fill="FFFFFF"/>
            <w:vAlign w:val="center"/>
          </w:tcPr>
          <w:p w14:paraId="48C6BA52">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2000</w:t>
            </w:r>
          </w:p>
        </w:tc>
        <w:tc>
          <w:tcPr>
            <w:tcW w:w="1224" w:type="dxa"/>
            <w:shd w:val="clear" w:color="auto" w:fill="FFFFFF"/>
            <w:vAlign w:val="center"/>
          </w:tcPr>
          <w:p w14:paraId="4B90FCE6">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r>
      <w:tr w14:paraId="0A6DE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continue"/>
            <w:shd w:val="clear" w:color="auto" w:fill="FFFFFF"/>
            <w:vAlign w:val="center"/>
          </w:tcPr>
          <w:p w14:paraId="25F0E7CF">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2176" w:type="dxa"/>
            <w:shd w:val="clear" w:color="auto" w:fill="FFFFFF"/>
            <w:vAlign w:val="center"/>
          </w:tcPr>
          <w:p w14:paraId="09ADD1E9">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裙楼客梯</w:t>
            </w:r>
          </w:p>
        </w:tc>
        <w:tc>
          <w:tcPr>
            <w:tcW w:w="1353" w:type="dxa"/>
            <w:shd w:val="clear" w:color="auto" w:fill="FFFFFF"/>
            <w:vAlign w:val="center"/>
          </w:tcPr>
          <w:p w14:paraId="4E437BA0">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275" w:type="dxa"/>
            <w:gridSpan w:val="2"/>
            <w:shd w:val="clear" w:color="auto" w:fill="FFFFFF"/>
            <w:vAlign w:val="center"/>
          </w:tcPr>
          <w:p w14:paraId="473A6BE0">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en-US"/>
              </w:rPr>
              <w:t>1.</w:t>
            </w:r>
            <w:r>
              <w:rPr>
                <w:rFonts w:hint="eastAsia" w:ascii="宋体" w:hAnsi="宋体" w:eastAsia="宋体" w:cs="宋体"/>
                <w:color w:val="auto"/>
                <w:sz w:val="21"/>
                <w:szCs w:val="21"/>
                <w:highlight w:val="none"/>
                <w:lang w:val="en-US" w:eastAsia="zh-CN"/>
              </w:rPr>
              <w:t>75</w:t>
            </w:r>
          </w:p>
        </w:tc>
        <w:tc>
          <w:tcPr>
            <w:tcW w:w="1294" w:type="dxa"/>
            <w:shd w:val="clear" w:color="auto" w:fill="FFFFFF"/>
            <w:vAlign w:val="center"/>
          </w:tcPr>
          <w:p w14:paraId="26C2BF96">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1050</w:t>
            </w:r>
          </w:p>
        </w:tc>
        <w:tc>
          <w:tcPr>
            <w:tcW w:w="1224" w:type="dxa"/>
            <w:shd w:val="clear" w:color="auto" w:fill="FFFFFF"/>
            <w:vAlign w:val="center"/>
          </w:tcPr>
          <w:p w14:paraId="43502451">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r>
      <w:tr w14:paraId="328C1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continue"/>
            <w:shd w:val="clear" w:color="auto" w:fill="FFFFFF"/>
            <w:vAlign w:val="center"/>
          </w:tcPr>
          <w:p w14:paraId="5703BDF9">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2176" w:type="dxa"/>
            <w:shd w:val="clear" w:color="auto" w:fill="FFFFFF"/>
            <w:vAlign w:val="center"/>
          </w:tcPr>
          <w:p w14:paraId="28BF6648">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品牌/产地</w:t>
            </w:r>
          </w:p>
        </w:tc>
        <w:tc>
          <w:tcPr>
            <w:tcW w:w="5146" w:type="dxa"/>
            <w:gridSpan w:val="5"/>
            <w:shd w:val="clear" w:color="auto" w:fill="FFFFFF"/>
            <w:vAlign w:val="center"/>
          </w:tcPr>
          <w:p w14:paraId="4DC0DD9F">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通力（芬兰）</w:t>
            </w:r>
          </w:p>
        </w:tc>
      </w:tr>
      <w:tr w14:paraId="77FD0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827" w:type="dxa"/>
            <w:vMerge w:val="restart"/>
            <w:shd w:val="clear" w:color="auto" w:fill="FFFFFF"/>
            <w:vAlign w:val="center"/>
          </w:tcPr>
          <w:p w14:paraId="391F2CED">
            <w:pPr>
              <w:pStyle w:val="18"/>
              <w:adjustRightInd w:val="0"/>
              <w:snapToGrid w:val="0"/>
              <w:spacing w:after="0" w:line="240" w:lineRule="atLeast"/>
              <w:ind w:firstLine="0" w:firstLineChars="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电气设备</w:t>
            </w:r>
          </w:p>
        </w:tc>
        <w:tc>
          <w:tcPr>
            <w:tcW w:w="981" w:type="dxa"/>
            <w:vMerge w:val="restart"/>
            <w:shd w:val="clear" w:color="auto" w:fill="FFFFFF"/>
            <w:vAlign w:val="center"/>
          </w:tcPr>
          <w:p w14:paraId="0DAB994B">
            <w:pPr>
              <w:pStyle w:val="18"/>
              <w:adjustRightInd w:val="0"/>
              <w:snapToGrid w:val="0"/>
              <w:spacing w:after="0" w:line="240" w:lineRule="atLeast"/>
              <w:ind w:firstLine="0" w:firstLineChars="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变电设备</w:t>
            </w:r>
          </w:p>
        </w:tc>
        <w:tc>
          <w:tcPr>
            <w:tcW w:w="4333" w:type="dxa"/>
            <w:gridSpan w:val="3"/>
            <w:shd w:val="clear" w:color="auto" w:fill="FFFFFF"/>
            <w:vAlign w:val="center"/>
          </w:tcPr>
          <w:p w14:paraId="21BA8B43">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高压配电柜容量/台数</w:t>
            </w:r>
          </w:p>
        </w:tc>
        <w:tc>
          <w:tcPr>
            <w:tcW w:w="2989" w:type="dxa"/>
            <w:gridSpan w:val="3"/>
            <w:shd w:val="clear" w:color="auto" w:fill="FFFFFF"/>
            <w:vAlign w:val="center"/>
          </w:tcPr>
          <w:p w14:paraId="16F5F670">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9214.3kW/6台</w:t>
            </w:r>
          </w:p>
        </w:tc>
      </w:tr>
      <w:tr w14:paraId="1F34C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827" w:type="dxa"/>
            <w:vMerge w:val="continue"/>
            <w:shd w:val="clear" w:color="auto" w:fill="FFFFFF"/>
            <w:vAlign w:val="center"/>
          </w:tcPr>
          <w:p w14:paraId="1116F37A">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981" w:type="dxa"/>
            <w:vMerge w:val="continue"/>
            <w:shd w:val="clear" w:color="auto" w:fill="FFFFFF"/>
            <w:vAlign w:val="center"/>
          </w:tcPr>
          <w:p w14:paraId="257AAC13">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p>
        </w:tc>
        <w:tc>
          <w:tcPr>
            <w:tcW w:w="4333" w:type="dxa"/>
            <w:gridSpan w:val="3"/>
            <w:shd w:val="clear" w:color="auto" w:fill="FFFFFF"/>
            <w:vAlign w:val="center"/>
          </w:tcPr>
          <w:p w14:paraId="23E0DC76">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变压器容量/台数</w:t>
            </w:r>
          </w:p>
        </w:tc>
        <w:tc>
          <w:tcPr>
            <w:tcW w:w="2989" w:type="dxa"/>
            <w:gridSpan w:val="3"/>
            <w:shd w:val="clear" w:color="auto" w:fill="FFFFFF"/>
            <w:vAlign w:val="center"/>
          </w:tcPr>
          <w:p w14:paraId="44BEBE45">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1600kVAx2 ；2000kVAx2</w:t>
            </w:r>
          </w:p>
        </w:tc>
      </w:tr>
      <w:tr w14:paraId="6BB9E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827" w:type="dxa"/>
            <w:vMerge w:val="continue"/>
            <w:shd w:val="clear" w:color="auto" w:fill="FFFFFF"/>
            <w:vAlign w:val="center"/>
          </w:tcPr>
          <w:p w14:paraId="30898B7D">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981" w:type="dxa"/>
            <w:vMerge w:val="continue"/>
            <w:shd w:val="clear" w:color="auto" w:fill="FFFFFF"/>
            <w:vAlign w:val="center"/>
          </w:tcPr>
          <w:p w14:paraId="0B121911">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p>
        </w:tc>
        <w:tc>
          <w:tcPr>
            <w:tcW w:w="4333" w:type="dxa"/>
            <w:gridSpan w:val="3"/>
            <w:shd w:val="clear" w:color="auto" w:fill="FFFFFF"/>
            <w:vAlign w:val="center"/>
          </w:tcPr>
          <w:p w14:paraId="25430BFD">
            <w:pPr>
              <w:pStyle w:val="211"/>
              <w:adjustRightInd w:val="0"/>
              <w:snapToGrid w:val="0"/>
              <w:spacing w:after="0" w:line="240" w:lineRule="atLeas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低压配电柜容量/台数</w:t>
            </w:r>
          </w:p>
        </w:tc>
        <w:tc>
          <w:tcPr>
            <w:tcW w:w="2989" w:type="dxa"/>
            <w:gridSpan w:val="3"/>
            <w:shd w:val="clear" w:color="auto" w:fill="FFFFFF"/>
            <w:vAlign w:val="center"/>
          </w:tcPr>
          <w:p w14:paraId="736106B3">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9214.3kW/35台</w:t>
            </w:r>
          </w:p>
        </w:tc>
      </w:tr>
      <w:tr w14:paraId="6605C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827" w:type="dxa"/>
            <w:vMerge w:val="continue"/>
            <w:shd w:val="clear" w:color="auto" w:fill="FFFFFF"/>
            <w:vAlign w:val="center"/>
          </w:tcPr>
          <w:p w14:paraId="0A117DA6">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981" w:type="dxa"/>
            <w:vMerge w:val="continue"/>
            <w:shd w:val="clear" w:color="auto" w:fill="FFFFFF"/>
            <w:vAlign w:val="center"/>
          </w:tcPr>
          <w:p w14:paraId="618705F2">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4333" w:type="dxa"/>
            <w:gridSpan w:val="3"/>
            <w:shd w:val="clear" w:color="auto" w:fill="FFFFFF"/>
            <w:vAlign w:val="center"/>
          </w:tcPr>
          <w:p w14:paraId="51DA523A">
            <w:pPr>
              <w:pStyle w:val="211"/>
              <w:adjustRightInd w:val="0"/>
              <w:snapToGrid w:val="0"/>
              <w:spacing w:after="0" w:line="240" w:lineRule="atLeas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备用发电机容量/台数</w:t>
            </w:r>
          </w:p>
        </w:tc>
        <w:tc>
          <w:tcPr>
            <w:tcW w:w="2989" w:type="dxa"/>
            <w:gridSpan w:val="3"/>
            <w:shd w:val="clear" w:color="auto" w:fill="FFFFFF"/>
            <w:vAlign w:val="center"/>
          </w:tcPr>
          <w:p w14:paraId="186B932E">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800kw/1台</w:t>
            </w:r>
          </w:p>
        </w:tc>
      </w:tr>
      <w:tr w14:paraId="54676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827" w:type="dxa"/>
            <w:vMerge w:val="continue"/>
            <w:shd w:val="clear" w:color="auto" w:fill="FFFFFF"/>
            <w:vAlign w:val="center"/>
          </w:tcPr>
          <w:p w14:paraId="244A2BE3">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981" w:type="dxa"/>
            <w:vMerge w:val="restart"/>
            <w:shd w:val="clear" w:color="auto" w:fill="FFFFFF"/>
            <w:vAlign w:val="center"/>
          </w:tcPr>
          <w:p w14:paraId="1E019769">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照明设备</w:t>
            </w:r>
          </w:p>
        </w:tc>
        <w:tc>
          <w:tcPr>
            <w:tcW w:w="4333" w:type="dxa"/>
            <w:gridSpan w:val="3"/>
            <w:shd w:val="clear" w:color="auto" w:fill="FFFFFF"/>
            <w:vAlign w:val="center"/>
          </w:tcPr>
          <w:p w14:paraId="28428877">
            <w:pPr>
              <w:pStyle w:val="211"/>
              <w:adjustRightInd w:val="0"/>
              <w:snapToGrid w:val="0"/>
              <w:spacing w:after="0" w:line="240" w:lineRule="atLeas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总用电负荷</w:t>
            </w:r>
            <w:r>
              <w:rPr>
                <w:rFonts w:hint="eastAsia" w:ascii="宋体" w:hAnsi="宋体" w:eastAsia="宋体" w:cs="宋体"/>
                <w:color w:val="auto"/>
                <w:sz w:val="21"/>
                <w:szCs w:val="21"/>
                <w:highlight w:val="none"/>
                <w:lang w:val="en-US" w:eastAsia="en-US" w:bidi="en-US"/>
              </w:rPr>
              <w:t>（kw）</w:t>
            </w:r>
          </w:p>
        </w:tc>
        <w:tc>
          <w:tcPr>
            <w:tcW w:w="2989" w:type="dxa"/>
            <w:gridSpan w:val="3"/>
            <w:shd w:val="clear" w:color="auto" w:fill="FFFFFF"/>
            <w:vAlign w:val="center"/>
          </w:tcPr>
          <w:p w14:paraId="251E178C">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98.7</w:t>
            </w:r>
          </w:p>
        </w:tc>
      </w:tr>
      <w:tr w14:paraId="05083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827" w:type="dxa"/>
            <w:vMerge w:val="continue"/>
            <w:shd w:val="clear" w:color="auto" w:fill="FFFFFF"/>
            <w:vAlign w:val="center"/>
          </w:tcPr>
          <w:p w14:paraId="134576E5">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981" w:type="dxa"/>
            <w:vMerge w:val="continue"/>
            <w:shd w:val="clear" w:color="auto" w:fill="FFFFFF"/>
            <w:vAlign w:val="center"/>
          </w:tcPr>
          <w:p w14:paraId="62139D0B">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p>
        </w:tc>
        <w:tc>
          <w:tcPr>
            <w:tcW w:w="4333" w:type="dxa"/>
            <w:gridSpan w:val="3"/>
            <w:shd w:val="clear" w:color="auto" w:fill="FFFFFF"/>
            <w:vAlign w:val="center"/>
          </w:tcPr>
          <w:p w14:paraId="76C52975">
            <w:pPr>
              <w:pStyle w:val="211"/>
              <w:adjustRightInd w:val="0"/>
              <w:snapToGrid w:val="0"/>
              <w:spacing w:after="0" w:line="240" w:lineRule="atLeas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停车场用电负荷</w:t>
            </w:r>
            <w:r>
              <w:rPr>
                <w:rFonts w:hint="eastAsia" w:ascii="宋体" w:hAnsi="宋体" w:eastAsia="宋体" w:cs="宋体"/>
                <w:color w:val="auto"/>
                <w:sz w:val="21"/>
                <w:szCs w:val="21"/>
                <w:highlight w:val="none"/>
                <w:lang w:val="en-US" w:eastAsia="zh-CN" w:bidi="en-US"/>
              </w:rPr>
              <w:t>（kw）</w:t>
            </w:r>
          </w:p>
        </w:tc>
        <w:tc>
          <w:tcPr>
            <w:tcW w:w="2989" w:type="dxa"/>
            <w:gridSpan w:val="3"/>
            <w:shd w:val="clear" w:color="auto" w:fill="FFFFFF"/>
            <w:vAlign w:val="center"/>
          </w:tcPr>
          <w:p w14:paraId="558C434C">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47.5</w:t>
            </w:r>
          </w:p>
        </w:tc>
      </w:tr>
      <w:tr w14:paraId="329F9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827" w:type="dxa"/>
            <w:vMerge w:val="continue"/>
            <w:shd w:val="clear" w:color="auto" w:fill="FFFFFF"/>
            <w:vAlign w:val="center"/>
          </w:tcPr>
          <w:p w14:paraId="265739C9">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981" w:type="dxa"/>
            <w:vMerge w:val="continue"/>
            <w:shd w:val="clear" w:color="auto" w:fill="FFFFFF"/>
            <w:vAlign w:val="center"/>
          </w:tcPr>
          <w:p w14:paraId="2C39A7D9">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p>
        </w:tc>
        <w:tc>
          <w:tcPr>
            <w:tcW w:w="4333" w:type="dxa"/>
            <w:gridSpan w:val="3"/>
            <w:shd w:val="clear" w:color="auto" w:fill="FFFFFF"/>
            <w:vAlign w:val="center"/>
          </w:tcPr>
          <w:p w14:paraId="53E71ECB">
            <w:pPr>
              <w:pStyle w:val="211"/>
              <w:adjustRightInd w:val="0"/>
              <w:snapToGrid w:val="0"/>
              <w:spacing w:after="0" w:line="240" w:lineRule="atLeas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环境用电负荷</w:t>
            </w:r>
            <w:r>
              <w:rPr>
                <w:rFonts w:hint="eastAsia" w:ascii="宋体" w:hAnsi="宋体" w:eastAsia="宋体" w:cs="宋体"/>
                <w:color w:val="auto"/>
                <w:sz w:val="21"/>
                <w:szCs w:val="21"/>
                <w:highlight w:val="none"/>
                <w:lang w:val="en-US" w:eastAsia="zh-CN" w:bidi="en-US"/>
              </w:rPr>
              <w:t>（kw）</w:t>
            </w:r>
          </w:p>
        </w:tc>
        <w:tc>
          <w:tcPr>
            <w:tcW w:w="2989" w:type="dxa"/>
            <w:gridSpan w:val="3"/>
            <w:shd w:val="clear" w:color="auto" w:fill="FFFFFF"/>
            <w:vAlign w:val="center"/>
          </w:tcPr>
          <w:p w14:paraId="0CE3BEC3">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80</w:t>
            </w:r>
          </w:p>
        </w:tc>
      </w:tr>
      <w:tr w14:paraId="27C51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827" w:type="dxa"/>
            <w:vMerge w:val="continue"/>
            <w:shd w:val="clear" w:color="auto" w:fill="FFFFFF"/>
            <w:vAlign w:val="center"/>
          </w:tcPr>
          <w:p w14:paraId="0D8459A7">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981" w:type="dxa"/>
            <w:vMerge w:val="continue"/>
            <w:shd w:val="clear" w:color="auto" w:fill="FFFFFF"/>
            <w:vAlign w:val="center"/>
          </w:tcPr>
          <w:p w14:paraId="18EAE715">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p>
        </w:tc>
        <w:tc>
          <w:tcPr>
            <w:tcW w:w="4333" w:type="dxa"/>
            <w:gridSpan w:val="3"/>
            <w:shd w:val="clear" w:color="auto" w:fill="FFFFFF"/>
            <w:vAlign w:val="center"/>
          </w:tcPr>
          <w:p w14:paraId="10FDE1A2">
            <w:pPr>
              <w:pStyle w:val="211"/>
              <w:adjustRightInd w:val="0"/>
              <w:snapToGrid w:val="0"/>
              <w:spacing w:after="0" w:line="240" w:lineRule="atLeas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商业用电负荷</w:t>
            </w:r>
            <w:r>
              <w:rPr>
                <w:rFonts w:hint="eastAsia" w:ascii="宋体" w:hAnsi="宋体" w:eastAsia="宋体" w:cs="宋体"/>
                <w:color w:val="auto"/>
                <w:sz w:val="21"/>
                <w:szCs w:val="21"/>
                <w:highlight w:val="none"/>
                <w:lang w:val="en-US" w:eastAsia="zh-CN" w:bidi="en-US"/>
              </w:rPr>
              <w:t>（kw）</w:t>
            </w:r>
          </w:p>
        </w:tc>
        <w:tc>
          <w:tcPr>
            <w:tcW w:w="2989" w:type="dxa"/>
            <w:gridSpan w:val="3"/>
            <w:shd w:val="clear" w:color="auto" w:fill="FFFFFF"/>
            <w:vAlign w:val="center"/>
          </w:tcPr>
          <w:p w14:paraId="3F182DB3">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121.4</w:t>
            </w:r>
          </w:p>
        </w:tc>
      </w:tr>
      <w:tr w14:paraId="72337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827" w:type="dxa"/>
            <w:vMerge w:val="continue"/>
            <w:shd w:val="clear" w:color="auto" w:fill="FFFFFF"/>
            <w:vAlign w:val="center"/>
          </w:tcPr>
          <w:p w14:paraId="61BF2D93">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981" w:type="dxa"/>
            <w:vMerge w:val="continue"/>
            <w:shd w:val="clear" w:color="auto" w:fill="FFFFFF"/>
            <w:vAlign w:val="center"/>
          </w:tcPr>
          <w:p w14:paraId="30AAD19B">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p>
        </w:tc>
        <w:tc>
          <w:tcPr>
            <w:tcW w:w="4333" w:type="dxa"/>
            <w:gridSpan w:val="3"/>
            <w:shd w:val="clear" w:color="auto" w:fill="FFFFFF"/>
            <w:vAlign w:val="center"/>
          </w:tcPr>
          <w:p w14:paraId="2298D2AD">
            <w:pPr>
              <w:pStyle w:val="211"/>
              <w:adjustRightInd w:val="0"/>
              <w:snapToGrid w:val="0"/>
              <w:spacing w:after="0" w:line="240" w:lineRule="atLeas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写字楼用电负荷</w:t>
            </w:r>
            <w:r>
              <w:rPr>
                <w:rFonts w:hint="eastAsia" w:ascii="宋体" w:hAnsi="宋体" w:eastAsia="宋体" w:cs="宋体"/>
                <w:color w:val="auto"/>
                <w:sz w:val="21"/>
                <w:szCs w:val="21"/>
                <w:highlight w:val="none"/>
                <w:lang w:val="en-US" w:eastAsia="zh-CN" w:bidi="en-US"/>
              </w:rPr>
              <w:t>（kw）</w:t>
            </w:r>
          </w:p>
        </w:tc>
        <w:tc>
          <w:tcPr>
            <w:tcW w:w="2989" w:type="dxa"/>
            <w:gridSpan w:val="3"/>
            <w:shd w:val="clear" w:color="auto" w:fill="FFFFFF"/>
            <w:vAlign w:val="center"/>
          </w:tcPr>
          <w:p w14:paraId="5E444720">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55.2</w:t>
            </w:r>
          </w:p>
        </w:tc>
      </w:tr>
      <w:tr w14:paraId="0785C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827" w:type="dxa"/>
            <w:vMerge w:val="continue"/>
            <w:shd w:val="clear" w:color="auto" w:fill="FFFFFF"/>
            <w:vAlign w:val="center"/>
          </w:tcPr>
          <w:p w14:paraId="09E175AA">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981" w:type="dxa"/>
            <w:vMerge w:val="restart"/>
            <w:shd w:val="clear" w:color="auto" w:fill="FFFFFF"/>
            <w:vAlign w:val="center"/>
          </w:tcPr>
          <w:p w14:paraId="2C4E5B18">
            <w:pPr>
              <w:adjustRightInd w:val="0"/>
              <w:snapToGrid w:val="0"/>
              <w:spacing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动力设备</w:t>
            </w:r>
          </w:p>
        </w:tc>
        <w:tc>
          <w:tcPr>
            <w:tcW w:w="4333" w:type="dxa"/>
            <w:gridSpan w:val="3"/>
            <w:shd w:val="clear" w:color="auto" w:fill="FFFFFF"/>
            <w:vAlign w:val="center"/>
          </w:tcPr>
          <w:p w14:paraId="152B528B">
            <w:pPr>
              <w:pStyle w:val="211"/>
              <w:adjustRightInd w:val="0"/>
              <w:snapToGrid w:val="0"/>
              <w:spacing w:after="0" w:line="240" w:lineRule="atLeas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总用电负荷</w:t>
            </w:r>
            <w:r>
              <w:rPr>
                <w:rFonts w:hint="eastAsia" w:ascii="宋体" w:hAnsi="宋体" w:eastAsia="宋体" w:cs="宋体"/>
                <w:color w:val="auto"/>
                <w:sz w:val="21"/>
                <w:szCs w:val="21"/>
                <w:highlight w:val="none"/>
                <w:lang w:val="en-US" w:eastAsia="en-US" w:bidi="en-US"/>
              </w:rPr>
              <w:t>（kw）</w:t>
            </w:r>
          </w:p>
        </w:tc>
        <w:tc>
          <w:tcPr>
            <w:tcW w:w="2989" w:type="dxa"/>
            <w:gridSpan w:val="3"/>
            <w:shd w:val="clear" w:color="auto" w:fill="FFFFFF"/>
            <w:vAlign w:val="center"/>
          </w:tcPr>
          <w:p w14:paraId="73B83398">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6244.2</w:t>
            </w:r>
          </w:p>
        </w:tc>
      </w:tr>
      <w:tr w14:paraId="37A95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827" w:type="dxa"/>
            <w:vMerge w:val="continue"/>
            <w:shd w:val="clear" w:color="auto" w:fill="FFFFFF"/>
            <w:vAlign w:val="center"/>
          </w:tcPr>
          <w:p w14:paraId="1909F803">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981" w:type="dxa"/>
            <w:vMerge w:val="continue"/>
            <w:shd w:val="clear" w:color="auto" w:fill="FFFFFF"/>
            <w:vAlign w:val="center"/>
          </w:tcPr>
          <w:p w14:paraId="4596C13F">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4333" w:type="dxa"/>
            <w:gridSpan w:val="3"/>
            <w:shd w:val="clear" w:color="auto" w:fill="FFFFFF"/>
            <w:vAlign w:val="center"/>
          </w:tcPr>
          <w:p w14:paraId="70A6FE7C">
            <w:pPr>
              <w:pStyle w:val="211"/>
              <w:adjustRightInd w:val="0"/>
              <w:snapToGrid w:val="0"/>
              <w:spacing w:after="0" w:line="240" w:lineRule="atLeas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空调用动力设备用电负荷</w:t>
            </w:r>
            <w:r>
              <w:rPr>
                <w:rFonts w:hint="eastAsia" w:ascii="宋体" w:hAnsi="宋体" w:eastAsia="宋体" w:cs="宋体"/>
                <w:color w:val="auto"/>
                <w:sz w:val="21"/>
                <w:szCs w:val="21"/>
                <w:highlight w:val="none"/>
                <w:lang w:val="en-US" w:eastAsia="zh-CN" w:bidi="en-US"/>
              </w:rPr>
              <w:t>（kw）</w:t>
            </w:r>
          </w:p>
        </w:tc>
        <w:tc>
          <w:tcPr>
            <w:tcW w:w="2989" w:type="dxa"/>
            <w:gridSpan w:val="3"/>
            <w:shd w:val="clear" w:color="auto" w:fill="FFFFFF"/>
            <w:vAlign w:val="center"/>
          </w:tcPr>
          <w:p w14:paraId="6A37E840">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3297.1</w:t>
            </w:r>
          </w:p>
        </w:tc>
      </w:tr>
      <w:tr w14:paraId="6E97D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29" w:hRule="exact"/>
          <w:jc w:val="center"/>
        </w:trPr>
        <w:tc>
          <w:tcPr>
            <w:tcW w:w="827" w:type="dxa"/>
            <w:vMerge w:val="continue"/>
            <w:shd w:val="clear" w:color="auto" w:fill="FFFFFF"/>
            <w:vAlign w:val="center"/>
          </w:tcPr>
          <w:p w14:paraId="20694631">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981" w:type="dxa"/>
            <w:vMerge w:val="continue"/>
            <w:shd w:val="clear" w:color="auto" w:fill="FFFFFF"/>
            <w:vAlign w:val="center"/>
          </w:tcPr>
          <w:p w14:paraId="4588092D">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4333" w:type="dxa"/>
            <w:gridSpan w:val="3"/>
            <w:shd w:val="clear" w:color="auto" w:fill="FFFFFF"/>
            <w:vAlign w:val="center"/>
          </w:tcPr>
          <w:p w14:paraId="128524A7">
            <w:pPr>
              <w:pStyle w:val="211"/>
              <w:adjustRightInd w:val="0"/>
              <w:snapToGrid w:val="0"/>
              <w:spacing w:after="0" w:line="240" w:lineRule="atLeas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动力用设备用电负荷</w:t>
            </w:r>
            <w:r>
              <w:rPr>
                <w:rFonts w:hint="eastAsia" w:ascii="宋体" w:hAnsi="宋体" w:eastAsia="宋体" w:cs="宋体"/>
                <w:color w:val="auto"/>
                <w:sz w:val="21"/>
                <w:szCs w:val="21"/>
                <w:highlight w:val="none"/>
                <w:lang w:val="en-US" w:eastAsia="zh-CN" w:bidi="en-US"/>
              </w:rPr>
              <w:t>（kw）</w:t>
            </w:r>
          </w:p>
          <w:p w14:paraId="074387B6">
            <w:pPr>
              <w:pStyle w:val="211"/>
              <w:adjustRightInd w:val="0"/>
              <w:snapToGrid w:val="0"/>
              <w:spacing w:after="0" w:line="240" w:lineRule="atLeas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（排水泵、给水泵、污水处理装置）</w:t>
            </w:r>
          </w:p>
        </w:tc>
        <w:tc>
          <w:tcPr>
            <w:tcW w:w="2989" w:type="dxa"/>
            <w:gridSpan w:val="3"/>
            <w:shd w:val="clear" w:color="auto" w:fill="FFFFFF"/>
            <w:vAlign w:val="center"/>
          </w:tcPr>
          <w:p w14:paraId="5C667FC0">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375</w:t>
            </w:r>
          </w:p>
        </w:tc>
      </w:tr>
      <w:tr w14:paraId="4B56A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18" w:hRule="exact"/>
          <w:jc w:val="center"/>
        </w:trPr>
        <w:tc>
          <w:tcPr>
            <w:tcW w:w="827" w:type="dxa"/>
            <w:vMerge w:val="continue"/>
            <w:shd w:val="clear" w:color="auto" w:fill="FFFFFF"/>
            <w:vAlign w:val="center"/>
          </w:tcPr>
          <w:p w14:paraId="1C2D482E">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981" w:type="dxa"/>
            <w:vMerge w:val="continue"/>
            <w:shd w:val="clear" w:color="auto" w:fill="FFFFFF"/>
            <w:vAlign w:val="center"/>
          </w:tcPr>
          <w:p w14:paraId="7F6E1452">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4333" w:type="dxa"/>
            <w:gridSpan w:val="3"/>
            <w:shd w:val="clear" w:color="auto" w:fill="FFFFFF"/>
            <w:vAlign w:val="center"/>
          </w:tcPr>
          <w:p w14:paraId="6F2A5615">
            <w:pPr>
              <w:pStyle w:val="211"/>
              <w:adjustRightInd w:val="0"/>
              <w:snapToGrid w:val="0"/>
              <w:spacing w:after="0" w:line="240" w:lineRule="atLeas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消防动力设备用电负荷</w:t>
            </w:r>
            <w:r>
              <w:rPr>
                <w:rFonts w:hint="eastAsia" w:ascii="宋体" w:hAnsi="宋体" w:eastAsia="宋体" w:cs="宋体"/>
                <w:color w:val="auto"/>
                <w:sz w:val="21"/>
                <w:szCs w:val="21"/>
                <w:highlight w:val="none"/>
                <w:lang w:val="en-US" w:eastAsia="zh-CN" w:bidi="en-US"/>
              </w:rPr>
              <w:t>（kw）</w:t>
            </w:r>
          </w:p>
          <w:p w14:paraId="1A045CDB">
            <w:pPr>
              <w:pStyle w:val="211"/>
              <w:adjustRightInd w:val="0"/>
              <w:snapToGrid w:val="0"/>
              <w:spacing w:after="0" w:line="240" w:lineRule="atLeas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（消火栓泵、喷淋泵、排烟风机）</w:t>
            </w:r>
          </w:p>
        </w:tc>
        <w:tc>
          <w:tcPr>
            <w:tcW w:w="2989" w:type="dxa"/>
            <w:gridSpan w:val="3"/>
            <w:shd w:val="clear" w:color="auto" w:fill="FFFFFF"/>
            <w:vAlign w:val="center"/>
          </w:tcPr>
          <w:p w14:paraId="0DFE72E5">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838.7</w:t>
            </w:r>
          </w:p>
        </w:tc>
      </w:tr>
      <w:tr w14:paraId="5AAC9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827" w:type="dxa"/>
            <w:vMerge w:val="continue"/>
            <w:shd w:val="clear" w:color="auto" w:fill="FFFFFF"/>
            <w:vAlign w:val="center"/>
          </w:tcPr>
          <w:p w14:paraId="7F80FF80">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981" w:type="dxa"/>
            <w:vMerge w:val="continue"/>
            <w:shd w:val="clear" w:color="auto" w:fill="FFFFFF"/>
            <w:vAlign w:val="center"/>
          </w:tcPr>
          <w:p w14:paraId="64273F6E">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4333" w:type="dxa"/>
            <w:gridSpan w:val="3"/>
            <w:shd w:val="clear" w:color="auto" w:fill="FFFFFF"/>
            <w:vAlign w:val="center"/>
          </w:tcPr>
          <w:p w14:paraId="6DC07E12">
            <w:pPr>
              <w:pStyle w:val="211"/>
              <w:adjustRightInd w:val="0"/>
              <w:snapToGrid w:val="0"/>
              <w:spacing w:after="0" w:line="240" w:lineRule="atLeas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输送设备（电梯等）用电负荷</w:t>
            </w:r>
            <w:r>
              <w:rPr>
                <w:rFonts w:hint="eastAsia" w:ascii="宋体" w:hAnsi="宋体" w:eastAsia="宋体" w:cs="宋体"/>
                <w:color w:val="auto"/>
                <w:sz w:val="21"/>
                <w:szCs w:val="21"/>
                <w:highlight w:val="none"/>
                <w:lang w:val="en-US" w:eastAsia="zh-CN" w:bidi="en-US"/>
              </w:rPr>
              <w:t>（kw）</w:t>
            </w:r>
          </w:p>
        </w:tc>
        <w:tc>
          <w:tcPr>
            <w:tcW w:w="2989" w:type="dxa"/>
            <w:gridSpan w:val="3"/>
            <w:shd w:val="clear" w:color="auto" w:fill="FFFFFF"/>
            <w:vAlign w:val="center"/>
          </w:tcPr>
          <w:p w14:paraId="7B849E37">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366</w:t>
            </w:r>
          </w:p>
        </w:tc>
      </w:tr>
      <w:tr w14:paraId="359BA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827" w:type="dxa"/>
            <w:vMerge w:val="continue"/>
            <w:shd w:val="clear" w:color="auto" w:fill="FFFFFF"/>
            <w:vAlign w:val="center"/>
          </w:tcPr>
          <w:p w14:paraId="799F7649">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981" w:type="dxa"/>
            <w:vMerge w:val="continue"/>
            <w:shd w:val="clear" w:color="auto" w:fill="FFFFFF"/>
            <w:vAlign w:val="center"/>
          </w:tcPr>
          <w:p w14:paraId="1AE1623E">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4333" w:type="dxa"/>
            <w:gridSpan w:val="3"/>
            <w:shd w:val="clear" w:color="auto" w:fill="FFFFFF"/>
            <w:vAlign w:val="center"/>
          </w:tcPr>
          <w:p w14:paraId="5494306A">
            <w:pPr>
              <w:pStyle w:val="211"/>
              <w:adjustRightInd w:val="0"/>
              <w:snapToGrid w:val="0"/>
              <w:spacing w:after="0" w:line="240" w:lineRule="atLeas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弱电设备用电负荷</w:t>
            </w:r>
            <w:r>
              <w:rPr>
                <w:rFonts w:hint="eastAsia" w:ascii="宋体" w:hAnsi="宋体" w:eastAsia="宋体" w:cs="宋体"/>
                <w:color w:val="auto"/>
                <w:sz w:val="21"/>
                <w:szCs w:val="21"/>
                <w:highlight w:val="none"/>
                <w:lang w:val="en-US" w:eastAsia="zh-CN" w:bidi="en-US"/>
              </w:rPr>
              <w:t>（kw）</w:t>
            </w:r>
          </w:p>
        </w:tc>
        <w:tc>
          <w:tcPr>
            <w:tcW w:w="2989" w:type="dxa"/>
            <w:gridSpan w:val="3"/>
            <w:shd w:val="clear" w:color="auto" w:fill="FFFFFF"/>
            <w:vAlign w:val="center"/>
          </w:tcPr>
          <w:p w14:paraId="780FF488">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245</w:t>
            </w:r>
          </w:p>
        </w:tc>
      </w:tr>
      <w:tr w14:paraId="39634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17" w:hRule="exact"/>
          <w:jc w:val="center"/>
        </w:trPr>
        <w:tc>
          <w:tcPr>
            <w:tcW w:w="1808" w:type="dxa"/>
            <w:gridSpan w:val="2"/>
            <w:shd w:val="clear" w:color="auto" w:fill="FFFFFF"/>
            <w:vAlign w:val="center"/>
          </w:tcPr>
          <w:p w14:paraId="2F9B3478">
            <w:pPr>
              <w:pStyle w:val="211"/>
              <w:adjustRightInd w:val="0"/>
              <w:snapToGrid w:val="0"/>
              <w:spacing w:after="0" w:line="240" w:lineRule="atLeast"/>
              <w:ind w:firstLine="210" w:firstLineChars="1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防雷接地系统</w:t>
            </w:r>
          </w:p>
          <w:p w14:paraId="011D4D8D">
            <w:pPr>
              <w:pStyle w:val="211"/>
              <w:adjustRightInd w:val="0"/>
              <w:snapToGrid w:val="0"/>
              <w:spacing w:after="0" w:line="240" w:lineRule="atLeas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（点数）</w:t>
            </w:r>
          </w:p>
        </w:tc>
        <w:tc>
          <w:tcPr>
            <w:tcW w:w="7322" w:type="dxa"/>
            <w:gridSpan w:val="6"/>
            <w:shd w:val="clear" w:color="auto" w:fill="FFFFFF"/>
            <w:vAlign w:val="center"/>
          </w:tcPr>
          <w:p w14:paraId="7520C33A">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r>
      <w:tr w14:paraId="2F80E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5" w:hRule="exact"/>
          <w:jc w:val="center"/>
        </w:trPr>
        <w:tc>
          <w:tcPr>
            <w:tcW w:w="1808" w:type="dxa"/>
            <w:gridSpan w:val="2"/>
            <w:vMerge w:val="restart"/>
            <w:shd w:val="clear" w:color="auto" w:fill="FFFFFF"/>
            <w:vAlign w:val="center"/>
          </w:tcPr>
          <w:p w14:paraId="48796BC2">
            <w:pPr>
              <w:adjustRightInd w:val="0"/>
              <w:snapToGrid w:val="0"/>
              <w:spacing w:line="240" w:lineRule="atLeast"/>
              <w:ind w:firstLine="210" w:firstLineChars="1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多联机空调、</w:t>
            </w:r>
          </w:p>
          <w:p w14:paraId="79925C8F">
            <w:pPr>
              <w:adjustRightInd w:val="0"/>
              <w:snapToGrid w:val="0"/>
              <w:spacing w:line="240" w:lineRule="atLeast"/>
              <w:ind w:firstLine="210" w:firstLineChars="1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新风系统</w:t>
            </w:r>
          </w:p>
        </w:tc>
        <w:tc>
          <w:tcPr>
            <w:tcW w:w="4333" w:type="dxa"/>
            <w:gridSpan w:val="3"/>
            <w:shd w:val="clear" w:color="auto" w:fill="FFFFFF"/>
            <w:vAlign w:val="center"/>
          </w:tcPr>
          <w:p w14:paraId="55EB159E">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bidi="en-US"/>
              </w:rPr>
            </w:pPr>
            <w:r>
              <w:rPr>
                <w:rFonts w:hint="eastAsia" w:ascii="宋体" w:hAnsi="宋体" w:eastAsia="宋体" w:cs="宋体"/>
                <w:color w:val="auto"/>
                <w:sz w:val="21"/>
                <w:szCs w:val="21"/>
                <w:highlight w:val="none"/>
                <w:lang w:val="en-US" w:eastAsia="zh-CN"/>
              </w:rPr>
              <w:t>空调室外机台数</w:t>
            </w:r>
          </w:p>
        </w:tc>
        <w:tc>
          <w:tcPr>
            <w:tcW w:w="2989" w:type="dxa"/>
            <w:gridSpan w:val="3"/>
            <w:shd w:val="clear" w:color="auto" w:fill="FFFFFF"/>
            <w:vAlign w:val="center"/>
          </w:tcPr>
          <w:p w14:paraId="0D6A7020">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108台</w:t>
            </w:r>
          </w:p>
        </w:tc>
      </w:tr>
      <w:tr w14:paraId="0DC7D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continue"/>
            <w:shd w:val="clear" w:color="auto" w:fill="FFFFFF"/>
            <w:vAlign w:val="center"/>
          </w:tcPr>
          <w:p w14:paraId="66B8871D">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4333" w:type="dxa"/>
            <w:gridSpan w:val="3"/>
            <w:shd w:val="clear" w:color="auto" w:fill="FFFFFF"/>
            <w:vAlign w:val="center"/>
          </w:tcPr>
          <w:p w14:paraId="0215CE2C">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空调室内机台数</w:t>
            </w:r>
          </w:p>
        </w:tc>
        <w:tc>
          <w:tcPr>
            <w:tcW w:w="2989" w:type="dxa"/>
            <w:gridSpan w:val="3"/>
            <w:shd w:val="clear" w:color="auto" w:fill="FFFFFF"/>
            <w:vAlign w:val="center"/>
          </w:tcPr>
          <w:p w14:paraId="61FD1984">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841台</w:t>
            </w:r>
          </w:p>
        </w:tc>
      </w:tr>
      <w:tr w14:paraId="40BD5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continue"/>
            <w:shd w:val="clear" w:color="auto" w:fill="FFFFFF"/>
            <w:vAlign w:val="center"/>
          </w:tcPr>
          <w:p w14:paraId="3F11284B">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4333" w:type="dxa"/>
            <w:gridSpan w:val="3"/>
            <w:shd w:val="clear" w:color="auto" w:fill="FFFFFF"/>
            <w:vAlign w:val="center"/>
          </w:tcPr>
          <w:p w14:paraId="19AED48A">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新风室外机台数</w:t>
            </w:r>
          </w:p>
        </w:tc>
        <w:tc>
          <w:tcPr>
            <w:tcW w:w="2989" w:type="dxa"/>
            <w:gridSpan w:val="3"/>
            <w:shd w:val="clear" w:color="auto" w:fill="FFFFFF"/>
            <w:vAlign w:val="center"/>
          </w:tcPr>
          <w:p w14:paraId="78484672">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45台</w:t>
            </w:r>
          </w:p>
        </w:tc>
      </w:tr>
      <w:tr w14:paraId="6DE0A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continue"/>
            <w:shd w:val="clear" w:color="auto" w:fill="FFFFFF"/>
            <w:vAlign w:val="center"/>
          </w:tcPr>
          <w:p w14:paraId="0DC2249E">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4333" w:type="dxa"/>
            <w:gridSpan w:val="3"/>
            <w:shd w:val="clear" w:color="auto" w:fill="FFFFFF"/>
            <w:vAlign w:val="center"/>
          </w:tcPr>
          <w:p w14:paraId="39943CEA">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新风室内机台数</w:t>
            </w:r>
          </w:p>
        </w:tc>
        <w:tc>
          <w:tcPr>
            <w:tcW w:w="2989" w:type="dxa"/>
            <w:gridSpan w:val="3"/>
            <w:shd w:val="clear" w:color="auto" w:fill="FFFFFF"/>
            <w:vAlign w:val="center"/>
          </w:tcPr>
          <w:p w14:paraId="093E583B">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86台</w:t>
            </w:r>
          </w:p>
        </w:tc>
      </w:tr>
      <w:tr w14:paraId="5FE06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restart"/>
            <w:shd w:val="clear" w:color="auto" w:fill="FFFFFF"/>
            <w:vAlign w:val="center"/>
          </w:tcPr>
          <w:p w14:paraId="6D9F688E">
            <w:pPr>
              <w:adjustRightInd w:val="0"/>
              <w:snapToGrid w:val="0"/>
              <w:spacing w:line="240" w:lineRule="atLeas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通风系统</w:t>
            </w:r>
          </w:p>
        </w:tc>
        <w:tc>
          <w:tcPr>
            <w:tcW w:w="4333" w:type="dxa"/>
            <w:gridSpan w:val="3"/>
            <w:shd w:val="clear" w:color="auto" w:fill="FFFFFF"/>
            <w:vAlign w:val="center"/>
          </w:tcPr>
          <w:p w14:paraId="4A46FA03">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地下车库送风机台数/功率</w:t>
            </w:r>
          </w:p>
        </w:tc>
        <w:tc>
          <w:tcPr>
            <w:tcW w:w="2989" w:type="dxa"/>
            <w:gridSpan w:val="3"/>
            <w:shd w:val="clear" w:color="auto" w:fill="FFFFFF"/>
            <w:vAlign w:val="center"/>
          </w:tcPr>
          <w:p w14:paraId="4AF8832A">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13台</w:t>
            </w:r>
            <w:r>
              <w:rPr>
                <w:rFonts w:hint="eastAsia" w:ascii="宋体" w:hAnsi="宋体" w:eastAsia="宋体" w:cs="宋体"/>
                <w:color w:val="auto"/>
                <w:sz w:val="21"/>
                <w:szCs w:val="21"/>
                <w:highlight w:val="none"/>
                <w:lang w:bidi="zh-TW"/>
              </w:rPr>
              <w:t>/</w:t>
            </w:r>
            <w:r>
              <w:rPr>
                <w:rFonts w:hint="eastAsia" w:ascii="宋体" w:hAnsi="宋体" w:eastAsia="宋体" w:cs="宋体"/>
                <w:color w:val="auto"/>
                <w:sz w:val="21"/>
                <w:szCs w:val="21"/>
                <w:highlight w:val="none"/>
                <w:lang w:eastAsia="zh-CN" w:bidi="zh-TW"/>
              </w:rPr>
              <w:t>117.5kW</w:t>
            </w:r>
          </w:p>
        </w:tc>
      </w:tr>
      <w:tr w14:paraId="632DC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continue"/>
            <w:shd w:val="clear" w:color="auto" w:fill="FFFFFF"/>
            <w:vAlign w:val="center"/>
          </w:tcPr>
          <w:p w14:paraId="0C48590C">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4333" w:type="dxa"/>
            <w:gridSpan w:val="3"/>
            <w:shd w:val="clear" w:color="auto" w:fill="FFFFFF"/>
            <w:vAlign w:val="center"/>
          </w:tcPr>
          <w:p w14:paraId="78D15F43">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地下车库排风机台数/功率</w:t>
            </w:r>
          </w:p>
        </w:tc>
        <w:tc>
          <w:tcPr>
            <w:tcW w:w="2989" w:type="dxa"/>
            <w:gridSpan w:val="3"/>
            <w:shd w:val="clear" w:color="auto" w:fill="FFFFFF"/>
            <w:vAlign w:val="center"/>
          </w:tcPr>
          <w:p w14:paraId="09A4400D">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14台</w:t>
            </w:r>
            <w:r>
              <w:rPr>
                <w:rFonts w:hint="eastAsia" w:ascii="宋体" w:hAnsi="宋体" w:eastAsia="宋体" w:cs="宋体"/>
                <w:color w:val="auto"/>
                <w:sz w:val="21"/>
                <w:szCs w:val="21"/>
                <w:highlight w:val="none"/>
                <w:lang w:bidi="zh-TW"/>
              </w:rPr>
              <w:t>/</w:t>
            </w:r>
            <w:r>
              <w:rPr>
                <w:rFonts w:hint="eastAsia" w:ascii="宋体" w:hAnsi="宋体" w:eastAsia="宋体" w:cs="宋体"/>
                <w:color w:val="auto"/>
                <w:sz w:val="21"/>
                <w:szCs w:val="21"/>
                <w:highlight w:val="none"/>
                <w:lang w:eastAsia="zh-CN" w:bidi="zh-TW"/>
              </w:rPr>
              <w:t>122.45kW</w:t>
            </w:r>
          </w:p>
        </w:tc>
      </w:tr>
      <w:tr w14:paraId="3BF81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continue"/>
            <w:shd w:val="clear" w:color="auto" w:fill="FFFFFF"/>
            <w:vAlign w:val="center"/>
          </w:tcPr>
          <w:p w14:paraId="16FEB6A8">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4333" w:type="dxa"/>
            <w:gridSpan w:val="3"/>
            <w:shd w:val="clear" w:color="auto" w:fill="FFFFFF"/>
            <w:vAlign w:val="center"/>
          </w:tcPr>
          <w:p w14:paraId="01348611">
            <w:pPr>
              <w:pStyle w:val="211"/>
              <w:adjustRightInd w:val="0"/>
              <w:snapToGrid w:val="0"/>
              <w:spacing w:after="0" w:line="240" w:lineRule="atLeast"/>
              <w:ind w:firstLine="42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办公楼</w:t>
            </w:r>
            <w:r>
              <w:rPr>
                <w:rFonts w:hint="eastAsia" w:ascii="宋体" w:hAnsi="宋体" w:eastAsia="宋体" w:cs="宋体"/>
                <w:color w:val="auto"/>
                <w:sz w:val="21"/>
                <w:szCs w:val="21"/>
                <w:highlight w:val="none"/>
              </w:rPr>
              <w:t>加压送风机台数/功率</w:t>
            </w:r>
          </w:p>
        </w:tc>
        <w:tc>
          <w:tcPr>
            <w:tcW w:w="2989" w:type="dxa"/>
            <w:gridSpan w:val="3"/>
            <w:shd w:val="clear" w:color="auto" w:fill="FFFFFF"/>
            <w:vAlign w:val="center"/>
          </w:tcPr>
          <w:p w14:paraId="2644ECEB">
            <w:pPr>
              <w:pStyle w:val="211"/>
              <w:adjustRightInd w:val="0"/>
              <w:snapToGrid w:val="0"/>
              <w:spacing w:after="0" w:line="240" w:lineRule="atLeas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9台</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99</w:t>
            </w:r>
            <w:r>
              <w:rPr>
                <w:rFonts w:hint="eastAsia" w:ascii="宋体" w:hAnsi="宋体" w:eastAsia="宋体" w:cs="宋体"/>
                <w:color w:val="auto"/>
                <w:sz w:val="21"/>
                <w:szCs w:val="21"/>
                <w:highlight w:val="none"/>
              </w:rPr>
              <w:t>kW</w:t>
            </w:r>
          </w:p>
        </w:tc>
      </w:tr>
      <w:tr w14:paraId="21BF2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continue"/>
            <w:shd w:val="clear" w:color="auto" w:fill="FFFFFF"/>
            <w:vAlign w:val="center"/>
          </w:tcPr>
          <w:p w14:paraId="48A7E4DC">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4333" w:type="dxa"/>
            <w:gridSpan w:val="3"/>
            <w:shd w:val="clear" w:color="auto" w:fill="FFFFFF"/>
            <w:vAlign w:val="center"/>
          </w:tcPr>
          <w:p w14:paraId="20F8E3BE">
            <w:pPr>
              <w:pStyle w:val="211"/>
              <w:adjustRightInd w:val="0"/>
              <w:snapToGrid w:val="0"/>
              <w:spacing w:after="0" w:line="240" w:lineRule="atLeast"/>
              <w:ind w:firstLine="42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办公楼</w:t>
            </w:r>
            <w:r>
              <w:rPr>
                <w:rFonts w:hint="eastAsia" w:ascii="宋体" w:hAnsi="宋体" w:eastAsia="宋体" w:cs="宋体"/>
                <w:color w:val="auto"/>
                <w:sz w:val="21"/>
                <w:szCs w:val="21"/>
                <w:highlight w:val="none"/>
              </w:rPr>
              <w:t>排风机台数/功率</w:t>
            </w:r>
          </w:p>
        </w:tc>
        <w:tc>
          <w:tcPr>
            <w:tcW w:w="2989" w:type="dxa"/>
            <w:gridSpan w:val="3"/>
            <w:shd w:val="clear" w:color="auto" w:fill="FFFFFF"/>
            <w:vAlign w:val="center"/>
          </w:tcPr>
          <w:p w14:paraId="4D64C65A">
            <w:pPr>
              <w:pStyle w:val="211"/>
              <w:adjustRightInd w:val="0"/>
              <w:snapToGrid w:val="0"/>
              <w:spacing w:after="0" w:line="240" w:lineRule="atLeas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10台</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232.1</w:t>
            </w:r>
            <w:r>
              <w:rPr>
                <w:rFonts w:hint="eastAsia" w:ascii="宋体" w:hAnsi="宋体" w:eastAsia="宋体" w:cs="宋体"/>
                <w:color w:val="auto"/>
                <w:sz w:val="21"/>
                <w:szCs w:val="21"/>
                <w:highlight w:val="none"/>
              </w:rPr>
              <w:t>kW</w:t>
            </w:r>
          </w:p>
        </w:tc>
      </w:tr>
      <w:tr w14:paraId="72A5D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restart"/>
            <w:shd w:val="clear" w:color="auto" w:fill="FFFFFF"/>
            <w:vAlign w:val="center"/>
          </w:tcPr>
          <w:p w14:paraId="573409CD">
            <w:pPr>
              <w:pStyle w:val="211"/>
              <w:adjustRightInd w:val="0"/>
              <w:snapToGrid w:val="0"/>
              <w:spacing w:after="0" w:line="240" w:lineRule="atLeas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排烟系统</w:t>
            </w:r>
          </w:p>
        </w:tc>
        <w:tc>
          <w:tcPr>
            <w:tcW w:w="4333" w:type="dxa"/>
            <w:gridSpan w:val="3"/>
            <w:shd w:val="clear" w:color="auto" w:fill="FFFFFF"/>
            <w:vAlign w:val="center"/>
          </w:tcPr>
          <w:p w14:paraId="74EB05BF">
            <w:pPr>
              <w:pStyle w:val="211"/>
              <w:adjustRightInd w:val="0"/>
              <w:snapToGrid w:val="0"/>
              <w:spacing w:after="0" w:line="240" w:lineRule="atLeast"/>
              <w:ind w:firstLine="42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地下室</w:t>
            </w:r>
            <w:r>
              <w:rPr>
                <w:rFonts w:hint="eastAsia" w:ascii="宋体" w:hAnsi="宋体" w:eastAsia="宋体" w:cs="宋体"/>
                <w:color w:val="auto"/>
                <w:sz w:val="21"/>
                <w:szCs w:val="21"/>
                <w:highlight w:val="none"/>
              </w:rPr>
              <w:t>排烟风机台数/总功率</w:t>
            </w:r>
          </w:p>
        </w:tc>
        <w:tc>
          <w:tcPr>
            <w:tcW w:w="2989" w:type="dxa"/>
            <w:gridSpan w:val="3"/>
            <w:shd w:val="clear" w:color="auto" w:fill="FFFFFF"/>
            <w:vAlign w:val="center"/>
          </w:tcPr>
          <w:p w14:paraId="1AE55BB9">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6台/</w:t>
            </w:r>
            <w:r>
              <w:rPr>
                <w:rFonts w:hint="eastAsia" w:ascii="宋体" w:hAnsi="宋体" w:eastAsia="宋体" w:cs="宋体"/>
                <w:color w:val="auto"/>
                <w:sz w:val="21"/>
                <w:szCs w:val="21"/>
                <w:highlight w:val="none"/>
                <w:lang w:val="en-US" w:eastAsia="zh-CN"/>
              </w:rPr>
              <w:t>296</w:t>
            </w:r>
            <w:r>
              <w:rPr>
                <w:rFonts w:hint="eastAsia" w:ascii="宋体" w:hAnsi="宋体" w:eastAsia="宋体" w:cs="宋体"/>
                <w:color w:val="auto"/>
                <w:sz w:val="21"/>
                <w:szCs w:val="21"/>
                <w:highlight w:val="none"/>
              </w:rPr>
              <w:t>kw</w:t>
            </w:r>
          </w:p>
        </w:tc>
      </w:tr>
      <w:tr w14:paraId="5BA6D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1808" w:type="dxa"/>
            <w:gridSpan w:val="2"/>
            <w:vMerge w:val="continue"/>
            <w:shd w:val="clear" w:color="auto" w:fill="FFFFFF"/>
            <w:vAlign w:val="center"/>
          </w:tcPr>
          <w:p w14:paraId="277DAF22">
            <w:pPr>
              <w:adjustRightInd w:val="0"/>
              <w:snapToGrid w:val="0"/>
              <w:spacing w:line="240" w:lineRule="atLeast"/>
              <w:ind w:firstLine="0" w:firstLineChars="0"/>
              <w:jc w:val="both"/>
              <w:rPr>
                <w:rFonts w:hint="eastAsia" w:ascii="宋体" w:hAnsi="宋体" w:eastAsia="宋体" w:cs="宋体"/>
                <w:color w:val="auto"/>
                <w:sz w:val="21"/>
                <w:szCs w:val="21"/>
                <w:highlight w:val="none"/>
              </w:rPr>
            </w:pPr>
          </w:p>
        </w:tc>
        <w:tc>
          <w:tcPr>
            <w:tcW w:w="4333" w:type="dxa"/>
            <w:gridSpan w:val="3"/>
            <w:shd w:val="clear" w:color="auto" w:fill="FFFFFF"/>
            <w:vAlign w:val="center"/>
          </w:tcPr>
          <w:p w14:paraId="549E88F7">
            <w:pPr>
              <w:pStyle w:val="211"/>
              <w:adjustRightInd w:val="0"/>
              <w:snapToGrid w:val="0"/>
              <w:spacing w:after="0" w:line="240" w:lineRule="atLeast"/>
              <w:ind w:firstLine="42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办公楼</w:t>
            </w:r>
            <w:r>
              <w:rPr>
                <w:rFonts w:hint="eastAsia" w:ascii="宋体" w:hAnsi="宋体" w:eastAsia="宋体" w:cs="宋体"/>
                <w:color w:val="auto"/>
                <w:sz w:val="21"/>
                <w:szCs w:val="21"/>
                <w:highlight w:val="none"/>
              </w:rPr>
              <w:t>排烟风机台数/总功</w:t>
            </w:r>
            <w:r>
              <w:rPr>
                <w:rFonts w:hint="eastAsia" w:ascii="宋体" w:hAnsi="宋体" w:eastAsia="宋体" w:cs="宋体"/>
                <w:color w:val="auto"/>
                <w:sz w:val="21"/>
                <w:szCs w:val="21"/>
                <w:highlight w:val="none"/>
                <w:lang w:val="en-US" w:eastAsia="zh-CN"/>
              </w:rPr>
              <w:t>率</w:t>
            </w:r>
          </w:p>
        </w:tc>
        <w:tc>
          <w:tcPr>
            <w:tcW w:w="2989" w:type="dxa"/>
            <w:gridSpan w:val="3"/>
            <w:shd w:val="clear" w:color="auto" w:fill="FFFFFF"/>
            <w:vAlign w:val="center"/>
          </w:tcPr>
          <w:p w14:paraId="761B65FA">
            <w:pPr>
              <w:pStyle w:val="211"/>
              <w:adjustRightInd w:val="0"/>
              <w:snapToGrid w:val="0"/>
              <w:spacing w:after="0" w:line="240" w:lineRule="atLeas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台/</w:t>
            </w:r>
            <w:r>
              <w:rPr>
                <w:rFonts w:hint="eastAsia" w:ascii="宋体" w:hAnsi="宋体" w:eastAsia="宋体" w:cs="宋体"/>
                <w:color w:val="auto"/>
                <w:sz w:val="21"/>
                <w:szCs w:val="21"/>
                <w:highlight w:val="none"/>
                <w:lang w:val="en-US" w:eastAsia="zh-CN"/>
              </w:rPr>
              <w:t>89</w:t>
            </w:r>
            <w:r>
              <w:rPr>
                <w:rFonts w:hint="eastAsia" w:ascii="宋体" w:hAnsi="宋体" w:eastAsia="宋体" w:cs="宋体"/>
                <w:color w:val="auto"/>
                <w:sz w:val="21"/>
                <w:szCs w:val="21"/>
                <w:highlight w:val="none"/>
              </w:rPr>
              <w:t>kw</w:t>
            </w:r>
          </w:p>
        </w:tc>
      </w:tr>
    </w:tbl>
    <w:p w14:paraId="3943FCF0">
      <w:pPr>
        <w:bidi w:val="0"/>
        <w:rPr>
          <w:rFonts w:hint="eastAsia"/>
          <w:color w:val="auto"/>
          <w:lang w:val="en-US" w:eastAsia="zh-CN"/>
        </w:rPr>
      </w:pPr>
      <w:bookmarkStart w:id="518" w:name="_Toc30595"/>
    </w:p>
    <w:p w14:paraId="3EB15E55">
      <w:pPr>
        <w:pStyle w:val="2"/>
        <w:adjustRightInd w:val="0"/>
        <w:snapToGrid w:val="0"/>
        <w:spacing w:line="360" w:lineRule="auto"/>
        <w:rPr>
          <w:rFonts w:hint="eastAsia" w:ascii="宋体" w:hAnsi="宋体" w:eastAsia="宋体" w:cs="宋体"/>
          <w:color w:val="auto"/>
          <w:sz w:val="21"/>
          <w:szCs w:val="21"/>
          <w:highlight w:val="none"/>
          <w:lang w:val="en-US" w:eastAsia="zh-CN"/>
        </w:rPr>
      </w:pPr>
      <w:bookmarkStart w:id="519" w:name="_Toc26497"/>
      <w:bookmarkStart w:id="520" w:name="_Toc21282"/>
      <w:bookmarkStart w:id="521" w:name="_Toc11605"/>
      <w:bookmarkStart w:id="522" w:name="_Toc27339"/>
      <w:bookmarkStart w:id="523" w:name="_Toc92"/>
      <w:r>
        <w:rPr>
          <w:rFonts w:hint="eastAsia" w:ascii="宋体" w:hAnsi="宋体" w:eastAsia="宋体" w:cs="宋体"/>
          <w:b/>
          <w:bCs/>
          <w:color w:val="auto"/>
          <w:sz w:val="21"/>
          <w:szCs w:val="21"/>
          <w:highlight w:val="none"/>
          <w:lang w:val="en-US" w:eastAsia="zh-CN"/>
        </w:rPr>
        <w:t>二、采购服务内容</w:t>
      </w:r>
      <w:bookmarkEnd w:id="518"/>
      <w:bookmarkEnd w:id="519"/>
      <w:bookmarkEnd w:id="520"/>
      <w:bookmarkEnd w:id="521"/>
      <w:bookmarkEnd w:id="522"/>
      <w:bookmarkEnd w:id="523"/>
    </w:p>
    <w:p w14:paraId="3DC57B6D">
      <w:pPr>
        <w:pStyle w:val="4"/>
        <w:bidi w:val="0"/>
        <w:spacing w:line="360" w:lineRule="auto"/>
        <w:ind w:firstLine="422" w:firstLineChars="200"/>
        <w:rPr>
          <w:rFonts w:hint="eastAsia" w:ascii="宋体" w:hAnsi="宋体" w:eastAsia="宋体" w:cs="宋体"/>
          <w:b/>
          <w:bCs/>
          <w:color w:val="auto"/>
          <w:sz w:val="21"/>
          <w:szCs w:val="21"/>
          <w:highlight w:val="none"/>
          <w:lang w:val="en-US" w:eastAsia="zh-CN"/>
        </w:rPr>
      </w:pPr>
      <w:bookmarkStart w:id="524" w:name="_Toc28184"/>
      <w:bookmarkStart w:id="525" w:name="_Toc18196"/>
      <w:bookmarkStart w:id="526" w:name="_Toc11101"/>
      <w:bookmarkStart w:id="527" w:name="_Toc20277"/>
      <w:bookmarkStart w:id="528" w:name="_Toc885"/>
      <w:bookmarkStart w:id="529" w:name="_Toc25856"/>
      <w:bookmarkStart w:id="530" w:name="_Toc16786"/>
      <w:bookmarkStart w:id="531" w:name="_Toc4394"/>
      <w:bookmarkStart w:id="532" w:name="_Toc18238"/>
      <w:bookmarkStart w:id="533" w:name="_Toc27168"/>
      <w:r>
        <w:rPr>
          <w:rFonts w:hint="eastAsia" w:ascii="宋体" w:hAnsi="宋体" w:eastAsia="宋体" w:cs="宋体"/>
          <w:b/>
          <w:bCs/>
          <w:color w:val="auto"/>
          <w:sz w:val="21"/>
          <w:szCs w:val="21"/>
          <w:highlight w:val="none"/>
          <w:lang w:val="en-US" w:eastAsia="zh-CN"/>
        </w:rPr>
        <w:t>2.1</w:t>
      </w:r>
      <w:bookmarkEnd w:id="524"/>
      <w:r>
        <w:rPr>
          <w:rFonts w:hint="eastAsia" w:hAnsi="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lang w:val="en-US" w:eastAsia="zh-CN"/>
        </w:rPr>
        <w:t>物业管理带教服务</w:t>
      </w:r>
      <w:bookmarkEnd w:id="525"/>
      <w:bookmarkEnd w:id="526"/>
      <w:bookmarkEnd w:id="527"/>
      <w:bookmarkEnd w:id="528"/>
      <w:bookmarkEnd w:id="529"/>
    </w:p>
    <w:p w14:paraId="2B33424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val="0"/>
          <w:color w:val="auto"/>
          <w:sz w:val="21"/>
          <w:szCs w:val="21"/>
          <w:highlight w:val="yellow"/>
          <w:lang w:val="en-US" w:eastAsia="zh-CN"/>
        </w:rPr>
      </w:pPr>
      <w:r>
        <w:rPr>
          <w:rFonts w:hint="eastAsia" w:ascii="宋体" w:hAnsi="宋体" w:eastAsia="宋体" w:cs="宋体"/>
          <w:b w:val="0"/>
          <w:bCs w:val="0"/>
          <w:color w:val="auto"/>
          <w:sz w:val="21"/>
          <w:szCs w:val="21"/>
          <w:highlight w:val="none"/>
        </w:rPr>
        <w:t>由</w:t>
      </w:r>
      <w:r>
        <w:rPr>
          <w:rFonts w:hint="eastAsia" w:ascii="宋体" w:hAnsi="宋体" w:eastAsia="宋体" w:cs="宋体"/>
          <w:b w:val="0"/>
          <w:bCs w:val="0"/>
          <w:color w:val="auto"/>
          <w:sz w:val="21"/>
          <w:szCs w:val="21"/>
          <w:highlight w:val="none"/>
          <w:lang w:val="en-US" w:eastAsia="zh-CN"/>
        </w:rPr>
        <w:t>招标人</w:t>
      </w:r>
      <w:r>
        <w:rPr>
          <w:rFonts w:hint="eastAsia" w:ascii="宋体" w:hAnsi="宋体" w:eastAsia="宋体" w:cs="宋体"/>
          <w:b w:val="0"/>
          <w:bCs w:val="0"/>
          <w:color w:val="auto"/>
          <w:sz w:val="21"/>
          <w:szCs w:val="21"/>
          <w:highlight w:val="none"/>
        </w:rPr>
        <w:t>委派</w:t>
      </w:r>
      <w:r>
        <w:rPr>
          <w:rFonts w:hint="eastAsia" w:ascii="宋体" w:hAnsi="宋体" w:eastAsia="宋体" w:cs="宋体"/>
          <w:b w:val="0"/>
          <w:bCs w:val="0"/>
          <w:color w:val="auto"/>
          <w:sz w:val="21"/>
          <w:szCs w:val="21"/>
          <w:highlight w:val="none"/>
          <w:lang w:val="en-US" w:eastAsia="zh-CN"/>
        </w:rPr>
        <w:t>学</w:t>
      </w:r>
      <w:r>
        <w:rPr>
          <w:rFonts w:hint="eastAsia" w:ascii="宋体" w:hAnsi="宋体" w:eastAsia="宋体" w:cs="宋体"/>
          <w:b w:val="0"/>
          <w:bCs w:val="0"/>
          <w:color w:val="auto"/>
          <w:sz w:val="21"/>
          <w:szCs w:val="21"/>
          <w:highlight w:val="none"/>
        </w:rPr>
        <w:t>员至项目跟岗学习，</w:t>
      </w:r>
      <w:r>
        <w:rPr>
          <w:rFonts w:hint="eastAsia" w:ascii="宋体" w:hAnsi="宋体" w:eastAsia="宋体" w:cs="宋体"/>
          <w:b w:val="0"/>
          <w:bCs w:val="0"/>
          <w:color w:val="auto"/>
          <w:sz w:val="21"/>
          <w:szCs w:val="21"/>
          <w:highlight w:val="none"/>
          <w:lang w:val="en-US" w:eastAsia="zh-CN"/>
        </w:rPr>
        <w:t>要求中标人制定</w:t>
      </w:r>
      <w:r>
        <w:rPr>
          <w:rFonts w:hint="eastAsia" w:ascii="宋体" w:hAnsi="宋体" w:eastAsia="宋体" w:cs="宋体"/>
          <w:b w:val="0"/>
          <w:bCs w:val="0"/>
          <w:color w:val="auto"/>
          <w:sz w:val="21"/>
          <w:szCs w:val="21"/>
          <w:highlight w:val="none"/>
        </w:rPr>
        <w:t>专项培养计划</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从正式服务合同期第7个月开始通过为期约15个月（具体时间，招标人可根据实际情况进行灵活调整，以招标人的书面通知为准）的系统化带教，使学员（储备项目负责人，工程、安保、环境、客服4大条线储备负责人，共计5人）全面掌握写字楼物业项目的运营管理知识与技能，具备独立处理复杂问题、带领团队、达成业绩指标的能力。</w:t>
      </w:r>
    </w:p>
    <w:p w14:paraId="152DAFF8">
      <w:pPr>
        <w:bidi w:val="0"/>
        <w:spacing w:line="360" w:lineRule="auto"/>
        <w:ind w:firstLine="422" w:firstLineChars="200"/>
        <w:jc w:val="left"/>
        <w:outlineLvl w:val="3"/>
        <w:rPr>
          <w:rFonts w:hint="eastAsia" w:ascii="宋体" w:hAnsi="宋体" w:eastAsia="宋体" w:cs="宋体"/>
          <w:b/>
          <w:bCs/>
          <w:color w:val="auto"/>
          <w:sz w:val="21"/>
          <w:szCs w:val="21"/>
          <w:lang w:val="en-US" w:eastAsia="zh-CN"/>
        </w:rPr>
      </w:pPr>
      <w:bookmarkStart w:id="534" w:name="_Toc25776"/>
      <w:bookmarkStart w:id="535" w:name="_Toc29771"/>
      <w:bookmarkStart w:id="536" w:name="_Toc5876"/>
      <w:bookmarkStart w:id="537" w:name="_Toc17301"/>
      <w:bookmarkStart w:id="538" w:name="_Toc11704"/>
      <w:r>
        <w:rPr>
          <w:rFonts w:hint="eastAsia" w:ascii="宋体" w:hAnsi="宋体" w:eastAsia="宋体" w:cs="宋体"/>
          <w:b/>
          <w:bCs/>
          <w:color w:val="auto"/>
          <w:sz w:val="21"/>
          <w:szCs w:val="21"/>
          <w:lang w:val="en-US" w:eastAsia="zh-CN"/>
        </w:rPr>
        <w:t>2.1.1带教服务总体要求</w:t>
      </w:r>
      <w:bookmarkEnd w:id="534"/>
      <w:bookmarkEnd w:id="535"/>
      <w:bookmarkEnd w:id="536"/>
      <w:bookmarkEnd w:id="537"/>
      <w:bookmarkEnd w:id="538"/>
    </w:p>
    <w:p w14:paraId="73C2A91A">
      <w:pPr>
        <w:spacing w:line="360" w:lineRule="auto"/>
        <w:ind w:firstLine="42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责任主体：中标人作为带教服务的责任方，须对带教过程的系统性、有效性及最终成果负责。</w:t>
      </w:r>
    </w:p>
    <w:p w14:paraId="55E02A4E">
      <w:pPr>
        <w:spacing w:line="360" w:lineRule="auto"/>
        <w:ind w:firstLine="42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全程融合：带教工作须与项目日常物业服务运营深度融合，确保理论传授与实操训练紧密结合。</w:t>
      </w:r>
    </w:p>
    <w:p w14:paraId="6B515887">
      <w:pPr>
        <w:spacing w:line="360" w:lineRule="auto"/>
        <w:ind w:firstLine="420"/>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highlight w:val="none"/>
          <w:lang w:val="en-US" w:eastAsia="zh-CN"/>
        </w:rPr>
        <w:t>目标导向：带教工作应以实现招标人学员独立胜任目标岗位为最终目的，所有活动均围绕此目标展开。</w:t>
      </w:r>
    </w:p>
    <w:p w14:paraId="111E3BED">
      <w:pPr>
        <w:bidi w:val="0"/>
        <w:spacing w:line="360" w:lineRule="auto"/>
        <w:ind w:firstLine="422" w:firstLineChars="200"/>
        <w:jc w:val="left"/>
        <w:outlineLvl w:val="3"/>
        <w:rPr>
          <w:rFonts w:hint="eastAsia" w:ascii="宋体" w:hAnsi="宋体" w:eastAsia="宋体" w:cs="宋体"/>
          <w:b/>
          <w:bCs/>
          <w:color w:val="auto"/>
          <w:sz w:val="21"/>
          <w:szCs w:val="21"/>
          <w:lang w:val="en-US" w:eastAsia="zh-CN"/>
        </w:rPr>
      </w:pPr>
      <w:bookmarkStart w:id="539" w:name="_Toc16136"/>
      <w:bookmarkStart w:id="540" w:name="_Toc12729"/>
      <w:bookmarkStart w:id="541" w:name="_Toc24392"/>
      <w:bookmarkStart w:id="542" w:name="_Toc12484"/>
      <w:bookmarkStart w:id="543" w:name="_Toc24245"/>
      <w:r>
        <w:rPr>
          <w:rFonts w:hint="eastAsia" w:ascii="宋体" w:hAnsi="宋体" w:eastAsia="宋体" w:cs="宋体"/>
          <w:b/>
          <w:bCs/>
          <w:color w:val="auto"/>
          <w:sz w:val="21"/>
          <w:szCs w:val="21"/>
          <w:lang w:val="en-US" w:eastAsia="zh-CN"/>
        </w:rPr>
        <w:t>2.1.2带教服务内容</w:t>
      </w:r>
      <w:bookmarkEnd w:id="539"/>
      <w:bookmarkEnd w:id="540"/>
      <w:bookmarkEnd w:id="541"/>
      <w:bookmarkEnd w:id="542"/>
      <w:bookmarkEnd w:id="543"/>
    </w:p>
    <w:p w14:paraId="1CA32C4B">
      <w:pPr>
        <w:pStyle w:val="18"/>
        <w:spacing w:line="360" w:lineRule="auto"/>
        <w:ind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中标人提供的带教内容须全面覆盖以下内容：</w:t>
      </w:r>
    </w:p>
    <w:p w14:paraId="6CA77E24">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val="0"/>
          <w:color w:val="auto"/>
          <w:sz w:val="21"/>
          <w:szCs w:val="21"/>
          <w:highlight w:val="none"/>
          <w:lang w:val="en-US" w:eastAsia="zh-CN"/>
        </w:rPr>
      </w:pPr>
      <w:bookmarkStart w:id="544" w:name="OLE_LINK6"/>
      <w:r>
        <w:rPr>
          <w:rFonts w:hint="eastAsia" w:ascii="宋体" w:hAnsi="宋体" w:eastAsia="宋体" w:cs="宋体"/>
          <w:b w:val="0"/>
          <w:bCs w:val="0"/>
          <w:color w:val="auto"/>
          <w:sz w:val="21"/>
          <w:szCs w:val="21"/>
          <w:highlight w:val="none"/>
          <w:lang w:val="en-US" w:eastAsia="zh-CN"/>
        </w:rPr>
        <w:t>项目管理体系</w:t>
      </w:r>
      <w:bookmarkEnd w:id="544"/>
      <w:r>
        <w:rPr>
          <w:rFonts w:hint="eastAsia" w:ascii="宋体" w:hAnsi="宋体" w:eastAsia="宋体" w:cs="宋体"/>
          <w:b w:val="0"/>
          <w:bCs w:val="0"/>
          <w:color w:val="auto"/>
          <w:sz w:val="21"/>
          <w:szCs w:val="21"/>
          <w:highlight w:val="none"/>
          <w:lang w:val="en-US" w:eastAsia="zh-CN"/>
        </w:rPr>
        <w:t>：项目全周期运营管理思路；物业服务各模块（客服、工程、秩序、环境）标准化作业程序；品质管控体系与方法；内部考核与激励机制的建立与运行。</w:t>
      </w:r>
    </w:p>
    <w:p w14:paraId="706EBD14">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val="0"/>
          <w:color w:val="auto"/>
          <w:sz w:val="21"/>
          <w:szCs w:val="21"/>
          <w:highlight w:val="none"/>
          <w:lang w:val="en-US" w:eastAsia="zh-CN"/>
        </w:rPr>
      </w:pPr>
      <w:bookmarkStart w:id="545" w:name="OLE_LINK7"/>
      <w:r>
        <w:rPr>
          <w:rFonts w:hint="eastAsia" w:ascii="宋体" w:hAnsi="宋体" w:eastAsia="宋体" w:cs="宋体"/>
          <w:b w:val="0"/>
          <w:bCs w:val="0"/>
          <w:color w:val="auto"/>
          <w:sz w:val="21"/>
          <w:szCs w:val="21"/>
          <w:highlight w:val="none"/>
          <w:lang w:val="en-US" w:eastAsia="zh-CN"/>
        </w:rPr>
        <w:t>客户服务与关系维护</w:t>
      </w:r>
      <w:bookmarkEnd w:id="545"/>
      <w:r>
        <w:rPr>
          <w:rFonts w:hint="eastAsia" w:ascii="宋体" w:hAnsi="宋体" w:eastAsia="宋体" w:cs="宋体"/>
          <w:b w:val="0"/>
          <w:bCs w:val="0"/>
          <w:color w:val="auto"/>
          <w:sz w:val="21"/>
          <w:szCs w:val="21"/>
          <w:highlight w:val="none"/>
          <w:lang w:val="en-US" w:eastAsia="zh-CN"/>
        </w:rPr>
        <w:t>：前台接待、客户动线管理、服务礼仪与沟通规范；客户诉求处理机制与流程；客户满意度调查与分析改进；重大活动及会议的物业服务保障。</w:t>
      </w:r>
    </w:p>
    <w:p w14:paraId="3398B2C0">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val="0"/>
          <w:color w:val="auto"/>
          <w:sz w:val="21"/>
          <w:szCs w:val="21"/>
          <w:highlight w:val="none"/>
          <w:lang w:val="en-US" w:eastAsia="zh-CN"/>
        </w:rPr>
      </w:pPr>
      <w:bookmarkStart w:id="546" w:name="OLE_LINK8"/>
      <w:r>
        <w:rPr>
          <w:rFonts w:hint="eastAsia" w:ascii="宋体" w:hAnsi="宋体" w:eastAsia="宋体" w:cs="宋体"/>
          <w:b w:val="0"/>
          <w:bCs w:val="0"/>
          <w:color w:val="auto"/>
          <w:sz w:val="21"/>
          <w:szCs w:val="21"/>
          <w:highlight w:val="none"/>
          <w:lang w:val="en-US" w:eastAsia="zh-CN"/>
        </w:rPr>
        <w:t>工程运维管理</w:t>
      </w:r>
      <w:bookmarkEnd w:id="546"/>
      <w:r>
        <w:rPr>
          <w:rFonts w:hint="eastAsia" w:ascii="宋体" w:hAnsi="宋体" w:eastAsia="宋体" w:cs="宋体"/>
          <w:b w:val="0"/>
          <w:bCs w:val="0"/>
          <w:color w:val="auto"/>
          <w:sz w:val="21"/>
          <w:szCs w:val="21"/>
          <w:highlight w:val="none"/>
          <w:lang w:val="en-US" w:eastAsia="zh-CN"/>
        </w:rPr>
        <w:t>：房屋本体及共用设施设备的日常巡检、维护保养标准与计划编制；供配电、给排水、电梯、消防、空调等核心系统的运行原理与操作要点；维修报事流程与监管；工程档案资料管理；节能降耗管理策略。</w:t>
      </w:r>
    </w:p>
    <w:p w14:paraId="3F610225">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秩序维护与环境管理：全防范体系（人防、物防、技防）的构建与运作；各类（含消防安全）应急预案的制定、演练与应急处置；车辆动线及停车管理；保洁、绿化、垃圾处理等服务标准的落地与现场品质控制；外包服务方的监管与考核。</w:t>
      </w:r>
    </w:p>
    <w:p w14:paraId="57F2FAC4">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val="0"/>
          <w:color w:val="auto"/>
          <w:sz w:val="21"/>
          <w:szCs w:val="21"/>
          <w:highlight w:val="none"/>
          <w:lang w:val="en-US" w:eastAsia="zh-CN"/>
        </w:rPr>
      </w:pPr>
      <w:bookmarkStart w:id="547" w:name="OLE_LINK9"/>
      <w:r>
        <w:rPr>
          <w:rFonts w:hint="eastAsia" w:ascii="宋体" w:hAnsi="宋体" w:eastAsia="宋体" w:cs="宋体"/>
          <w:b w:val="0"/>
          <w:bCs w:val="0"/>
          <w:color w:val="auto"/>
          <w:sz w:val="21"/>
          <w:szCs w:val="21"/>
          <w:highlight w:val="none"/>
          <w:lang w:val="en-US" w:eastAsia="zh-CN"/>
        </w:rPr>
        <w:t>运营管理与财务知识</w:t>
      </w:r>
      <w:bookmarkEnd w:id="547"/>
      <w:r>
        <w:rPr>
          <w:rFonts w:hint="eastAsia" w:ascii="宋体" w:hAnsi="宋体" w:eastAsia="宋体" w:cs="宋体"/>
          <w:b w:val="0"/>
          <w:bCs w:val="0"/>
          <w:color w:val="auto"/>
          <w:sz w:val="21"/>
          <w:szCs w:val="21"/>
          <w:highlight w:val="none"/>
          <w:lang w:val="en-US" w:eastAsia="zh-CN"/>
        </w:rPr>
        <w:t>：物业服务费的构成与测算逻辑；项目年度预算的编制、执行与控制；物资采购与库存管理流程；分包合同管理要点；物业服务相关财务报表的阅读与分析基础。</w:t>
      </w:r>
    </w:p>
    <w:p w14:paraId="429D1C8D">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val="0"/>
          <w:color w:val="auto"/>
          <w:sz w:val="21"/>
          <w:szCs w:val="21"/>
          <w:highlight w:val="none"/>
          <w:lang w:val="en-US" w:eastAsia="zh-CN"/>
        </w:rPr>
      </w:pPr>
      <w:bookmarkStart w:id="548" w:name="OLE_LINK10"/>
      <w:r>
        <w:rPr>
          <w:rFonts w:hint="eastAsia" w:ascii="宋体" w:hAnsi="宋体" w:eastAsia="宋体" w:cs="宋体"/>
          <w:b w:val="0"/>
          <w:bCs w:val="0"/>
          <w:color w:val="auto"/>
          <w:sz w:val="21"/>
          <w:szCs w:val="21"/>
          <w:highlight w:val="none"/>
          <w:lang w:val="en-US" w:eastAsia="zh-CN"/>
        </w:rPr>
        <w:t>管理能力与领导力</w:t>
      </w:r>
      <w:bookmarkEnd w:id="548"/>
      <w:r>
        <w:rPr>
          <w:rFonts w:hint="eastAsia" w:ascii="宋体" w:hAnsi="宋体" w:eastAsia="宋体" w:cs="宋体"/>
          <w:b w:val="0"/>
          <w:bCs w:val="0"/>
          <w:color w:val="auto"/>
          <w:sz w:val="21"/>
          <w:szCs w:val="21"/>
          <w:highlight w:val="none"/>
          <w:lang w:val="en-US" w:eastAsia="zh-CN"/>
        </w:rPr>
        <w:t>：团队建设与人员激励技巧；高效会议组织与工作部署；公文写作与工作汇报；突发事件（如媒体应对、群体诉求）的沟通与危机公关基础。</w:t>
      </w:r>
    </w:p>
    <w:p w14:paraId="2BFECE5D">
      <w:pPr>
        <w:bidi w:val="0"/>
        <w:spacing w:line="360" w:lineRule="auto"/>
        <w:ind w:firstLine="422" w:firstLineChars="200"/>
        <w:jc w:val="left"/>
        <w:outlineLvl w:val="3"/>
        <w:rPr>
          <w:rFonts w:hint="eastAsia" w:ascii="宋体" w:hAnsi="宋体" w:eastAsia="宋体" w:cs="宋体"/>
          <w:b/>
          <w:bCs/>
          <w:color w:val="auto"/>
          <w:sz w:val="21"/>
          <w:szCs w:val="21"/>
          <w:lang w:val="en-US" w:eastAsia="zh-CN"/>
        </w:rPr>
      </w:pPr>
      <w:bookmarkStart w:id="549" w:name="_Toc9816"/>
      <w:bookmarkStart w:id="550" w:name="_Toc18509"/>
      <w:bookmarkStart w:id="551" w:name="_Toc20283"/>
      <w:bookmarkStart w:id="552" w:name="_Toc8343"/>
      <w:bookmarkStart w:id="553" w:name="_Toc21338"/>
      <w:r>
        <w:rPr>
          <w:rFonts w:hint="eastAsia" w:ascii="宋体" w:hAnsi="宋体" w:eastAsia="宋体" w:cs="宋体"/>
          <w:b/>
          <w:bCs/>
          <w:color w:val="auto"/>
          <w:sz w:val="21"/>
          <w:szCs w:val="21"/>
          <w:lang w:val="en-US" w:eastAsia="zh-CN"/>
        </w:rPr>
        <w:t>2.1.3带教人员配置与资源保障</w:t>
      </w:r>
      <w:bookmarkEnd w:id="549"/>
      <w:bookmarkEnd w:id="550"/>
      <w:bookmarkEnd w:id="551"/>
      <w:bookmarkEnd w:id="552"/>
      <w:bookmarkEnd w:id="553"/>
    </w:p>
    <w:p w14:paraId="456FEA6D">
      <w:pPr>
        <w:pStyle w:val="18"/>
        <w:spacing w:line="360" w:lineRule="auto"/>
        <w:ind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带教团队：中标人应组建具备相应资质与经验的带教团队，按照带教学员“一对一”配置导师，导师需由中标人另行选派，不得由拟投入本项目的物业管理团队人员兼任，导师资历不低于物业团队同等岗位任职能力，并确保核心带教团队在合作期内的稳定性。</w:t>
      </w:r>
    </w:p>
    <w:p w14:paraId="65539FBC">
      <w:pPr>
        <w:pStyle w:val="18"/>
        <w:spacing w:line="360" w:lineRule="auto"/>
        <w:ind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资源投入：中标人须承诺投入</w:t>
      </w:r>
      <w:bookmarkStart w:id="554" w:name="OLE_LINK4"/>
      <w:r>
        <w:rPr>
          <w:rFonts w:hint="eastAsia" w:ascii="宋体" w:hAnsi="宋体" w:eastAsia="宋体" w:cs="宋体"/>
          <w:b w:val="0"/>
          <w:bCs w:val="0"/>
          <w:color w:val="auto"/>
          <w:sz w:val="21"/>
          <w:szCs w:val="21"/>
          <w:highlight w:val="none"/>
          <w:lang w:val="en-US" w:eastAsia="zh-CN"/>
        </w:rPr>
        <w:t>必要的培训资源，包括但不限于课程体系、教材、实操场地及设备，以支持带教工作的有效实施。</w:t>
      </w:r>
    </w:p>
    <w:bookmarkEnd w:id="554"/>
    <w:p w14:paraId="01C4EBB0">
      <w:pPr>
        <w:bidi w:val="0"/>
        <w:spacing w:line="360" w:lineRule="auto"/>
        <w:ind w:firstLine="422" w:firstLineChars="200"/>
        <w:jc w:val="left"/>
        <w:outlineLvl w:val="3"/>
        <w:rPr>
          <w:rFonts w:hint="eastAsia" w:ascii="宋体" w:hAnsi="宋体" w:eastAsia="宋体" w:cs="宋体"/>
          <w:b/>
          <w:bCs/>
          <w:color w:val="auto"/>
          <w:sz w:val="21"/>
          <w:szCs w:val="21"/>
          <w:lang w:val="en-US" w:eastAsia="zh-CN"/>
        </w:rPr>
      </w:pPr>
      <w:bookmarkStart w:id="555" w:name="_Toc22189"/>
      <w:bookmarkStart w:id="556" w:name="_Toc9550"/>
      <w:bookmarkStart w:id="557" w:name="_Toc22822"/>
      <w:bookmarkStart w:id="558" w:name="_Toc31941"/>
      <w:bookmarkStart w:id="559" w:name="_Toc6416"/>
      <w:r>
        <w:rPr>
          <w:rFonts w:hint="eastAsia" w:ascii="宋体" w:hAnsi="宋体" w:eastAsia="宋体" w:cs="宋体"/>
          <w:b/>
          <w:bCs/>
          <w:color w:val="auto"/>
          <w:sz w:val="21"/>
          <w:szCs w:val="21"/>
          <w:lang w:val="en-US" w:eastAsia="zh-CN"/>
        </w:rPr>
        <w:t>2.1.4带教服务执行流程</w:t>
      </w:r>
      <w:bookmarkEnd w:id="555"/>
      <w:bookmarkEnd w:id="556"/>
      <w:bookmarkEnd w:id="557"/>
      <w:bookmarkEnd w:id="558"/>
      <w:bookmarkEnd w:id="559"/>
    </w:p>
    <w:p w14:paraId="406AF6A0">
      <w:pPr>
        <w:pStyle w:val="18"/>
        <w:spacing w:line="360" w:lineRule="auto"/>
        <w:ind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带教服务包含带教过程和最终成果两大阶段，具体执行时间及流程如下；</w:t>
      </w:r>
    </w:p>
    <w:tbl>
      <w:tblPr>
        <w:tblStyle w:val="41"/>
        <w:tblW w:w="92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7"/>
        <w:gridCol w:w="1618"/>
        <w:gridCol w:w="1177"/>
        <w:gridCol w:w="2520"/>
        <w:gridCol w:w="3246"/>
      </w:tblGrid>
      <w:tr w14:paraId="7262C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2A215">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编号</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EDFEB">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带教服务时间</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4801">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带教阶段</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E71BF">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具备任务</w:t>
            </w:r>
          </w:p>
        </w:tc>
        <w:tc>
          <w:tcPr>
            <w:tcW w:w="3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88B19">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人员要求</w:t>
            </w:r>
          </w:p>
        </w:tc>
      </w:tr>
      <w:tr w14:paraId="6C2EE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4981D">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BB58B">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第1-6个月</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A9853">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1"/>
                <w:szCs w:val="21"/>
                <w:highlight w:val="none"/>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4384E">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中标人开展物业服务</w:t>
            </w:r>
          </w:p>
        </w:tc>
        <w:tc>
          <w:tcPr>
            <w:tcW w:w="3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D06AE">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中标人组建带教服务团队</w:t>
            </w:r>
          </w:p>
        </w:tc>
      </w:tr>
      <w:tr w14:paraId="101C0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2"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6F679">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528A1">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第7-11个月</w:t>
            </w:r>
          </w:p>
        </w:tc>
        <w:tc>
          <w:tcPr>
            <w:tcW w:w="11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46F3E">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带教过程</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8F32B">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b w:val="0"/>
                <w:bCs w:val="0"/>
                <w:i w:val="0"/>
                <w:iCs w:val="0"/>
                <w:color w:val="auto"/>
                <w:sz w:val="21"/>
                <w:szCs w:val="21"/>
                <w:highlight w:val="none"/>
                <w:u w:val="none"/>
                <w:lang w:val="en-US"/>
              </w:rPr>
            </w:pPr>
            <w:r>
              <w:rPr>
                <w:rFonts w:hint="eastAsia" w:ascii="宋体" w:hAnsi="宋体" w:eastAsia="宋体" w:cs="宋体"/>
                <w:b w:val="0"/>
                <w:bCs w:val="0"/>
                <w:i w:val="0"/>
                <w:iCs w:val="0"/>
                <w:color w:val="auto"/>
                <w:kern w:val="0"/>
                <w:sz w:val="21"/>
                <w:szCs w:val="21"/>
                <w:highlight w:val="none"/>
                <w:u w:val="none"/>
                <w:lang w:val="en-US" w:eastAsia="zh-CN" w:bidi="ar"/>
              </w:rPr>
              <w:t>招标人委派学员第一阶段跟岗学习</w:t>
            </w:r>
          </w:p>
        </w:tc>
        <w:tc>
          <w:tcPr>
            <w:tcW w:w="3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66C74">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招标人委派5名学员跟岗学习，</w:t>
            </w:r>
            <w:r>
              <w:rPr>
                <w:rFonts w:hint="eastAsia" w:ascii="宋体" w:hAnsi="宋体" w:eastAsia="宋体" w:cs="宋体"/>
                <w:b w:val="0"/>
                <w:bCs w:val="0"/>
                <w:color w:val="auto"/>
                <w:sz w:val="21"/>
                <w:szCs w:val="21"/>
                <w:highlight w:val="none"/>
                <w:lang w:eastAsia="zh-CN"/>
              </w:rPr>
              <w:t>纳入</w:t>
            </w:r>
            <w:r>
              <w:rPr>
                <w:rFonts w:hint="eastAsia" w:ascii="宋体" w:hAnsi="宋体" w:eastAsia="宋体" w:cs="宋体"/>
                <w:b w:val="0"/>
                <w:bCs w:val="0"/>
                <w:color w:val="auto"/>
                <w:sz w:val="21"/>
                <w:szCs w:val="21"/>
                <w:highlight w:val="none"/>
                <w:lang w:val="en-US" w:eastAsia="zh-CN"/>
              </w:rPr>
              <w:t>中标人</w:t>
            </w:r>
            <w:r>
              <w:rPr>
                <w:rFonts w:hint="eastAsia" w:ascii="宋体" w:hAnsi="宋体" w:eastAsia="宋体" w:cs="宋体"/>
                <w:b w:val="0"/>
                <w:bCs w:val="0"/>
                <w:color w:val="auto"/>
                <w:sz w:val="21"/>
                <w:szCs w:val="21"/>
                <w:highlight w:val="none"/>
                <w:lang w:eastAsia="zh-CN"/>
              </w:rPr>
              <w:t>的团队管理（不转移劳动关系），</w:t>
            </w:r>
            <w:r>
              <w:rPr>
                <w:rFonts w:hint="eastAsia" w:ascii="宋体" w:hAnsi="宋体" w:eastAsia="宋体" w:cs="宋体"/>
                <w:b w:val="0"/>
                <w:bCs w:val="0"/>
                <w:i w:val="0"/>
                <w:iCs w:val="0"/>
                <w:color w:val="auto"/>
                <w:kern w:val="0"/>
                <w:sz w:val="21"/>
                <w:szCs w:val="21"/>
                <w:highlight w:val="none"/>
                <w:u w:val="none"/>
                <w:lang w:val="en-US" w:eastAsia="zh-CN" w:bidi="ar"/>
              </w:rPr>
              <w:t>中标人（除项目负责人外）被替岗人员退出物业管理团队</w:t>
            </w:r>
          </w:p>
        </w:tc>
      </w:tr>
      <w:tr w14:paraId="08F7A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77D27">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60403">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第12-16个月</w:t>
            </w:r>
          </w:p>
        </w:tc>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541D2">
            <w:pPr>
              <w:spacing w:line="240" w:lineRule="auto"/>
              <w:jc w:val="left"/>
              <w:rPr>
                <w:rFonts w:hint="eastAsia" w:ascii="宋体" w:hAnsi="宋体" w:eastAsia="宋体" w:cs="宋体"/>
                <w:b w:val="0"/>
                <w:bCs w:val="0"/>
                <w:i w:val="0"/>
                <w:iCs w:val="0"/>
                <w:color w:val="auto"/>
                <w:sz w:val="21"/>
                <w:szCs w:val="21"/>
                <w:highlight w:val="none"/>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7981D">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招标人委派学员第二阶段跟岗学习</w:t>
            </w:r>
          </w:p>
        </w:tc>
        <w:tc>
          <w:tcPr>
            <w:tcW w:w="3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5731A">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中标人培训学员</w:t>
            </w:r>
          </w:p>
        </w:tc>
      </w:tr>
      <w:tr w14:paraId="53698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211BA">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67CC0">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第17-21个月</w:t>
            </w:r>
          </w:p>
        </w:tc>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3D54B">
            <w:pPr>
              <w:spacing w:line="240" w:lineRule="auto"/>
              <w:jc w:val="left"/>
              <w:rPr>
                <w:rFonts w:hint="eastAsia" w:ascii="宋体" w:hAnsi="宋体" w:eastAsia="宋体" w:cs="宋体"/>
                <w:b w:val="0"/>
                <w:bCs w:val="0"/>
                <w:i w:val="0"/>
                <w:iCs w:val="0"/>
                <w:color w:val="auto"/>
                <w:sz w:val="21"/>
                <w:szCs w:val="21"/>
                <w:highlight w:val="none"/>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F3366">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招标人委派学员第三阶段跟岗学习</w:t>
            </w:r>
          </w:p>
        </w:tc>
        <w:tc>
          <w:tcPr>
            <w:tcW w:w="3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AB88D">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中标人培训学员</w:t>
            </w:r>
          </w:p>
        </w:tc>
      </w:tr>
      <w:tr w14:paraId="2ACE0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5FDD4">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9C9CF">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auto"/>
                <w:sz w:val="21"/>
                <w:szCs w:val="21"/>
                <w:highlight w:val="none"/>
                <w:u w:val="none"/>
                <w:lang w:val="en-US"/>
              </w:rPr>
            </w:pPr>
            <w:r>
              <w:rPr>
                <w:rFonts w:hint="eastAsia" w:ascii="宋体" w:hAnsi="宋体" w:eastAsia="宋体" w:cs="宋体"/>
                <w:b w:val="0"/>
                <w:bCs w:val="0"/>
                <w:i w:val="0"/>
                <w:iCs w:val="0"/>
                <w:color w:val="auto"/>
                <w:kern w:val="0"/>
                <w:sz w:val="21"/>
                <w:szCs w:val="21"/>
                <w:highlight w:val="none"/>
                <w:u w:val="none"/>
                <w:lang w:val="en-US" w:eastAsia="zh-CN" w:bidi="ar"/>
              </w:rPr>
              <w:t>第22个月</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136EB">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最终成果</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2CB8B">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成果提交，学员考核</w:t>
            </w:r>
          </w:p>
        </w:tc>
        <w:tc>
          <w:tcPr>
            <w:tcW w:w="3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E6321">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5名学员全部培养合格</w:t>
            </w:r>
          </w:p>
        </w:tc>
      </w:tr>
      <w:tr w14:paraId="44A3E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927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0BCA8">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备注：上述带教服务时间，</w:t>
            </w:r>
            <w:r>
              <w:rPr>
                <w:rFonts w:hint="eastAsia" w:ascii="宋体" w:hAnsi="宋体" w:eastAsia="宋体" w:cs="宋体"/>
                <w:b w:val="0"/>
                <w:bCs w:val="0"/>
                <w:color w:val="auto"/>
                <w:sz w:val="21"/>
                <w:szCs w:val="21"/>
                <w:highlight w:val="none"/>
                <w:lang w:val="en-US" w:eastAsia="zh-CN"/>
              </w:rPr>
              <w:t>招标人可根据实际情况进行灵活调整，以招标人的书面通知为准。</w:t>
            </w:r>
          </w:p>
        </w:tc>
      </w:tr>
    </w:tbl>
    <w:p w14:paraId="6466847F">
      <w:pPr>
        <w:bidi w:val="0"/>
        <w:spacing w:line="360" w:lineRule="auto"/>
        <w:ind w:firstLine="422" w:firstLineChars="200"/>
        <w:jc w:val="left"/>
        <w:outlineLvl w:val="3"/>
        <w:rPr>
          <w:rFonts w:hint="eastAsia" w:ascii="宋体" w:hAnsi="宋体" w:eastAsia="宋体" w:cs="宋体"/>
          <w:b/>
          <w:bCs/>
          <w:color w:val="auto"/>
          <w:sz w:val="21"/>
          <w:szCs w:val="21"/>
          <w:lang w:val="en-US" w:eastAsia="zh-CN"/>
        </w:rPr>
      </w:pPr>
      <w:bookmarkStart w:id="560" w:name="_Toc9551"/>
      <w:bookmarkStart w:id="561" w:name="_Toc6437"/>
      <w:bookmarkStart w:id="562" w:name="_Toc4979"/>
      <w:bookmarkStart w:id="563" w:name="_Toc28057"/>
      <w:bookmarkStart w:id="564" w:name="_Toc27010"/>
      <w:r>
        <w:rPr>
          <w:rFonts w:hint="eastAsia" w:ascii="宋体" w:hAnsi="宋体" w:eastAsia="宋体" w:cs="宋体"/>
          <w:b/>
          <w:bCs/>
          <w:color w:val="auto"/>
          <w:sz w:val="21"/>
          <w:szCs w:val="21"/>
          <w:lang w:val="en-US" w:eastAsia="zh-CN"/>
        </w:rPr>
        <w:t>2.1.5带教服务成果要求</w:t>
      </w:r>
      <w:bookmarkEnd w:id="560"/>
      <w:bookmarkEnd w:id="561"/>
      <w:bookmarkEnd w:id="562"/>
      <w:bookmarkEnd w:id="563"/>
      <w:bookmarkEnd w:id="564"/>
    </w:p>
    <w:p w14:paraId="6C9E478D">
      <w:pPr>
        <w:spacing w:line="360" w:lineRule="auto"/>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（1）带教过程</w:t>
      </w:r>
    </w:p>
    <w:p w14:paraId="6AA84969">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建立联合工作组机制：双方共同成立带教联合工作组，招标人方负责人担任组长。工作组每月召开一次例会，听取中标人关于带教工作进展的专题汇报，审议《跟岗进展报告》，协调解决带教过程中出现的问题。</w:t>
      </w:r>
    </w:p>
    <w:p w14:paraId="6F0415B9">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实施“一人一策”档案管理：中标人须为每一位招标人学员建立并动态更新个人带教成长档案。档案应详细记录其培训课程完成情况、实操训练表现、阶段考核成绩、导师评价及能力短板改进跟踪等内容，作为过程管控的基础依据。</w:t>
      </w:r>
    </w:p>
    <w:p w14:paraId="62936B43">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执行关键节点里程碑检查：在整个带教周期内，设定数个关键里程碑节点。在每个节点，由联合工作组对带教成果进行阶段性验收。</w:t>
      </w:r>
    </w:p>
    <w:p w14:paraId="47619AFD">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落实综合评估与反馈：招标人依据本合同约定的带教服务过程考核内容 ，</w:t>
      </w:r>
      <w:bookmarkStart w:id="565" w:name="OLE_LINK14"/>
      <w:r>
        <w:rPr>
          <w:rFonts w:hint="eastAsia" w:ascii="宋体" w:hAnsi="宋体" w:eastAsia="宋体" w:cs="宋体"/>
          <w:b w:val="0"/>
          <w:bCs w:val="0"/>
          <w:color w:val="auto"/>
          <w:sz w:val="21"/>
          <w:szCs w:val="21"/>
          <w:highlight w:val="none"/>
          <w:lang w:val="en-US" w:eastAsia="zh-CN"/>
        </w:rPr>
        <w:t>对中标人的</w:t>
      </w:r>
      <w:bookmarkStart w:id="566" w:name="OLE_LINK15"/>
      <w:r>
        <w:rPr>
          <w:rFonts w:hint="eastAsia" w:ascii="宋体" w:hAnsi="宋体" w:eastAsia="宋体" w:cs="宋体"/>
          <w:b w:val="0"/>
          <w:bCs w:val="0"/>
          <w:color w:val="auto"/>
          <w:sz w:val="21"/>
          <w:szCs w:val="21"/>
          <w:highlight w:val="none"/>
          <w:lang w:val="en-US" w:eastAsia="zh-CN"/>
        </w:rPr>
        <w:t>带教方案执行、资源投入、导师履职及学员能力成长</w:t>
      </w:r>
      <w:bookmarkEnd w:id="566"/>
      <w:r>
        <w:rPr>
          <w:rFonts w:hint="eastAsia" w:ascii="宋体" w:hAnsi="宋体" w:eastAsia="宋体" w:cs="宋体"/>
          <w:b w:val="0"/>
          <w:bCs w:val="0"/>
          <w:color w:val="auto"/>
          <w:sz w:val="21"/>
          <w:szCs w:val="21"/>
          <w:highlight w:val="none"/>
          <w:lang w:val="en-US" w:eastAsia="zh-CN"/>
        </w:rPr>
        <w:t>情况进行3次过程考核评估</w:t>
      </w:r>
      <w:bookmarkEnd w:id="565"/>
      <w:r>
        <w:rPr>
          <w:rFonts w:hint="eastAsia" w:ascii="宋体" w:hAnsi="宋体" w:eastAsia="宋体" w:cs="宋体"/>
          <w:b w:val="0"/>
          <w:bCs w:val="0"/>
          <w:color w:val="auto"/>
          <w:sz w:val="21"/>
          <w:szCs w:val="21"/>
          <w:highlight w:val="none"/>
          <w:lang w:val="en-US" w:eastAsia="zh-CN"/>
        </w:rPr>
        <w:t>。考核评估结果与物业管理带教服务费用支付挂钩。</w:t>
      </w:r>
    </w:p>
    <w:p w14:paraId="746735C8">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强化双向沟通与动态调整：建立常态化的双向沟通渠道。除定期会议外，招标人学员可随时通过指定渠道向联合工作组反馈学习情况及诉求。联合工作组有权根据评估结果和实际情况，要求中标人对带教计划、方法或导师配置进行必要且合理的动态调整，以确保最终培养目标的实现。</w:t>
      </w:r>
    </w:p>
    <w:p w14:paraId="3622B1B9">
      <w:pPr>
        <w:spacing w:line="360" w:lineRule="auto"/>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（2）最终成果</w:t>
      </w:r>
    </w:p>
    <w:p w14:paraId="28D2285A">
      <w:pPr>
        <w:pStyle w:val="18"/>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带教期满，中标人须向招标人交付成果，包含但不限于完整的《项目运营管理知识体系文件》，全套《项目设施设备运维与应急处理手册》，针对每位完成培养的学员出具的《岗位胜任能力评估报告》，</w:t>
      </w:r>
      <w:r>
        <w:rPr>
          <w:rFonts w:hint="eastAsia" w:ascii="宋体" w:hAnsi="宋体" w:eastAsia="宋体" w:cs="宋体"/>
          <w:b w:val="0"/>
          <w:bCs w:val="0"/>
          <w:i w:val="0"/>
          <w:color w:val="auto"/>
          <w:kern w:val="0"/>
          <w:sz w:val="21"/>
          <w:szCs w:val="21"/>
          <w:highlight w:val="none"/>
          <w:u w:val="none"/>
          <w:lang w:val="en-US" w:eastAsia="zh-CN" w:bidi="ar"/>
        </w:rPr>
        <w:t>《项目全周期运营管理方案》，《物业服务各模块（客服、工程、秩序、环境）标准化作业程序》，《项目品质检查标准与考核办法》，《内部绩效考核与激励机制方案》，《各条线台账》，</w:t>
      </w:r>
      <w:r>
        <w:rPr>
          <w:rFonts w:hint="eastAsia" w:ascii="宋体" w:hAnsi="宋体" w:eastAsia="宋体" w:cs="宋体"/>
          <w:b w:val="0"/>
          <w:bCs w:val="0"/>
          <w:color w:val="auto"/>
          <w:sz w:val="21"/>
          <w:szCs w:val="21"/>
          <w:highlight w:val="none"/>
          <w:lang w:val="en-US" w:eastAsia="zh-CN"/>
        </w:rPr>
        <w:t>完整的带教过程记录与总结报告等。</w:t>
      </w:r>
    </w:p>
    <w:p w14:paraId="3107A869">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带教期满，</w:t>
      </w:r>
      <w:bookmarkStart w:id="567" w:name="OLE_LINK11"/>
      <w:r>
        <w:rPr>
          <w:rFonts w:hint="eastAsia" w:ascii="宋体" w:hAnsi="宋体" w:eastAsia="宋体" w:cs="宋体"/>
          <w:b w:val="0"/>
          <w:bCs w:val="0"/>
          <w:color w:val="auto"/>
          <w:sz w:val="21"/>
          <w:szCs w:val="21"/>
          <w:highlight w:val="none"/>
          <w:lang w:val="en-US" w:eastAsia="zh-CN"/>
        </w:rPr>
        <w:t>学员（储备项目负责人，工程、安保、环境、客服四大条线负责人，共计5人）全部通过考核</w:t>
      </w:r>
      <w:r>
        <w:rPr>
          <w:rFonts w:hint="eastAsia" w:ascii="宋体" w:hAnsi="宋体" w:eastAsia="宋体" w:cs="宋体"/>
          <w:b w:val="0"/>
          <w:bCs w:val="0"/>
          <w:color w:val="auto"/>
          <w:sz w:val="21"/>
          <w:szCs w:val="21"/>
          <w:highlight w:val="none"/>
          <w:lang w:eastAsia="zh-CN"/>
        </w:rPr>
        <w:t>。</w:t>
      </w:r>
      <w:bookmarkEnd w:id="567"/>
    </w:p>
    <w:p w14:paraId="136E587D">
      <w:pPr>
        <w:pStyle w:val="4"/>
        <w:bidi w:val="0"/>
        <w:spacing w:line="360" w:lineRule="auto"/>
        <w:ind w:firstLine="422" w:firstLineChars="200"/>
        <w:jc w:val="left"/>
        <w:rPr>
          <w:rFonts w:hint="eastAsia" w:ascii="宋体" w:hAnsi="宋体" w:eastAsia="宋体" w:cs="宋体"/>
          <w:b/>
          <w:bCs/>
          <w:color w:val="auto"/>
          <w:kern w:val="2"/>
          <w:sz w:val="21"/>
          <w:szCs w:val="21"/>
          <w:highlight w:val="none"/>
          <w:lang w:val="en-US" w:eastAsia="zh-CN" w:bidi="ar-SA"/>
        </w:rPr>
      </w:pPr>
      <w:bookmarkStart w:id="568" w:name="_Toc3945"/>
      <w:bookmarkStart w:id="569" w:name="_Toc826"/>
      <w:bookmarkStart w:id="570" w:name="_Toc7340"/>
      <w:bookmarkStart w:id="571" w:name="_Toc1156"/>
      <w:bookmarkStart w:id="572" w:name="_Toc14420"/>
      <w:r>
        <w:rPr>
          <w:rFonts w:hint="eastAsia" w:ascii="宋体" w:hAnsi="宋体" w:eastAsia="宋体" w:cs="宋体"/>
          <w:b/>
          <w:bCs/>
          <w:color w:val="auto"/>
          <w:sz w:val="21"/>
          <w:szCs w:val="21"/>
          <w:highlight w:val="none"/>
          <w:lang w:val="en-US" w:eastAsia="zh-CN"/>
        </w:rPr>
        <w:t>2.2</w:t>
      </w:r>
      <w:bookmarkEnd w:id="530"/>
      <w:bookmarkEnd w:id="531"/>
      <w:bookmarkEnd w:id="532"/>
      <w:bookmarkEnd w:id="533"/>
      <w:r>
        <w:rPr>
          <w:rFonts w:hint="eastAsia" w:hAnsi="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lang w:val="en-US" w:eastAsia="zh-CN"/>
        </w:rPr>
        <w:t>物业管理运营服务</w:t>
      </w:r>
      <w:bookmarkEnd w:id="568"/>
      <w:bookmarkEnd w:id="569"/>
      <w:bookmarkEnd w:id="570"/>
      <w:bookmarkEnd w:id="571"/>
      <w:bookmarkEnd w:id="572"/>
    </w:p>
    <w:p w14:paraId="22D324EC">
      <w:pPr>
        <w:spacing w:line="360" w:lineRule="auto"/>
        <w:ind w:firstLine="420"/>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合同期内，中标</w:t>
      </w:r>
      <w:r>
        <w:rPr>
          <w:rFonts w:hint="eastAsia" w:ascii="宋体" w:hAnsi="宋体" w:eastAsia="宋体" w:cs="宋体"/>
          <w:b w:val="0"/>
          <w:bCs w:val="0"/>
          <w:color w:val="auto"/>
          <w:sz w:val="21"/>
          <w:szCs w:val="21"/>
          <w:highlight w:val="none"/>
          <w:lang w:val="en-US" w:eastAsia="zh-CN"/>
        </w:rPr>
        <w:t>人</w:t>
      </w:r>
      <w:r>
        <w:rPr>
          <w:rFonts w:hint="eastAsia" w:ascii="宋体" w:hAnsi="宋体" w:eastAsia="宋体" w:cs="宋体"/>
          <w:b w:val="0"/>
          <w:bCs w:val="0"/>
          <w:color w:val="auto"/>
          <w:kern w:val="2"/>
          <w:sz w:val="21"/>
          <w:szCs w:val="21"/>
          <w:lang w:val="en-US" w:eastAsia="zh-CN" w:bidi="ar-SA"/>
        </w:rPr>
        <w:t>负责水业大厦客户服务管理、安全保卫管理、清洁卫生管理、园林绿化养护和管理、空调系统维护保养管理、消防系统维护保养管理、供配电系统维护保养管理、给排水系统维护保养管理、智能化系统维护与保养管理、电梯系统维护与保养管理、突发应急管理、楼宇主体及其附属设施、公共配套设施维护与保养、日常物业维修及物业使用人装修管理、其他服务等物业管理相关内容，具体如下:</w:t>
      </w:r>
    </w:p>
    <w:p w14:paraId="2B493C1D">
      <w:pPr>
        <w:bidi w:val="0"/>
        <w:spacing w:line="360" w:lineRule="auto"/>
        <w:ind w:firstLine="422" w:firstLineChars="200"/>
        <w:jc w:val="left"/>
        <w:outlineLvl w:val="3"/>
        <w:rPr>
          <w:rFonts w:hint="eastAsia" w:ascii="宋体" w:hAnsi="宋体" w:eastAsia="宋体" w:cs="宋体"/>
          <w:b/>
          <w:bCs/>
          <w:color w:val="auto"/>
          <w:sz w:val="21"/>
          <w:szCs w:val="21"/>
          <w:lang w:val="en-US" w:eastAsia="zh-CN"/>
        </w:rPr>
      </w:pPr>
      <w:bookmarkStart w:id="573" w:name="_Toc28766"/>
      <w:bookmarkStart w:id="574" w:name="_Toc21344"/>
      <w:bookmarkStart w:id="575" w:name="_Toc12392"/>
      <w:bookmarkStart w:id="576" w:name="_Toc17735"/>
      <w:bookmarkStart w:id="577" w:name="_Toc12928"/>
      <w:r>
        <w:rPr>
          <w:rFonts w:hint="eastAsia" w:ascii="宋体" w:hAnsi="宋体" w:eastAsia="宋体" w:cs="宋体"/>
          <w:b/>
          <w:bCs/>
          <w:color w:val="auto"/>
          <w:sz w:val="21"/>
          <w:szCs w:val="21"/>
          <w:lang w:val="en-US" w:eastAsia="zh-CN"/>
        </w:rPr>
        <w:t>2.2.1客户服务管理</w:t>
      </w:r>
      <w:bookmarkEnd w:id="573"/>
      <w:bookmarkEnd w:id="574"/>
      <w:bookmarkEnd w:id="575"/>
      <w:bookmarkEnd w:id="576"/>
      <w:bookmarkEnd w:id="577"/>
    </w:p>
    <w:p w14:paraId="6FD4F9A2">
      <w:pPr>
        <w:keepNext w:val="0"/>
        <w:keepLines w:val="0"/>
        <w:pageBreakBefore w:val="0"/>
        <w:widowControl/>
        <w:numPr>
          <w:ilvl w:val="0"/>
          <w:numId w:val="6"/>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客户服务实行前台一站式物业服务，主要提供物业服务咨询、来访登记、受理日常物业使用人报修和投诉等</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大堂前台礼宾接待，参观、讲解引导服务；</w:t>
      </w:r>
    </w:p>
    <w:p w14:paraId="039E43A5">
      <w:pPr>
        <w:keepNext w:val="0"/>
        <w:keepLines w:val="0"/>
        <w:pageBreakBefore w:val="0"/>
        <w:widowControl/>
        <w:numPr>
          <w:ilvl w:val="0"/>
          <w:numId w:val="6"/>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办理物业使用人入驻、迁出手续，以及办理物业使用人室内装修申请及验收，并建立相关单元资料档案，形成系统历史记录。</w:t>
      </w:r>
    </w:p>
    <w:p w14:paraId="0AB92293">
      <w:pPr>
        <w:keepNext w:val="0"/>
        <w:keepLines w:val="0"/>
        <w:pageBreakBefore w:val="0"/>
        <w:widowControl/>
        <w:numPr>
          <w:ilvl w:val="0"/>
          <w:numId w:val="6"/>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负责大堂道闸卡、停车卡等卡证办理业务，提供物品放行条开具、物品临时寄存等特约委托服务及便民服务等多元化增值服务。</w:t>
      </w:r>
    </w:p>
    <w:p w14:paraId="18ABB1CF">
      <w:pPr>
        <w:keepNext w:val="0"/>
        <w:keepLines w:val="0"/>
        <w:pageBreakBefore w:val="0"/>
        <w:widowControl/>
        <w:numPr>
          <w:ilvl w:val="0"/>
          <w:numId w:val="6"/>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负责物业使用人的物业费催缴、访谈、动态信息收集等工作。</w:t>
      </w:r>
    </w:p>
    <w:p w14:paraId="706E1694">
      <w:pPr>
        <w:keepNext w:val="0"/>
        <w:keepLines w:val="0"/>
        <w:pageBreakBefore w:val="0"/>
        <w:widowControl/>
        <w:numPr>
          <w:ilvl w:val="0"/>
          <w:numId w:val="6"/>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设立服务电话，接收招标人和其他物业使用人对物业管理服务报修、求助、建议、问询、质疑、投诉等各类信息，做好信息收集、反馈和及时处理，</w:t>
      </w:r>
      <w:r>
        <w:rPr>
          <w:rFonts w:hint="eastAsia" w:ascii="宋体" w:hAnsi="宋体" w:eastAsia="宋体" w:cs="宋体"/>
          <w:b w:val="0"/>
          <w:bCs w:val="0"/>
          <w:color w:val="auto"/>
          <w:sz w:val="21"/>
          <w:szCs w:val="21"/>
          <w:highlight w:val="none"/>
          <w:lang w:val="en-US" w:eastAsia="zh-CN"/>
        </w:rPr>
        <w:t>建立</w:t>
      </w:r>
      <w:r>
        <w:rPr>
          <w:rFonts w:hint="eastAsia" w:ascii="宋体" w:hAnsi="宋体" w:eastAsia="宋体" w:cs="宋体"/>
          <w:b w:val="0"/>
          <w:bCs w:val="0"/>
          <w:color w:val="auto"/>
          <w:sz w:val="21"/>
          <w:szCs w:val="21"/>
          <w:highlight w:val="none"/>
        </w:rPr>
        <w:t>回访制度和记录。</w:t>
      </w:r>
    </w:p>
    <w:p w14:paraId="0465D2DA">
      <w:pPr>
        <w:keepNext w:val="0"/>
        <w:keepLines w:val="0"/>
        <w:pageBreakBefore w:val="0"/>
        <w:widowControl/>
        <w:numPr>
          <w:ilvl w:val="0"/>
          <w:numId w:val="6"/>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快递收发；</w:t>
      </w:r>
    </w:p>
    <w:p w14:paraId="6B7C759E">
      <w:pPr>
        <w:keepNext w:val="0"/>
        <w:keepLines w:val="0"/>
        <w:pageBreakBefore w:val="0"/>
        <w:widowControl/>
        <w:numPr>
          <w:ilvl w:val="0"/>
          <w:numId w:val="6"/>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大厦三楼公共会议室的会议服务，会议设备的日常巡检，保证各类会议及接待活动的顺利进行。</w:t>
      </w:r>
    </w:p>
    <w:p w14:paraId="58479229">
      <w:pPr>
        <w:keepNext w:val="0"/>
        <w:keepLines w:val="0"/>
        <w:pageBreakBefore w:val="0"/>
        <w:widowControl/>
        <w:numPr>
          <w:ilvl w:val="0"/>
          <w:numId w:val="6"/>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客户服务日常工作要求：</w:t>
      </w:r>
    </w:p>
    <w:tbl>
      <w:tblPr>
        <w:tblStyle w:val="4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1"/>
        <w:gridCol w:w="8969"/>
      </w:tblGrid>
      <w:tr w14:paraId="5B2A1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75" w:type="pct"/>
            <w:noWrap/>
            <w:vAlign w:val="center"/>
          </w:tcPr>
          <w:p w14:paraId="3A25B651">
            <w:pPr>
              <w:widowControl/>
              <w:spacing w:line="240" w:lineRule="auto"/>
              <w:ind w:firstLine="0" w:firstLineChars="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项目</w:t>
            </w:r>
          </w:p>
        </w:tc>
        <w:tc>
          <w:tcPr>
            <w:tcW w:w="4324" w:type="pct"/>
            <w:noWrap/>
            <w:vAlign w:val="center"/>
          </w:tcPr>
          <w:p w14:paraId="03F6D710">
            <w:pPr>
              <w:widowControl/>
              <w:spacing w:line="240" w:lineRule="auto"/>
              <w:ind w:firstLine="0" w:firstLineChars="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日常工作要求</w:t>
            </w:r>
          </w:p>
        </w:tc>
      </w:tr>
      <w:tr w14:paraId="75C99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pct"/>
            <w:vMerge w:val="restart"/>
            <w:noWrap/>
            <w:vAlign w:val="center"/>
          </w:tcPr>
          <w:p w14:paraId="423C93A1">
            <w:pPr>
              <w:widowControl/>
              <w:spacing w:line="24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仪表要求</w:t>
            </w:r>
          </w:p>
        </w:tc>
        <w:tc>
          <w:tcPr>
            <w:tcW w:w="4324" w:type="pct"/>
            <w:noWrap/>
            <w:vAlign w:val="top"/>
          </w:tcPr>
          <w:p w14:paraId="03A82CAC">
            <w:pPr>
              <w:widowControl/>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1）按规定着工作装，佩戴工作证，无穿拖鞋和工作场所抽烟等现象。</w:t>
            </w:r>
          </w:p>
        </w:tc>
      </w:tr>
      <w:tr w14:paraId="21CBA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pct"/>
            <w:vMerge w:val="continue"/>
            <w:noWrap/>
            <w:vAlign w:val="center"/>
          </w:tcPr>
          <w:p w14:paraId="2444D760">
            <w:pPr>
              <w:widowControl/>
              <w:spacing w:line="240" w:lineRule="auto"/>
              <w:ind w:firstLine="0" w:firstLineChars="0"/>
              <w:jc w:val="center"/>
              <w:rPr>
                <w:rFonts w:hint="eastAsia" w:ascii="宋体" w:hAnsi="宋体" w:eastAsia="宋体" w:cs="宋体"/>
                <w:color w:val="auto"/>
                <w:sz w:val="21"/>
                <w:szCs w:val="21"/>
              </w:rPr>
            </w:pPr>
          </w:p>
        </w:tc>
        <w:tc>
          <w:tcPr>
            <w:tcW w:w="4324" w:type="pct"/>
            <w:noWrap/>
            <w:vAlign w:val="top"/>
          </w:tcPr>
          <w:p w14:paraId="53B0C1F4">
            <w:pPr>
              <w:widowControl/>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2）精神饱满，仪表整洁，无披头散发、留须、不按要求化妆等现象。</w:t>
            </w:r>
          </w:p>
        </w:tc>
      </w:tr>
      <w:tr w14:paraId="316C7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pct"/>
            <w:vMerge w:val="restart"/>
            <w:noWrap/>
            <w:vAlign w:val="center"/>
          </w:tcPr>
          <w:p w14:paraId="24A3DA2E">
            <w:pPr>
              <w:widowControl/>
              <w:spacing w:line="24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态度要求</w:t>
            </w:r>
          </w:p>
        </w:tc>
        <w:tc>
          <w:tcPr>
            <w:tcW w:w="4324" w:type="pct"/>
            <w:noWrap/>
            <w:vAlign w:val="top"/>
          </w:tcPr>
          <w:p w14:paraId="115D1FE9">
            <w:pPr>
              <w:widowControl/>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1）微笑服务，工作过程中使用规范礼貌用语，热情待客。</w:t>
            </w:r>
          </w:p>
        </w:tc>
      </w:tr>
      <w:tr w14:paraId="31F5E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pct"/>
            <w:vMerge w:val="continue"/>
            <w:noWrap/>
            <w:vAlign w:val="top"/>
          </w:tcPr>
          <w:p w14:paraId="10D231C6">
            <w:pPr>
              <w:widowControl/>
              <w:spacing w:line="240" w:lineRule="auto"/>
              <w:ind w:firstLine="0" w:firstLineChars="0"/>
              <w:rPr>
                <w:rFonts w:hint="eastAsia" w:ascii="宋体" w:hAnsi="宋体" w:eastAsia="宋体" w:cs="宋体"/>
                <w:color w:val="auto"/>
                <w:sz w:val="21"/>
                <w:szCs w:val="21"/>
              </w:rPr>
            </w:pPr>
          </w:p>
        </w:tc>
        <w:tc>
          <w:tcPr>
            <w:tcW w:w="4324" w:type="pct"/>
            <w:noWrap/>
            <w:vAlign w:val="top"/>
          </w:tcPr>
          <w:p w14:paraId="5E0779D7">
            <w:pPr>
              <w:widowControl/>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2）服务态度端正，主动、热情、礼貌待客。</w:t>
            </w:r>
          </w:p>
        </w:tc>
      </w:tr>
      <w:tr w14:paraId="140AE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pct"/>
            <w:vMerge w:val="continue"/>
            <w:noWrap/>
            <w:vAlign w:val="top"/>
          </w:tcPr>
          <w:p w14:paraId="1F8FC33E">
            <w:pPr>
              <w:widowControl/>
              <w:spacing w:line="240" w:lineRule="auto"/>
              <w:ind w:firstLine="0" w:firstLineChars="0"/>
              <w:rPr>
                <w:rFonts w:hint="eastAsia" w:ascii="宋体" w:hAnsi="宋体" w:eastAsia="宋体" w:cs="宋体"/>
                <w:color w:val="auto"/>
                <w:sz w:val="21"/>
                <w:szCs w:val="21"/>
              </w:rPr>
            </w:pPr>
          </w:p>
        </w:tc>
        <w:tc>
          <w:tcPr>
            <w:tcW w:w="4324" w:type="pct"/>
            <w:noWrap/>
            <w:vAlign w:val="top"/>
          </w:tcPr>
          <w:p w14:paraId="4A7DB791">
            <w:pPr>
              <w:widowControl/>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3）服从公司安排，具有团队合作精神，做事认真负责，有奉献精神。</w:t>
            </w:r>
          </w:p>
        </w:tc>
      </w:tr>
      <w:tr w14:paraId="3020D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pct"/>
            <w:vMerge w:val="continue"/>
            <w:noWrap/>
            <w:vAlign w:val="top"/>
          </w:tcPr>
          <w:p w14:paraId="582D35D2">
            <w:pPr>
              <w:widowControl/>
              <w:spacing w:line="240" w:lineRule="auto"/>
              <w:ind w:firstLine="0" w:firstLineChars="0"/>
              <w:rPr>
                <w:rFonts w:hint="eastAsia" w:ascii="宋体" w:hAnsi="宋体" w:eastAsia="宋体" w:cs="宋体"/>
                <w:color w:val="auto"/>
                <w:sz w:val="21"/>
                <w:szCs w:val="21"/>
              </w:rPr>
            </w:pPr>
          </w:p>
        </w:tc>
        <w:tc>
          <w:tcPr>
            <w:tcW w:w="4324" w:type="pct"/>
            <w:noWrap/>
            <w:vAlign w:val="top"/>
          </w:tcPr>
          <w:p w14:paraId="32DE7373">
            <w:pPr>
              <w:widowControl/>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4）任何情况下均不能发生对物业使用人或来访人员有失敬、无礼等言行，要以积极主动的心态对待物业使用人或来访人员的咨询、投诉等事宜。</w:t>
            </w:r>
          </w:p>
        </w:tc>
      </w:tr>
      <w:tr w14:paraId="44E34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pct"/>
            <w:vMerge w:val="restart"/>
            <w:noWrap/>
            <w:vAlign w:val="center"/>
          </w:tcPr>
          <w:p w14:paraId="2E2FF2C1">
            <w:pPr>
              <w:widowControl/>
              <w:spacing w:line="24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工作要求</w:t>
            </w:r>
          </w:p>
        </w:tc>
        <w:tc>
          <w:tcPr>
            <w:tcW w:w="4324" w:type="pct"/>
            <w:noWrap/>
            <w:vAlign w:val="top"/>
          </w:tcPr>
          <w:p w14:paraId="00C295A2">
            <w:pPr>
              <w:widowControl/>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1）上班前5分钟及时开启公共抽屉，恢复电话机通信功能；下班前巡视办公区灯具电器设备等，确保电源已关闭后方可离开。</w:t>
            </w:r>
          </w:p>
        </w:tc>
      </w:tr>
      <w:tr w14:paraId="31635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pct"/>
            <w:vMerge w:val="continue"/>
            <w:noWrap/>
            <w:vAlign w:val="top"/>
          </w:tcPr>
          <w:p w14:paraId="6DC69F26">
            <w:pPr>
              <w:widowControl/>
              <w:spacing w:line="240" w:lineRule="auto"/>
              <w:ind w:firstLine="0" w:firstLineChars="0"/>
              <w:rPr>
                <w:rFonts w:hint="eastAsia" w:ascii="宋体" w:hAnsi="宋体" w:eastAsia="宋体" w:cs="宋体"/>
                <w:color w:val="auto"/>
                <w:sz w:val="21"/>
                <w:szCs w:val="21"/>
              </w:rPr>
            </w:pPr>
          </w:p>
        </w:tc>
        <w:tc>
          <w:tcPr>
            <w:tcW w:w="4324" w:type="pct"/>
            <w:noWrap/>
            <w:vAlign w:val="top"/>
          </w:tcPr>
          <w:p w14:paraId="7D4D1FF3">
            <w:pPr>
              <w:widowControl/>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2）必须在电话响铃三声内接听电话，并使用电话规范用语。</w:t>
            </w:r>
          </w:p>
        </w:tc>
      </w:tr>
      <w:tr w14:paraId="557D0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pct"/>
            <w:vMerge w:val="continue"/>
            <w:noWrap/>
            <w:vAlign w:val="top"/>
          </w:tcPr>
          <w:p w14:paraId="28FF3F98">
            <w:pPr>
              <w:widowControl/>
              <w:spacing w:line="240" w:lineRule="auto"/>
              <w:ind w:firstLine="0" w:firstLineChars="0"/>
              <w:rPr>
                <w:rFonts w:hint="eastAsia" w:ascii="宋体" w:hAnsi="宋体" w:eastAsia="宋体" w:cs="宋体"/>
                <w:color w:val="auto"/>
                <w:sz w:val="21"/>
                <w:szCs w:val="21"/>
              </w:rPr>
            </w:pPr>
          </w:p>
        </w:tc>
        <w:tc>
          <w:tcPr>
            <w:tcW w:w="4324" w:type="pct"/>
            <w:noWrap/>
            <w:vAlign w:val="top"/>
          </w:tcPr>
          <w:p w14:paraId="3B045BB0">
            <w:pPr>
              <w:widowControl/>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3）详细、准确地记录投诉项目，不漏记、错记，保持记录本清楚明了、干净。</w:t>
            </w:r>
          </w:p>
        </w:tc>
      </w:tr>
      <w:tr w14:paraId="13A40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pct"/>
            <w:vMerge w:val="continue"/>
            <w:noWrap/>
            <w:vAlign w:val="top"/>
          </w:tcPr>
          <w:p w14:paraId="06FC7D03">
            <w:pPr>
              <w:widowControl/>
              <w:spacing w:line="240" w:lineRule="auto"/>
              <w:ind w:firstLine="0" w:firstLineChars="0"/>
              <w:rPr>
                <w:rFonts w:hint="eastAsia" w:ascii="宋体" w:hAnsi="宋体" w:eastAsia="宋体" w:cs="宋体"/>
                <w:color w:val="auto"/>
                <w:sz w:val="21"/>
                <w:szCs w:val="21"/>
              </w:rPr>
            </w:pPr>
          </w:p>
        </w:tc>
        <w:tc>
          <w:tcPr>
            <w:tcW w:w="4324" w:type="pct"/>
            <w:noWrap/>
            <w:vAlign w:val="top"/>
          </w:tcPr>
          <w:p w14:paraId="27212621">
            <w:pPr>
              <w:widowControl/>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4）按规范办理交楼、入驻、装修申请手续，告知客户装修应知事项。</w:t>
            </w:r>
          </w:p>
        </w:tc>
      </w:tr>
      <w:tr w14:paraId="407E9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pct"/>
            <w:vMerge w:val="continue"/>
            <w:noWrap/>
            <w:vAlign w:val="top"/>
          </w:tcPr>
          <w:p w14:paraId="01BCBF74">
            <w:pPr>
              <w:widowControl/>
              <w:spacing w:line="240" w:lineRule="auto"/>
              <w:ind w:firstLine="0" w:firstLineChars="0"/>
              <w:rPr>
                <w:rFonts w:hint="eastAsia" w:ascii="宋体" w:hAnsi="宋体" w:eastAsia="宋体" w:cs="宋体"/>
                <w:color w:val="auto"/>
                <w:sz w:val="21"/>
                <w:szCs w:val="21"/>
              </w:rPr>
            </w:pPr>
          </w:p>
        </w:tc>
        <w:tc>
          <w:tcPr>
            <w:tcW w:w="4324" w:type="pct"/>
            <w:noWrap/>
            <w:vAlign w:val="top"/>
          </w:tcPr>
          <w:p w14:paraId="42A4FE13">
            <w:pPr>
              <w:widowControl/>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5）对已完成的投诉（维修）事项三天内回访，并做好回访记录；对未完成的投诉（报修）事项要跟催相关责任人，并填写跟进进度。</w:t>
            </w:r>
          </w:p>
        </w:tc>
      </w:tr>
      <w:tr w14:paraId="39D26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pct"/>
            <w:vMerge w:val="continue"/>
            <w:noWrap/>
            <w:vAlign w:val="top"/>
          </w:tcPr>
          <w:p w14:paraId="630AF3E4">
            <w:pPr>
              <w:widowControl/>
              <w:spacing w:line="240" w:lineRule="auto"/>
              <w:ind w:firstLine="0" w:firstLineChars="0"/>
              <w:rPr>
                <w:rFonts w:hint="eastAsia" w:ascii="宋体" w:hAnsi="宋体" w:eastAsia="宋体" w:cs="宋体"/>
                <w:color w:val="auto"/>
                <w:sz w:val="21"/>
                <w:szCs w:val="21"/>
              </w:rPr>
            </w:pPr>
          </w:p>
        </w:tc>
        <w:tc>
          <w:tcPr>
            <w:tcW w:w="4324" w:type="pct"/>
            <w:noWrap/>
            <w:vAlign w:val="top"/>
          </w:tcPr>
          <w:p w14:paraId="4FC602B8">
            <w:pPr>
              <w:widowControl/>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6）对文档资料按规定时间进行分类、存档。</w:t>
            </w:r>
          </w:p>
        </w:tc>
      </w:tr>
      <w:tr w14:paraId="52E5E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pct"/>
            <w:vMerge w:val="continue"/>
            <w:noWrap/>
            <w:vAlign w:val="top"/>
          </w:tcPr>
          <w:p w14:paraId="555B1709">
            <w:pPr>
              <w:widowControl/>
              <w:spacing w:line="240" w:lineRule="auto"/>
              <w:ind w:firstLine="0" w:firstLineChars="0"/>
              <w:rPr>
                <w:rFonts w:hint="eastAsia" w:ascii="宋体" w:hAnsi="宋体" w:eastAsia="宋体" w:cs="宋体"/>
                <w:color w:val="auto"/>
                <w:sz w:val="21"/>
                <w:szCs w:val="21"/>
              </w:rPr>
            </w:pPr>
          </w:p>
        </w:tc>
        <w:tc>
          <w:tcPr>
            <w:tcW w:w="4324" w:type="pct"/>
            <w:noWrap/>
            <w:vAlign w:val="top"/>
          </w:tcPr>
          <w:p w14:paraId="594A7462">
            <w:pPr>
              <w:widowControl/>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7）按要求办理有偿服务、放行条及各类证件等业务，认真做好登记、核查工作。</w:t>
            </w:r>
          </w:p>
        </w:tc>
      </w:tr>
      <w:tr w14:paraId="40115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pct"/>
            <w:vMerge w:val="continue"/>
            <w:noWrap/>
            <w:vAlign w:val="top"/>
          </w:tcPr>
          <w:p w14:paraId="154E5949">
            <w:pPr>
              <w:widowControl/>
              <w:spacing w:line="240" w:lineRule="auto"/>
              <w:ind w:firstLine="0" w:firstLineChars="0"/>
              <w:rPr>
                <w:rFonts w:hint="eastAsia" w:ascii="宋体" w:hAnsi="宋体" w:eastAsia="宋体" w:cs="宋体"/>
                <w:color w:val="auto"/>
                <w:sz w:val="21"/>
                <w:szCs w:val="21"/>
              </w:rPr>
            </w:pPr>
          </w:p>
        </w:tc>
        <w:tc>
          <w:tcPr>
            <w:tcW w:w="4324" w:type="pct"/>
            <w:noWrap/>
            <w:vAlign w:val="top"/>
          </w:tcPr>
          <w:p w14:paraId="19716B5D">
            <w:pPr>
              <w:widowControl/>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8）按时提交《投诉周报表》、《投诉月报表》、《投诉分析报表》、《月份证本用量明细报表》等。</w:t>
            </w:r>
          </w:p>
        </w:tc>
      </w:tr>
      <w:tr w14:paraId="13F10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pct"/>
            <w:vMerge w:val="continue"/>
            <w:noWrap/>
            <w:vAlign w:val="top"/>
          </w:tcPr>
          <w:p w14:paraId="5B0A5DB2">
            <w:pPr>
              <w:widowControl/>
              <w:spacing w:line="240" w:lineRule="auto"/>
              <w:ind w:firstLine="0" w:firstLineChars="0"/>
              <w:rPr>
                <w:rFonts w:hint="eastAsia" w:ascii="宋体" w:hAnsi="宋体" w:eastAsia="宋体" w:cs="宋体"/>
                <w:color w:val="auto"/>
                <w:sz w:val="21"/>
                <w:szCs w:val="21"/>
              </w:rPr>
            </w:pPr>
          </w:p>
        </w:tc>
        <w:tc>
          <w:tcPr>
            <w:tcW w:w="4324" w:type="pct"/>
            <w:noWrap/>
            <w:vAlign w:val="top"/>
          </w:tcPr>
          <w:p w14:paraId="0E11212C">
            <w:pPr>
              <w:widowControl/>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9）每天巡查楼宇，记录巡查事项并跟进相关部门处理。</w:t>
            </w:r>
          </w:p>
        </w:tc>
      </w:tr>
      <w:tr w14:paraId="36B3D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pct"/>
            <w:vMerge w:val="continue"/>
            <w:noWrap/>
            <w:vAlign w:val="top"/>
          </w:tcPr>
          <w:p w14:paraId="7765F100">
            <w:pPr>
              <w:widowControl/>
              <w:spacing w:line="240" w:lineRule="auto"/>
              <w:ind w:firstLine="0" w:firstLineChars="0"/>
              <w:rPr>
                <w:rFonts w:hint="eastAsia" w:ascii="宋体" w:hAnsi="宋体" w:eastAsia="宋体" w:cs="宋体"/>
                <w:color w:val="auto"/>
                <w:sz w:val="21"/>
                <w:szCs w:val="21"/>
              </w:rPr>
            </w:pPr>
          </w:p>
        </w:tc>
        <w:tc>
          <w:tcPr>
            <w:tcW w:w="4324" w:type="pct"/>
            <w:noWrap/>
            <w:vAlign w:val="top"/>
          </w:tcPr>
          <w:p w14:paraId="36DB5D30">
            <w:pPr>
              <w:widowControl/>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10）协助派发租金/物业费缴费通知单，联系客户对相关费用进行催缴。</w:t>
            </w:r>
          </w:p>
        </w:tc>
      </w:tr>
      <w:tr w14:paraId="7DA24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pct"/>
            <w:vMerge w:val="continue"/>
            <w:noWrap/>
            <w:vAlign w:val="top"/>
          </w:tcPr>
          <w:p w14:paraId="542F261C">
            <w:pPr>
              <w:widowControl/>
              <w:spacing w:line="240" w:lineRule="auto"/>
              <w:ind w:firstLine="0" w:firstLineChars="0"/>
              <w:rPr>
                <w:rFonts w:hint="eastAsia" w:ascii="宋体" w:hAnsi="宋体" w:eastAsia="宋体" w:cs="宋体"/>
                <w:color w:val="auto"/>
                <w:sz w:val="21"/>
                <w:szCs w:val="21"/>
              </w:rPr>
            </w:pPr>
          </w:p>
        </w:tc>
        <w:tc>
          <w:tcPr>
            <w:tcW w:w="4324" w:type="pct"/>
            <w:noWrap/>
            <w:vAlign w:val="top"/>
          </w:tcPr>
          <w:p w14:paraId="2C290999">
            <w:pPr>
              <w:widowControl/>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11）定期开展上门回访工作，收集物业使用人意见，与物业使用人保持良好关系，客户满意率达</w:t>
            </w:r>
            <w:r>
              <w:rPr>
                <w:rFonts w:hint="eastAsia" w:ascii="宋体" w:hAnsi="宋体" w:eastAsia="宋体" w:cs="宋体"/>
                <w:color w:val="auto"/>
                <w:sz w:val="21"/>
                <w:szCs w:val="21"/>
                <w:highlight w:val="none"/>
              </w:rPr>
              <w:t>95%以上。</w:t>
            </w:r>
          </w:p>
        </w:tc>
      </w:tr>
      <w:tr w14:paraId="1D09C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pct"/>
            <w:vMerge w:val="restart"/>
            <w:noWrap/>
            <w:vAlign w:val="center"/>
          </w:tcPr>
          <w:p w14:paraId="537B896E">
            <w:pPr>
              <w:widowControl/>
              <w:spacing w:line="24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纪律要求</w:t>
            </w:r>
          </w:p>
        </w:tc>
        <w:tc>
          <w:tcPr>
            <w:tcW w:w="4324" w:type="pct"/>
            <w:noWrap/>
            <w:vAlign w:val="top"/>
          </w:tcPr>
          <w:p w14:paraId="4284DDCB">
            <w:pPr>
              <w:widowControl/>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1）服从领导，听从指挥，对领导工作指示及安排无不执行或蓄意违抗现象。</w:t>
            </w:r>
          </w:p>
        </w:tc>
      </w:tr>
      <w:tr w14:paraId="10FB4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pct"/>
            <w:vMerge w:val="continue"/>
            <w:noWrap/>
            <w:vAlign w:val="top"/>
          </w:tcPr>
          <w:p w14:paraId="5C66862B">
            <w:pPr>
              <w:widowControl/>
              <w:spacing w:line="240" w:lineRule="auto"/>
              <w:ind w:firstLine="0" w:firstLineChars="0"/>
              <w:rPr>
                <w:rFonts w:hint="eastAsia" w:ascii="宋体" w:hAnsi="宋体" w:eastAsia="宋体" w:cs="宋体"/>
                <w:color w:val="auto"/>
                <w:sz w:val="21"/>
                <w:szCs w:val="21"/>
              </w:rPr>
            </w:pPr>
          </w:p>
        </w:tc>
        <w:tc>
          <w:tcPr>
            <w:tcW w:w="4324" w:type="pct"/>
            <w:noWrap/>
            <w:vAlign w:val="top"/>
          </w:tcPr>
          <w:p w14:paraId="16D9D681">
            <w:pPr>
              <w:widowControl/>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2）工作时间不做与工作无关的事。</w:t>
            </w:r>
          </w:p>
        </w:tc>
      </w:tr>
      <w:tr w14:paraId="136B4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pct"/>
            <w:vMerge w:val="continue"/>
            <w:noWrap/>
            <w:vAlign w:val="top"/>
          </w:tcPr>
          <w:p w14:paraId="522CBEFF">
            <w:pPr>
              <w:widowControl/>
              <w:spacing w:line="240" w:lineRule="auto"/>
              <w:ind w:firstLine="0" w:firstLineChars="0"/>
              <w:rPr>
                <w:rFonts w:hint="eastAsia" w:ascii="宋体" w:hAnsi="宋体" w:eastAsia="宋体" w:cs="宋体"/>
                <w:color w:val="auto"/>
                <w:sz w:val="21"/>
                <w:szCs w:val="21"/>
              </w:rPr>
            </w:pPr>
          </w:p>
        </w:tc>
        <w:tc>
          <w:tcPr>
            <w:tcW w:w="4324" w:type="pct"/>
            <w:noWrap/>
            <w:vAlign w:val="top"/>
          </w:tcPr>
          <w:p w14:paraId="205FC1EF">
            <w:pPr>
              <w:widowControl/>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3）禁止在大堂或办公区大声喧哗、嬉戏等影响正常办公秩序行为。</w:t>
            </w:r>
          </w:p>
        </w:tc>
      </w:tr>
      <w:tr w14:paraId="29FA9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pct"/>
            <w:vMerge w:val="continue"/>
            <w:noWrap/>
            <w:vAlign w:val="top"/>
          </w:tcPr>
          <w:p w14:paraId="7087AF66">
            <w:pPr>
              <w:widowControl/>
              <w:spacing w:line="240" w:lineRule="auto"/>
              <w:ind w:firstLine="0" w:firstLineChars="0"/>
              <w:rPr>
                <w:rFonts w:hint="eastAsia" w:ascii="宋体" w:hAnsi="宋体" w:eastAsia="宋体" w:cs="宋体"/>
                <w:color w:val="auto"/>
                <w:sz w:val="21"/>
                <w:szCs w:val="21"/>
              </w:rPr>
            </w:pPr>
          </w:p>
        </w:tc>
        <w:tc>
          <w:tcPr>
            <w:tcW w:w="4324" w:type="pct"/>
            <w:noWrap/>
            <w:vAlign w:val="top"/>
          </w:tcPr>
          <w:p w14:paraId="6C478653">
            <w:pPr>
              <w:widowControl/>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4）保守招标人内部机密，保管好招标人和各物业使用人档案，严禁外人查看。</w:t>
            </w:r>
          </w:p>
        </w:tc>
      </w:tr>
      <w:tr w14:paraId="771F3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pct"/>
            <w:vMerge w:val="continue"/>
            <w:noWrap/>
            <w:vAlign w:val="top"/>
          </w:tcPr>
          <w:p w14:paraId="2328BDE5">
            <w:pPr>
              <w:widowControl/>
              <w:spacing w:line="240" w:lineRule="auto"/>
              <w:ind w:firstLine="0" w:firstLineChars="0"/>
              <w:rPr>
                <w:rFonts w:hint="eastAsia" w:ascii="宋体" w:hAnsi="宋体" w:eastAsia="宋体" w:cs="宋体"/>
                <w:color w:val="auto"/>
                <w:sz w:val="21"/>
                <w:szCs w:val="21"/>
              </w:rPr>
            </w:pPr>
          </w:p>
        </w:tc>
        <w:tc>
          <w:tcPr>
            <w:tcW w:w="4324" w:type="pct"/>
            <w:noWrap/>
            <w:vAlign w:val="top"/>
          </w:tcPr>
          <w:p w14:paraId="4449A18D">
            <w:pPr>
              <w:widowControl/>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5）外出办事须知会上级同意后，并作好暂离岗登记后方可离开。</w:t>
            </w:r>
          </w:p>
        </w:tc>
      </w:tr>
    </w:tbl>
    <w:p w14:paraId="2E8E3E1D">
      <w:pPr>
        <w:bidi w:val="0"/>
        <w:spacing w:line="360" w:lineRule="auto"/>
        <w:ind w:firstLine="422" w:firstLineChars="200"/>
        <w:outlineLvl w:val="3"/>
        <w:rPr>
          <w:rFonts w:hint="eastAsia" w:ascii="宋体" w:hAnsi="宋体" w:eastAsia="宋体" w:cs="宋体"/>
          <w:b/>
          <w:bCs/>
          <w:color w:val="auto"/>
          <w:sz w:val="21"/>
          <w:szCs w:val="21"/>
          <w:lang w:val="en-US" w:eastAsia="zh-CN"/>
        </w:rPr>
      </w:pPr>
      <w:bookmarkStart w:id="578" w:name="_Toc26463"/>
      <w:bookmarkStart w:id="579" w:name="_Toc5039"/>
      <w:bookmarkStart w:id="580" w:name="_Toc32496"/>
      <w:bookmarkStart w:id="581" w:name="_Toc14056"/>
      <w:bookmarkStart w:id="582" w:name="_Toc23995"/>
      <w:r>
        <w:rPr>
          <w:rFonts w:hint="eastAsia" w:ascii="宋体" w:hAnsi="宋体" w:eastAsia="宋体" w:cs="宋体"/>
          <w:b/>
          <w:bCs/>
          <w:color w:val="auto"/>
          <w:sz w:val="21"/>
          <w:szCs w:val="21"/>
          <w:lang w:val="en-US" w:eastAsia="zh-CN"/>
        </w:rPr>
        <w:t>2.2.2安全保卫管理</w:t>
      </w:r>
      <w:bookmarkEnd w:id="578"/>
      <w:bookmarkEnd w:id="579"/>
      <w:bookmarkEnd w:id="580"/>
      <w:bookmarkEnd w:id="581"/>
      <w:bookmarkEnd w:id="582"/>
    </w:p>
    <w:p w14:paraId="758087C1">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全天24小时对本项目辖区范围内的治安情况进行巡查和保卫，熟练并灵活运用安防监控系统，对重点部位、监控点位进行监视及录像工作。</w:t>
      </w:r>
    </w:p>
    <w:p w14:paraId="1F75598B">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物业管理服务范围内出现扰乱正常安全秩序的情况或突发事（案）件时应及时处理，必要时联系所属街道或当地公安机关处理，同时对现场进行妥善保护，并协助做好善后处理工作。</w:t>
      </w:r>
    </w:p>
    <w:p w14:paraId="6911AC5B">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对出入口和周边环境进行实时监控，严防外来人员违规进入本项目，密切监视可疑人员出入动态。非办公时间对进入办公区的人员实行出入登记，严禁未经申请的外来人员进入本项目。</w:t>
      </w:r>
    </w:p>
    <w:p w14:paraId="28C8D0AD">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对携带大件行李或物品离开本大厦的，外来人员需提供“放行条”检查，对物业使用人需实施登记制度。</w:t>
      </w:r>
    </w:p>
    <w:p w14:paraId="4B9953FD">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快递、外卖人员需将快递或外卖放置于首层外围的快递柜和快餐柜，由物业使用人自行前往收取。</w:t>
      </w:r>
    </w:p>
    <w:p w14:paraId="33A678E3">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对进出停车场的所有车辆车牌实行系统识别，记录车辆的进出时间和车容车貌（完损程度）情况，熟知熟记招标人内部车辆信息。</w:t>
      </w:r>
    </w:p>
    <w:p w14:paraId="3F2C093C">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负责本项目的人流、车流疏导工作。在办公时间内，积极协助大堂客服人员做好外来人员的咨询和指引工作，引导乘坐电梯人员分流，并积极帮助伤残、高龄、行动不便人员乘坐电梯到达所需楼层。高峰期对出入本项目的车辆进行疏导，避免造成交通拥堵。</w:t>
      </w:r>
    </w:p>
    <w:p w14:paraId="4719FED0">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认真贯彻“预防为主，防消结合”的方针，按照政府部门及招标人相关消防管理规定，设立消防组织机构，落实各级消防责任人，加强消防日常检查，设立消防疏散示意图，保证紧急疏散通道通畅，确保无消防安全隐患，制定较为完善的本项目消防安全应急预案，定期开展义务消防宣传教育。</w:t>
      </w:r>
    </w:p>
    <w:p w14:paraId="31A62D86">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协助招标人开展各类活动、接待、重要会议等任务的安全保卫工作，必要时提供人力支援加强现场管理。根据招标人要求，按照“特殊敏感时期保卫方案”，包括但不限于做好防疫工作，以及对招标人的安全、防护、保卫等其他各项工作。</w:t>
      </w:r>
    </w:p>
    <w:p w14:paraId="685C357B">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重大节日前主动进行节日安全大检查，并及时对问题点及时进行整改。</w:t>
      </w:r>
    </w:p>
    <w:p w14:paraId="361B45B4">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每隔2小时对物业重点部位巡更点进行安全巡查一次，每2小时对停车场、车辆巡视一次。发现进入办公区域的陌生人员，及时查问，严防不法行为的发生；检查本项目内重点部位及各层（包括空置单元）门、窗、设备设施、水电、消防等情况；检查停车场车辆窗门是否关好，是否有漏油等情况，保证车辆停放安全。</w:t>
      </w:r>
    </w:p>
    <w:p w14:paraId="5C2EEC4F">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建立安全三级检查制度。一级检查由班组织实施，每个员工每天对本岗位责任区域进行安全检查，排除本身能够排除的一般不安全因素，上报本身不能解决的不安全因素。二级检查由安全部组织实施，安全负责人每周检查班组对安全工作的落实情况。三级检查由物业服务中心组织实施，项目经理每月检查各部门贯彻安全工作的执行、落实情况，特别是重点部位安全管理制度的落实情况。</w:t>
      </w:r>
    </w:p>
    <w:p w14:paraId="2043ADCD">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重点防火部位管理要点：</w:t>
      </w:r>
    </w:p>
    <w:p w14:paraId="1178B067">
      <w:pPr>
        <w:keepNext w:val="0"/>
        <w:keepLines w:val="0"/>
        <w:pageBreakBefore w:val="0"/>
        <w:widowControl w:val="0"/>
        <w:numPr>
          <w:ilvl w:val="0"/>
          <w:numId w:val="8"/>
        </w:numPr>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食堂区域，食堂存在的火灾隐患较多，除严格按招标人规章制度实施管理外，应加大消防检查力度，特别对厨房易污染的烟感、温感、喷淋头经常进行清洗，保持设备设施的正常工作状态；定期对食堂排烟道的油垢进行检查，督促食堂管理人员定期清理，避免火灾。经常检查燃气的管道及炉头、点火器具，定期邀请燃气公司的专业人员前来检查，并及时调整或更换不合格的零配件；严禁用潮湿或浸水物品操作电动机械加工食品，离开或下班时要及时关闭照明电源和不必要使用的动力电源。</w:t>
      </w:r>
    </w:p>
    <w:p w14:paraId="778E3660">
      <w:pPr>
        <w:keepNext w:val="0"/>
        <w:keepLines w:val="0"/>
        <w:pageBreakBefore w:val="0"/>
        <w:widowControl w:val="0"/>
        <w:numPr>
          <w:ilvl w:val="0"/>
          <w:numId w:val="8"/>
        </w:numPr>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设备房（如柴油发电机房、数据机房等）区域严禁吸烟，工作需用燃物要事先除火源，工作中要防止易燃易爆物外泄，机房内不得存放易燃易爆物品。部门、班组管理人员在当值期间，应注意检查机房内的灭火自救措施，并指导员工掌握各种灭火器械的使用和各种消防信号的正确使用方法。值班人员巡查、记录责任管辖区域内消防报警器和设备的情况，并及时记录报告情况。机房内的楼梯、走道、出入口要保持畅通无阻，严禁随意堆放物件。机房内的防火设施必须保持完整好用且要定期检查、保养，确保使用时不出故障。发生电气火灾时，要即时上报消防中心，施救时应坚持“先断电，后灭火”原则，并采取相应的灭火措施。灭火后，要详细记录火灾成因及灭火情况，书面上报招标人和中标人负责人。</w:t>
      </w:r>
    </w:p>
    <w:p w14:paraId="69E776B1">
      <w:pPr>
        <w:keepNext w:val="0"/>
        <w:keepLines w:val="0"/>
        <w:pageBreakBefore w:val="0"/>
        <w:widowControl w:val="0"/>
        <w:numPr>
          <w:ilvl w:val="0"/>
          <w:numId w:val="8"/>
        </w:numPr>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商业区域：商铺门面大多可燃物多，应注意检查消除商铺门店的火灾隐患。商铺内安装有报警、喷淋等消防设施的，要定期检查测试，确保完整好用。规范用电，严禁乱拉电线，用铜、铁线代替保险丝，严禁电动车入户充电。不随意堆放可燃易燃易爆物品，配备相应的灭火器材，加强日常安检。严禁违规封闭安全出口、占用疏散通道、安装防盗铁窗或铁栅栏。装修应尽量使用难燃不燃的材料，禁止使用聚氨酯类以及在燃烧后产生大量有毒烟气的材料。严禁夜间在店铺内住宿，离开时确保断电。发现火灾隐患应及时排除，出现火灾应及时组织本部门员工进行扑救，并及时汇报，未经许可不可撤除、清理火灾现场。</w:t>
      </w:r>
    </w:p>
    <w:p w14:paraId="4B34A91B">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其它安全和秩序管理要求与标准：</w:t>
      </w:r>
    </w:p>
    <w:tbl>
      <w:tblPr>
        <w:tblStyle w:val="4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7"/>
        <w:gridCol w:w="963"/>
        <w:gridCol w:w="3044"/>
        <w:gridCol w:w="3409"/>
        <w:gridCol w:w="1927"/>
      </w:tblGrid>
      <w:tr w14:paraId="75203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495" w:type="pct"/>
            <w:noWrap w:val="0"/>
            <w:vAlign w:val="center"/>
          </w:tcPr>
          <w:p w14:paraId="52F87342">
            <w:pPr>
              <w:widowControl/>
              <w:snapToGrid w:val="0"/>
              <w:spacing w:line="240" w:lineRule="auto"/>
              <w:ind w:firstLine="0" w:firstLineChars="0"/>
              <w:jc w:val="center"/>
              <w:rPr>
                <w:rFonts w:hint="eastAsia" w:ascii="宋体" w:hAnsi="宋体" w:eastAsia="宋体" w:cs="宋体"/>
                <w:b/>
                <w:color w:val="auto"/>
                <w:sz w:val="21"/>
                <w:szCs w:val="21"/>
                <w:lang w:eastAsia="zh-TW"/>
              </w:rPr>
            </w:pPr>
            <w:r>
              <w:rPr>
                <w:rFonts w:hint="eastAsia" w:ascii="宋体" w:hAnsi="宋体" w:eastAsia="宋体" w:cs="宋体"/>
                <w:b/>
                <w:color w:val="auto"/>
                <w:sz w:val="21"/>
                <w:szCs w:val="21"/>
                <w:lang w:eastAsia="zh-TW"/>
              </w:rPr>
              <w:t>模块</w:t>
            </w:r>
          </w:p>
        </w:tc>
        <w:tc>
          <w:tcPr>
            <w:tcW w:w="464" w:type="pct"/>
            <w:noWrap w:val="0"/>
            <w:vAlign w:val="center"/>
          </w:tcPr>
          <w:p w14:paraId="7DD57CEE">
            <w:pPr>
              <w:widowControl/>
              <w:snapToGrid w:val="0"/>
              <w:spacing w:line="240" w:lineRule="auto"/>
              <w:ind w:firstLine="0" w:firstLineChars="0"/>
              <w:jc w:val="center"/>
              <w:rPr>
                <w:rFonts w:hint="eastAsia" w:ascii="宋体" w:hAnsi="宋体" w:eastAsia="宋体" w:cs="宋体"/>
                <w:b/>
                <w:color w:val="auto"/>
                <w:sz w:val="21"/>
                <w:szCs w:val="21"/>
                <w:lang w:eastAsia="zh-TW"/>
              </w:rPr>
            </w:pPr>
            <w:r>
              <w:rPr>
                <w:rFonts w:hint="eastAsia" w:ascii="宋体" w:hAnsi="宋体" w:eastAsia="宋体" w:cs="宋体"/>
                <w:b/>
                <w:color w:val="auto"/>
                <w:sz w:val="21"/>
                <w:szCs w:val="21"/>
                <w:lang w:eastAsia="zh-TW"/>
              </w:rPr>
              <w:t>项目</w:t>
            </w:r>
          </w:p>
        </w:tc>
        <w:tc>
          <w:tcPr>
            <w:tcW w:w="1467" w:type="pct"/>
            <w:noWrap w:val="0"/>
            <w:vAlign w:val="center"/>
          </w:tcPr>
          <w:p w14:paraId="0E96F1F6">
            <w:pPr>
              <w:widowControl/>
              <w:snapToGrid w:val="0"/>
              <w:spacing w:line="240" w:lineRule="auto"/>
              <w:ind w:firstLine="0" w:firstLineChars="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管理要求</w:t>
            </w:r>
          </w:p>
        </w:tc>
        <w:tc>
          <w:tcPr>
            <w:tcW w:w="1643" w:type="pct"/>
            <w:noWrap w:val="0"/>
            <w:vAlign w:val="center"/>
          </w:tcPr>
          <w:p w14:paraId="7CC35849">
            <w:pPr>
              <w:widowControl/>
              <w:snapToGrid w:val="0"/>
              <w:spacing w:line="240" w:lineRule="auto"/>
              <w:ind w:firstLine="0" w:firstLineChars="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管理</w:t>
            </w:r>
            <w:r>
              <w:rPr>
                <w:rFonts w:hint="eastAsia" w:ascii="宋体" w:hAnsi="宋体" w:eastAsia="宋体" w:cs="宋体"/>
                <w:b/>
                <w:color w:val="auto"/>
                <w:sz w:val="21"/>
                <w:szCs w:val="21"/>
                <w:lang w:eastAsia="zh-TW"/>
              </w:rPr>
              <w:t>标准</w:t>
            </w:r>
          </w:p>
        </w:tc>
        <w:tc>
          <w:tcPr>
            <w:tcW w:w="929" w:type="pct"/>
            <w:noWrap w:val="0"/>
            <w:vAlign w:val="center"/>
          </w:tcPr>
          <w:p w14:paraId="799649C2">
            <w:pPr>
              <w:widowControl/>
              <w:snapToGrid w:val="0"/>
              <w:spacing w:line="240" w:lineRule="auto"/>
              <w:ind w:firstLine="0" w:firstLineChars="0"/>
              <w:jc w:val="center"/>
              <w:rPr>
                <w:rFonts w:hint="eastAsia" w:ascii="宋体" w:hAnsi="宋体" w:eastAsia="宋体" w:cs="宋体"/>
                <w:b/>
                <w:color w:val="auto"/>
                <w:sz w:val="21"/>
                <w:szCs w:val="21"/>
              </w:rPr>
            </w:pPr>
            <w:r>
              <w:rPr>
                <w:rFonts w:hint="eastAsia" w:ascii="宋体" w:hAnsi="宋体" w:eastAsia="宋体" w:cs="宋体"/>
                <w:b/>
                <w:color w:val="auto"/>
                <w:sz w:val="21"/>
                <w:szCs w:val="21"/>
                <w:lang w:eastAsia="zh-TW"/>
              </w:rPr>
              <w:t>关键指标</w:t>
            </w:r>
          </w:p>
        </w:tc>
      </w:tr>
      <w:tr w14:paraId="58B4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5" w:type="pct"/>
            <w:vMerge w:val="restart"/>
            <w:noWrap w:val="0"/>
            <w:vAlign w:val="center"/>
          </w:tcPr>
          <w:p w14:paraId="14D7FB29">
            <w:pPr>
              <w:widowControl/>
              <w:snapToGrid w:val="0"/>
              <w:spacing w:line="24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TW"/>
              </w:rPr>
              <w:t>安全管理</w:t>
            </w:r>
          </w:p>
        </w:tc>
        <w:tc>
          <w:tcPr>
            <w:tcW w:w="464" w:type="pct"/>
            <w:noWrap w:val="0"/>
            <w:vAlign w:val="center"/>
          </w:tcPr>
          <w:p w14:paraId="437F94CF">
            <w:pPr>
              <w:widowControl/>
              <w:snapToGrid w:val="0"/>
              <w:spacing w:line="240" w:lineRule="auto"/>
              <w:ind w:firstLine="0" w:firstLineChars="0"/>
              <w:jc w:val="center"/>
              <w:rPr>
                <w:rFonts w:hint="eastAsia" w:ascii="宋体" w:hAnsi="宋体" w:eastAsia="宋体" w:cs="宋体"/>
                <w:color w:val="auto"/>
                <w:sz w:val="21"/>
                <w:szCs w:val="21"/>
                <w:lang w:eastAsia="zh-TW"/>
              </w:rPr>
            </w:pPr>
            <w:r>
              <w:rPr>
                <w:rFonts w:hint="eastAsia" w:ascii="宋体" w:hAnsi="宋体" w:eastAsia="宋体" w:cs="宋体"/>
                <w:color w:val="auto"/>
                <w:sz w:val="21"/>
                <w:szCs w:val="21"/>
                <w:lang w:eastAsia="zh-TW"/>
              </w:rPr>
              <w:t>安全事件</w:t>
            </w:r>
          </w:p>
          <w:p w14:paraId="662E4E86">
            <w:pPr>
              <w:widowControl/>
              <w:snapToGrid w:val="0"/>
              <w:spacing w:line="240" w:lineRule="auto"/>
              <w:ind w:firstLine="0" w:firstLineChars="0"/>
              <w:jc w:val="center"/>
              <w:rPr>
                <w:rFonts w:hint="eastAsia" w:ascii="宋体" w:hAnsi="宋体" w:eastAsia="宋体" w:cs="宋体"/>
                <w:color w:val="auto"/>
                <w:sz w:val="21"/>
                <w:szCs w:val="21"/>
                <w:lang w:eastAsia="zh-TW"/>
              </w:rPr>
            </w:pPr>
            <w:r>
              <w:rPr>
                <w:rFonts w:hint="eastAsia" w:ascii="宋体" w:hAnsi="宋体" w:eastAsia="宋体" w:cs="宋体"/>
                <w:color w:val="auto"/>
                <w:sz w:val="21"/>
                <w:szCs w:val="21"/>
                <w:lang w:eastAsia="zh-TW"/>
              </w:rPr>
              <w:t>/</w:t>
            </w:r>
          </w:p>
          <w:p w14:paraId="2461C214">
            <w:pPr>
              <w:widowControl/>
              <w:snapToGrid w:val="0"/>
              <w:spacing w:line="24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TW"/>
              </w:rPr>
              <w:t>事故</w:t>
            </w:r>
          </w:p>
        </w:tc>
        <w:tc>
          <w:tcPr>
            <w:tcW w:w="1467" w:type="pct"/>
            <w:noWrap w:val="0"/>
            <w:vAlign w:val="center"/>
          </w:tcPr>
          <w:p w14:paraId="67447513">
            <w:pPr>
              <w:widowControl/>
              <w:snapToGrid w:val="0"/>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中标人负管理责任（含主要/次要责任）的安全事故/事件为零，这些事故/事件包括但不限于：人身安全事件、财产安全事件、火灾火险事件、信息安全事件。</w:t>
            </w:r>
          </w:p>
        </w:tc>
        <w:tc>
          <w:tcPr>
            <w:tcW w:w="1643" w:type="pct"/>
            <w:noWrap w:val="0"/>
            <w:vAlign w:val="center"/>
          </w:tcPr>
          <w:p w14:paraId="10DB0FA9">
            <w:pPr>
              <w:widowControl/>
              <w:snapToGrid w:val="0"/>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在当月考核期内如出现安全事故/事件，监管部门进行事故调查分析评审，确认中标人的责任（含主要/次要责任）。</w:t>
            </w:r>
          </w:p>
        </w:tc>
        <w:tc>
          <w:tcPr>
            <w:tcW w:w="929" w:type="pct"/>
            <w:noWrap w:val="0"/>
            <w:vAlign w:val="center"/>
          </w:tcPr>
          <w:p w14:paraId="2E11608E">
            <w:pPr>
              <w:widowControl/>
              <w:snapToGrid w:val="0"/>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lang w:eastAsia="zh-TW"/>
              </w:rPr>
              <w:t>无责任事故/事件</w:t>
            </w:r>
          </w:p>
        </w:tc>
      </w:tr>
      <w:tr w14:paraId="46CDF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495" w:type="pct"/>
            <w:vMerge w:val="continue"/>
            <w:noWrap w:val="0"/>
            <w:vAlign w:val="center"/>
          </w:tcPr>
          <w:p w14:paraId="7B244806">
            <w:pPr>
              <w:widowControl/>
              <w:snapToGrid w:val="0"/>
              <w:spacing w:line="240" w:lineRule="auto"/>
              <w:ind w:firstLine="0" w:firstLineChars="0"/>
              <w:rPr>
                <w:rFonts w:hint="eastAsia" w:ascii="宋体" w:hAnsi="宋体" w:eastAsia="宋体" w:cs="宋体"/>
                <w:color w:val="auto"/>
                <w:sz w:val="21"/>
                <w:szCs w:val="21"/>
              </w:rPr>
            </w:pPr>
          </w:p>
        </w:tc>
        <w:tc>
          <w:tcPr>
            <w:tcW w:w="464" w:type="pct"/>
            <w:noWrap w:val="0"/>
            <w:vAlign w:val="center"/>
          </w:tcPr>
          <w:p w14:paraId="452453B1">
            <w:pPr>
              <w:widowControl/>
              <w:snapToGrid w:val="0"/>
              <w:spacing w:line="24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TW"/>
              </w:rPr>
              <w:t>日常管理</w:t>
            </w:r>
          </w:p>
        </w:tc>
        <w:tc>
          <w:tcPr>
            <w:tcW w:w="1467" w:type="pct"/>
            <w:noWrap w:val="0"/>
            <w:vAlign w:val="center"/>
          </w:tcPr>
          <w:p w14:paraId="42D200EF">
            <w:pPr>
              <w:widowControl/>
              <w:snapToGrid w:val="0"/>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现场抽检合格率符合要求：</w:t>
            </w:r>
          </w:p>
          <w:p w14:paraId="505A9BB5">
            <w:pPr>
              <w:widowControl/>
              <w:snapToGrid w:val="0"/>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1.无脱岗、睡岗、玩手机；</w:t>
            </w:r>
          </w:p>
          <w:p w14:paraId="5761200F">
            <w:pPr>
              <w:widowControl/>
              <w:snapToGrid w:val="0"/>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2.消防器材抽检；</w:t>
            </w:r>
          </w:p>
          <w:p w14:paraId="214D6629">
            <w:pPr>
              <w:widowControl/>
              <w:snapToGrid w:val="0"/>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3.安管员对工作内容及岗位标准认识清晰准确；</w:t>
            </w:r>
          </w:p>
          <w:p w14:paraId="6B2CFB5F">
            <w:pPr>
              <w:widowControl/>
              <w:snapToGrid w:val="0"/>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4.各岗位均有该岗位的工作标准的管理文件。</w:t>
            </w:r>
          </w:p>
        </w:tc>
        <w:tc>
          <w:tcPr>
            <w:tcW w:w="1643" w:type="pct"/>
            <w:noWrap w:val="0"/>
            <w:vAlign w:val="center"/>
          </w:tcPr>
          <w:p w14:paraId="70DEC300">
            <w:pPr>
              <w:widowControl/>
              <w:snapToGrid w:val="0"/>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1.通过临时查岗、监控录像追溯、举报等方式，发现一起，则本项不合格；</w:t>
            </w:r>
          </w:p>
          <w:p w14:paraId="62B21730">
            <w:pPr>
              <w:widowControl/>
              <w:snapToGrid w:val="0"/>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2.每月抽检20%的消防器材设备，若合格率低于95%,则不合格；（注：已报修的不计入合格率计算）；</w:t>
            </w:r>
          </w:p>
          <w:p w14:paraId="1FA3CC91">
            <w:pPr>
              <w:widowControl/>
              <w:snapToGrid w:val="0"/>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3.抽查2名现场安管员，如不能清晰准确回答考核问题，则本项不合格。</w:t>
            </w:r>
          </w:p>
        </w:tc>
        <w:tc>
          <w:tcPr>
            <w:tcW w:w="929" w:type="pct"/>
            <w:noWrap w:val="0"/>
            <w:vAlign w:val="center"/>
          </w:tcPr>
          <w:p w14:paraId="15219956">
            <w:pPr>
              <w:widowControl/>
              <w:snapToGrid w:val="0"/>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设备器材合格率95%以上，岗位职责抽查合格率95%以上。</w:t>
            </w:r>
          </w:p>
        </w:tc>
      </w:tr>
      <w:tr w14:paraId="753D7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495" w:type="pct"/>
            <w:vMerge w:val="continue"/>
            <w:noWrap w:val="0"/>
            <w:vAlign w:val="center"/>
          </w:tcPr>
          <w:p w14:paraId="556E0D83">
            <w:pPr>
              <w:widowControl/>
              <w:snapToGrid w:val="0"/>
              <w:spacing w:line="240" w:lineRule="auto"/>
              <w:ind w:firstLine="0" w:firstLineChars="0"/>
              <w:rPr>
                <w:rFonts w:hint="eastAsia" w:ascii="宋体" w:hAnsi="宋体" w:eastAsia="宋体" w:cs="宋体"/>
                <w:color w:val="auto"/>
                <w:sz w:val="21"/>
                <w:szCs w:val="21"/>
              </w:rPr>
            </w:pPr>
          </w:p>
        </w:tc>
        <w:tc>
          <w:tcPr>
            <w:tcW w:w="464" w:type="pct"/>
            <w:vMerge w:val="restart"/>
            <w:noWrap w:val="0"/>
            <w:vAlign w:val="center"/>
          </w:tcPr>
          <w:p w14:paraId="738308BB">
            <w:pPr>
              <w:widowControl/>
              <w:snapToGrid w:val="0"/>
              <w:spacing w:line="24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TW"/>
              </w:rPr>
              <w:t>安全检查</w:t>
            </w:r>
          </w:p>
        </w:tc>
        <w:tc>
          <w:tcPr>
            <w:tcW w:w="1467" w:type="pct"/>
            <w:noWrap w:val="0"/>
            <w:vAlign w:val="center"/>
          </w:tcPr>
          <w:p w14:paraId="680C23A3">
            <w:pPr>
              <w:widowControl/>
              <w:snapToGrid w:val="0"/>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人员出入管理：有效识别内、外部人员身份，核实、登记外部来访人员信息。</w:t>
            </w:r>
          </w:p>
        </w:tc>
        <w:tc>
          <w:tcPr>
            <w:tcW w:w="1643" w:type="pct"/>
            <w:noWrap w:val="0"/>
            <w:vAlign w:val="center"/>
          </w:tcPr>
          <w:p w14:paraId="6AC436EB">
            <w:pPr>
              <w:widowControl/>
              <w:snapToGrid w:val="0"/>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有效识别出入人员，人员出入检查须登记，无责任安全事故。</w:t>
            </w:r>
          </w:p>
        </w:tc>
        <w:tc>
          <w:tcPr>
            <w:tcW w:w="929" w:type="pct"/>
            <w:noWrap w:val="0"/>
            <w:vAlign w:val="center"/>
          </w:tcPr>
          <w:p w14:paraId="76343EA2">
            <w:pPr>
              <w:widowControl/>
              <w:snapToGrid w:val="0"/>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人员出入识别率达到100%，外来人员登记率100%，月有效投诉0</w:t>
            </w:r>
          </w:p>
        </w:tc>
      </w:tr>
      <w:tr w14:paraId="0A52C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495" w:type="pct"/>
            <w:vMerge w:val="continue"/>
            <w:noWrap w:val="0"/>
            <w:vAlign w:val="center"/>
          </w:tcPr>
          <w:p w14:paraId="5091FF9A">
            <w:pPr>
              <w:widowControl/>
              <w:snapToGrid w:val="0"/>
              <w:spacing w:line="240" w:lineRule="auto"/>
              <w:ind w:firstLine="0" w:firstLineChars="0"/>
              <w:rPr>
                <w:rFonts w:hint="eastAsia" w:ascii="宋体" w:hAnsi="宋体" w:eastAsia="宋体" w:cs="宋体"/>
                <w:color w:val="auto"/>
                <w:sz w:val="21"/>
                <w:szCs w:val="21"/>
              </w:rPr>
            </w:pPr>
          </w:p>
        </w:tc>
        <w:tc>
          <w:tcPr>
            <w:tcW w:w="464" w:type="pct"/>
            <w:vMerge w:val="continue"/>
            <w:noWrap w:val="0"/>
            <w:vAlign w:val="center"/>
          </w:tcPr>
          <w:p w14:paraId="17344A8D">
            <w:pPr>
              <w:widowControl/>
              <w:snapToGrid w:val="0"/>
              <w:spacing w:line="240" w:lineRule="auto"/>
              <w:ind w:firstLine="0" w:firstLineChars="0"/>
              <w:jc w:val="center"/>
              <w:rPr>
                <w:rFonts w:hint="eastAsia" w:ascii="宋体" w:hAnsi="宋体" w:eastAsia="宋体" w:cs="宋体"/>
                <w:color w:val="auto"/>
                <w:sz w:val="21"/>
                <w:szCs w:val="21"/>
              </w:rPr>
            </w:pPr>
          </w:p>
        </w:tc>
        <w:tc>
          <w:tcPr>
            <w:tcW w:w="1467" w:type="pct"/>
            <w:noWrap w:val="0"/>
            <w:vAlign w:val="center"/>
          </w:tcPr>
          <w:p w14:paraId="11A06986">
            <w:pPr>
              <w:widowControl/>
              <w:snapToGrid w:val="0"/>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物品出入管理：楼宇出入各类物品检查识别，对放行物品进行登记核查。</w:t>
            </w:r>
          </w:p>
        </w:tc>
        <w:tc>
          <w:tcPr>
            <w:tcW w:w="1643" w:type="pct"/>
            <w:noWrap w:val="0"/>
            <w:vAlign w:val="center"/>
          </w:tcPr>
          <w:p w14:paraId="63FC87E5">
            <w:pPr>
              <w:widowControl/>
              <w:snapToGrid w:val="0"/>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有效管控出入物品，对物品出入进行检查登记，无责任安全事故。</w:t>
            </w:r>
          </w:p>
        </w:tc>
        <w:tc>
          <w:tcPr>
            <w:tcW w:w="929" w:type="pct"/>
            <w:noWrap w:val="0"/>
            <w:vAlign w:val="center"/>
          </w:tcPr>
          <w:p w14:paraId="1003CEE4">
            <w:pPr>
              <w:widowControl/>
              <w:snapToGrid w:val="0"/>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物品出入识别率达到100%，月有效投诉0</w:t>
            </w:r>
          </w:p>
        </w:tc>
      </w:tr>
      <w:tr w14:paraId="558C8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495" w:type="pct"/>
            <w:vMerge w:val="continue"/>
            <w:noWrap w:val="0"/>
            <w:vAlign w:val="center"/>
          </w:tcPr>
          <w:p w14:paraId="2E3F8CBE">
            <w:pPr>
              <w:widowControl/>
              <w:snapToGrid w:val="0"/>
              <w:spacing w:line="240" w:lineRule="auto"/>
              <w:ind w:firstLine="0" w:firstLineChars="0"/>
              <w:rPr>
                <w:rFonts w:hint="eastAsia" w:ascii="宋体" w:hAnsi="宋体" w:eastAsia="宋体" w:cs="宋体"/>
                <w:color w:val="auto"/>
                <w:sz w:val="21"/>
                <w:szCs w:val="21"/>
              </w:rPr>
            </w:pPr>
          </w:p>
        </w:tc>
        <w:tc>
          <w:tcPr>
            <w:tcW w:w="464" w:type="pct"/>
            <w:vMerge w:val="continue"/>
            <w:noWrap w:val="0"/>
            <w:vAlign w:val="center"/>
          </w:tcPr>
          <w:p w14:paraId="5D435367">
            <w:pPr>
              <w:widowControl/>
              <w:snapToGrid w:val="0"/>
              <w:spacing w:line="240" w:lineRule="auto"/>
              <w:ind w:firstLine="0" w:firstLineChars="0"/>
              <w:jc w:val="center"/>
              <w:rPr>
                <w:rFonts w:hint="eastAsia" w:ascii="宋体" w:hAnsi="宋体" w:eastAsia="宋体" w:cs="宋体"/>
                <w:color w:val="auto"/>
                <w:sz w:val="21"/>
                <w:szCs w:val="21"/>
              </w:rPr>
            </w:pPr>
          </w:p>
        </w:tc>
        <w:tc>
          <w:tcPr>
            <w:tcW w:w="1467" w:type="pct"/>
            <w:noWrap w:val="0"/>
            <w:vAlign w:val="center"/>
          </w:tcPr>
          <w:p w14:paraId="15ECE9D0">
            <w:pPr>
              <w:widowControl/>
              <w:snapToGrid w:val="0"/>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上门投诉：对上门申诉人员进行安全管理、控制，对申诉用户进行指引或安抚，配合客服部门完成用户上门申诉处理。</w:t>
            </w:r>
          </w:p>
        </w:tc>
        <w:tc>
          <w:tcPr>
            <w:tcW w:w="1643" w:type="pct"/>
            <w:noWrap w:val="0"/>
            <w:vAlign w:val="center"/>
          </w:tcPr>
          <w:p w14:paraId="001A45E1">
            <w:pPr>
              <w:widowControl/>
              <w:snapToGrid w:val="0"/>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参照相关应急文件中的相关要求进行现场管控。</w:t>
            </w:r>
          </w:p>
        </w:tc>
        <w:tc>
          <w:tcPr>
            <w:tcW w:w="929" w:type="pct"/>
            <w:noWrap w:val="0"/>
            <w:vAlign w:val="center"/>
          </w:tcPr>
          <w:p w14:paraId="29D65D65">
            <w:pPr>
              <w:widowControl/>
              <w:snapToGrid w:val="0"/>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跟进率100%，不出现责任安全事故，现场管控0伤亡</w:t>
            </w:r>
          </w:p>
        </w:tc>
      </w:tr>
      <w:tr w14:paraId="4883D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jc w:val="center"/>
        </w:trPr>
        <w:tc>
          <w:tcPr>
            <w:tcW w:w="495" w:type="pct"/>
            <w:vMerge w:val="continue"/>
            <w:noWrap w:val="0"/>
            <w:vAlign w:val="center"/>
          </w:tcPr>
          <w:p w14:paraId="0669DBAC">
            <w:pPr>
              <w:widowControl/>
              <w:snapToGrid w:val="0"/>
              <w:spacing w:line="240" w:lineRule="auto"/>
              <w:ind w:firstLine="0" w:firstLineChars="0"/>
              <w:rPr>
                <w:rFonts w:hint="eastAsia" w:ascii="宋体" w:hAnsi="宋体" w:eastAsia="宋体" w:cs="宋体"/>
                <w:color w:val="auto"/>
                <w:sz w:val="21"/>
                <w:szCs w:val="21"/>
              </w:rPr>
            </w:pPr>
          </w:p>
        </w:tc>
        <w:tc>
          <w:tcPr>
            <w:tcW w:w="464" w:type="pct"/>
            <w:noWrap w:val="0"/>
            <w:vAlign w:val="center"/>
          </w:tcPr>
          <w:p w14:paraId="20EE704A">
            <w:pPr>
              <w:widowControl/>
              <w:snapToGrid w:val="0"/>
              <w:spacing w:line="24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TW"/>
              </w:rPr>
              <w:t>安防监控</w:t>
            </w:r>
          </w:p>
        </w:tc>
        <w:tc>
          <w:tcPr>
            <w:tcW w:w="1467" w:type="pct"/>
            <w:noWrap w:val="0"/>
            <w:vAlign w:val="center"/>
          </w:tcPr>
          <w:p w14:paraId="5C87110E">
            <w:pPr>
              <w:widowControl/>
              <w:snapToGrid w:val="0"/>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1.安防监控中心24小时值班及监控。</w:t>
            </w:r>
          </w:p>
          <w:p w14:paraId="2F67EF76">
            <w:pPr>
              <w:widowControl/>
              <w:snapToGrid w:val="0"/>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2.监控查询：办公区重大安全事件、固资丢失的监控查询。</w:t>
            </w:r>
          </w:p>
          <w:p w14:paraId="33C7DF9F">
            <w:pPr>
              <w:widowControl/>
              <w:snapToGrid w:val="0"/>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3.监控存档不少于30天。</w:t>
            </w:r>
          </w:p>
          <w:p w14:paraId="3AD5F2AA">
            <w:pPr>
              <w:widowControl/>
              <w:snapToGrid w:val="0"/>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4.支持通过审批的员工监控查询需求及招标人主管部门提出的查询需求。</w:t>
            </w:r>
          </w:p>
        </w:tc>
        <w:tc>
          <w:tcPr>
            <w:tcW w:w="1643" w:type="pct"/>
            <w:noWrap w:val="0"/>
            <w:vAlign w:val="center"/>
          </w:tcPr>
          <w:p w14:paraId="1F836E6C">
            <w:pPr>
              <w:widowControl/>
              <w:snapToGrid w:val="0"/>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1.监控记录完备；</w:t>
            </w:r>
          </w:p>
          <w:p w14:paraId="52DE12C9">
            <w:pPr>
              <w:widowControl/>
              <w:snapToGrid w:val="0"/>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2.监控值班期间，发现安全问题，及时通知相关人员排除隐患；</w:t>
            </w:r>
          </w:p>
          <w:p w14:paraId="51D951A7">
            <w:pPr>
              <w:widowControl/>
              <w:snapToGrid w:val="0"/>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3.做好监控内容的保密工作，不拷贝、翻拍、外传相关监控内容。</w:t>
            </w:r>
          </w:p>
        </w:tc>
        <w:tc>
          <w:tcPr>
            <w:tcW w:w="929" w:type="pct"/>
            <w:noWrap w:val="0"/>
            <w:vAlign w:val="center"/>
          </w:tcPr>
          <w:p w14:paraId="5CBCC3F5">
            <w:pPr>
              <w:widowControl/>
              <w:snapToGrid w:val="0"/>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抽查监控记录，合格率100%，无监控泄密事件发生月有效投诉为0</w:t>
            </w:r>
          </w:p>
        </w:tc>
      </w:tr>
      <w:tr w14:paraId="179FC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5" w:type="pct"/>
            <w:vMerge w:val="continue"/>
            <w:noWrap w:val="0"/>
            <w:vAlign w:val="center"/>
          </w:tcPr>
          <w:p w14:paraId="514043AD">
            <w:pPr>
              <w:widowControl/>
              <w:snapToGrid w:val="0"/>
              <w:spacing w:line="240" w:lineRule="auto"/>
              <w:ind w:firstLine="0" w:firstLineChars="0"/>
              <w:rPr>
                <w:rFonts w:hint="eastAsia" w:ascii="宋体" w:hAnsi="宋体" w:eastAsia="宋体" w:cs="宋体"/>
                <w:color w:val="auto"/>
                <w:sz w:val="21"/>
                <w:szCs w:val="21"/>
              </w:rPr>
            </w:pPr>
          </w:p>
        </w:tc>
        <w:tc>
          <w:tcPr>
            <w:tcW w:w="464" w:type="pct"/>
            <w:noWrap w:val="0"/>
            <w:vAlign w:val="center"/>
          </w:tcPr>
          <w:p w14:paraId="369AA661">
            <w:pPr>
              <w:widowControl/>
              <w:snapToGrid w:val="0"/>
              <w:spacing w:line="24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TW"/>
              </w:rPr>
              <w:t>停车场管理</w:t>
            </w:r>
          </w:p>
        </w:tc>
        <w:tc>
          <w:tcPr>
            <w:tcW w:w="1467" w:type="pct"/>
            <w:noWrap w:val="0"/>
            <w:vAlign w:val="center"/>
          </w:tcPr>
          <w:p w14:paraId="398100FE">
            <w:pPr>
              <w:widowControl/>
              <w:snapToGrid w:val="0"/>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地面及地上停车场的管理。</w:t>
            </w:r>
          </w:p>
        </w:tc>
        <w:tc>
          <w:tcPr>
            <w:tcW w:w="1643" w:type="pct"/>
            <w:noWrap w:val="0"/>
            <w:vAlign w:val="center"/>
          </w:tcPr>
          <w:p w14:paraId="065546D8">
            <w:pPr>
              <w:widowControl/>
              <w:snapToGrid w:val="0"/>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1.停车信息与车辆信息基本相符。</w:t>
            </w:r>
          </w:p>
          <w:p w14:paraId="67759B28">
            <w:pPr>
              <w:widowControl/>
              <w:snapToGrid w:val="0"/>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2.停车场车辆停放有序，道路畅通，交通指挥及引导正确。</w:t>
            </w:r>
          </w:p>
        </w:tc>
        <w:tc>
          <w:tcPr>
            <w:tcW w:w="929" w:type="pct"/>
            <w:noWrap w:val="0"/>
            <w:vAlign w:val="center"/>
          </w:tcPr>
          <w:p w14:paraId="7C859789">
            <w:pPr>
              <w:widowControl/>
              <w:snapToGrid w:val="0"/>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违规占用道路或VIP车位抽查，不超过总停车位的1%</w:t>
            </w:r>
          </w:p>
        </w:tc>
      </w:tr>
      <w:tr w14:paraId="31893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jc w:val="center"/>
        </w:trPr>
        <w:tc>
          <w:tcPr>
            <w:tcW w:w="495" w:type="pct"/>
            <w:vMerge w:val="continue"/>
            <w:noWrap w:val="0"/>
            <w:vAlign w:val="center"/>
          </w:tcPr>
          <w:p w14:paraId="198ECDCD">
            <w:pPr>
              <w:widowControl/>
              <w:snapToGrid w:val="0"/>
              <w:spacing w:line="240" w:lineRule="auto"/>
              <w:ind w:firstLine="0" w:firstLineChars="0"/>
              <w:rPr>
                <w:rFonts w:hint="eastAsia" w:ascii="宋体" w:hAnsi="宋体" w:eastAsia="宋体" w:cs="宋体"/>
                <w:color w:val="auto"/>
                <w:sz w:val="21"/>
                <w:szCs w:val="21"/>
              </w:rPr>
            </w:pPr>
          </w:p>
        </w:tc>
        <w:tc>
          <w:tcPr>
            <w:tcW w:w="464" w:type="pct"/>
            <w:noWrap w:val="0"/>
            <w:vAlign w:val="center"/>
          </w:tcPr>
          <w:p w14:paraId="15BED387">
            <w:pPr>
              <w:widowControl/>
              <w:snapToGrid w:val="0"/>
              <w:spacing w:line="24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TW"/>
              </w:rPr>
              <w:t>活动保障</w:t>
            </w:r>
          </w:p>
        </w:tc>
        <w:tc>
          <w:tcPr>
            <w:tcW w:w="1467" w:type="pct"/>
            <w:noWrap w:val="0"/>
            <w:vAlign w:val="center"/>
          </w:tcPr>
          <w:p w14:paraId="4379621A">
            <w:pPr>
              <w:widowControl/>
              <w:snapToGrid w:val="0"/>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各类活动、接待、重要会议等任务的安全保卫工作及物品搬运，必要时提供人力支援。</w:t>
            </w:r>
          </w:p>
        </w:tc>
        <w:tc>
          <w:tcPr>
            <w:tcW w:w="1643" w:type="pct"/>
            <w:noWrap w:val="0"/>
            <w:vAlign w:val="center"/>
          </w:tcPr>
          <w:p w14:paraId="123CF101">
            <w:pPr>
              <w:widowControl/>
              <w:snapToGrid w:val="0"/>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lang w:eastAsia="zh-TW"/>
              </w:rPr>
              <w:t>配合客户要求执行</w:t>
            </w:r>
            <w:r>
              <w:rPr>
                <w:rFonts w:hint="eastAsia" w:ascii="宋体" w:hAnsi="宋体" w:eastAsia="宋体" w:cs="宋体"/>
                <w:color w:val="auto"/>
                <w:sz w:val="21"/>
                <w:szCs w:val="21"/>
              </w:rPr>
              <w:t>。</w:t>
            </w:r>
          </w:p>
        </w:tc>
        <w:tc>
          <w:tcPr>
            <w:tcW w:w="929" w:type="pct"/>
            <w:noWrap w:val="0"/>
            <w:vAlign w:val="center"/>
          </w:tcPr>
          <w:p w14:paraId="5454007B">
            <w:pPr>
              <w:widowControl/>
              <w:snapToGrid w:val="0"/>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lang w:eastAsia="zh-TW"/>
              </w:rPr>
              <w:t>服务满意度95%以上</w:t>
            </w:r>
          </w:p>
        </w:tc>
      </w:tr>
    </w:tbl>
    <w:p w14:paraId="240B3E24">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3"/>
        <w:rPr>
          <w:rFonts w:hint="eastAsia" w:ascii="宋体" w:hAnsi="宋体" w:eastAsia="宋体" w:cs="宋体"/>
          <w:b/>
          <w:bCs/>
          <w:color w:val="auto"/>
          <w:sz w:val="21"/>
          <w:szCs w:val="21"/>
          <w:lang w:val="en-US" w:eastAsia="zh-CN"/>
        </w:rPr>
      </w:pPr>
      <w:bookmarkStart w:id="583" w:name="_Toc135256448"/>
      <w:bookmarkStart w:id="584" w:name="_Toc31413"/>
      <w:bookmarkStart w:id="585" w:name="_Toc135163433"/>
      <w:bookmarkStart w:id="586" w:name="_Toc5491"/>
      <w:bookmarkStart w:id="587" w:name="_Toc20535"/>
      <w:bookmarkStart w:id="588" w:name="_Toc135161948"/>
      <w:bookmarkStart w:id="589" w:name="_Toc12943"/>
      <w:bookmarkStart w:id="590" w:name="_Toc135162403"/>
      <w:bookmarkStart w:id="591" w:name="_Toc21228"/>
      <w:bookmarkStart w:id="592" w:name="_Toc25193"/>
      <w:bookmarkStart w:id="593" w:name="_Toc135256693"/>
      <w:bookmarkStart w:id="594" w:name="_Toc134830158"/>
      <w:bookmarkStart w:id="595" w:name="_Toc135162749"/>
      <w:bookmarkStart w:id="596" w:name="_Toc135162954"/>
      <w:bookmarkStart w:id="597" w:name="_Toc135160296"/>
      <w:r>
        <w:rPr>
          <w:rFonts w:hint="eastAsia" w:ascii="宋体" w:hAnsi="宋体" w:eastAsia="宋体" w:cs="宋体"/>
          <w:b/>
          <w:bCs/>
          <w:color w:val="auto"/>
          <w:sz w:val="21"/>
          <w:szCs w:val="21"/>
          <w:lang w:val="en-US" w:eastAsia="zh-CN"/>
        </w:rPr>
        <w:t>2.2.3清洁卫生管理</w:t>
      </w:r>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p>
    <w:p w14:paraId="2866DFA4">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本部分服务的招标范围为大厦规划红线范围的区域，委托内容包括但不限于以下内容： </w:t>
      </w:r>
    </w:p>
    <w:p w14:paraId="125945B3">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建筑物内日常清洁服务：塔楼除</w:t>
      </w:r>
      <w:r>
        <w:rPr>
          <w:rFonts w:hint="eastAsia" w:ascii="宋体" w:hAnsi="宋体" w:eastAsia="宋体" w:cs="宋体"/>
          <w:color w:val="auto"/>
          <w:sz w:val="21"/>
          <w:szCs w:val="21"/>
          <w:highlight w:val="none"/>
          <w:lang w:val="en-US" w:eastAsia="zh-CN"/>
        </w:rPr>
        <w:t>租赁</w:t>
      </w:r>
      <w:r>
        <w:rPr>
          <w:rFonts w:hint="eastAsia" w:ascii="宋体" w:hAnsi="宋体" w:eastAsia="宋体" w:cs="宋体"/>
          <w:color w:val="auto"/>
          <w:sz w:val="21"/>
          <w:szCs w:val="21"/>
          <w:highlight w:val="none"/>
        </w:rPr>
        <w:t>区域外所有</w:t>
      </w:r>
      <w:r>
        <w:rPr>
          <w:rFonts w:hint="eastAsia" w:ascii="宋体" w:hAnsi="宋体" w:eastAsia="宋体" w:cs="宋体"/>
          <w:color w:val="auto"/>
          <w:sz w:val="21"/>
          <w:szCs w:val="21"/>
          <w:highlight w:val="none"/>
          <w:lang w:val="en-US" w:eastAsia="zh-CN"/>
        </w:rPr>
        <w:t>公共</w:t>
      </w:r>
      <w:r>
        <w:rPr>
          <w:rFonts w:hint="eastAsia" w:ascii="宋体" w:hAnsi="宋体" w:eastAsia="宋体" w:cs="宋体"/>
          <w:color w:val="auto"/>
          <w:sz w:val="21"/>
          <w:szCs w:val="21"/>
          <w:highlight w:val="none"/>
        </w:rPr>
        <w:t>区域的清洁卫生，包含</w:t>
      </w:r>
      <w:r>
        <w:rPr>
          <w:rFonts w:hint="eastAsia" w:ascii="宋体" w:hAnsi="宋体" w:eastAsia="宋体" w:cs="宋体"/>
          <w:color w:val="auto"/>
          <w:sz w:val="21"/>
          <w:szCs w:val="21"/>
          <w:highlight w:val="none"/>
          <w:lang w:val="en-US" w:eastAsia="zh-CN"/>
        </w:rPr>
        <w:t>公共走廊、电梯间、洗手间、消防通道、茶水间、清洁间、屋面等</w:t>
      </w:r>
      <w:r>
        <w:rPr>
          <w:rFonts w:hint="eastAsia" w:ascii="宋体" w:hAnsi="宋体" w:eastAsia="宋体" w:cs="宋体"/>
          <w:color w:val="auto"/>
          <w:sz w:val="21"/>
          <w:szCs w:val="21"/>
          <w:highlight w:val="none"/>
        </w:rPr>
        <w:t>；裙楼除</w:t>
      </w:r>
      <w:r>
        <w:rPr>
          <w:rFonts w:hint="eastAsia" w:ascii="宋体" w:hAnsi="宋体" w:eastAsia="宋体" w:cs="宋体"/>
          <w:color w:val="auto"/>
          <w:sz w:val="21"/>
          <w:szCs w:val="21"/>
          <w:highlight w:val="none"/>
          <w:lang w:val="en-US" w:eastAsia="zh-CN"/>
        </w:rPr>
        <w:t>食堂</w:t>
      </w:r>
      <w:r>
        <w:rPr>
          <w:rFonts w:hint="eastAsia" w:ascii="宋体" w:hAnsi="宋体" w:eastAsia="宋体" w:cs="宋体"/>
          <w:color w:val="auto"/>
          <w:sz w:val="21"/>
          <w:szCs w:val="21"/>
          <w:highlight w:val="none"/>
        </w:rPr>
        <w:t>区域外的所有</w:t>
      </w:r>
      <w:r>
        <w:rPr>
          <w:rFonts w:hint="eastAsia" w:ascii="宋体" w:hAnsi="宋体" w:eastAsia="宋体" w:cs="宋体"/>
          <w:color w:val="auto"/>
          <w:sz w:val="21"/>
          <w:szCs w:val="21"/>
          <w:highlight w:val="none"/>
          <w:lang w:val="en-US" w:eastAsia="zh-CN"/>
        </w:rPr>
        <w:t>公共</w:t>
      </w:r>
      <w:r>
        <w:rPr>
          <w:rFonts w:hint="eastAsia" w:ascii="宋体" w:hAnsi="宋体" w:eastAsia="宋体" w:cs="宋体"/>
          <w:color w:val="auto"/>
          <w:sz w:val="21"/>
          <w:szCs w:val="21"/>
          <w:highlight w:val="none"/>
        </w:rPr>
        <w:t>区域清洁卫生，</w:t>
      </w:r>
      <w:r>
        <w:rPr>
          <w:rFonts w:hint="eastAsia" w:ascii="宋体" w:hAnsi="宋体" w:eastAsia="宋体" w:cs="宋体"/>
          <w:color w:val="auto"/>
          <w:sz w:val="21"/>
          <w:szCs w:val="21"/>
          <w:highlight w:val="none"/>
          <w:lang w:val="en-US" w:eastAsia="zh-CN"/>
        </w:rPr>
        <w:t>包含大堂、物业业务办公用房、功能用房（如消防控制室，配电室等）；</w:t>
      </w:r>
      <w:r>
        <w:rPr>
          <w:rFonts w:hint="eastAsia" w:ascii="宋体" w:hAnsi="宋体" w:eastAsia="宋体" w:cs="宋体"/>
          <w:color w:val="auto"/>
          <w:sz w:val="21"/>
          <w:szCs w:val="21"/>
          <w:highlight w:val="none"/>
        </w:rPr>
        <w:t>地下车库</w:t>
      </w:r>
      <w:r>
        <w:rPr>
          <w:rFonts w:hint="eastAsia" w:ascii="宋体" w:hAnsi="宋体" w:eastAsia="宋体" w:cs="宋体"/>
          <w:color w:val="auto"/>
          <w:sz w:val="21"/>
          <w:szCs w:val="21"/>
          <w:highlight w:val="none"/>
          <w:lang w:val="en-US" w:eastAsia="zh-CN"/>
        </w:rPr>
        <w:t>、项目外广场地面、幕墙等</w:t>
      </w:r>
      <w:r>
        <w:rPr>
          <w:rFonts w:hint="eastAsia" w:ascii="宋体" w:hAnsi="宋体" w:eastAsia="宋体" w:cs="宋体"/>
          <w:color w:val="auto"/>
          <w:sz w:val="21"/>
          <w:szCs w:val="21"/>
          <w:highlight w:val="none"/>
        </w:rPr>
        <w:t>区域的清洁卫生</w:t>
      </w:r>
      <w:r>
        <w:rPr>
          <w:rFonts w:hint="eastAsia" w:ascii="宋体" w:hAnsi="宋体" w:eastAsia="宋体" w:cs="宋体"/>
          <w:color w:val="auto"/>
          <w:sz w:val="21"/>
          <w:szCs w:val="21"/>
          <w:highlight w:val="none"/>
          <w:lang w:eastAsia="zh-CN"/>
        </w:rPr>
        <w:t>。</w:t>
      </w:r>
    </w:p>
    <w:p w14:paraId="2D3198FF">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A塔7-11层由酒店自行管理，物业负责消防通道的卫生保洁。</w:t>
      </w:r>
    </w:p>
    <w:p w14:paraId="68DBF2C4">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en-US"/>
        </w:rPr>
        <w:t>招标人集团内部</w:t>
      </w:r>
      <w:bookmarkStart w:id="598" w:name="OLE_LINK20"/>
      <w:r>
        <w:rPr>
          <w:rFonts w:hint="eastAsia" w:ascii="宋体" w:hAnsi="宋体" w:eastAsia="宋体" w:cs="宋体"/>
          <w:color w:val="auto"/>
          <w:kern w:val="0"/>
          <w:sz w:val="21"/>
          <w:szCs w:val="21"/>
          <w:highlight w:val="none"/>
          <w:lang w:val="en-US" w:eastAsia="zh-CN" w:bidi="en-US"/>
        </w:rPr>
        <w:t>各企业</w:t>
      </w:r>
      <w:bookmarkStart w:id="599" w:name="OLE_LINK22"/>
      <w:r>
        <w:rPr>
          <w:rFonts w:hint="eastAsia" w:ascii="宋体" w:hAnsi="宋体" w:eastAsia="宋体" w:cs="宋体"/>
          <w:color w:val="auto"/>
          <w:kern w:val="0"/>
          <w:sz w:val="21"/>
          <w:szCs w:val="21"/>
          <w:highlight w:val="none"/>
          <w:lang w:val="en-US" w:eastAsia="zh-CN" w:bidi="en-US"/>
        </w:rPr>
        <w:t>办公</w:t>
      </w:r>
      <w:bookmarkEnd w:id="598"/>
      <w:r>
        <w:rPr>
          <w:rFonts w:hint="eastAsia" w:ascii="宋体" w:hAnsi="宋体" w:eastAsia="宋体" w:cs="宋体"/>
          <w:color w:val="auto"/>
          <w:kern w:val="0"/>
          <w:sz w:val="21"/>
          <w:szCs w:val="21"/>
          <w:highlight w:val="none"/>
          <w:lang w:val="en-US" w:eastAsia="zh-CN" w:bidi="en-US"/>
        </w:rPr>
        <w:t>区域</w:t>
      </w:r>
      <w:bookmarkEnd w:id="599"/>
      <w:r>
        <w:rPr>
          <w:rFonts w:hint="eastAsia" w:ascii="宋体" w:hAnsi="宋体" w:eastAsia="宋体" w:cs="宋体"/>
          <w:color w:val="auto"/>
          <w:kern w:val="0"/>
          <w:sz w:val="21"/>
          <w:szCs w:val="21"/>
          <w:highlight w:val="none"/>
          <w:lang w:val="en-US" w:eastAsia="zh-CN" w:bidi="en-US"/>
        </w:rPr>
        <w:t>（不含公共区域）保洁，各企业可自愿选择与中标人按照保洁人工单价另行签订服务合同实施，费用由各企业承担，具体对接及管理细节由各企业与中标人自行负责（招标人不参与）。</w:t>
      </w:r>
    </w:p>
    <w:p w14:paraId="17E45B78">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租赁</w:t>
      </w:r>
      <w:r>
        <w:rPr>
          <w:rFonts w:hint="eastAsia" w:ascii="宋体" w:hAnsi="宋体" w:eastAsia="宋体" w:cs="宋体"/>
          <w:color w:val="auto"/>
          <w:sz w:val="21"/>
          <w:szCs w:val="21"/>
          <w:highlight w:val="none"/>
        </w:rPr>
        <w:t>区域外</w:t>
      </w:r>
      <w:r>
        <w:rPr>
          <w:rFonts w:hint="eastAsia" w:ascii="宋体" w:hAnsi="宋体" w:eastAsia="宋体" w:cs="宋体"/>
          <w:color w:val="auto"/>
          <w:sz w:val="21"/>
          <w:szCs w:val="21"/>
          <w:highlight w:val="none"/>
          <w:lang w:val="en-US" w:eastAsia="zh-CN"/>
        </w:rPr>
        <w:t>公共区域</w:t>
      </w:r>
      <w:r>
        <w:rPr>
          <w:rFonts w:hint="eastAsia" w:ascii="宋体" w:hAnsi="宋体" w:eastAsia="宋体" w:cs="宋体"/>
          <w:color w:val="auto"/>
          <w:sz w:val="21"/>
          <w:szCs w:val="21"/>
          <w:highlight w:val="none"/>
        </w:rPr>
        <w:t>清洁卫生作业要求与标准：</w:t>
      </w:r>
    </w:p>
    <w:tbl>
      <w:tblPr>
        <w:tblStyle w:val="41"/>
        <w:tblW w:w="923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650"/>
        <w:gridCol w:w="530"/>
        <w:gridCol w:w="1460"/>
        <w:gridCol w:w="1156"/>
        <w:gridCol w:w="1246"/>
        <w:gridCol w:w="1069"/>
        <w:gridCol w:w="890"/>
        <w:gridCol w:w="2229"/>
      </w:tblGrid>
      <w:tr w14:paraId="37691C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restart"/>
            <w:tcBorders>
              <w:top w:val="single" w:color="auto" w:sz="6" w:space="0"/>
              <w:left w:val="single" w:color="auto" w:sz="6" w:space="0"/>
              <w:bottom w:val="single" w:color="auto" w:sz="6" w:space="0"/>
              <w:right w:val="single" w:color="auto" w:sz="6" w:space="0"/>
            </w:tcBorders>
            <w:noWrap/>
            <w:vAlign w:val="center"/>
          </w:tcPr>
          <w:p w14:paraId="3BB9010B">
            <w:pPr>
              <w:snapToGrid w:val="0"/>
              <w:spacing w:line="240" w:lineRule="auto"/>
              <w:ind w:firstLine="0" w:firstLineChars="0"/>
              <w:jc w:val="center"/>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rPr>
              <w:t>位置</w:t>
            </w:r>
          </w:p>
        </w:tc>
        <w:tc>
          <w:tcPr>
            <w:tcW w:w="530" w:type="dxa"/>
            <w:vMerge w:val="restart"/>
            <w:tcBorders>
              <w:top w:val="single" w:color="auto" w:sz="6" w:space="0"/>
              <w:left w:val="single" w:color="auto" w:sz="6" w:space="0"/>
              <w:bottom w:val="single" w:color="auto" w:sz="6" w:space="0"/>
              <w:right w:val="single" w:color="auto" w:sz="6" w:space="0"/>
            </w:tcBorders>
            <w:noWrap/>
            <w:vAlign w:val="center"/>
          </w:tcPr>
          <w:p w14:paraId="2E1ACA28">
            <w:pPr>
              <w:snapToGrid w:val="0"/>
              <w:spacing w:line="240" w:lineRule="auto"/>
              <w:ind w:firstLine="0" w:firstLineChars="0"/>
              <w:jc w:val="center"/>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rPr>
              <w:t>序号</w:t>
            </w:r>
          </w:p>
        </w:tc>
        <w:tc>
          <w:tcPr>
            <w:tcW w:w="1460" w:type="dxa"/>
            <w:vMerge w:val="restart"/>
            <w:tcBorders>
              <w:top w:val="single" w:color="auto" w:sz="6" w:space="0"/>
              <w:left w:val="single" w:color="auto" w:sz="6" w:space="0"/>
              <w:bottom w:val="single" w:color="auto" w:sz="6" w:space="0"/>
              <w:right w:val="single" w:color="auto" w:sz="6" w:space="0"/>
            </w:tcBorders>
            <w:noWrap/>
            <w:vAlign w:val="center"/>
          </w:tcPr>
          <w:p w14:paraId="0E045A68">
            <w:pPr>
              <w:snapToGrid w:val="0"/>
              <w:spacing w:line="240" w:lineRule="auto"/>
              <w:ind w:firstLine="0" w:firstLineChars="0"/>
              <w:jc w:val="center"/>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rPr>
              <w:t>清洁项目</w:t>
            </w:r>
          </w:p>
        </w:tc>
        <w:tc>
          <w:tcPr>
            <w:tcW w:w="4361" w:type="dxa"/>
            <w:gridSpan w:val="4"/>
            <w:tcBorders>
              <w:top w:val="single" w:color="auto" w:sz="6" w:space="0"/>
              <w:left w:val="single" w:color="auto" w:sz="6" w:space="0"/>
              <w:bottom w:val="single" w:color="auto" w:sz="6" w:space="0"/>
              <w:right w:val="single" w:color="auto" w:sz="6" w:space="0"/>
            </w:tcBorders>
            <w:noWrap/>
            <w:vAlign w:val="center"/>
          </w:tcPr>
          <w:p w14:paraId="484170BC">
            <w:pPr>
              <w:snapToGrid w:val="0"/>
              <w:spacing w:line="240" w:lineRule="auto"/>
              <w:ind w:firstLine="0" w:firstLineChars="0"/>
              <w:jc w:val="center"/>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rPr>
              <w:t>作业要求</w:t>
            </w:r>
          </w:p>
        </w:tc>
        <w:tc>
          <w:tcPr>
            <w:tcW w:w="2229" w:type="dxa"/>
            <w:vMerge w:val="restart"/>
            <w:tcBorders>
              <w:top w:val="single" w:color="auto" w:sz="6" w:space="0"/>
              <w:left w:val="single" w:color="auto" w:sz="6" w:space="0"/>
              <w:bottom w:val="single" w:color="auto" w:sz="6" w:space="0"/>
              <w:right w:val="single" w:color="auto" w:sz="6" w:space="0"/>
            </w:tcBorders>
            <w:noWrap/>
            <w:vAlign w:val="center"/>
          </w:tcPr>
          <w:p w14:paraId="14B59C1C">
            <w:pPr>
              <w:snapToGrid w:val="0"/>
              <w:spacing w:line="240" w:lineRule="auto"/>
              <w:ind w:firstLine="0" w:firstLineChars="0"/>
              <w:jc w:val="center"/>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rPr>
              <w:t>清洁标准</w:t>
            </w:r>
          </w:p>
        </w:tc>
      </w:tr>
      <w:tr w14:paraId="12331B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continue"/>
            <w:tcBorders>
              <w:top w:val="single" w:color="auto" w:sz="6" w:space="0"/>
              <w:left w:val="single" w:color="auto" w:sz="6" w:space="0"/>
              <w:bottom w:val="single" w:color="auto" w:sz="6" w:space="0"/>
              <w:right w:val="single" w:color="auto" w:sz="6" w:space="0"/>
            </w:tcBorders>
            <w:noWrap/>
            <w:vAlign w:val="center"/>
          </w:tcPr>
          <w:p w14:paraId="22FC9217">
            <w:pPr>
              <w:snapToGrid w:val="0"/>
              <w:spacing w:line="240" w:lineRule="auto"/>
              <w:ind w:firstLine="0" w:firstLineChars="0"/>
              <w:jc w:val="center"/>
              <w:rPr>
                <w:rFonts w:hint="eastAsia" w:ascii="宋体" w:hAnsi="宋体" w:eastAsia="宋体" w:cs="宋体"/>
                <w:b/>
                <w:bCs/>
                <w:color w:val="auto"/>
                <w:kern w:val="2"/>
                <w:sz w:val="21"/>
                <w:szCs w:val="21"/>
              </w:rPr>
            </w:pPr>
          </w:p>
        </w:tc>
        <w:tc>
          <w:tcPr>
            <w:tcW w:w="530" w:type="dxa"/>
            <w:vMerge w:val="continue"/>
            <w:tcBorders>
              <w:top w:val="single" w:color="auto" w:sz="6" w:space="0"/>
              <w:left w:val="single" w:color="auto" w:sz="6" w:space="0"/>
              <w:bottom w:val="single" w:color="auto" w:sz="6" w:space="0"/>
              <w:right w:val="single" w:color="auto" w:sz="6" w:space="0"/>
            </w:tcBorders>
            <w:noWrap/>
            <w:vAlign w:val="center"/>
          </w:tcPr>
          <w:p w14:paraId="643DF399">
            <w:pPr>
              <w:snapToGrid w:val="0"/>
              <w:spacing w:line="240" w:lineRule="auto"/>
              <w:ind w:firstLine="0" w:firstLineChars="0"/>
              <w:jc w:val="center"/>
              <w:rPr>
                <w:rFonts w:hint="eastAsia" w:ascii="宋体" w:hAnsi="宋体" w:eastAsia="宋体" w:cs="宋体"/>
                <w:b/>
                <w:bCs/>
                <w:color w:val="auto"/>
                <w:kern w:val="2"/>
                <w:sz w:val="21"/>
                <w:szCs w:val="21"/>
              </w:rPr>
            </w:pPr>
          </w:p>
        </w:tc>
        <w:tc>
          <w:tcPr>
            <w:tcW w:w="1460" w:type="dxa"/>
            <w:vMerge w:val="continue"/>
            <w:tcBorders>
              <w:top w:val="single" w:color="auto" w:sz="6" w:space="0"/>
              <w:left w:val="single" w:color="auto" w:sz="6" w:space="0"/>
              <w:bottom w:val="single" w:color="auto" w:sz="6" w:space="0"/>
              <w:right w:val="single" w:color="auto" w:sz="6" w:space="0"/>
            </w:tcBorders>
            <w:noWrap/>
            <w:vAlign w:val="center"/>
          </w:tcPr>
          <w:p w14:paraId="0FA35CBB">
            <w:pPr>
              <w:snapToGrid w:val="0"/>
              <w:spacing w:line="240" w:lineRule="auto"/>
              <w:ind w:firstLine="0" w:firstLineChars="0"/>
              <w:jc w:val="center"/>
              <w:rPr>
                <w:rFonts w:hint="eastAsia" w:ascii="宋体" w:hAnsi="宋体" w:eastAsia="宋体" w:cs="宋体"/>
                <w:b/>
                <w:bCs/>
                <w:color w:val="auto"/>
                <w:kern w:val="2"/>
                <w:sz w:val="21"/>
                <w:szCs w:val="21"/>
              </w:rPr>
            </w:pPr>
          </w:p>
        </w:tc>
        <w:tc>
          <w:tcPr>
            <w:tcW w:w="1156" w:type="dxa"/>
            <w:tcBorders>
              <w:top w:val="single" w:color="auto" w:sz="6" w:space="0"/>
              <w:left w:val="single" w:color="auto" w:sz="6" w:space="0"/>
              <w:bottom w:val="single" w:color="auto" w:sz="6" w:space="0"/>
              <w:right w:val="single" w:color="auto" w:sz="6" w:space="0"/>
            </w:tcBorders>
            <w:noWrap/>
            <w:vAlign w:val="center"/>
          </w:tcPr>
          <w:p w14:paraId="75D79CA5">
            <w:pPr>
              <w:snapToGrid w:val="0"/>
              <w:spacing w:line="240" w:lineRule="auto"/>
              <w:ind w:firstLine="0" w:firstLineChars="0"/>
              <w:jc w:val="center"/>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rPr>
              <w:t>每日</w:t>
            </w:r>
          </w:p>
        </w:tc>
        <w:tc>
          <w:tcPr>
            <w:tcW w:w="1246" w:type="dxa"/>
            <w:tcBorders>
              <w:top w:val="single" w:color="auto" w:sz="6" w:space="0"/>
              <w:left w:val="single" w:color="auto" w:sz="6" w:space="0"/>
              <w:bottom w:val="single" w:color="auto" w:sz="6" w:space="0"/>
              <w:right w:val="single" w:color="auto" w:sz="6" w:space="0"/>
            </w:tcBorders>
            <w:noWrap/>
            <w:vAlign w:val="center"/>
          </w:tcPr>
          <w:p w14:paraId="6F925159">
            <w:pPr>
              <w:snapToGrid w:val="0"/>
              <w:spacing w:line="240" w:lineRule="auto"/>
              <w:ind w:firstLine="0" w:firstLineChars="0"/>
              <w:jc w:val="center"/>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rPr>
              <w:t>每周</w:t>
            </w:r>
          </w:p>
        </w:tc>
        <w:tc>
          <w:tcPr>
            <w:tcW w:w="1069" w:type="dxa"/>
            <w:tcBorders>
              <w:top w:val="single" w:color="auto" w:sz="6" w:space="0"/>
              <w:left w:val="single" w:color="auto" w:sz="6" w:space="0"/>
              <w:bottom w:val="single" w:color="auto" w:sz="6" w:space="0"/>
              <w:right w:val="single" w:color="auto" w:sz="6" w:space="0"/>
            </w:tcBorders>
            <w:noWrap/>
            <w:vAlign w:val="center"/>
          </w:tcPr>
          <w:p w14:paraId="68C2913A">
            <w:pPr>
              <w:snapToGrid w:val="0"/>
              <w:spacing w:line="240" w:lineRule="auto"/>
              <w:ind w:firstLine="0" w:firstLineChars="0"/>
              <w:jc w:val="center"/>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rPr>
              <w:t>每月</w:t>
            </w:r>
          </w:p>
        </w:tc>
        <w:tc>
          <w:tcPr>
            <w:tcW w:w="890" w:type="dxa"/>
            <w:tcBorders>
              <w:top w:val="single" w:color="auto" w:sz="6" w:space="0"/>
              <w:left w:val="single" w:color="auto" w:sz="6" w:space="0"/>
              <w:bottom w:val="single" w:color="auto" w:sz="6" w:space="0"/>
              <w:right w:val="single" w:color="auto" w:sz="6" w:space="0"/>
            </w:tcBorders>
            <w:noWrap/>
            <w:vAlign w:val="center"/>
          </w:tcPr>
          <w:p w14:paraId="0F2AE9CF">
            <w:pPr>
              <w:snapToGrid w:val="0"/>
              <w:spacing w:line="240" w:lineRule="auto"/>
              <w:ind w:firstLine="0" w:firstLineChars="0"/>
              <w:jc w:val="center"/>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rPr>
              <w:t>每季</w:t>
            </w:r>
          </w:p>
        </w:tc>
        <w:tc>
          <w:tcPr>
            <w:tcW w:w="2229" w:type="dxa"/>
            <w:vMerge w:val="continue"/>
            <w:tcBorders>
              <w:top w:val="single" w:color="auto" w:sz="6" w:space="0"/>
              <w:left w:val="single" w:color="auto" w:sz="6" w:space="0"/>
              <w:bottom w:val="single" w:color="auto" w:sz="6" w:space="0"/>
              <w:right w:val="single" w:color="auto" w:sz="6" w:space="0"/>
            </w:tcBorders>
            <w:noWrap/>
            <w:vAlign w:val="center"/>
          </w:tcPr>
          <w:p w14:paraId="5F239F6E">
            <w:pPr>
              <w:snapToGrid w:val="0"/>
              <w:spacing w:line="240" w:lineRule="auto"/>
              <w:ind w:firstLine="0" w:firstLineChars="0"/>
              <w:jc w:val="center"/>
              <w:rPr>
                <w:rFonts w:hint="eastAsia" w:ascii="宋体" w:hAnsi="宋体" w:eastAsia="宋体" w:cs="宋体"/>
                <w:bCs/>
                <w:color w:val="auto"/>
                <w:kern w:val="2"/>
                <w:sz w:val="21"/>
                <w:szCs w:val="21"/>
              </w:rPr>
            </w:pPr>
          </w:p>
        </w:tc>
      </w:tr>
      <w:tr w14:paraId="7CA688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restart"/>
            <w:tcBorders>
              <w:top w:val="single" w:color="auto" w:sz="6" w:space="0"/>
              <w:left w:val="single" w:color="auto" w:sz="6" w:space="0"/>
              <w:bottom w:val="single" w:color="auto" w:sz="6" w:space="0"/>
              <w:right w:val="single" w:color="auto" w:sz="6" w:space="0"/>
            </w:tcBorders>
            <w:noWrap/>
            <w:vAlign w:val="center"/>
          </w:tcPr>
          <w:p w14:paraId="66DA6C35">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建</w:t>
            </w:r>
          </w:p>
          <w:p w14:paraId="5477E836">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筑</w:t>
            </w:r>
          </w:p>
          <w:p w14:paraId="6D516A51">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物</w:t>
            </w:r>
          </w:p>
          <w:p w14:paraId="7058458C">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外</w:t>
            </w:r>
          </w:p>
          <w:p w14:paraId="2F80C793">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部</w:t>
            </w:r>
          </w:p>
        </w:tc>
        <w:tc>
          <w:tcPr>
            <w:tcW w:w="530" w:type="dxa"/>
            <w:tcBorders>
              <w:top w:val="single" w:color="auto" w:sz="6" w:space="0"/>
              <w:left w:val="single" w:color="auto" w:sz="6" w:space="0"/>
              <w:bottom w:val="single" w:color="auto" w:sz="6" w:space="0"/>
              <w:right w:val="single" w:color="auto" w:sz="6" w:space="0"/>
            </w:tcBorders>
            <w:noWrap/>
            <w:vAlign w:val="center"/>
          </w:tcPr>
          <w:p w14:paraId="7FD8E2A0">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p>
        </w:tc>
        <w:tc>
          <w:tcPr>
            <w:tcW w:w="1460" w:type="dxa"/>
            <w:tcBorders>
              <w:top w:val="single" w:color="auto" w:sz="6" w:space="0"/>
              <w:left w:val="single" w:color="auto" w:sz="6" w:space="0"/>
              <w:bottom w:val="single" w:color="auto" w:sz="6" w:space="0"/>
              <w:right w:val="single" w:color="auto" w:sz="6" w:space="0"/>
            </w:tcBorders>
            <w:noWrap/>
            <w:vAlign w:val="center"/>
          </w:tcPr>
          <w:p w14:paraId="6F692D23">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外围及道路</w:t>
            </w:r>
          </w:p>
        </w:tc>
        <w:tc>
          <w:tcPr>
            <w:tcW w:w="1156" w:type="dxa"/>
            <w:tcBorders>
              <w:top w:val="single" w:color="auto" w:sz="6" w:space="0"/>
              <w:left w:val="single" w:color="auto" w:sz="6" w:space="0"/>
              <w:bottom w:val="single" w:color="auto" w:sz="6" w:space="0"/>
              <w:right w:val="single" w:color="auto" w:sz="6" w:space="0"/>
            </w:tcBorders>
            <w:noWrap/>
            <w:vAlign w:val="center"/>
          </w:tcPr>
          <w:p w14:paraId="687B1049">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清扫四次</w:t>
            </w:r>
          </w:p>
        </w:tc>
        <w:tc>
          <w:tcPr>
            <w:tcW w:w="1246" w:type="dxa"/>
            <w:tcBorders>
              <w:top w:val="single" w:color="auto" w:sz="6" w:space="0"/>
              <w:left w:val="single" w:color="auto" w:sz="6" w:space="0"/>
              <w:bottom w:val="single" w:color="auto" w:sz="6" w:space="0"/>
              <w:right w:val="single" w:color="auto" w:sz="6" w:space="0"/>
            </w:tcBorders>
            <w:noWrap/>
            <w:vAlign w:val="center"/>
          </w:tcPr>
          <w:p w14:paraId="5BFBF4D4">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全面清洁一次</w:t>
            </w:r>
          </w:p>
        </w:tc>
        <w:tc>
          <w:tcPr>
            <w:tcW w:w="1069" w:type="dxa"/>
            <w:tcBorders>
              <w:top w:val="single" w:color="auto" w:sz="6" w:space="0"/>
              <w:left w:val="single" w:color="auto" w:sz="6" w:space="0"/>
              <w:bottom w:val="single" w:color="auto" w:sz="6" w:space="0"/>
              <w:right w:val="single" w:color="auto" w:sz="6" w:space="0"/>
            </w:tcBorders>
            <w:noWrap/>
            <w:vAlign w:val="center"/>
          </w:tcPr>
          <w:p w14:paraId="2BE43DEC">
            <w:pPr>
              <w:snapToGrid w:val="0"/>
              <w:spacing w:line="240" w:lineRule="auto"/>
              <w:ind w:firstLine="0" w:firstLineChars="0"/>
              <w:rPr>
                <w:rFonts w:hint="eastAsia" w:ascii="宋体" w:hAnsi="宋体" w:eastAsia="宋体" w:cs="宋体"/>
                <w:color w:val="auto"/>
                <w:kern w:val="2"/>
                <w:sz w:val="21"/>
                <w:szCs w:val="21"/>
              </w:rPr>
            </w:pPr>
          </w:p>
        </w:tc>
        <w:tc>
          <w:tcPr>
            <w:tcW w:w="890" w:type="dxa"/>
            <w:tcBorders>
              <w:top w:val="single" w:color="auto" w:sz="6" w:space="0"/>
              <w:left w:val="single" w:color="auto" w:sz="6" w:space="0"/>
              <w:bottom w:val="single" w:color="auto" w:sz="6" w:space="0"/>
              <w:right w:val="single" w:color="auto" w:sz="6" w:space="0"/>
            </w:tcBorders>
            <w:noWrap/>
            <w:vAlign w:val="center"/>
          </w:tcPr>
          <w:p w14:paraId="62AC4463">
            <w:pPr>
              <w:snapToGrid w:val="0"/>
              <w:spacing w:line="240" w:lineRule="auto"/>
              <w:ind w:firstLine="0" w:firstLineChars="0"/>
              <w:rPr>
                <w:rFonts w:hint="eastAsia" w:ascii="宋体" w:hAnsi="宋体" w:eastAsia="宋体" w:cs="宋体"/>
                <w:color w:val="auto"/>
                <w:kern w:val="2"/>
                <w:sz w:val="21"/>
                <w:szCs w:val="21"/>
              </w:rPr>
            </w:pPr>
          </w:p>
        </w:tc>
        <w:tc>
          <w:tcPr>
            <w:tcW w:w="2229" w:type="dxa"/>
            <w:tcBorders>
              <w:top w:val="single" w:color="auto" w:sz="6" w:space="0"/>
              <w:left w:val="single" w:color="auto" w:sz="6" w:space="0"/>
              <w:bottom w:val="single" w:color="auto" w:sz="6" w:space="0"/>
              <w:right w:val="single" w:color="auto" w:sz="6" w:space="0"/>
            </w:tcBorders>
            <w:noWrap/>
            <w:vAlign w:val="center"/>
          </w:tcPr>
          <w:p w14:paraId="41588E74">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干净、无杂物、无污渍</w:t>
            </w:r>
          </w:p>
        </w:tc>
      </w:tr>
      <w:tr w14:paraId="7B675A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continue"/>
            <w:tcBorders>
              <w:top w:val="single" w:color="auto" w:sz="6" w:space="0"/>
              <w:left w:val="single" w:color="auto" w:sz="6" w:space="0"/>
              <w:bottom w:val="single" w:color="auto" w:sz="6" w:space="0"/>
              <w:right w:val="single" w:color="auto" w:sz="6" w:space="0"/>
            </w:tcBorders>
            <w:noWrap/>
            <w:vAlign w:val="center"/>
          </w:tcPr>
          <w:p w14:paraId="54C6CD58">
            <w:pPr>
              <w:snapToGrid w:val="0"/>
              <w:spacing w:line="240" w:lineRule="auto"/>
              <w:ind w:firstLine="0" w:firstLineChars="0"/>
              <w:jc w:val="center"/>
              <w:rPr>
                <w:rFonts w:hint="eastAsia" w:ascii="宋体" w:hAnsi="宋体" w:eastAsia="宋体" w:cs="宋体"/>
                <w:color w:val="auto"/>
                <w:kern w:val="2"/>
                <w:sz w:val="21"/>
                <w:szCs w:val="21"/>
              </w:rPr>
            </w:pPr>
          </w:p>
        </w:tc>
        <w:tc>
          <w:tcPr>
            <w:tcW w:w="530" w:type="dxa"/>
            <w:tcBorders>
              <w:top w:val="single" w:color="auto" w:sz="6" w:space="0"/>
              <w:left w:val="single" w:color="auto" w:sz="6" w:space="0"/>
              <w:bottom w:val="single" w:color="auto" w:sz="6" w:space="0"/>
              <w:right w:val="single" w:color="auto" w:sz="6" w:space="0"/>
            </w:tcBorders>
            <w:noWrap/>
            <w:vAlign w:val="center"/>
          </w:tcPr>
          <w:p w14:paraId="31E8ED3F">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w:t>
            </w:r>
          </w:p>
        </w:tc>
        <w:tc>
          <w:tcPr>
            <w:tcW w:w="1460" w:type="dxa"/>
            <w:tcBorders>
              <w:top w:val="single" w:color="auto" w:sz="6" w:space="0"/>
              <w:left w:val="single" w:color="auto" w:sz="6" w:space="0"/>
              <w:bottom w:val="single" w:color="auto" w:sz="6" w:space="0"/>
              <w:right w:val="single" w:color="auto" w:sz="6" w:space="0"/>
            </w:tcBorders>
            <w:noWrap/>
            <w:vAlign w:val="center"/>
          </w:tcPr>
          <w:p w14:paraId="135DD479">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标识牌、宣传栏</w:t>
            </w:r>
          </w:p>
        </w:tc>
        <w:tc>
          <w:tcPr>
            <w:tcW w:w="1156" w:type="dxa"/>
            <w:tcBorders>
              <w:top w:val="single" w:color="auto" w:sz="6" w:space="0"/>
              <w:left w:val="single" w:color="auto" w:sz="6" w:space="0"/>
              <w:bottom w:val="single" w:color="auto" w:sz="6" w:space="0"/>
              <w:right w:val="single" w:color="auto" w:sz="6" w:space="0"/>
            </w:tcBorders>
            <w:noWrap/>
            <w:vAlign w:val="center"/>
          </w:tcPr>
          <w:p w14:paraId="53F6F784">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擦抹二次</w:t>
            </w:r>
          </w:p>
        </w:tc>
        <w:tc>
          <w:tcPr>
            <w:tcW w:w="1246" w:type="dxa"/>
            <w:tcBorders>
              <w:top w:val="single" w:color="auto" w:sz="6" w:space="0"/>
              <w:left w:val="single" w:color="auto" w:sz="6" w:space="0"/>
              <w:bottom w:val="single" w:color="auto" w:sz="6" w:space="0"/>
              <w:right w:val="single" w:color="auto" w:sz="6" w:space="0"/>
            </w:tcBorders>
            <w:noWrap/>
            <w:vAlign w:val="center"/>
          </w:tcPr>
          <w:p w14:paraId="7C144CDB">
            <w:pPr>
              <w:snapToGrid w:val="0"/>
              <w:spacing w:line="240" w:lineRule="auto"/>
              <w:ind w:firstLine="0" w:firstLineChars="0"/>
              <w:rPr>
                <w:rFonts w:hint="eastAsia" w:ascii="宋体" w:hAnsi="宋体" w:eastAsia="宋体" w:cs="宋体"/>
                <w:color w:val="auto"/>
                <w:kern w:val="2"/>
                <w:sz w:val="21"/>
                <w:szCs w:val="21"/>
              </w:rPr>
            </w:pPr>
          </w:p>
        </w:tc>
        <w:tc>
          <w:tcPr>
            <w:tcW w:w="1069" w:type="dxa"/>
            <w:tcBorders>
              <w:top w:val="single" w:color="auto" w:sz="6" w:space="0"/>
              <w:left w:val="single" w:color="auto" w:sz="6" w:space="0"/>
              <w:bottom w:val="single" w:color="auto" w:sz="6" w:space="0"/>
              <w:right w:val="single" w:color="auto" w:sz="6" w:space="0"/>
            </w:tcBorders>
            <w:noWrap/>
            <w:vAlign w:val="center"/>
          </w:tcPr>
          <w:p w14:paraId="1059407E">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清洗一次</w:t>
            </w:r>
          </w:p>
        </w:tc>
        <w:tc>
          <w:tcPr>
            <w:tcW w:w="890" w:type="dxa"/>
            <w:tcBorders>
              <w:top w:val="single" w:color="auto" w:sz="6" w:space="0"/>
              <w:left w:val="single" w:color="auto" w:sz="6" w:space="0"/>
              <w:bottom w:val="single" w:color="auto" w:sz="6" w:space="0"/>
              <w:right w:val="single" w:color="auto" w:sz="6" w:space="0"/>
            </w:tcBorders>
            <w:noWrap/>
            <w:vAlign w:val="center"/>
          </w:tcPr>
          <w:p w14:paraId="7BDEB57F">
            <w:pPr>
              <w:snapToGrid w:val="0"/>
              <w:spacing w:line="240" w:lineRule="auto"/>
              <w:ind w:firstLine="0" w:firstLineChars="0"/>
              <w:rPr>
                <w:rFonts w:hint="eastAsia" w:ascii="宋体" w:hAnsi="宋体" w:eastAsia="宋体" w:cs="宋体"/>
                <w:color w:val="auto"/>
                <w:kern w:val="2"/>
                <w:sz w:val="21"/>
                <w:szCs w:val="21"/>
              </w:rPr>
            </w:pPr>
          </w:p>
        </w:tc>
        <w:tc>
          <w:tcPr>
            <w:tcW w:w="2229" w:type="dxa"/>
            <w:tcBorders>
              <w:top w:val="single" w:color="auto" w:sz="6" w:space="0"/>
              <w:left w:val="single" w:color="auto" w:sz="6" w:space="0"/>
              <w:bottom w:val="single" w:color="auto" w:sz="6" w:space="0"/>
              <w:right w:val="single" w:color="auto" w:sz="6" w:space="0"/>
            </w:tcBorders>
            <w:noWrap/>
            <w:vAlign w:val="center"/>
          </w:tcPr>
          <w:p w14:paraId="6A056170">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明亮光洁、无污渍</w:t>
            </w:r>
          </w:p>
        </w:tc>
      </w:tr>
      <w:tr w14:paraId="59A6A6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continue"/>
            <w:tcBorders>
              <w:top w:val="single" w:color="auto" w:sz="6" w:space="0"/>
              <w:left w:val="single" w:color="auto" w:sz="6" w:space="0"/>
              <w:bottom w:val="single" w:color="auto" w:sz="6" w:space="0"/>
              <w:right w:val="single" w:color="auto" w:sz="6" w:space="0"/>
            </w:tcBorders>
            <w:noWrap/>
            <w:vAlign w:val="center"/>
          </w:tcPr>
          <w:p w14:paraId="3693A8B4">
            <w:pPr>
              <w:snapToGrid w:val="0"/>
              <w:spacing w:line="240" w:lineRule="auto"/>
              <w:ind w:firstLine="0" w:firstLineChars="0"/>
              <w:jc w:val="center"/>
              <w:rPr>
                <w:rFonts w:hint="eastAsia" w:ascii="宋体" w:hAnsi="宋体" w:eastAsia="宋体" w:cs="宋体"/>
                <w:color w:val="auto"/>
                <w:kern w:val="2"/>
                <w:sz w:val="21"/>
                <w:szCs w:val="21"/>
              </w:rPr>
            </w:pPr>
          </w:p>
        </w:tc>
        <w:tc>
          <w:tcPr>
            <w:tcW w:w="530" w:type="dxa"/>
            <w:tcBorders>
              <w:top w:val="single" w:color="auto" w:sz="6" w:space="0"/>
              <w:left w:val="single" w:color="auto" w:sz="6" w:space="0"/>
              <w:bottom w:val="single" w:color="auto" w:sz="6" w:space="0"/>
              <w:right w:val="single" w:color="auto" w:sz="6" w:space="0"/>
            </w:tcBorders>
            <w:noWrap/>
            <w:vAlign w:val="center"/>
          </w:tcPr>
          <w:p w14:paraId="2A0B0E13">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w:t>
            </w:r>
          </w:p>
        </w:tc>
        <w:tc>
          <w:tcPr>
            <w:tcW w:w="1460" w:type="dxa"/>
            <w:tcBorders>
              <w:top w:val="single" w:color="auto" w:sz="6" w:space="0"/>
              <w:left w:val="single" w:color="auto" w:sz="6" w:space="0"/>
              <w:bottom w:val="single" w:color="auto" w:sz="6" w:space="0"/>
              <w:right w:val="single" w:color="auto" w:sz="6" w:space="0"/>
            </w:tcBorders>
            <w:noWrap/>
            <w:vAlign w:val="center"/>
          </w:tcPr>
          <w:p w14:paraId="1BBDF891">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灯具</w:t>
            </w:r>
          </w:p>
        </w:tc>
        <w:tc>
          <w:tcPr>
            <w:tcW w:w="1156" w:type="dxa"/>
            <w:tcBorders>
              <w:top w:val="single" w:color="auto" w:sz="6" w:space="0"/>
              <w:left w:val="single" w:color="auto" w:sz="6" w:space="0"/>
              <w:bottom w:val="single" w:color="auto" w:sz="6" w:space="0"/>
              <w:right w:val="single" w:color="auto" w:sz="6" w:space="0"/>
            </w:tcBorders>
            <w:noWrap/>
            <w:vAlign w:val="center"/>
          </w:tcPr>
          <w:p w14:paraId="5B9EFF47">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清抹灯罩一次</w:t>
            </w:r>
          </w:p>
        </w:tc>
        <w:tc>
          <w:tcPr>
            <w:tcW w:w="1246" w:type="dxa"/>
            <w:tcBorders>
              <w:top w:val="single" w:color="auto" w:sz="6" w:space="0"/>
              <w:left w:val="single" w:color="auto" w:sz="6" w:space="0"/>
              <w:bottom w:val="single" w:color="auto" w:sz="6" w:space="0"/>
              <w:right w:val="single" w:color="auto" w:sz="6" w:space="0"/>
            </w:tcBorders>
            <w:noWrap/>
            <w:vAlign w:val="center"/>
          </w:tcPr>
          <w:p w14:paraId="5A3A8353">
            <w:pPr>
              <w:snapToGrid w:val="0"/>
              <w:spacing w:line="240" w:lineRule="auto"/>
              <w:ind w:firstLine="0" w:firstLineChars="0"/>
              <w:rPr>
                <w:rFonts w:hint="eastAsia" w:ascii="宋体" w:hAnsi="宋体" w:eastAsia="宋体" w:cs="宋体"/>
                <w:color w:val="auto"/>
                <w:kern w:val="2"/>
                <w:sz w:val="21"/>
                <w:szCs w:val="21"/>
              </w:rPr>
            </w:pPr>
          </w:p>
        </w:tc>
        <w:tc>
          <w:tcPr>
            <w:tcW w:w="1069" w:type="dxa"/>
            <w:tcBorders>
              <w:top w:val="single" w:color="auto" w:sz="6" w:space="0"/>
              <w:left w:val="single" w:color="auto" w:sz="6" w:space="0"/>
              <w:bottom w:val="single" w:color="auto" w:sz="6" w:space="0"/>
              <w:right w:val="single" w:color="auto" w:sz="6" w:space="0"/>
            </w:tcBorders>
            <w:noWrap/>
            <w:vAlign w:val="center"/>
          </w:tcPr>
          <w:p w14:paraId="2816F63A">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用不锈钢油擦抹灯柱一次</w:t>
            </w:r>
          </w:p>
        </w:tc>
        <w:tc>
          <w:tcPr>
            <w:tcW w:w="890" w:type="dxa"/>
            <w:tcBorders>
              <w:top w:val="single" w:color="auto" w:sz="6" w:space="0"/>
              <w:left w:val="single" w:color="auto" w:sz="6" w:space="0"/>
              <w:bottom w:val="single" w:color="auto" w:sz="6" w:space="0"/>
              <w:right w:val="single" w:color="auto" w:sz="6" w:space="0"/>
            </w:tcBorders>
            <w:noWrap/>
            <w:vAlign w:val="center"/>
          </w:tcPr>
          <w:p w14:paraId="35A05EC3">
            <w:pPr>
              <w:snapToGrid w:val="0"/>
              <w:spacing w:line="240" w:lineRule="auto"/>
              <w:ind w:firstLine="0" w:firstLineChars="0"/>
              <w:rPr>
                <w:rFonts w:hint="eastAsia" w:ascii="宋体" w:hAnsi="宋体" w:eastAsia="宋体" w:cs="宋体"/>
                <w:color w:val="auto"/>
                <w:kern w:val="2"/>
                <w:sz w:val="21"/>
                <w:szCs w:val="21"/>
              </w:rPr>
            </w:pPr>
          </w:p>
        </w:tc>
        <w:tc>
          <w:tcPr>
            <w:tcW w:w="2229" w:type="dxa"/>
            <w:tcBorders>
              <w:top w:val="single" w:color="auto" w:sz="6" w:space="0"/>
              <w:left w:val="single" w:color="auto" w:sz="6" w:space="0"/>
              <w:bottom w:val="single" w:color="auto" w:sz="6" w:space="0"/>
              <w:right w:val="single" w:color="auto" w:sz="6" w:space="0"/>
            </w:tcBorders>
            <w:noWrap/>
            <w:vAlign w:val="center"/>
          </w:tcPr>
          <w:p w14:paraId="7E575829">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干净光亮</w:t>
            </w:r>
          </w:p>
        </w:tc>
      </w:tr>
      <w:tr w14:paraId="0E4FD9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continue"/>
            <w:tcBorders>
              <w:top w:val="single" w:color="auto" w:sz="6" w:space="0"/>
              <w:left w:val="single" w:color="auto" w:sz="6" w:space="0"/>
              <w:bottom w:val="single" w:color="auto" w:sz="6" w:space="0"/>
              <w:right w:val="single" w:color="auto" w:sz="6" w:space="0"/>
            </w:tcBorders>
            <w:noWrap/>
            <w:vAlign w:val="center"/>
          </w:tcPr>
          <w:p w14:paraId="36F08245">
            <w:pPr>
              <w:snapToGrid w:val="0"/>
              <w:spacing w:line="240" w:lineRule="auto"/>
              <w:ind w:firstLine="0" w:firstLineChars="0"/>
              <w:jc w:val="center"/>
              <w:rPr>
                <w:rFonts w:hint="eastAsia" w:ascii="宋体" w:hAnsi="宋体" w:eastAsia="宋体" w:cs="宋体"/>
                <w:color w:val="auto"/>
                <w:kern w:val="2"/>
                <w:sz w:val="21"/>
                <w:szCs w:val="21"/>
              </w:rPr>
            </w:pPr>
          </w:p>
        </w:tc>
        <w:tc>
          <w:tcPr>
            <w:tcW w:w="530" w:type="dxa"/>
            <w:tcBorders>
              <w:top w:val="single" w:color="auto" w:sz="6" w:space="0"/>
              <w:left w:val="single" w:color="auto" w:sz="6" w:space="0"/>
              <w:bottom w:val="single" w:color="auto" w:sz="6" w:space="0"/>
              <w:right w:val="single" w:color="auto" w:sz="6" w:space="0"/>
            </w:tcBorders>
            <w:noWrap/>
            <w:vAlign w:val="center"/>
          </w:tcPr>
          <w:p w14:paraId="35E44A69">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4</w:t>
            </w:r>
          </w:p>
        </w:tc>
        <w:tc>
          <w:tcPr>
            <w:tcW w:w="1460" w:type="dxa"/>
            <w:tcBorders>
              <w:top w:val="single" w:color="auto" w:sz="6" w:space="0"/>
              <w:left w:val="single" w:color="auto" w:sz="6" w:space="0"/>
              <w:bottom w:val="single" w:color="auto" w:sz="6" w:space="0"/>
              <w:right w:val="single" w:color="auto" w:sz="6" w:space="0"/>
            </w:tcBorders>
            <w:noWrap/>
            <w:vAlign w:val="center"/>
          </w:tcPr>
          <w:p w14:paraId="5108D053">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栏杆</w:t>
            </w:r>
          </w:p>
        </w:tc>
        <w:tc>
          <w:tcPr>
            <w:tcW w:w="1156" w:type="dxa"/>
            <w:tcBorders>
              <w:top w:val="single" w:color="auto" w:sz="6" w:space="0"/>
              <w:left w:val="single" w:color="auto" w:sz="6" w:space="0"/>
              <w:bottom w:val="single" w:color="auto" w:sz="6" w:space="0"/>
              <w:right w:val="single" w:color="auto" w:sz="6" w:space="0"/>
            </w:tcBorders>
            <w:noWrap/>
            <w:vAlign w:val="center"/>
          </w:tcPr>
          <w:p w14:paraId="10DF34A5">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清抹一次</w:t>
            </w:r>
          </w:p>
        </w:tc>
        <w:tc>
          <w:tcPr>
            <w:tcW w:w="1246" w:type="dxa"/>
            <w:tcBorders>
              <w:top w:val="single" w:color="auto" w:sz="6" w:space="0"/>
              <w:left w:val="single" w:color="auto" w:sz="6" w:space="0"/>
              <w:bottom w:val="single" w:color="auto" w:sz="6" w:space="0"/>
              <w:right w:val="single" w:color="auto" w:sz="6" w:space="0"/>
            </w:tcBorders>
            <w:noWrap/>
            <w:vAlign w:val="center"/>
          </w:tcPr>
          <w:p w14:paraId="10283B1E">
            <w:pPr>
              <w:snapToGrid w:val="0"/>
              <w:spacing w:line="240" w:lineRule="auto"/>
              <w:ind w:firstLine="0" w:firstLineChars="0"/>
              <w:rPr>
                <w:rFonts w:hint="eastAsia" w:ascii="宋体" w:hAnsi="宋体" w:eastAsia="宋体" w:cs="宋体"/>
                <w:color w:val="auto"/>
                <w:kern w:val="2"/>
                <w:sz w:val="21"/>
                <w:szCs w:val="21"/>
              </w:rPr>
            </w:pPr>
          </w:p>
        </w:tc>
        <w:tc>
          <w:tcPr>
            <w:tcW w:w="1069" w:type="dxa"/>
            <w:tcBorders>
              <w:top w:val="single" w:color="auto" w:sz="6" w:space="0"/>
              <w:left w:val="single" w:color="auto" w:sz="6" w:space="0"/>
              <w:bottom w:val="single" w:color="auto" w:sz="6" w:space="0"/>
              <w:right w:val="single" w:color="auto" w:sz="6" w:space="0"/>
            </w:tcBorders>
            <w:noWrap/>
            <w:vAlign w:val="center"/>
          </w:tcPr>
          <w:p w14:paraId="076C8F95">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用清洁剂清 抹一次</w:t>
            </w:r>
          </w:p>
        </w:tc>
        <w:tc>
          <w:tcPr>
            <w:tcW w:w="890" w:type="dxa"/>
            <w:tcBorders>
              <w:top w:val="single" w:color="auto" w:sz="6" w:space="0"/>
              <w:left w:val="single" w:color="auto" w:sz="6" w:space="0"/>
              <w:bottom w:val="single" w:color="auto" w:sz="6" w:space="0"/>
              <w:right w:val="single" w:color="auto" w:sz="6" w:space="0"/>
            </w:tcBorders>
            <w:noWrap/>
            <w:vAlign w:val="center"/>
          </w:tcPr>
          <w:p w14:paraId="79BB290A">
            <w:pPr>
              <w:snapToGrid w:val="0"/>
              <w:spacing w:line="240" w:lineRule="auto"/>
              <w:ind w:firstLine="0" w:firstLineChars="0"/>
              <w:rPr>
                <w:rFonts w:hint="eastAsia" w:ascii="宋体" w:hAnsi="宋体" w:eastAsia="宋体" w:cs="宋体"/>
                <w:color w:val="auto"/>
                <w:kern w:val="2"/>
                <w:sz w:val="21"/>
                <w:szCs w:val="21"/>
              </w:rPr>
            </w:pPr>
          </w:p>
        </w:tc>
        <w:tc>
          <w:tcPr>
            <w:tcW w:w="2229" w:type="dxa"/>
            <w:tcBorders>
              <w:top w:val="single" w:color="auto" w:sz="6" w:space="0"/>
              <w:left w:val="single" w:color="auto" w:sz="6" w:space="0"/>
              <w:bottom w:val="single" w:color="auto" w:sz="6" w:space="0"/>
              <w:right w:val="single" w:color="auto" w:sz="6" w:space="0"/>
            </w:tcBorders>
            <w:noWrap/>
            <w:vAlign w:val="center"/>
          </w:tcPr>
          <w:p w14:paraId="75EEDF4C">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干净、无污渍</w:t>
            </w:r>
          </w:p>
        </w:tc>
      </w:tr>
      <w:tr w14:paraId="081B5B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continue"/>
            <w:tcBorders>
              <w:top w:val="single" w:color="auto" w:sz="6" w:space="0"/>
              <w:left w:val="single" w:color="auto" w:sz="6" w:space="0"/>
              <w:bottom w:val="single" w:color="auto" w:sz="6" w:space="0"/>
              <w:right w:val="single" w:color="auto" w:sz="6" w:space="0"/>
            </w:tcBorders>
            <w:noWrap/>
            <w:vAlign w:val="center"/>
          </w:tcPr>
          <w:p w14:paraId="2B0A1162">
            <w:pPr>
              <w:snapToGrid w:val="0"/>
              <w:spacing w:line="240" w:lineRule="auto"/>
              <w:ind w:firstLine="0" w:firstLineChars="0"/>
              <w:jc w:val="center"/>
              <w:rPr>
                <w:rFonts w:hint="eastAsia" w:ascii="宋体" w:hAnsi="宋体" w:eastAsia="宋体" w:cs="宋体"/>
                <w:color w:val="auto"/>
                <w:kern w:val="2"/>
                <w:sz w:val="21"/>
                <w:szCs w:val="21"/>
              </w:rPr>
            </w:pPr>
          </w:p>
        </w:tc>
        <w:tc>
          <w:tcPr>
            <w:tcW w:w="530" w:type="dxa"/>
            <w:tcBorders>
              <w:top w:val="single" w:color="auto" w:sz="6" w:space="0"/>
              <w:left w:val="single" w:color="auto" w:sz="6" w:space="0"/>
              <w:bottom w:val="single" w:color="auto" w:sz="6" w:space="0"/>
              <w:right w:val="single" w:color="auto" w:sz="6" w:space="0"/>
            </w:tcBorders>
            <w:noWrap/>
            <w:vAlign w:val="center"/>
          </w:tcPr>
          <w:p w14:paraId="51A44DAF">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5</w:t>
            </w:r>
          </w:p>
        </w:tc>
        <w:tc>
          <w:tcPr>
            <w:tcW w:w="1460" w:type="dxa"/>
            <w:tcBorders>
              <w:top w:val="single" w:color="auto" w:sz="6" w:space="0"/>
              <w:left w:val="single" w:color="auto" w:sz="6" w:space="0"/>
              <w:bottom w:val="single" w:color="auto" w:sz="6" w:space="0"/>
              <w:right w:val="single" w:color="auto" w:sz="6" w:space="0"/>
            </w:tcBorders>
            <w:noWrap/>
            <w:vAlign w:val="center"/>
          </w:tcPr>
          <w:p w14:paraId="680438BB">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沟渠、雨、污水井及井盖</w:t>
            </w:r>
          </w:p>
        </w:tc>
        <w:tc>
          <w:tcPr>
            <w:tcW w:w="1156" w:type="dxa"/>
            <w:tcBorders>
              <w:top w:val="single" w:color="auto" w:sz="6" w:space="0"/>
              <w:left w:val="single" w:color="auto" w:sz="6" w:space="0"/>
              <w:bottom w:val="single" w:color="auto" w:sz="6" w:space="0"/>
              <w:right w:val="single" w:color="auto" w:sz="6" w:space="0"/>
            </w:tcBorders>
            <w:noWrap/>
            <w:vAlign w:val="center"/>
          </w:tcPr>
          <w:p w14:paraId="1BC10A8C">
            <w:pPr>
              <w:snapToGrid w:val="0"/>
              <w:spacing w:line="240" w:lineRule="auto"/>
              <w:ind w:firstLine="0" w:firstLineChars="0"/>
              <w:rPr>
                <w:rFonts w:hint="eastAsia" w:ascii="宋体" w:hAnsi="宋体" w:eastAsia="宋体" w:cs="宋体"/>
                <w:color w:val="auto"/>
                <w:kern w:val="2"/>
                <w:sz w:val="21"/>
                <w:szCs w:val="21"/>
              </w:rPr>
            </w:pPr>
          </w:p>
        </w:tc>
        <w:tc>
          <w:tcPr>
            <w:tcW w:w="1246" w:type="dxa"/>
            <w:tcBorders>
              <w:top w:val="single" w:color="auto" w:sz="6" w:space="0"/>
              <w:left w:val="single" w:color="auto" w:sz="6" w:space="0"/>
              <w:bottom w:val="single" w:color="auto" w:sz="6" w:space="0"/>
              <w:right w:val="single" w:color="auto" w:sz="6" w:space="0"/>
            </w:tcBorders>
            <w:noWrap/>
            <w:vAlign w:val="center"/>
          </w:tcPr>
          <w:p w14:paraId="1CA8CF9A">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清理一次</w:t>
            </w:r>
          </w:p>
        </w:tc>
        <w:tc>
          <w:tcPr>
            <w:tcW w:w="1069" w:type="dxa"/>
            <w:tcBorders>
              <w:top w:val="single" w:color="auto" w:sz="6" w:space="0"/>
              <w:left w:val="single" w:color="auto" w:sz="6" w:space="0"/>
              <w:bottom w:val="single" w:color="auto" w:sz="6" w:space="0"/>
              <w:right w:val="single" w:color="auto" w:sz="6" w:space="0"/>
            </w:tcBorders>
            <w:noWrap/>
            <w:vAlign w:val="center"/>
          </w:tcPr>
          <w:p w14:paraId="37E1C408">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全面清理一次</w:t>
            </w:r>
          </w:p>
        </w:tc>
        <w:tc>
          <w:tcPr>
            <w:tcW w:w="890" w:type="dxa"/>
            <w:tcBorders>
              <w:top w:val="single" w:color="auto" w:sz="6" w:space="0"/>
              <w:left w:val="single" w:color="auto" w:sz="6" w:space="0"/>
              <w:bottom w:val="single" w:color="auto" w:sz="6" w:space="0"/>
              <w:right w:val="single" w:color="auto" w:sz="6" w:space="0"/>
            </w:tcBorders>
            <w:noWrap/>
            <w:vAlign w:val="center"/>
          </w:tcPr>
          <w:p w14:paraId="4AF3F626">
            <w:pPr>
              <w:snapToGrid w:val="0"/>
              <w:spacing w:line="240" w:lineRule="auto"/>
              <w:ind w:firstLine="0" w:firstLineChars="0"/>
              <w:rPr>
                <w:rFonts w:hint="eastAsia" w:ascii="宋体" w:hAnsi="宋体" w:eastAsia="宋体" w:cs="宋体"/>
                <w:color w:val="auto"/>
                <w:kern w:val="2"/>
                <w:sz w:val="21"/>
                <w:szCs w:val="21"/>
              </w:rPr>
            </w:pPr>
          </w:p>
        </w:tc>
        <w:tc>
          <w:tcPr>
            <w:tcW w:w="2229" w:type="dxa"/>
            <w:tcBorders>
              <w:top w:val="single" w:color="auto" w:sz="6" w:space="0"/>
              <w:left w:val="single" w:color="auto" w:sz="6" w:space="0"/>
              <w:bottom w:val="single" w:color="auto" w:sz="6" w:space="0"/>
              <w:right w:val="single" w:color="auto" w:sz="6" w:space="0"/>
            </w:tcBorders>
            <w:noWrap/>
            <w:vAlign w:val="center"/>
          </w:tcPr>
          <w:p w14:paraId="79579531">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确保通畅，无异物异味</w:t>
            </w:r>
          </w:p>
        </w:tc>
      </w:tr>
      <w:tr w14:paraId="0898A5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continue"/>
            <w:tcBorders>
              <w:top w:val="single" w:color="auto" w:sz="6" w:space="0"/>
              <w:left w:val="single" w:color="auto" w:sz="6" w:space="0"/>
              <w:bottom w:val="single" w:color="auto" w:sz="6" w:space="0"/>
              <w:right w:val="single" w:color="auto" w:sz="6" w:space="0"/>
            </w:tcBorders>
            <w:noWrap/>
            <w:vAlign w:val="center"/>
          </w:tcPr>
          <w:p w14:paraId="133EB6C6">
            <w:pPr>
              <w:snapToGrid w:val="0"/>
              <w:spacing w:line="240" w:lineRule="auto"/>
              <w:ind w:firstLine="0" w:firstLineChars="0"/>
              <w:jc w:val="center"/>
              <w:rPr>
                <w:rFonts w:hint="eastAsia" w:ascii="宋体" w:hAnsi="宋体" w:eastAsia="宋体" w:cs="宋体"/>
                <w:color w:val="auto"/>
                <w:kern w:val="2"/>
                <w:sz w:val="21"/>
                <w:szCs w:val="21"/>
              </w:rPr>
            </w:pPr>
          </w:p>
        </w:tc>
        <w:tc>
          <w:tcPr>
            <w:tcW w:w="530" w:type="dxa"/>
            <w:tcBorders>
              <w:top w:val="single" w:color="auto" w:sz="6" w:space="0"/>
              <w:left w:val="single" w:color="auto" w:sz="6" w:space="0"/>
              <w:bottom w:val="single" w:color="auto" w:sz="6" w:space="0"/>
              <w:right w:val="single" w:color="auto" w:sz="6" w:space="0"/>
            </w:tcBorders>
            <w:noWrap/>
            <w:vAlign w:val="center"/>
          </w:tcPr>
          <w:p w14:paraId="4DDBEC46">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6</w:t>
            </w:r>
          </w:p>
        </w:tc>
        <w:tc>
          <w:tcPr>
            <w:tcW w:w="1460" w:type="dxa"/>
            <w:tcBorders>
              <w:top w:val="single" w:color="auto" w:sz="6" w:space="0"/>
              <w:left w:val="single" w:color="auto" w:sz="6" w:space="0"/>
              <w:bottom w:val="single" w:color="auto" w:sz="6" w:space="0"/>
              <w:right w:val="single" w:color="auto" w:sz="6" w:space="0"/>
            </w:tcBorders>
            <w:noWrap/>
            <w:vAlign w:val="center"/>
          </w:tcPr>
          <w:p w14:paraId="670F8069">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化粪池、隔油池</w:t>
            </w:r>
          </w:p>
        </w:tc>
        <w:tc>
          <w:tcPr>
            <w:tcW w:w="1156" w:type="dxa"/>
            <w:tcBorders>
              <w:top w:val="single" w:color="auto" w:sz="6" w:space="0"/>
              <w:left w:val="single" w:color="auto" w:sz="6" w:space="0"/>
              <w:bottom w:val="single" w:color="auto" w:sz="6" w:space="0"/>
              <w:right w:val="single" w:color="auto" w:sz="6" w:space="0"/>
            </w:tcBorders>
            <w:noWrap/>
            <w:vAlign w:val="center"/>
          </w:tcPr>
          <w:p w14:paraId="125E849A">
            <w:pPr>
              <w:snapToGrid w:val="0"/>
              <w:spacing w:line="240" w:lineRule="auto"/>
              <w:ind w:firstLine="0" w:firstLineChars="0"/>
              <w:rPr>
                <w:rFonts w:hint="eastAsia" w:ascii="宋体" w:hAnsi="宋体" w:eastAsia="宋体" w:cs="宋体"/>
                <w:color w:val="auto"/>
                <w:kern w:val="2"/>
                <w:sz w:val="21"/>
                <w:szCs w:val="21"/>
              </w:rPr>
            </w:pPr>
          </w:p>
        </w:tc>
        <w:tc>
          <w:tcPr>
            <w:tcW w:w="1246" w:type="dxa"/>
            <w:tcBorders>
              <w:top w:val="single" w:color="auto" w:sz="6" w:space="0"/>
              <w:left w:val="single" w:color="auto" w:sz="6" w:space="0"/>
              <w:bottom w:val="single" w:color="auto" w:sz="6" w:space="0"/>
              <w:right w:val="single" w:color="auto" w:sz="6" w:space="0"/>
            </w:tcBorders>
            <w:noWrap/>
            <w:vAlign w:val="center"/>
          </w:tcPr>
          <w:p w14:paraId="48F9D939">
            <w:pPr>
              <w:snapToGrid w:val="0"/>
              <w:spacing w:line="240" w:lineRule="auto"/>
              <w:ind w:firstLine="0" w:firstLineChars="0"/>
              <w:rPr>
                <w:rFonts w:hint="eastAsia" w:ascii="宋体" w:hAnsi="宋体" w:eastAsia="宋体" w:cs="宋体"/>
                <w:color w:val="auto"/>
                <w:kern w:val="2"/>
                <w:sz w:val="21"/>
                <w:szCs w:val="21"/>
              </w:rPr>
            </w:pPr>
          </w:p>
        </w:tc>
        <w:tc>
          <w:tcPr>
            <w:tcW w:w="1069" w:type="dxa"/>
            <w:tcBorders>
              <w:top w:val="single" w:color="auto" w:sz="6" w:space="0"/>
              <w:left w:val="single" w:color="auto" w:sz="6" w:space="0"/>
              <w:bottom w:val="single" w:color="auto" w:sz="6" w:space="0"/>
              <w:right w:val="single" w:color="auto" w:sz="6" w:space="0"/>
            </w:tcBorders>
            <w:noWrap/>
            <w:vAlign w:val="center"/>
          </w:tcPr>
          <w:p w14:paraId="1223D7E7">
            <w:pPr>
              <w:snapToGrid w:val="0"/>
              <w:spacing w:line="240" w:lineRule="auto"/>
              <w:ind w:firstLine="0" w:firstLineChars="0"/>
              <w:rPr>
                <w:rFonts w:hint="eastAsia" w:ascii="宋体" w:hAnsi="宋体" w:eastAsia="宋体" w:cs="宋体"/>
                <w:color w:val="auto"/>
                <w:kern w:val="2"/>
                <w:sz w:val="21"/>
                <w:szCs w:val="21"/>
              </w:rPr>
            </w:pPr>
          </w:p>
        </w:tc>
        <w:tc>
          <w:tcPr>
            <w:tcW w:w="890" w:type="dxa"/>
            <w:tcBorders>
              <w:top w:val="single" w:color="auto" w:sz="6" w:space="0"/>
              <w:left w:val="single" w:color="auto" w:sz="6" w:space="0"/>
              <w:bottom w:val="single" w:color="auto" w:sz="6" w:space="0"/>
              <w:right w:val="single" w:color="auto" w:sz="6" w:space="0"/>
            </w:tcBorders>
            <w:noWrap/>
            <w:vAlign w:val="center"/>
          </w:tcPr>
          <w:p w14:paraId="0FC7E357">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清理一次</w:t>
            </w:r>
          </w:p>
        </w:tc>
        <w:tc>
          <w:tcPr>
            <w:tcW w:w="2229" w:type="dxa"/>
            <w:tcBorders>
              <w:top w:val="single" w:color="auto" w:sz="6" w:space="0"/>
              <w:left w:val="single" w:color="auto" w:sz="6" w:space="0"/>
              <w:bottom w:val="single" w:color="auto" w:sz="6" w:space="0"/>
              <w:right w:val="single" w:color="auto" w:sz="6" w:space="0"/>
            </w:tcBorders>
            <w:noWrap/>
            <w:vAlign w:val="center"/>
          </w:tcPr>
          <w:p w14:paraId="3882BBAA">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确保排污通畅，周围无</w:t>
            </w:r>
          </w:p>
          <w:p w14:paraId="2E34E958">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异味</w:t>
            </w:r>
          </w:p>
        </w:tc>
      </w:tr>
      <w:tr w14:paraId="7DCECC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continue"/>
            <w:tcBorders>
              <w:top w:val="single" w:color="auto" w:sz="6" w:space="0"/>
              <w:left w:val="single" w:color="auto" w:sz="6" w:space="0"/>
              <w:bottom w:val="single" w:color="auto" w:sz="6" w:space="0"/>
              <w:right w:val="single" w:color="auto" w:sz="6" w:space="0"/>
            </w:tcBorders>
            <w:noWrap/>
            <w:vAlign w:val="center"/>
          </w:tcPr>
          <w:p w14:paraId="367481DA">
            <w:pPr>
              <w:snapToGrid w:val="0"/>
              <w:spacing w:line="240" w:lineRule="auto"/>
              <w:ind w:firstLine="0" w:firstLineChars="0"/>
              <w:jc w:val="center"/>
              <w:rPr>
                <w:rFonts w:hint="eastAsia" w:ascii="宋体" w:hAnsi="宋体" w:eastAsia="宋体" w:cs="宋体"/>
                <w:color w:val="auto"/>
                <w:kern w:val="2"/>
                <w:sz w:val="21"/>
                <w:szCs w:val="21"/>
              </w:rPr>
            </w:pPr>
          </w:p>
        </w:tc>
        <w:tc>
          <w:tcPr>
            <w:tcW w:w="530" w:type="dxa"/>
            <w:tcBorders>
              <w:top w:val="single" w:color="auto" w:sz="6" w:space="0"/>
              <w:left w:val="single" w:color="auto" w:sz="6" w:space="0"/>
              <w:bottom w:val="single" w:color="auto" w:sz="6" w:space="0"/>
              <w:right w:val="single" w:color="auto" w:sz="6" w:space="0"/>
            </w:tcBorders>
            <w:noWrap/>
            <w:vAlign w:val="center"/>
          </w:tcPr>
          <w:p w14:paraId="5023F521">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7</w:t>
            </w:r>
          </w:p>
        </w:tc>
        <w:tc>
          <w:tcPr>
            <w:tcW w:w="1460" w:type="dxa"/>
            <w:tcBorders>
              <w:top w:val="single" w:color="auto" w:sz="6" w:space="0"/>
              <w:left w:val="single" w:color="auto" w:sz="6" w:space="0"/>
              <w:bottom w:val="single" w:color="auto" w:sz="6" w:space="0"/>
              <w:right w:val="single" w:color="auto" w:sz="6" w:space="0"/>
            </w:tcBorders>
            <w:noWrap/>
            <w:vAlign w:val="center"/>
          </w:tcPr>
          <w:p w14:paraId="7C905066">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车库岗亭</w:t>
            </w:r>
          </w:p>
        </w:tc>
        <w:tc>
          <w:tcPr>
            <w:tcW w:w="1156" w:type="dxa"/>
            <w:tcBorders>
              <w:top w:val="single" w:color="auto" w:sz="6" w:space="0"/>
              <w:left w:val="single" w:color="auto" w:sz="6" w:space="0"/>
              <w:bottom w:val="single" w:color="auto" w:sz="6" w:space="0"/>
              <w:right w:val="single" w:color="auto" w:sz="6" w:space="0"/>
            </w:tcBorders>
            <w:noWrap/>
            <w:vAlign w:val="center"/>
          </w:tcPr>
          <w:p w14:paraId="22D19422">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清抹一次</w:t>
            </w:r>
          </w:p>
        </w:tc>
        <w:tc>
          <w:tcPr>
            <w:tcW w:w="1246" w:type="dxa"/>
            <w:tcBorders>
              <w:top w:val="single" w:color="auto" w:sz="6" w:space="0"/>
              <w:left w:val="single" w:color="auto" w:sz="6" w:space="0"/>
              <w:bottom w:val="single" w:color="auto" w:sz="6" w:space="0"/>
              <w:right w:val="single" w:color="auto" w:sz="6" w:space="0"/>
            </w:tcBorders>
            <w:noWrap/>
            <w:vAlign w:val="center"/>
          </w:tcPr>
          <w:p w14:paraId="08A81D51">
            <w:pPr>
              <w:snapToGrid w:val="0"/>
              <w:spacing w:line="240" w:lineRule="auto"/>
              <w:ind w:firstLine="0" w:firstLineChars="0"/>
              <w:rPr>
                <w:rFonts w:hint="eastAsia" w:ascii="宋体" w:hAnsi="宋体" w:eastAsia="宋体" w:cs="宋体"/>
                <w:color w:val="auto"/>
                <w:kern w:val="2"/>
                <w:sz w:val="21"/>
                <w:szCs w:val="21"/>
              </w:rPr>
            </w:pPr>
          </w:p>
        </w:tc>
        <w:tc>
          <w:tcPr>
            <w:tcW w:w="1069" w:type="dxa"/>
            <w:tcBorders>
              <w:top w:val="single" w:color="auto" w:sz="6" w:space="0"/>
              <w:left w:val="single" w:color="auto" w:sz="6" w:space="0"/>
              <w:bottom w:val="single" w:color="auto" w:sz="6" w:space="0"/>
              <w:right w:val="single" w:color="auto" w:sz="6" w:space="0"/>
            </w:tcBorders>
            <w:noWrap/>
            <w:vAlign w:val="center"/>
          </w:tcPr>
          <w:p w14:paraId="0FE9B1BF">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清洗一次</w:t>
            </w:r>
          </w:p>
        </w:tc>
        <w:tc>
          <w:tcPr>
            <w:tcW w:w="890" w:type="dxa"/>
            <w:tcBorders>
              <w:top w:val="single" w:color="auto" w:sz="6" w:space="0"/>
              <w:left w:val="single" w:color="auto" w:sz="6" w:space="0"/>
              <w:bottom w:val="single" w:color="auto" w:sz="6" w:space="0"/>
              <w:right w:val="single" w:color="auto" w:sz="6" w:space="0"/>
            </w:tcBorders>
            <w:noWrap/>
            <w:vAlign w:val="center"/>
          </w:tcPr>
          <w:p w14:paraId="12F20915">
            <w:pPr>
              <w:snapToGrid w:val="0"/>
              <w:spacing w:line="240" w:lineRule="auto"/>
              <w:ind w:firstLine="0" w:firstLineChars="0"/>
              <w:rPr>
                <w:rFonts w:hint="eastAsia" w:ascii="宋体" w:hAnsi="宋体" w:eastAsia="宋体" w:cs="宋体"/>
                <w:color w:val="auto"/>
                <w:kern w:val="2"/>
                <w:sz w:val="21"/>
                <w:szCs w:val="21"/>
              </w:rPr>
            </w:pPr>
          </w:p>
        </w:tc>
        <w:tc>
          <w:tcPr>
            <w:tcW w:w="2229" w:type="dxa"/>
            <w:tcBorders>
              <w:top w:val="single" w:color="auto" w:sz="6" w:space="0"/>
              <w:left w:val="single" w:color="auto" w:sz="6" w:space="0"/>
              <w:bottom w:val="single" w:color="auto" w:sz="6" w:space="0"/>
              <w:right w:val="single" w:color="auto" w:sz="6" w:space="0"/>
            </w:tcBorders>
            <w:noWrap/>
            <w:vAlign w:val="center"/>
          </w:tcPr>
          <w:p w14:paraId="6B89BC53">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干净、无污渍</w:t>
            </w:r>
          </w:p>
        </w:tc>
      </w:tr>
      <w:tr w14:paraId="4614A2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continue"/>
            <w:tcBorders>
              <w:top w:val="single" w:color="auto" w:sz="6" w:space="0"/>
              <w:left w:val="single" w:color="auto" w:sz="6" w:space="0"/>
              <w:bottom w:val="single" w:color="auto" w:sz="6" w:space="0"/>
              <w:right w:val="single" w:color="auto" w:sz="6" w:space="0"/>
            </w:tcBorders>
            <w:noWrap/>
            <w:vAlign w:val="center"/>
          </w:tcPr>
          <w:p w14:paraId="3F1EEDEF">
            <w:pPr>
              <w:snapToGrid w:val="0"/>
              <w:spacing w:line="240" w:lineRule="auto"/>
              <w:ind w:firstLine="0" w:firstLineChars="0"/>
              <w:jc w:val="center"/>
              <w:rPr>
                <w:rFonts w:hint="eastAsia" w:ascii="宋体" w:hAnsi="宋体" w:eastAsia="宋体" w:cs="宋体"/>
                <w:color w:val="auto"/>
                <w:kern w:val="2"/>
                <w:sz w:val="21"/>
                <w:szCs w:val="21"/>
              </w:rPr>
            </w:pPr>
          </w:p>
        </w:tc>
        <w:tc>
          <w:tcPr>
            <w:tcW w:w="530" w:type="dxa"/>
            <w:tcBorders>
              <w:top w:val="single" w:color="auto" w:sz="6" w:space="0"/>
              <w:left w:val="single" w:color="auto" w:sz="6" w:space="0"/>
              <w:bottom w:val="single" w:color="auto" w:sz="6" w:space="0"/>
              <w:right w:val="single" w:color="auto" w:sz="6" w:space="0"/>
            </w:tcBorders>
            <w:noWrap/>
            <w:vAlign w:val="center"/>
          </w:tcPr>
          <w:p w14:paraId="02FD3B71">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8</w:t>
            </w:r>
          </w:p>
        </w:tc>
        <w:tc>
          <w:tcPr>
            <w:tcW w:w="1460" w:type="dxa"/>
            <w:tcBorders>
              <w:top w:val="single" w:color="auto" w:sz="6" w:space="0"/>
              <w:left w:val="single" w:color="auto" w:sz="6" w:space="0"/>
              <w:bottom w:val="single" w:color="auto" w:sz="6" w:space="0"/>
              <w:right w:val="single" w:color="auto" w:sz="6" w:space="0"/>
            </w:tcBorders>
            <w:noWrap/>
            <w:vAlign w:val="center"/>
          </w:tcPr>
          <w:p w14:paraId="5DFE5029">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雨棚、采光井</w:t>
            </w:r>
          </w:p>
        </w:tc>
        <w:tc>
          <w:tcPr>
            <w:tcW w:w="1156" w:type="dxa"/>
            <w:tcBorders>
              <w:top w:val="single" w:color="auto" w:sz="6" w:space="0"/>
              <w:left w:val="single" w:color="auto" w:sz="6" w:space="0"/>
              <w:bottom w:val="single" w:color="auto" w:sz="6" w:space="0"/>
              <w:right w:val="single" w:color="auto" w:sz="6" w:space="0"/>
            </w:tcBorders>
            <w:noWrap/>
            <w:vAlign w:val="center"/>
          </w:tcPr>
          <w:p w14:paraId="62E07A00">
            <w:pPr>
              <w:snapToGrid w:val="0"/>
              <w:spacing w:line="240" w:lineRule="auto"/>
              <w:ind w:firstLine="0" w:firstLineChars="0"/>
              <w:rPr>
                <w:rFonts w:hint="eastAsia" w:ascii="宋体" w:hAnsi="宋体" w:eastAsia="宋体" w:cs="宋体"/>
                <w:color w:val="auto"/>
                <w:kern w:val="2"/>
                <w:sz w:val="21"/>
                <w:szCs w:val="21"/>
              </w:rPr>
            </w:pPr>
          </w:p>
        </w:tc>
        <w:tc>
          <w:tcPr>
            <w:tcW w:w="1246" w:type="dxa"/>
            <w:tcBorders>
              <w:top w:val="single" w:color="auto" w:sz="6" w:space="0"/>
              <w:left w:val="single" w:color="auto" w:sz="6" w:space="0"/>
              <w:bottom w:val="single" w:color="auto" w:sz="6" w:space="0"/>
              <w:right w:val="single" w:color="auto" w:sz="6" w:space="0"/>
            </w:tcBorders>
            <w:noWrap/>
            <w:vAlign w:val="center"/>
          </w:tcPr>
          <w:p w14:paraId="03115F3B">
            <w:pPr>
              <w:snapToGrid w:val="0"/>
              <w:spacing w:line="240" w:lineRule="auto"/>
              <w:ind w:firstLine="0" w:firstLineChars="0"/>
              <w:rPr>
                <w:rFonts w:hint="eastAsia" w:ascii="宋体" w:hAnsi="宋体" w:eastAsia="宋体" w:cs="宋体"/>
                <w:color w:val="auto"/>
                <w:kern w:val="2"/>
                <w:sz w:val="21"/>
                <w:szCs w:val="21"/>
              </w:rPr>
            </w:pPr>
          </w:p>
        </w:tc>
        <w:tc>
          <w:tcPr>
            <w:tcW w:w="1069" w:type="dxa"/>
            <w:tcBorders>
              <w:top w:val="single" w:color="auto" w:sz="6" w:space="0"/>
              <w:left w:val="single" w:color="auto" w:sz="6" w:space="0"/>
              <w:bottom w:val="single" w:color="auto" w:sz="6" w:space="0"/>
              <w:right w:val="single" w:color="auto" w:sz="6" w:space="0"/>
            </w:tcBorders>
            <w:noWrap/>
            <w:vAlign w:val="center"/>
          </w:tcPr>
          <w:p w14:paraId="4815012F">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清洗两次</w:t>
            </w:r>
          </w:p>
        </w:tc>
        <w:tc>
          <w:tcPr>
            <w:tcW w:w="890" w:type="dxa"/>
            <w:tcBorders>
              <w:top w:val="single" w:color="auto" w:sz="6" w:space="0"/>
              <w:left w:val="single" w:color="auto" w:sz="6" w:space="0"/>
              <w:bottom w:val="single" w:color="auto" w:sz="6" w:space="0"/>
              <w:right w:val="single" w:color="auto" w:sz="6" w:space="0"/>
            </w:tcBorders>
            <w:noWrap/>
            <w:vAlign w:val="center"/>
          </w:tcPr>
          <w:p w14:paraId="560D4F5C">
            <w:pPr>
              <w:snapToGrid w:val="0"/>
              <w:spacing w:line="240" w:lineRule="auto"/>
              <w:ind w:firstLine="0" w:firstLineChars="0"/>
              <w:rPr>
                <w:rFonts w:hint="eastAsia" w:ascii="宋体" w:hAnsi="宋体" w:eastAsia="宋体" w:cs="宋体"/>
                <w:color w:val="auto"/>
                <w:kern w:val="2"/>
                <w:sz w:val="21"/>
                <w:szCs w:val="21"/>
              </w:rPr>
            </w:pPr>
          </w:p>
        </w:tc>
        <w:tc>
          <w:tcPr>
            <w:tcW w:w="2229" w:type="dxa"/>
            <w:tcBorders>
              <w:top w:val="single" w:color="auto" w:sz="6" w:space="0"/>
              <w:left w:val="single" w:color="auto" w:sz="6" w:space="0"/>
              <w:bottom w:val="single" w:color="auto" w:sz="6" w:space="0"/>
              <w:right w:val="single" w:color="auto" w:sz="6" w:space="0"/>
            </w:tcBorders>
            <w:noWrap/>
            <w:vAlign w:val="center"/>
          </w:tcPr>
          <w:p w14:paraId="6877C81A">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无积尘、无杂物。</w:t>
            </w:r>
          </w:p>
        </w:tc>
      </w:tr>
      <w:tr w14:paraId="7B9AC4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continue"/>
            <w:tcBorders>
              <w:top w:val="single" w:color="auto" w:sz="6" w:space="0"/>
              <w:left w:val="single" w:color="auto" w:sz="6" w:space="0"/>
              <w:bottom w:val="single" w:color="auto" w:sz="6" w:space="0"/>
              <w:right w:val="single" w:color="auto" w:sz="6" w:space="0"/>
            </w:tcBorders>
            <w:noWrap/>
            <w:vAlign w:val="center"/>
          </w:tcPr>
          <w:p w14:paraId="24E945A5">
            <w:pPr>
              <w:spacing w:line="240" w:lineRule="auto"/>
              <w:ind w:firstLine="0" w:firstLineChars="0"/>
              <w:jc w:val="center"/>
              <w:rPr>
                <w:rFonts w:hint="eastAsia" w:ascii="宋体" w:hAnsi="宋体" w:eastAsia="宋体" w:cs="宋体"/>
                <w:color w:val="auto"/>
                <w:kern w:val="2"/>
                <w:sz w:val="21"/>
                <w:szCs w:val="21"/>
              </w:rPr>
            </w:pPr>
          </w:p>
        </w:tc>
        <w:tc>
          <w:tcPr>
            <w:tcW w:w="530" w:type="dxa"/>
            <w:tcBorders>
              <w:top w:val="single" w:color="auto" w:sz="6" w:space="0"/>
              <w:left w:val="single" w:color="auto" w:sz="6" w:space="0"/>
              <w:bottom w:val="single" w:color="auto" w:sz="6" w:space="0"/>
              <w:right w:val="single" w:color="auto" w:sz="6" w:space="0"/>
            </w:tcBorders>
            <w:noWrap/>
            <w:vAlign w:val="center"/>
          </w:tcPr>
          <w:p w14:paraId="2C77D9BD">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9</w:t>
            </w:r>
          </w:p>
        </w:tc>
        <w:tc>
          <w:tcPr>
            <w:tcW w:w="1460" w:type="dxa"/>
            <w:tcBorders>
              <w:top w:val="single" w:color="auto" w:sz="6" w:space="0"/>
              <w:left w:val="single" w:color="auto" w:sz="6" w:space="0"/>
              <w:bottom w:val="single" w:color="auto" w:sz="6" w:space="0"/>
              <w:right w:val="single" w:color="auto" w:sz="6" w:space="0"/>
            </w:tcBorders>
            <w:noWrap/>
            <w:vAlign w:val="center"/>
          </w:tcPr>
          <w:p w14:paraId="5579D091">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地下停车场</w:t>
            </w:r>
          </w:p>
        </w:tc>
        <w:tc>
          <w:tcPr>
            <w:tcW w:w="1156" w:type="dxa"/>
            <w:tcBorders>
              <w:top w:val="single" w:color="auto" w:sz="6" w:space="0"/>
              <w:left w:val="single" w:color="auto" w:sz="6" w:space="0"/>
              <w:bottom w:val="single" w:color="auto" w:sz="6" w:space="0"/>
              <w:right w:val="single" w:color="auto" w:sz="6" w:space="0"/>
            </w:tcBorders>
            <w:noWrap/>
            <w:vAlign w:val="center"/>
          </w:tcPr>
          <w:p w14:paraId="4B3874A0">
            <w:pPr>
              <w:snapToGrid w:val="0"/>
              <w:spacing w:line="240" w:lineRule="auto"/>
              <w:ind w:firstLine="0" w:firstLineChars="0"/>
              <w:rPr>
                <w:rFonts w:hint="eastAsia" w:ascii="宋体" w:hAnsi="宋体" w:eastAsia="宋体" w:cs="宋体"/>
                <w:color w:val="auto"/>
                <w:kern w:val="2"/>
                <w:sz w:val="21"/>
                <w:szCs w:val="21"/>
              </w:rPr>
            </w:pPr>
          </w:p>
        </w:tc>
        <w:tc>
          <w:tcPr>
            <w:tcW w:w="1246" w:type="dxa"/>
            <w:tcBorders>
              <w:top w:val="single" w:color="auto" w:sz="6" w:space="0"/>
              <w:left w:val="single" w:color="auto" w:sz="6" w:space="0"/>
              <w:bottom w:val="single" w:color="auto" w:sz="6" w:space="0"/>
              <w:right w:val="single" w:color="auto" w:sz="6" w:space="0"/>
            </w:tcBorders>
            <w:noWrap/>
            <w:vAlign w:val="center"/>
          </w:tcPr>
          <w:p w14:paraId="4B4E54AF">
            <w:pPr>
              <w:snapToGrid w:val="0"/>
              <w:spacing w:line="240" w:lineRule="auto"/>
              <w:ind w:firstLine="0" w:firstLineChars="0"/>
              <w:rPr>
                <w:rFonts w:hint="eastAsia" w:ascii="宋体" w:hAnsi="宋体" w:eastAsia="宋体" w:cs="宋体"/>
                <w:color w:val="auto"/>
                <w:kern w:val="2"/>
                <w:sz w:val="21"/>
                <w:szCs w:val="21"/>
              </w:rPr>
            </w:pPr>
          </w:p>
        </w:tc>
        <w:tc>
          <w:tcPr>
            <w:tcW w:w="1069" w:type="dxa"/>
            <w:tcBorders>
              <w:top w:val="single" w:color="auto" w:sz="6" w:space="0"/>
              <w:left w:val="single" w:color="auto" w:sz="6" w:space="0"/>
              <w:bottom w:val="single" w:color="auto" w:sz="6" w:space="0"/>
              <w:right w:val="single" w:color="auto" w:sz="6" w:space="0"/>
            </w:tcBorders>
            <w:noWrap/>
            <w:vAlign w:val="center"/>
          </w:tcPr>
          <w:p w14:paraId="55EC8848">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清洗一次</w:t>
            </w:r>
          </w:p>
        </w:tc>
        <w:tc>
          <w:tcPr>
            <w:tcW w:w="890" w:type="dxa"/>
            <w:tcBorders>
              <w:top w:val="single" w:color="auto" w:sz="6" w:space="0"/>
              <w:left w:val="single" w:color="auto" w:sz="6" w:space="0"/>
              <w:bottom w:val="single" w:color="auto" w:sz="6" w:space="0"/>
              <w:right w:val="single" w:color="auto" w:sz="6" w:space="0"/>
            </w:tcBorders>
            <w:noWrap/>
            <w:vAlign w:val="center"/>
          </w:tcPr>
          <w:p w14:paraId="3B20A09A">
            <w:pPr>
              <w:snapToGrid w:val="0"/>
              <w:spacing w:line="240" w:lineRule="auto"/>
              <w:ind w:firstLine="0" w:firstLineChars="0"/>
              <w:rPr>
                <w:rFonts w:hint="eastAsia" w:ascii="宋体" w:hAnsi="宋体" w:eastAsia="宋体" w:cs="宋体"/>
                <w:color w:val="auto"/>
                <w:kern w:val="2"/>
                <w:sz w:val="21"/>
                <w:szCs w:val="21"/>
              </w:rPr>
            </w:pPr>
          </w:p>
        </w:tc>
        <w:tc>
          <w:tcPr>
            <w:tcW w:w="2229" w:type="dxa"/>
            <w:tcBorders>
              <w:top w:val="single" w:color="auto" w:sz="6" w:space="0"/>
              <w:left w:val="single" w:color="auto" w:sz="6" w:space="0"/>
              <w:bottom w:val="single" w:color="auto" w:sz="6" w:space="0"/>
              <w:right w:val="single" w:color="auto" w:sz="6" w:space="0"/>
            </w:tcBorders>
            <w:noWrap/>
            <w:vAlign w:val="center"/>
          </w:tcPr>
          <w:p w14:paraId="5C2F9158">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干净、无杂物、无堵塞。</w:t>
            </w:r>
          </w:p>
        </w:tc>
      </w:tr>
      <w:tr w14:paraId="4D4CE6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continue"/>
            <w:tcBorders>
              <w:top w:val="single" w:color="auto" w:sz="6" w:space="0"/>
              <w:left w:val="single" w:color="auto" w:sz="6" w:space="0"/>
              <w:bottom w:val="single" w:color="auto" w:sz="6" w:space="0"/>
              <w:right w:val="single" w:color="auto" w:sz="6" w:space="0"/>
            </w:tcBorders>
            <w:noWrap/>
            <w:vAlign w:val="center"/>
          </w:tcPr>
          <w:p w14:paraId="7D751FF6">
            <w:pPr>
              <w:spacing w:line="240" w:lineRule="auto"/>
              <w:ind w:firstLine="0" w:firstLineChars="0"/>
              <w:jc w:val="center"/>
              <w:rPr>
                <w:rFonts w:hint="eastAsia" w:ascii="宋体" w:hAnsi="宋体" w:eastAsia="宋体" w:cs="宋体"/>
                <w:color w:val="auto"/>
                <w:kern w:val="2"/>
                <w:sz w:val="21"/>
                <w:szCs w:val="21"/>
              </w:rPr>
            </w:pPr>
          </w:p>
        </w:tc>
        <w:tc>
          <w:tcPr>
            <w:tcW w:w="530" w:type="dxa"/>
            <w:tcBorders>
              <w:top w:val="single" w:color="auto" w:sz="6" w:space="0"/>
              <w:left w:val="single" w:color="auto" w:sz="6" w:space="0"/>
              <w:bottom w:val="single" w:color="auto" w:sz="6" w:space="0"/>
              <w:right w:val="single" w:color="auto" w:sz="6" w:space="0"/>
            </w:tcBorders>
            <w:noWrap/>
            <w:vAlign w:val="center"/>
          </w:tcPr>
          <w:p w14:paraId="25922183">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10</w:t>
            </w:r>
          </w:p>
        </w:tc>
        <w:tc>
          <w:tcPr>
            <w:tcW w:w="1460" w:type="dxa"/>
            <w:tcBorders>
              <w:top w:val="single" w:color="auto" w:sz="6" w:space="0"/>
              <w:left w:val="single" w:color="auto" w:sz="6" w:space="0"/>
              <w:bottom w:val="single" w:color="auto" w:sz="6" w:space="0"/>
              <w:right w:val="single" w:color="auto" w:sz="6" w:space="0"/>
            </w:tcBorders>
            <w:noWrap/>
            <w:vAlign w:val="center"/>
          </w:tcPr>
          <w:p w14:paraId="07ACE34E">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外墙（玻璃幕墙和铝板）</w:t>
            </w:r>
          </w:p>
        </w:tc>
        <w:tc>
          <w:tcPr>
            <w:tcW w:w="1156" w:type="dxa"/>
            <w:tcBorders>
              <w:top w:val="single" w:color="auto" w:sz="6" w:space="0"/>
              <w:left w:val="single" w:color="auto" w:sz="6" w:space="0"/>
              <w:bottom w:val="single" w:color="auto" w:sz="6" w:space="0"/>
              <w:right w:val="single" w:color="auto" w:sz="6" w:space="0"/>
            </w:tcBorders>
            <w:noWrap/>
            <w:vAlign w:val="center"/>
          </w:tcPr>
          <w:p w14:paraId="27CFD8A0">
            <w:pPr>
              <w:snapToGrid w:val="0"/>
              <w:spacing w:line="240" w:lineRule="auto"/>
              <w:ind w:firstLine="0" w:firstLineChars="0"/>
              <w:rPr>
                <w:rFonts w:hint="eastAsia" w:ascii="宋体" w:hAnsi="宋体" w:eastAsia="宋体" w:cs="宋体"/>
                <w:color w:val="auto"/>
                <w:kern w:val="2"/>
                <w:sz w:val="21"/>
                <w:szCs w:val="21"/>
              </w:rPr>
            </w:pPr>
          </w:p>
        </w:tc>
        <w:tc>
          <w:tcPr>
            <w:tcW w:w="1246" w:type="dxa"/>
            <w:tcBorders>
              <w:top w:val="single" w:color="auto" w:sz="6" w:space="0"/>
              <w:left w:val="single" w:color="auto" w:sz="6" w:space="0"/>
              <w:bottom w:val="single" w:color="auto" w:sz="6" w:space="0"/>
              <w:right w:val="single" w:color="auto" w:sz="6" w:space="0"/>
            </w:tcBorders>
            <w:noWrap/>
            <w:vAlign w:val="center"/>
          </w:tcPr>
          <w:p w14:paraId="70487B19">
            <w:pPr>
              <w:snapToGrid w:val="0"/>
              <w:spacing w:line="240" w:lineRule="auto"/>
              <w:ind w:firstLine="0" w:firstLineChars="0"/>
              <w:rPr>
                <w:rFonts w:hint="eastAsia" w:ascii="宋体" w:hAnsi="宋体" w:eastAsia="宋体" w:cs="宋体"/>
                <w:color w:val="auto"/>
                <w:kern w:val="2"/>
                <w:sz w:val="21"/>
                <w:szCs w:val="21"/>
              </w:rPr>
            </w:pPr>
          </w:p>
        </w:tc>
        <w:tc>
          <w:tcPr>
            <w:tcW w:w="1069" w:type="dxa"/>
            <w:tcBorders>
              <w:top w:val="single" w:color="auto" w:sz="6" w:space="0"/>
              <w:left w:val="single" w:color="auto" w:sz="6" w:space="0"/>
              <w:bottom w:val="single" w:color="auto" w:sz="6" w:space="0"/>
              <w:right w:val="single" w:color="auto" w:sz="6" w:space="0"/>
            </w:tcBorders>
            <w:noWrap/>
            <w:vAlign w:val="center"/>
          </w:tcPr>
          <w:p w14:paraId="145ACEE9">
            <w:pPr>
              <w:snapToGrid w:val="0"/>
              <w:spacing w:line="240" w:lineRule="auto"/>
              <w:ind w:firstLine="0" w:firstLineChars="0"/>
              <w:rPr>
                <w:rFonts w:hint="eastAsia" w:ascii="宋体" w:hAnsi="宋体" w:eastAsia="宋体" w:cs="宋体"/>
                <w:color w:val="auto"/>
                <w:kern w:val="2"/>
                <w:sz w:val="21"/>
                <w:szCs w:val="21"/>
              </w:rPr>
            </w:pPr>
          </w:p>
        </w:tc>
        <w:tc>
          <w:tcPr>
            <w:tcW w:w="890" w:type="dxa"/>
            <w:tcBorders>
              <w:top w:val="single" w:color="auto" w:sz="6" w:space="0"/>
              <w:left w:val="single" w:color="auto" w:sz="6" w:space="0"/>
              <w:bottom w:val="single" w:color="auto" w:sz="6" w:space="0"/>
              <w:right w:val="single" w:color="auto" w:sz="6" w:space="0"/>
            </w:tcBorders>
            <w:noWrap/>
            <w:vAlign w:val="center"/>
          </w:tcPr>
          <w:p w14:paraId="1AD30219">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每年清洗1次</w:t>
            </w:r>
          </w:p>
        </w:tc>
        <w:tc>
          <w:tcPr>
            <w:tcW w:w="2229" w:type="dxa"/>
            <w:tcBorders>
              <w:top w:val="single" w:color="auto" w:sz="6" w:space="0"/>
              <w:left w:val="single" w:color="auto" w:sz="6" w:space="0"/>
              <w:bottom w:val="single" w:color="auto" w:sz="6" w:space="0"/>
              <w:right w:val="single" w:color="auto" w:sz="6" w:space="0"/>
            </w:tcBorders>
            <w:noWrap/>
            <w:vAlign w:val="center"/>
          </w:tcPr>
          <w:p w14:paraId="5DF42BC6">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无明显污痕斑迹。</w:t>
            </w:r>
          </w:p>
        </w:tc>
      </w:tr>
      <w:tr w14:paraId="3E6080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restart"/>
            <w:tcBorders>
              <w:top w:val="single" w:color="auto" w:sz="6" w:space="0"/>
              <w:left w:val="single" w:color="auto" w:sz="6" w:space="0"/>
              <w:bottom w:val="single" w:color="auto" w:sz="6" w:space="0"/>
              <w:right w:val="single" w:color="auto" w:sz="6" w:space="0"/>
            </w:tcBorders>
            <w:noWrap/>
            <w:vAlign w:val="center"/>
          </w:tcPr>
          <w:p w14:paraId="27843482">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建</w:t>
            </w:r>
          </w:p>
          <w:p w14:paraId="665FFC42">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筑</w:t>
            </w:r>
          </w:p>
          <w:p w14:paraId="319B0055">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物</w:t>
            </w:r>
          </w:p>
          <w:p w14:paraId="3264C12E">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内</w:t>
            </w:r>
          </w:p>
          <w:p w14:paraId="6E737A4C">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部</w:t>
            </w:r>
          </w:p>
        </w:tc>
        <w:tc>
          <w:tcPr>
            <w:tcW w:w="530" w:type="dxa"/>
            <w:tcBorders>
              <w:top w:val="single" w:color="auto" w:sz="6" w:space="0"/>
              <w:left w:val="single" w:color="auto" w:sz="6" w:space="0"/>
              <w:bottom w:val="single" w:color="auto" w:sz="6" w:space="0"/>
              <w:right w:val="single" w:color="auto" w:sz="6" w:space="0"/>
            </w:tcBorders>
            <w:noWrap/>
            <w:vAlign w:val="center"/>
          </w:tcPr>
          <w:p w14:paraId="2E495FA6">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p>
        </w:tc>
        <w:tc>
          <w:tcPr>
            <w:tcW w:w="1460" w:type="dxa"/>
            <w:tcBorders>
              <w:top w:val="single" w:color="auto" w:sz="6" w:space="0"/>
              <w:left w:val="single" w:color="auto" w:sz="6" w:space="0"/>
              <w:bottom w:val="single" w:color="auto" w:sz="6" w:space="0"/>
              <w:right w:val="single" w:color="auto" w:sz="6" w:space="0"/>
            </w:tcBorders>
            <w:noWrap/>
            <w:vAlign w:val="center"/>
          </w:tcPr>
          <w:p w14:paraId="6048039B">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地面、墙面</w:t>
            </w:r>
          </w:p>
        </w:tc>
        <w:tc>
          <w:tcPr>
            <w:tcW w:w="1156" w:type="dxa"/>
            <w:tcBorders>
              <w:top w:val="single" w:color="auto" w:sz="6" w:space="0"/>
              <w:left w:val="single" w:color="auto" w:sz="6" w:space="0"/>
              <w:bottom w:val="single" w:color="auto" w:sz="6" w:space="0"/>
              <w:right w:val="single" w:color="auto" w:sz="6" w:space="0"/>
            </w:tcBorders>
            <w:noWrap/>
            <w:vAlign w:val="center"/>
          </w:tcPr>
          <w:p w14:paraId="341DE018">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地面清拖二次</w:t>
            </w:r>
          </w:p>
        </w:tc>
        <w:tc>
          <w:tcPr>
            <w:tcW w:w="1246" w:type="dxa"/>
            <w:tcBorders>
              <w:top w:val="single" w:color="auto" w:sz="6" w:space="0"/>
              <w:left w:val="single" w:color="auto" w:sz="6" w:space="0"/>
              <w:bottom w:val="single" w:color="auto" w:sz="6" w:space="0"/>
              <w:right w:val="single" w:color="auto" w:sz="6" w:space="0"/>
            </w:tcBorders>
            <w:noWrap/>
            <w:vAlign w:val="center"/>
          </w:tcPr>
          <w:p w14:paraId="597432D0">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地毯每周吸尘二次</w:t>
            </w:r>
          </w:p>
        </w:tc>
        <w:tc>
          <w:tcPr>
            <w:tcW w:w="1069" w:type="dxa"/>
            <w:tcBorders>
              <w:top w:val="single" w:color="auto" w:sz="6" w:space="0"/>
              <w:left w:val="single" w:color="auto" w:sz="6" w:space="0"/>
              <w:bottom w:val="single" w:color="auto" w:sz="6" w:space="0"/>
              <w:right w:val="single" w:color="auto" w:sz="6" w:space="0"/>
            </w:tcBorders>
            <w:noWrap/>
            <w:vAlign w:val="center"/>
          </w:tcPr>
          <w:p w14:paraId="480028C7">
            <w:pPr>
              <w:snapToGrid w:val="0"/>
              <w:spacing w:line="240" w:lineRule="auto"/>
              <w:ind w:firstLine="0" w:firstLineChars="0"/>
              <w:rPr>
                <w:rFonts w:hint="eastAsia" w:ascii="宋体" w:hAnsi="宋体" w:eastAsia="宋体" w:cs="宋体"/>
                <w:color w:val="auto"/>
                <w:kern w:val="2"/>
                <w:sz w:val="21"/>
                <w:szCs w:val="21"/>
              </w:rPr>
            </w:pPr>
          </w:p>
        </w:tc>
        <w:tc>
          <w:tcPr>
            <w:tcW w:w="890" w:type="dxa"/>
            <w:tcBorders>
              <w:top w:val="single" w:color="auto" w:sz="6" w:space="0"/>
              <w:left w:val="single" w:color="auto" w:sz="6" w:space="0"/>
              <w:bottom w:val="single" w:color="auto" w:sz="6" w:space="0"/>
              <w:right w:val="single" w:color="auto" w:sz="6" w:space="0"/>
            </w:tcBorders>
            <w:noWrap/>
            <w:vAlign w:val="center"/>
          </w:tcPr>
          <w:p w14:paraId="74C7834B">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清洗抛光一次</w:t>
            </w:r>
          </w:p>
        </w:tc>
        <w:tc>
          <w:tcPr>
            <w:tcW w:w="2229" w:type="dxa"/>
            <w:tcBorders>
              <w:top w:val="single" w:color="auto" w:sz="6" w:space="0"/>
              <w:left w:val="single" w:color="auto" w:sz="6" w:space="0"/>
              <w:bottom w:val="single" w:color="auto" w:sz="6" w:space="0"/>
              <w:right w:val="single" w:color="auto" w:sz="6" w:space="0"/>
            </w:tcBorders>
            <w:noWrap/>
            <w:vAlign w:val="center"/>
          </w:tcPr>
          <w:p w14:paraId="4F5668A5">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光滑明亮、无杂物、无污渍、无水渍</w:t>
            </w:r>
          </w:p>
        </w:tc>
      </w:tr>
      <w:tr w14:paraId="76EFF7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continue"/>
            <w:tcBorders>
              <w:top w:val="single" w:color="auto" w:sz="6" w:space="0"/>
              <w:left w:val="single" w:color="auto" w:sz="6" w:space="0"/>
              <w:bottom w:val="single" w:color="auto" w:sz="6" w:space="0"/>
              <w:right w:val="single" w:color="auto" w:sz="6" w:space="0"/>
            </w:tcBorders>
            <w:noWrap/>
            <w:vAlign w:val="center"/>
          </w:tcPr>
          <w:p w14:paraId="3D50914F">
            <w:pPr>
              <w:spacing w:line="240" w:lineRule="auto"/>
              <w:ind w:firstLine="0" w:firstLineChars="0"/>
              <w:jc w:val="center"/>
              <w:rPr>
                <w:rFonts w:hint="eastAsia" w:ascii="宋体" w:hAnsi="宋体" w:eastAsia="宋体" w:cs="宋体"/>
                <w:color w:val="auto"/>
                <w:kern w:val="2"/>
                <w:sz w:val="21"/>
                <w:szCs w:val="21"/>
              </w:rPr>
            </w:pPr>
          </w:p>
        </w:tc>
        <w:tc>
          <w:tcPr>
            <w:tcW w:w="530" w:type="dxa"/>
            <w:tcBorders>
              <w:top w:val="single" w:color="auto" w:sz="6" w:space="0"/>
              <w:left w:val="single" w:color="auto" w:sz="6" w:space="0"/>
              <w:bottom w:val="single" w:color="auto" w:sz="6" w:space="0"/>
              <w:right w:val="single" w:color="auto" w:sz="6" w:space="0"/>
            </w:tcBorders>
            <w:noWrap/>
            <w:vAlign w:val="center"/>
          </w:tcPr>
          <w:p w14:paraId="42A03883">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w:t>
            </w:r>
          </w:p>
        </w:tc>
        <w:tc>
          <w:tcPr>
            <w:tcW w:w="1460" w:type="dxa"/>
            <w:tcBorders>
              <w:top w:val="single" w:color="auto" w:sz="6" w:space="0"/>
              <w:left w:val="single" w:color="auto" w:sz="6" w:space="0"/>
              <w:bottom w:val="single" w:color="auto" w:sz="6" w:space="0"/>
              <w:right w:val="single" w:color="auto" w:sz="6" w:space="0"/>
            </w:tcBorders>
            <w:noWrap/>
            <w:vAlign w:val="center"/>
          </w:tcPr>
          <w:p w14:paraId="29D93CE0">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送风、排烟风口</w:t>
            </w:r>
          </w:p>
        </w:tc>
        <w:tc>
          <w:tcPr>
            <w:tcW w:w="1156" w:type="dxa"/>
            <w:tcBorders>
              <w:top w:val="single" w:color="auto" w:sz="6" w:space="0"/>
              <w:left w:val="single" w:color="auto" w:sz="6" w:space="0"/>
              <w:bottom w:val="single" w:color="auto" w:sz="6" w:space="0"/>
              <w:right w:val="single" w:color="auto" w:sz="6" w:space="0"/>
            </w:tcBorders>
            <w:noWrap/>
            <w:vAlign w:val="center"/>
          </w:tcPr>
          <w:p w14:paraId="622E2EE8">
            <w:pPr>
              <w:snapToGrid w:val="0"/>
              <w:spacing w:line="240" w:lineRule="auto"/>
              <w:ind w:firstLine="0" w:firstLineChars="0"/>
              <w:rPr>
                <w:rFonts w:hint="eastAsia" w:ascii="宋体" w:hAnsi="宋体" w:eastAsia="宋体" w:cs="宋体"/>
                <w:color w:val="auto"/>
                <w:kern w:val="2"/>
                <w:sz w:val="21"/>
                <w:szCs w:val="21"/>
              </w:rPr>
            </w:pPr>
          </w:p>
        </w:tc>
        <w:tc>
          <w:tcPr>
            <w:tcW w:w="1246" w:type="dxa"/>
            <w:tcBorders>
              <w:top w:val="single" w:color="auto" w:sz="6" w:space="0"/>
              <w:left w:val="single" w:color="auto" w:sz="6" w:space="0"/>
              <w:bottom w:val="single" w:color="auto" w:sz="6" w:space="0"/>
              <w:right w:val="single" w:color="auto" w:sz="6" w:space="0"/>
            </w:tcBorders>
            <w:noWrap/>
            <w:vAlign w:val="center"/>
          </w:tcPr>
          <w:p w14:paraId="2E396292">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用清洁剂清抹一次</w:t>
            </w:r>
          </w:p>
        </w:tc>
        <w:tc>
          <w:tcPr>
            <w:tcW w:w="1069" w:type="dxa"/>
            <w:tcBorders>
              <w:top w:val="single" w:color="auto" w:sz="6" w:space="0"/>
              <w:left w:val="single" w:color="auto" w:sz="6" w:space="0"/>
              <w:bottom w:val="single" w:color="auto" w:sz="6" w:space="0"/>
              <w:right w:val="single" w:color="auto" w:sz="6" w:space="0"/>
            </w:tcBorders>
            <w:noWrap/>
            <w:vAlign w:val="center"/>
          </w:tcPr>
          <w:p w14:paraId="0C2376E2">
            <w:pPr>
              <w:snapToGrid w:val="0"/>
              <w:spacing w:line="240" w:lineRule="auto"/>
              <w:ind w:firstLine="0" w:firstLineChars="0"/>
              <w:rPr>
                <w:rFonts w:hint="eastAsia" w:ascii="宋体" w:hAnsi="宋体" w:eastAsia="宋体" w:cs="宋体"/>
                <w:color w:val="auto"/>
                <w:kern w:val="2"/>
                <w:sz w:val="21"/>
                <w:szCs w:val="21"/>
              </w:rPr>
            </w:pPr>
          </w:p>
        </w:tc>
        <w:tc>
          <w:tcPr>
            <w:tcW w:w="890" w:type="dxa"/>
            <w:tcBorders>
              <w:top w:val="single" w:color="auto" w:sz="6" w:space="0"/>
              <w:left w:val="single" w:color="auto" w:sz="6" w:space="0"/>
              <w:bottom w:val="single" w:color="auto" w:sz="6" w:space="0"/>
              <w:right w:val="single" w:color="auto" w:sz="6" w:space="0"/>
            </w:tcBorders>
            <w:noWrap/>
            <w:vAlign w:val="center"/>
          </w:tcPr>
          <w:p w14:paraId="2E6D1661">
            <w:pPr>
              <w:snapToGrid w:val="0"/>
              <w:spacing w:line="240" w:lineRule="auto"/>
              <w:ind w:firstLine="0" w:firstLineChars="0"/>
              <w:rPr>
                <w:rFonts w:hint="eastAsia" w:ascii="宋体" w:hAnsi="宋体" w:eastAsia="宋体" w:cs="宋体"/>
                <w:color w:val="auto"/>
                <w:kern w:val="2"/>
                <w:sz w:val="21"/>
                <w:szCs w:val="21"/>
              </w:rPr>
            </w:pPr>
          </w:p>
        </w:tc>
        <w:tc>
          <w:tcPr>
            <w:tcW w:w="2229" w:type="dxa"/>
            <w:tcBorders>
              <w:top w:val="single" w:color="auto" w:sz="6" w:space="0"/>
              <w:left w:val="single" w:color="auto" w:sz="6" w:space="0"/>
              <w:bottom w:val="single" w:color="auto" w:sz="6" w:space="0"/>
              <w:right w:val="single" w:color="auto" w:sz="6" w:space="0"/>
            </w:tcBorders>
            <w:noWrap/>
            <w:vAlign w:val="center"/>
          </w:tcPr>
          <w:p w14:paraId="2F154647">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干净、无尘</w:t>
            </w:r>
          </w:p>
        </w:tc>
      </w:tr>
      <w:tr w14:paraId="327A95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continue"/>
            <w:tcBorders>
              <w:top w:val="single" w:color="auto" w:sz="6" w:space="0"/>
              <w:left w:val="single" w:color="auto" w:sz="6" w:space="0"/>
              <w:bottom w:val="single" w:color="auto" w:sz="6" w:space="0"/>
              <w:right w:val="single" w:color="auto" w:sz="6" w:space="0"/>
            </w:tcBorders>
            <w:noWrap/>
            <w:vAlign w:val="center"/>
          </w:tcPr>
          <w:p w14:paraId="6F69C2D6">
            <w:pPr>
              <w:spacing w:line="240" w:lineRule="auto"/>
              <w:ind w:firstLine="0" w:firstLineChars="0"/>
              <w:jc w:val="center"/>
              <w:rPr>
                <w:rFonts w:hint="eastAsia" w:ascii="宋体" w:hAnsi="宋体" w:eastAsia="宋体" w:cs="宋体"/>
                <w:color w:val="auto"/>
                <w:kern w:val="2"/>
                <w:sz w:val="21"/>
                <w:szCs w:val="21"/>
              </w:rPr>
            </w:pPr>
          </w:p>
        </w:tc>
        <w:tc>
          <w:tcPr>
            <w:tcW w:w="530" w:type="dxa"/>
            <w:tcBorders>
              <w:top w:val="single" w:color="auto" w:sz="6" w:space="0"/>
              <w:left w:val="single" w:color="auto" w:sz="6" w:space="0"/>
              <w:bottom w:val="single" w:color="auto" w:sz="6" w:space="0"/>
              <w:right w:val="single" w:color="auto" w:sz="6" w:space="0"/>
            </w:tcBorders>
            <w:noWrap/>
            <w:vAlign w:val="center"/>
          </w:tcPr>
          <w:p w14:paraId="0C966DD5">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w:t>
            </w:r>
          </w:p>
        </w:tc>
        <w:tc>
          <w:tcPr>
            <w:tcW w:w="1460" w:type="dxa"/>
            <w:tcBorders>
              <w:top w:val="single" w:color="auto" w:sz="6" w:space="0"/>
              <w:left w:val="single" w:color="auto" w:sz="6" w:space="0"/>
              <w:bottom w:val="single" w:color="auto" w:sz="6" w:space="0"/>
              <w:right w:val="single" w:color="auto" w:sz="6" w:space="0"/>
            </w:tcBorders>
            <w:noWrap/>
            <w:vAlign w:val="center"/>
          </w:tcPr>
          <w:p w14:paraId="38D97C78">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天花灯饰</w:t>
            </w:r>
          </w:p>
        </w:tc>
        <w:tc>
          <w:tcPr>
            <w:tcW w:w="1156" w:type="dxa"/>
            <w:tcBorders>
              <w:top w:val="single" w:color="auto" w:sz="6" w:space="0"/>
              <w:left w:val="single" w:color="auto" w:sz="6" w:space="0"/>
              <w:bottom w:val="single" w:color="auto" w:sz="6" w:space="0"/>
              <w:right w:val="single" w:color="auto" w:sz="6" w:space="0"/>
            </w:tcBorders>
            <w:noWrap/>
            <w:vAlign w:val="center"/>
          </w:tcPr>
          <w:p w14:paraId="2338C2ED">
            <w:pPr>
              <w:snapToGrid w:val="0"/>
              <w:spacing w:line="240" w:lineRule="auto"/>
              <w:ind w:firstLine="0" w:firstLineChars="0"/>
              <w:rPr>
                <w:rFonts w:hint="eastAsia" w:ascii="宋体" w:hAnsi="宋体" w:eastAsia="宋体" w:cs="宋体"/>
                <w:color w:val="auto"/>
                <w:kern w:val="2"/>
                <w:sz w:val="21"/>
                <w:szCs w:val="21"/>
              </w:rPr>
            </w:pPr>
          </w:p>
        </w:tc>
        <w:tc>
          <w:tcPr>
            <w:tcW w:w="1246" w:type="dxa"/>
            <w:tcBorders>
              <w:top w:val="single" w:color="auto" w:sz="6" w:space="0"/>
              <w:left w:val="single" w:color="auto" w:sz="6" w:space="0"/>
              <w:bottom w:val="single" w:color="auto" w:sz="6" w:space="0"/>
              <w:right w:val="single" w:color="auto" w:sz="6" w:space="0"/>
            </w:tcBorders>
            <w:noWrap/>
            <w:vAlign w:val="center"/>
          </w:tcPr>
          <w:p w14:paraId="045DEC7A">
            <w:pPr>
              <w:snapToGrid w:val="0"/>
              <w:spacing w:line="240" w:lineRule="auto"/>
              <w:ind w:firstLine="0" w:firstLineChars="0"/>
              <w:rPr>
                <w:rFonts w:hint="eastAsia" w:ascii="宋体" w:hAnsi="宋体" w:eastAsia="宋体" w:cs="宋体"/>
                <w:color w:val="auto"/>
                <w:kern w:val="2"/>
                <w:sz w:val="21"/>
                <w:szCs w:val="21"/>
              </w:rPr>
            </w:pPr>
          </w:p>
        </w:tc>
        <w:tc>
          <w:tcPr>
            <w:tcW w:w="1069" w:type="dxa"/>
            <w:tcBorders>
              <w:top w:val="single" w:color="auto" w:sz="6" w:space="0"/>
              <w:left w:val="single" w:color="auto" w:sz="6" w:space="0"/>
              <w:bottom w:val="single" w:color="auto" w:sz="6" w:space="0"/>
              <w:right w:val="single" w:color="auto" w:sz="6" w:space="0"/>
            </w:tcBorders>
            <w:noWrap/>
            <w:vAlign w:val="center"/>
          </w:tcPr>
          <w:p w14:paraId="57982239">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清抹一次</w:t>
            </w:r>
          </w:p>
        </w:tc>
        <w:tc>
          <w:tcPr>
            <w:tcW w:w="890" w:type="dxa"/>
            <w:tcBorders>
              <w:top w:val="single" w:color="auto" w:sz="6" w:space="0"/>
              <w:left w:val="single" w:color="auto" w:sz="6" w:space="0"/>
              <w:bottom w:val="single" w:color="auto" w:sz="6" w:space="0"/>
              <w:right w:val="single" w:color="auto" w:sz="6" w:space="0"/>
            </w:tcBorders>
            <w:noWrap/>
            <w:vAlign w:val="center"/>
          </w:tcPr>
          <w:p w14:paraId="04146B95">
            <w:pPr>
              <w:snapToGrid w:val="0"/>
              <w:spacing w:line="240" w:lineRule="auto"/>
              <w:ind w:firstLine="0" w:firstLineChars="0"/>
              <w:rPr>
                <w:rFonts w:hint="eastAsia" w:ascii="宋体" w:hAnsi="宋体" w:eastAsia="宋体" w:cs="宋体"/>
                <w:color w:val="auto"/>
                <w:kern w:val="2"/>
                <w:sz w:val="21"/>
                <w:szCs w:val="21"/>
              </w:rPr>
            </w:pPr>
          </w:p>
        </w:tc>
        <w:tc>
          <w:tcPr>
            <w:tcW w:w="2229" w:type="dxa"/>
            <w:tcBorders>
              <w:top w:val="single" w:color="auto" w:sz="6" w:space="0"/>
              <w:left w:val="single" w:color="auto" w:sz="6" w:space="0"/>
              <w:bottom w:val="single" w:color="auto" w:sz="6" w:space="0"/>
              <w:right w:val="single" w:color="auto" w:sz="6" w:space="0"/>
            </w:tcBorders>
            <w:noWrap/>
            <w:vAlign w:val="center"/>
          </w:tcPr>
          <w:p w14:paraId="7FE7D695">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干净、无蜘蛛网，无灰尘</w:t>
            </w:r>
          </w:p>
        </w:tc>
      </w:tr>
      <w:tr w14:paraId="0D602A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continue"/>
            <w:tcBorders>
              <w:top w:val="single" w:color="auto" w:sz="6" w:space="0"/>
              <w:left w:val="single" w:color="auto" w:sz="6" w:space="0"/>
              <w:bottom w:val="single" w:color="auto" w:sz="6" w:space="0"/>
              <w:right w:val="single" w:color="auto" w:sz="6" w:space="0"/>
            </w:tcBorders>
            <w:noWrap/>
            <w:vAlign w:val="center"/>
          </w:tcPr>
          <w:p w14:paraId="37190272">
            <w:pPr>
              <w:spacing w:line="240" w:lineRule="auto"/>
              <w:ind w:firstLine="0" w:firstLineChars="0"/>
              <w:jc w:val="center"/>
              <w:rPr>
                <w:rFonts w:hint="eastAsia" w:ascii="宋体" w:hAnsi="宋体" w:eastAsia="宋体" w:cs="宋体"/>
                <w:color w:val="auto"/>
                <w:kern w:val="2"/>
                <w:sz w:val="21"/>
                <w:szCs w:val="21"/>
              </w:rPr>
            </w:pPr>
          </w:p>
        </w:tc>
        <w:tc>
          <w:tcPr>
            <w:tcW w:w="530" w:type="dxa"/>
            <w:tcBorders>
              <w:top w:val="single" w:color="auto" w:sz="6" w:space="0"/>
              <w:left w:val="single" w:color="auto" w:sz="6" w:space="0"/>
              <w:bottom w:val="single" w:color="auto" w:sz="6" w:space="0"/>
              <w:right w:val="single" w:color="auto" w:sz="6" w:space="0"/>
            </w:tcBorders>
            <w:noWrap/>
            <w:vAlign w:val="center"/>
          </w:tcPr>
          <w:p w14:paraId="19A2B20E">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4</w:t>
            </w:r>
          </w:p>
        </w:tc>
        <w:tc>
          <w:tcPr>
            <w:tcW w:w="1460" w:type="dxa"/>
            <w:tcBorders>
              <w:top w:val="single" w:color="auto" w:sz="6" w:space="0"/>
              <w:left w:val="single" w:color="auto" w:sz="6" w:space="0"/>
              <w:bottom w:val="single" w:color="auto" w:sz="6" w:space="0"/>
              <w:right w:val="single" w:color="auto" w:sz="6" w:space="0"/>
            </w:tcBorders>
            <w:noWrap/>
            <w:vAlign w:val="center"/>
          </w:tcPr>
          <w:p w14:paraId="2DD82397">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玻璃门</w:t>
            </w:r>
          </w:p>
        </w:tc>
        <w:tc>
          <w:tcPr>
            <w:tcW w:w="1156" w:type="dxa"/>
            <w:tcBorders>
              <w:top w:val="single" w:color="auto" w:sz="6" w:space="0"/>
              <w:left w:val="single" w:color="auto" w:sz="6" w:space="0"/>
              <w:bottom w:val="single" w:color="auto" w:sz="6" w:space="0"/>
              <w:right w:val="single" w:color="auto" w:sz="6" w:space="0"/>
            </w:tcBorders>
            <w:noWrap/>
            <w:vAlign w:val="center"/>
          </w:tcPr>
          <w:p w14:paraId="62E8046E">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清抹四次</w:t>
            </w:r>
          </w:p>
        </w:tc>
        <w:tc>
          <w:tcPr>
            <w:tcW w:w="1246" w:type="dxa"/>
            <w:tcBorders>
              <w:top w:val="single" w:color="auto" w:sz="6" w:space="0"/>
              <w:left w:val="single" w:color="auto" w:sz="6" w:space="0"/>
              <w:bottom w:val="single" w:color="auto" w:sz="6" w:space="0"/>
              <w:right w:val="single" w:color="auto" w:sz="6" w:space="0"/>
            </w:tcBorders>
            <w:noWrap/>
            <w:vAlign w:val="center"/>
          </w:tcPr>
          <w:p w14:paraId="2B272806">
            <w:pPr>
              <w:snapToGrid w:val="0"/>
              <w:spacing w:line="240" w:lineRule="auto"/>
              <w:ind w:firstLine="0" w:firstLineChars="0"/>
              <w:rPr>
                <w:rFonts w:hint="eastAsia" w:ascii="宋体" w:hAnsi="宋体" w:eastAsia="宋体" w:cs="宋体"/>
                <w:color w:val="auto"/>
                <w:kern w:val="2"/>
                <w:sz w:val="21"/>
                <w:szCs w:val="21"/>
              </w:rPr>
            </w:pPr>
          </w:p>
        </w:tc>
        <w:tc>
          <w:tcPr>
            <w:tcW w:w="1069" w:type="dxa"/>
            <w:tcBorders>
              <w:top w:val="single" w:color="auto" w:sz="6" w:space="0"/>
              <w:left w:val="single" w:color="auto" w:sz="6" w:space="0"/>
              <w:bottom w:val="single" w:color="auto" w:sz="6" w:space="0"/>
              <w:right w:val="single" w:color="auto" w:sz="6" w:space="0"/>
            </w:tcBorders>
            <w:noWrap/>
            <w:vAlign w:val="center"/>
          </w:tcPr>
          <w:p w14:paraId="23B56A9C">
            <w:pPr>
              <w:snapToGrid w:val="0"/>
              <w:spacing w:line="240" w:lineRule="auto"/>
              <w:ind w:firstLine="0" w:firstLineChars="0"/>
              <w:rPr>
                <w:rFonts w:hint="eastAsia" w:ascii="宋体" w:hAnsi="宋体" w:eastAsia="宋体" w:cs="宋体"/>
                <w:color w:val="auto"/>
                <w:kern w:val="2"/>
                <w:sz w:val="21"/>
                <w:szCs w:val="21"/>
              </w:rPr>
            </w:pPr>
          </w:p>
        </w:tc>
        <w:tc>
          <w:tcPr>
            <w:tcW w:w="890" w:type="dxa"/>
            <w:tcBorders>
              <w:top w:val="single" w:color="auto" w:sz="6" w:space="0"/>
              <w:left w:val="single" w:color="auto" w:sz="6" w:space="0"/>
              <w:bottom w:val="single" w:color="auto" w:sz="6" w:space="0"/>
              <w:right w:val="single" w:color="auto" w:sz="6" w:space="0"/>
            </w:tcBorders>
            <w:noWrap/>
            <w:vAlign w:val="center"/>
          </w:tcPr>
          <w:p w14:paraId="09EE9DA8">
            <w:pPr>
              <w:snapToGrid w:val="0"/>
              <w:spacing w:line="240" w:lineRule="auto"/>
              <w:ind w:firstLine="0" w:firstLineChars="0"/>
              <w:rPr>
                <w:rFonts w:hint="eastAsia" w:ascii="宋体" w:hAnsi="宋体" w:eastAsia="宋体" w:cs="宋体"/>
                <w:color w:val="auto"/>
                <w:kern w:val="2"/>
                <w:sz w:val="21"/>
                <w:szCs w:val="21"/>
              </w:rPr>
            </w:pPr>
          </w:p>
        </w:tc>
        <w:tc>
          <w:tcPr>
            <w:tcW w:w="2229" w:type="dxa"/>
            <w:tcBorders>
              <w:top w:val="single" w:color="auto" w:sz="6" w:space="0"/>
              <w:left w:val="single" w:color="auto" w:sz="6" w:space="0"/>
              <w:bottom w:val="single" w:color="auto" w:sz="6" w:space="0"/>
              <w:right w:val="single" w:color="auto" w:sz="6" w:space="0"/>
            </w:tcBorders>
            <w:noWrap/>
            <w:vAlign w:val="center"/>
          </w:tcPr>
          <w:p w14:paraId="49CE9A94">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干净、无污渍</w:t>
            </w:r>
          </w:p>
        </w:tc>
      </w:tr>
      <w:tr w14:paraId="60E61E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continue"/>
            <w:tcBorders>
              <w:top w:val="single" w:color="auto" w:sz="6" w:space="0"/>
              <w:left w:val="single" w:color="auto" w:sz="6" w:space="0"/>
              <w:bottom w:val="single" w:color="auto" w:sz="6" w:space="0"/>
              <w:right w:val="single" w:color="auto" w:sz="6" w:space="0"/>
            </w:tcBorders>
            <w:noWrap/>
            <w:vAlign w:val="center"/>
          </w:tcPr>
          <w:p w14:paraId="2FFE8312">
            <w:pPr>
              <w:spacing w:line="240" w:lineRule="auto"/>
              <w:ind w:firstLine="0" w:firstLineChars="0"/>
              <w:jc w:val="center"/>
              <w:rPr>
                <w:rFonts w:hint="eastAsia" w:ascii="宋体" w:hAnsi="宋体" w:eastAsia="宋体" w:cs="宋体"/>
                <w:color w:val="auto"/>
                <w:kern w:val="2"/>
                <w:sz w:val="21"/>
                <w:szCs w:val="21"/>
              </w:rPr>
            </w:pPr>
          </w:p>
        </w:tc>
        <w:tc>
          <w:tcPr>
            <w:tcW w:w="530" w:type="dxa"/>
            <w:tcBorders>
              <w:top w:val="single" w:color="auto" w:sz="6" w:space="0"/>
              <w:left w:val="single" w:color="auto" w:sz="6" w:space="0"/>
              <w:bottom w:val="single" w:color="auto" w:sz="6" w:space="0"/>
              <w:right w:val="single" w:color="auto" w:sz="6" w:space="0"/>
            </w:tcBorders>
            <w:noWrap/>
            <w:vAlign w:val="center"/>
          </w:tcPr>
          <w:p w14:paraId="13EDCE65">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5</w:t>
            </w:r>
          </w:p>
        </w:tc>
        <w:tc>
          <w:tcPr>
            <w:tcW w:w="1460" w:type="dxa"/>
            <w:tcBorders>
              <w:top w:val="single" w:color="auto" w:sz="6" w:space="0"/>
              <w:left w:val="single" w:color="auto" w:sz="6" w:space="0"/>
              <w:bottom w:val="single" w:color="auto" w:sz="6" w:space="0"/>
              <w:right w:val="single" w:color="auto" w:sz="6" w:space="0"/>
            </w:tcBorders>
            <w:noWrap/>
            <w:vAlign w:val="center"/>
          </w:tcPr>
          <w:p w14:paraId="50EB0ACB">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楼梯</w:t>
            </w:r>
          </w:p>
        </w:tc>
        <w:tc>
          <w:tcPr>
            <w:tcW w:w="1156" w:type="dxa"/>
            <w:tcBorders>
              <w:top w:val="single" w:color="auto" w:sz="6" w:space="0"/>
              <w:left w:val="single" w:color="auto" w:sz="6" w:space="0"/>
              <w:bottom w:val="single" w:color="auto" w:sz="6" w:space="0"/>
              <w:right w:val="single" w:color="auto" w:sz="6" w:space="0"/>
            </w:tcBorders>
            <w:noWrap/>
            <w:vAlign w:val="center"/>
          </w:tcPr>
          <w:p w14:paraId="09942D41">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清扫一次地面</w:t>
            </w:r>
          </w:p>
          <w:p w14:paraId="541C5B61">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清抹一次扶手</w:t>
            </w:r>
          </w:p>
        </w:tc>
        <w:tc>
          <w:tcPr>
            <w:tcW w:w="1246" w:type="dxa"/>
            <w:tcBorders>
              <w:top w:val="single" w:color="auto" w:sz="6" w:space="0"/>
              <w:left w:val="single" w:color="auto" w:sz="6" w:space="0"/>
              <w:bottom w:val="single" w:color="auto" w:sz="6" w:space="0"/>
              <w:right w:val="single" w:color="auto" w:sz="6" w:space="0"/>
            </w:tcBorders>
            <w:noWrap/>
            <w:vAlign w:val="center"/>
          </w:tcPr>
          <w:p w14:paraId="3FFAF2B4">
            <w:pPr>
              <w:snapToGrid w:val="0"/>
              <w:spacing w:line="240" w:lineRule="auto"/>
              <w:ind w:firstLine="0" w:firstLineChars="0"/>
              <w:rPr>
                <w:rFonts w:hint="eastAsia" w:ascii="宋体" w:hAnsi="宋体" w:eastAsia="宋体" w:cs="宋体"/>
                <w:color w:val="auto"/>
                <w:kern w:val="2"/>
                <w:sz w:val="21"/>
                <w:szCs w:val="21"/>
              </w:rPr>
            </w:pPr>
          </w:p>
        </w:tc>
        <w:tc>
          <w:tcPr>
            <w:tcW w:w="1069" w:type="dxa"/>
            <w:tcBorders>
              <w:top w:val="single" w:color="auto" w:sz="6" w:space="0"/>
              <w:left w:val="single" w:color="auto" w:sz="6" w:space="0"/>
              <w:bottom w:val="single" w:color="auto" w:sz="6" w:space="0"/>
              <w:right w:val="single" w:color="auto" w:sz="6" w:space="0"/>
            </w:tcBorders>
            <w:noWrap/>
            <w:vAlign w:val="center"/>
          </w:tcPr>
          <w:p w14:paraId="6F68FB20">
            <w:pPr>
              <w:snapToGrid w:val="0"/>
              <w:spacing w:line="240" w:lineRule="auto"/>
              <w:ind w:firstLine="0" w:firstLineChars="0"/>
              <w:rPr>
                <w:rFonts w:hint="eastAsia" w:ascii="宋体" w:hAnsi="宋体" w:eastAsia="宋体" w:cs="宋体"/>
                <w:color w:val="auto"/>
                <w:kern w:val="2"/>
                <w:sz w:val="21"/>
                <w:szCs w:val="21"/>
              </w:rPr>
            </w:pPr>
          </w:p>
        </w:tc>
        <w:tc>
          <w:tcPr>
            <w:tcW w:w="890" w:type="dxa"/>
            <w:tcBorders>
              <w:top w:val="single" w:color="auto" w:sz="6" w:space="0"/>
              <w:left w:val="single" w:color="auto" w:sz="6" w:space="0"/>
              <w:bottom w:val="single" w:color="auto" w:sz="6" w:space="0"/>
              <w:right w:val="single" w:color="auto" w:sz="6" w:space="0"/>
            </w:tcBorders>
            <w:noWrap/>
            <w:vAlign w:val="center"/>
          </w:tcPr>
          <w:p w14:paraId="469F7877">
            <w:pPr>
              <w:snapToGrid w:val="0"/>
              <w:spacing w:line="240" w:lineRule="auto"/>
              <w:ind w:firstLine="0" w:firstLineChars="0"/>
              <w:rPr>
                <w:rFonts w:hint="eastAsia" w:ascii="宋体" w:hAnsi="宋体" w:eastAsia="宋体" w:cs="宋体"/>
                <w:color w:val="auto"/>
                <w:kern w:val="2"/>
                <w:sz w:val="21"/>
                <w:szCs w:val="21"/>
              </w:rPr>
            </w:pPr>
          </w:p>
        </w:tc>
        <w:tc>
          <w:tcPr>
            <w:tcW w:w="2229" w:type="dxa"/>
            <w:tcBorders>
              <w:top w:val="single" w:color="auto" w:sz="6" w:space="0"/>
              <w:left w:val="single" w:color="auto" w:sz="6" w:space="0"/>
              <w:bottom w:val="single" w:color="auto" w:sz="6" w:space="0"/>
              <w:right w:val="single" w:color="auto" w:sz="6" w:space="0"/>
            </w:tcBorders>
            <w:noWrap/>
            <w:vAlign w:val="center"/>
          </w:tcPr>
          <w:p w14:paraId="73E1CC4F">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干净明亮、无污尘</w:t>
            </w:r>
          </w:p>
        </w:tc>
      </w:tr>
      <w:tr w14:paraId="30140A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continue"/>
            <w:tcBorders>
              <w:top w:val="single" w:color="auto" w:sz="6" w:space="0"/>
              <w:left w:val="single" w:color="auto" w:sz="6" w:space="0"/>
              <w:bottom w:val="single" w:color="auto" w:sz="6" w:space="0"/>
              <w:right w:val="single" w:color="auto" w:sz="6" w:space="0"/>
            </w:tcBorders>
            <w:noWrap/>
            <w:vAlign w:val="center"/>
          </w:tcPr>
          <w:p w14:paraId="290386C0">
            <w:pPr>
              <w:spacing w:line="240" w:lineRule="auto"/>
              <w:ind w:firstLine="0" w:firstLineChars="0"/>
              <w:jc w:val="center"/>
              <w:rPr>
                <w:rFonts w:hint="eastAsia" w:ascii="宋体" w:hAnsi="宋体" w:eastAsia="宋体" w:cs="宋体"/>
                <w:color w:val="auto"/>
                <w:kern w:val="2"/>
                <w:sz w:val="21"/>
                <w:szCs w:val="21"/>
              </w:rPr>
            </w:pPr>
          </w:p>
        </w:tc>
        <w:tc>
          <w:tcPr>
            <w:tcW w:w="530" w:type="dxa"/>
            <w:tcBorders>
              <w:top w:val="single" w:color="auto" w:sz="6" w:space="0"/>
              <w:left w:val="single" w:color="auto" w:sz="6" w:space="0"/>
              <w:bottom w:val="single" w:color="auto" w:sz="6" w:space="0"/>
              <w:right w:val="single" w:color="auto" w:sz="6" w:space="0"/>
            </w:tcBorders>
            <w:noWrap/>
            <w:vAlign w:val="center"/>
          </w:tcPr>
          <w:p w14:paraId="1B160826">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6</w:t>
            </w:r>
          </w:p>
        </w:tc>
        <w:tc>
          <w:tcPr>
            <w:tcW w:w="1460" w:type="dxa"/>
            <w:tcBorders>
              <w:top w:val="single" w:color="auto" w:sz="6" w:space="0"/>
              <w:left w:val="single" w:color="auto" w:sz="6" w:space="0"/>
              <w:bottom w:val="single" w:color="auto" w:sz="6" w:space="0"/>
              <w:right w:val="single" w:color="auto" w:sz="6" w:space="0"/>
            </w:tcBorders>
            <w:noWrap/>
            <w:vAlign w:val="center"/>
          </w:tcPr>
          <w:p w14:paraId="0F8D52AD">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消防设施</w:t>
            </w:r>
          </w:p>
        </w:tc>
        <w:tc>
          <w:tcPr>
            <w:tcW w:w="1156" w:type="dxa"/>
            <w:tcBorders>
              <w:top w:val="single" w:color="auto" w:sz="6" w:space="0"/>
              <w:left w:val="single" w:color="auto" w:sz="6" w:space="0"/>
              <w:bottom w:val="single" w:color="auto" w:sz="6" w:space="0"/>
              <w:right w:val="single" w:color="auto" w:sz="6" w:space="0"/>
            </w:tcBorders>
            <w:noWrap/>
            <w:vAlign w:val="center"/>
          </w:tcPr>
          <w:p w14:paraId="6EF12B64">
            <w:pPr>
              <w:snapToGrid w:val="0"/>
              <w:spacing w:line="240" w:lineRule="auto"/>
              <w:ind w:firstLine="0" w:firstLineChars="0"/>
              <w:rPr>
                <w:rFonts w:hint="eastAsia" w:ascii="宋体" w:hAnsi="宋体" w:eastAsia="宋体" w:cs="宋体"/>
                <w:color w:val="auto"/>
                <w:kern w:val="2"/>
                <w:sz w:val="21"/>
                <w:szCs w:val="21"/>
              </w:rPr>
            </w:pPr>
          </w:p>
        </w:tc>
        <w:tc>
          <w:tcPr>
            <w:tcW w:w="1246" w:type="dxa"/>
            <w:tcBorders>
              <w:top w:val="single" w:color="auto" w:sz="6" w:space="0"/>
              <w:left w:val="single" w:color="auto" w:sz="6" w:space="0"/>
              <w:bottom w:val="single" w:color="auto" w:sz="6" w:space="0"/>
              <w:right w:val="single" w:color="auto" w:sz="6" w:space="0"/>
            </w:tcBorders>
            <w:noWrap/>
            <w:vAlign w:val="center"/>
          </w:tcPr>
          <w:p w14:paraId="3969EFE4">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清抹二次</w:t>
            </w:r>
          </w:p>
        </w:tc>
        <w:tc>
          <w:tcPr>
            <w:tcW w:w="1069" w:type="dxa"/>
            <w:tcBorders>
              <w:top w:val="single" w:color="auto" w:sz="6" w:space="0"/>
              <w:left w:val="single" w:color="auto" w:sz="6" w:space="0"/>
              <w:bottom w:val="single" w:color="auto" w:sz="6" w:space="0"/>
              <w:right w:val="single" w:color="auto" w:sz="6" w:space="0"/>
            </w:tcBorders>
            <w:noWrap/>
            <w:vAlign w:val="center"/>
          </w:tcPr>
          <w:p w14:paraId="3B380D3E">
            <w:pPr>
              <w:snapToGrid w:val="0"/>
              <w:spacing w:line="240" w:lineRule="auto"/>
              <w:ind w:firstLine="0" w:firstLineChars="0"/>
              <w:rPr>
                <w:rFonts w:hint="eastAsia" w:ascii="宋体" w:hAnsi="宋体" w:eastAsia="宋体" w:cs="宋体"/>
                <w:color w:val="auto"/>
                <w:kern w:val="2"/>
                <w:sz w:val="21"/>
                <w:szCs w:val="21"/>
              </w:rPr>
            </w:pPr>
          </w:p>
        </w:tc>
        <w:tc>
          <w:tcPr>
            <w:tcW w:w="890" w:type="dxa"/>
            <w:tcBorders>
              <w:top w:val="single" w:color="auto" w:sz="6" w:space="0"/>
              <w:left w:val="single" w:color="auto" w:sz="6" w:space="0"/>
              <w:bottom w:val="single" w:color="auto" w:sz="6" w:space="0"/>
              <w:right w:val="single" w:color="auto" w:sz="6" w:space="0"/>
            </w:tcBorders>
            <w:noWrap/>
            <w:vAlign w:val="center"/>
          </w:tcPr>
          <w:p w14:paraId="6B9B91B1">
            <w:pPr>
              <w:snapToGrid w:val="0"/>
              <w:spacing w:line="240" w:lineRule="auto"/>
              <w:ind w:firstLine="0" w:firstLineChars="0"/>
              <w:rPr>
                <w:rFonts w:hint="eastAsia" w:ascii="宋体" w:hAnsi="宋体" w:eastAsia="宋体" w:cs="宋体"/>
                <w:color w:val="auto"/>
                <w:kern w:val="2"/>
                <w:sz w:val="21"/>
                <w:szCs w:val="21"/>
              </w:rPr>
            </w:pPr>
          </w:p>
        </w:tc>
        <w:tc>
          <w:tcPr>
            <w:tcW w:w="2229" w:type="dxa"/>
            <w:tcBorders>
              <w:top w:val="single" w:color="auto" w:sz="6" w:space="0"/>
              <w:left w:val="single" w:color="auto" w:sz="6" w:space="0"/>
              <w:bottom w:val="single" w:color="auto" w:sz="6" w:space="0"/>
              <w:right w:val="single" w:color="auto" w:sz="6" w:space="0"/>
            </w:tcBorders>
            <w:noWrap/>
            <w:vAlign w:val="center"/>
          </w:tcPr>
          <w:p w14:paraId="4752AADD">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干净明亮、无污渍</w:t>
            </w:r>
          </w:p>
        </w:tc>
      </w:tr>
      <w:tr w14:paraId="25E466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continue"/>
            <w:tcBorders>
              <w:top w:val="single" w:color="auto" w:sz="6" w:space="0"/>
              <w:left w:val="single" w:color="auto" w:sz="6" w:space="0"/>
              <w:bottom w:val="single" w:color="auto" w:sz="6" w:space="0"/>
              <w:right w:val="single" w:color="auto" w:sz="6" w:space="0"/>
            </w:tcBorders>
            <w:noWrap/>
            <w:vAlign w:val="center"/>
          </w:tcPr>
          <w:p w14:paraId="0F981E4E">
            <w:pPr>
              <w:spacing w:line="240" w:lineRule="auto"/>
              <w:ind w:firstLine="0" w:firstLineChars="0"/>
              <w:jc w:val="center"/>
              <w:rPr>
                <w:rFonts w:hint="eastAsia" w:ascii="宋体" w:hAnsi="宋体" w:eastAsia="宋体" w:cs="宋体"/>
                <w:color w:val="auto"/>
                <w:kern w:val="2"/>
                <w:sz w:val="21"/>
                <w:szCs w:val="21"/>
              </w:rPr>
            </w:pPr>
          </w:p>
        </w:tc>
        <w:tc>
          <w:tcPr>
            <w:tcW w:w="530" w:type="dxa"/>
            <w:tcBorders>
              <w:top w:val="single" w:color="auto" w:sz="6" w:space="0"/>
              <w:left w:val="single" w:color="auto" w:sz="6" w:space="0"/>
              <w:bottom w:val="single" w:color="auto" w:sz="6" w:space="0"/>
              <w:right w:val="single" w:color="auto" w:sz="6" w:space="0"/>
            </w:tcBorders>
            <w:noWrap/>
            <w:vAlign w:val="center"/>
          </w:tcPr>
          <w:p w14:paraId="544B0269">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7</w:t>
            </w:r>
          </w:p>
        </w:tc>
        <w:tc>
          <w:tcPr>
            <w:tcW w:w="1460" w:type="dxa"/>
            <w:tcBorders>
              <w:top w:val="single" w:color="auto" w:sz="6" w:space="0"/>
              <w:left w:val="single" w:color="auto" w:sz="6" w:space="0"/>
              <w:bottom w:val="single" w:color="auto" w:sz="6" w:space="0"/>
              <w:right w:val="single" w:color="auto" w:sz="6" w:space="0"/>
            </w:tcBorders>
            <w:noWrap/>
            <w:vAlign w:val="center"/>
          </w:tcPr>
          <w:p w14:paraId="0DBDCAC9">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垃圾桶</w:t>
            </w:r>
          </w:p>
        </w:tc>
        <w:tc>
          <w:tcPr>
            <w:tcW w:w="1156" w:type="dxa"/>
            <w:tcBorders>
              <w:top w:val="single" w:color="auto" w:sz="6" w:space="0"/>
              <w:left w:val="single" w:color="auto" w:sz="6" w:space="0"/>
              <w:bottom w:val="single" w:color="auto" w:sz="6" w:space="0"/>
              <w:right w:val="single" w:color="auto" w:sz="6" w:space="0"/>
            </w:tcBorders>
            <w:noWrap/>
            <w:vAlign w:val="center"/>
          </w:tcPr>
          <w:p w14:paraId="38EDEEEA">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清抹二次</w:t>
            </w:r>
          </w:p>
        </w:tc>
        <w:tc>
          <w:tcPr>
            <w:tcW w:w="1246" w:type="dxa"/>
            <w:tcBorders>
              <w:top w:val="single" w:color="auto" w:sz="6" w:space="0"/>
              <w:left w:val="single" w:color="auto" w:sz="6" w:space="0"/>
              <w:bottom w:val="single" w:color="auto" w:sz="6" w:space="0"/>
              <w:right w:val="single" w:color="auto" w:sz="6" w:space="0"/>
            </w:tcBorders>
            <w:noWrap/>
            <w:vAlign w:val="center"/>
          </w:tcPr>
          <w:p w14:paraId="4A291AE3">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用清洁剂清抹一次</w:t>
            </w:r>
          </w:p>
        </w:tc>
        <w:tc>
          <w:tcPr>
            <w:tcW w:w="1069" w:type="dxa"/>
            <w:tcBorders>
              <w:top w:val="single" w:color="auto" w:sz="6" w:space="0"/>
              <w:left w:val="single" w:color="auto" w:sz="6" w:space="0"/>
              <w:bottom w:val="single" w:color="auto" w:sz="6" w:space="0"/>
              <w:right w:val="single" w:color="auto" w:sz="6" w:space="0"/>
            </w:tcBorders>
            <w:noWrap/>
            <w:vAlign w:val="center"/>
          </w:tcPr>
          <w:p w14:paraId="4EBCFFE4">
            <w:pPr>
              <w:snapToGrid w:val="0"/>
              <w:spacing w:line="240" w:lineRule="auto"/>
              <w:ind w:firstLine="0" w:firstLineChars="0"/>
              <w:rPr>
                <w:rFonts w:hint="eastAsia" w:ascii="宋体" w:hAnsi="宋体" w:eastAsia="宋体" w:cs="宋体"/>
                <w:color w:val="auto"/>
                <w:kern w:val="2"/>
                <w:sz w:val="21"/>
                <w:szCs w:val="21"/>
              </w:rPr>
            </w:pPr>
          </w:p>
        </w:tc>
        <w:tc>
          <w:tcPr>
            <w:tcW w:w="890" w:type="dxa"/>
            <w:tcBorders>
              <w:top w:val="single" w:color="auto" w:sz="6" w:space="0"/>
              <w:left w:val="single" w:color="auto" w:sz="6" w:space="0"/>
              <w:bottom w:val="single" w:color="auto" w:sz="6" w:space="0"/>
              <w:right w:val="single" w:color="auto" w:sz="6" w:space="0"/>
            </w:tcBorders>
            <w:noWrap/>
            <w:vAlign w:val="center"/>
          </w:tcPr>
          <w:p w14:paraId="10E422DE">
            <w:pPr>
              <w:snapToGrid w:val="0"/>
              <w:spacing w:line="240" w:lineRule="auto"/>
              <w:ind w:firstLine="0" w:firstLineChars="0"/>
              <w:rPr>
                <w:rFonts w:hint="eastAsia" w:ascii="宋体" w:hAnsi="宋体" w:eastAsia="宋体" w:cs="宋体"/>
                <w:color w:val="auto"/>
                <w:kern w:val="2"/>
                <w:sz w:val="21"/>
                <w:szCs w:val="21"/>
              </w:rPr>
            </w:pPr>
          </w:p>
        </w:tc>
        <w:tc>
          <w:tcPr>
            <w:tcW w:w="2229" w:type="dxa"/>
            <w:tcBorders>
              <w:top w:val="single" w:color="auto" w:sz="6" w:space="0"/>
              <w:left w:val="single" w:color="auto" w:sz="6" w:space="0"/>
              <w:bottom w:val="single" w:color="auto" w:sz="6" w:space="0"/>
              <w:right w:val="single" w:color="auto" w:sz="6" w:space="0"/>
            </w:tcBorders>
            <w:noWrap/>
            <w:vAlign w:val="center"/>
          </w:tcPr>
          <w:p w14:paraId="400E74B5">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干净、无杂物、无污尘</w:t>
            </w:r>
          </w:p>
        </w:tc>
      </w:tr>
      <w:tr w14:paraId="3A353A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continue"/>
            <w:tcBorders>
              <w:top w:val="single" w:color="auto" w:sz="6" w:space="0"/>
              <w:left w:val="single" w:color="auto" w:sz="6" w:space="0"/>
              <w:bottom w:val="single" w:color="auto" w:sz="6" w:space="0"/>
              <w:right w:val="single" w:color="auto" w:sz="6" w:space="0"/>
            </w:tcBorders>
            <w:noWrap/>
            <w:vAlign w:val="center"/>
          </w:tcPr>
          <w:p w14:paraId="60C3021B">
            <w:pPr>
              <w:spacing w:line="240" w:lineRule="auto"/>
              <w:ind w:firstLine="0" w:firstLineChars="0"/>
              <w:jc w:val="center"/>
              <w:rPr>
                <w:rFonts w:hint="eastAsia" w:ascii="宋体" w:hAnsi="宋体" w:eastAsia="宋体" w:cs="宋体"/>
                <w:color w:val="auto"/>
                <w:kern w:val="2"/>
                <w:sz w:val="21"/>
                <w:szCs w:val="21"/>
              </w:rPr>
            </w:pPr>
          </w:p>
        </w:tc>
        <w:tc>
          <w:tcPr>
            <w:tcW w:w="530" w:type="dxa"/>
            <w:tcBorders>
              <w:top w:val="single" w:color="auto" w:sz="6" w:space="0"/>
              <w:left w:val="single" w:color="auto" w:sz="6" w:space="0"/>
              <w:bottom w:val="single" w:color="auto" w:sz="6" w:space="0"/>
              <w:right w:val="single" w:color="auto" w:sz="6" w:space="0"/>
            </w:tcBorders>
            <w:noWrap/>
            <w:vAlign w:val="center"/>
          </w:tcPr>
          <w:p w14:paraId="197885AB">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8</w:t>
            </w:r>
          </w:p>
        </w:tc>
        <w:tc>
          <w:tcPr>
            <w:tcW w:w="1460" w:type="dxa"/>
            <w:tcBorders>
              <w:top w:val="single" w:color="auto" w:sz="6" w:space="0"/>
              <w:left w:val="single" w:color="auto" w:sz="6" w:space="0"/>
              <w:bottom w:val="single" w:color="auto" w:sz="6" w:space="0"/>
              <w:right w:val="single" w:color="auto" w:sz="6" w:space="0"/>
            </w:tcBorders>
            <w:noWrap/>
            <w:vAlign w:val="center"/>
          </w:tcPr>
          <w:p w14:paraId="4F921197">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管道井</w:t>
            </w:r>
          </w:p>
        </w:tc>
        <w:tc>
          <w:tcPr>
            <w:tcW w:w="1156" w:type="dxa"/>
            <w:tcBorders>
              <w:top w:val="single" w:color="auto" w:sz="6" w:space="0"/>
              <w:left w:val="single" w:color="auto" w:sz="6" w:space="0"/>
              <w:bottom w:val="single" w:color="auto" w:sz="6" w:space="0"/>
              <w:right w:val="single" w:color="auto" w:sz="6" w:space="0"/>
            </w:tcBorders>
            <w:noWrap/>
            <w:vAlign w:val="center"/>
          </w:tcPr>
          <w:p w14:paraId="7F1F4716">
            <w:pPr>
              <w:snapToGrid w:val="0"/>
              <w:spacing w:line="240" w:lineRule="auto"/>
              <w:ind w:firstLine="0" w:firstLineChars="0"/>
              <w:rPr>
                <w:rFonts w:hint="eastAsia" w:ascii="宋体" w:hAnsi="宋体" w:eastAsia="宋体" w:cs="宋体"/>
                <w:color w:val="auto"/>
                <w:kern w:val="2"/>
                <w:sz w:val="21"/>
                <w:szCs w:val="21"/>
              </w:rPr>
            </w:pPr>
          </w:p>
        </w:tc>
        <w:tc>
          <w:tcPr>
            <w:tcW w:w="1246" w:type="dxa"/>
            <w:tcBorders>
              <w:top w:val="single" w:color="auto" w:sz="6" w:space="0"/>
              <w:left w:val="single" w:color="auto" w:sz="6" w:space="0"/>
              <w:bottom w:val="single" w:color="auto" w:sz="6" w:space="0"/>
              <w:right w:val="single" w:color="auto" w:sz="6" w:space="0"/>
            </w:tcBorders>
            <w:noWrap/>
            <w:vAlign w:val="center"/>
          </w:tcPr>
          <w:p w14:paraId="48F18DEE">
            <w:pPr>
              <w:snapToGrid w:val="0"/>
              <w:spacing w:line="240" w:lineRule="auto"/>
              <w:ind w:firstLine="0" w:firstLineChars="0"/>
              <w:rPr>
                <w:rFonts w:hint="eastAsia" w:ascii="宋体" w:hAnsi="宋体" w:eastAsia="宋体" w:cs="宋体"/>
                <w:color w:val="auto"/>
                <w:kern w:val="2"/>
                <w:sz w:val="21"/>
                <w:szCs w:val="21"/>
              </w:rPr>
            </w:pPr>
          </w:p>
        </w:tc>
        <w:tc>
          <w:tcPr>
            <w:tcW w:w="1069" w:type="dxa"/>
            <w:tcBorders>
              <w:top w:val="single" w:color="auto" w:sz="6" w:space="0"/>
              <w:left w:val="single" w:color="auto" w:sz="6" w:space="0"/>
              <w:bottom w:val="single" w:color="auto" w:sz="6" w:space="0"/>
              <w:right w:val="single" w:color="auto" w:sz="6" w:space="0"/>
            </w:tcBorders>
            <w:noWrap/>
            <w:vAlign w:val="center"/>
          </w:tcPr>
          <w:p w14:paraId="43B3E4FD">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清扫二次</w:t>
            </w:r>
          </w:p>
        </w:tc>
        <w:tc>
          <w:tcPr>
            <w:tcW w:w="890" w:type="dxa"/>
            <w:tcBorders>
              <w:top w:val="single" w:color="auto" w:sz="6" w:space="0"/>
              <w:left w:val="single" w:color="auto" w:sz="6" w:space="0"/>
              <w:bottom w:val="single" w:color="auto" w:sz="6" w:space="0"/>
              <w:right w:val="single" w:color="auto" w:sz="6" w:space="0"/>
            </w:tcBorders>
            <w:noWrap/>
            <w:vAlign w:val="center"/>
          </w:tcPr>
          <w:p w14:paraId="2B162F44">
            <w:pPr>
              <w:snapToGrid w:val="0"/>
              <w:spacing w:line="240" w:lineRule="auto"/>
              <w:ind w:firstLine="0" w:firstLineChars="0"/>
              <w:rPr>
                <w:rFonts w:hint="eastAsia" w:ascii="宋体" w:hAnsi="宋体" w:eastAsia="宋体" w:cs="宋体"/>
                <w:color w:val="auto"/>
                <w:kern w:val="2"/>
                <w:sz w:val="21"/>
                <w:szCs w:val="21"/>
              </w:rPr>
            </w:pPr>
          </w:p>
        </w:tc>
        <w:tc>
          <w:tcPr>
            <w:tcW w:w="2229" w:type="dxa"/>
            <w:tcBorders>
              <w:top w:val="single" w:color="auto" w:sz="6" w:space="0"/>
              <w:left w:val="single" w:color="auto" w:sz="6" w:space="0"/>
              <w:bottom w:val="single" w:color="auto" w:sz="6" w:space="0"/>
              <w:right w:val="single" w:color="auto" w:sz="6" w:space="0"/>
            </w:tcBorders>
            <w:noWrap/>
            <w:vAlign w:val="center"/>
          </w:tcPr>
          <w:p w14:paraId="3DFD57A3">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干净、无蜘蛛网</w:t>
            </w:r>
          </w:p>
        </w:tc>
      </w:tr>
      <w:tr w14:paraId="6E86B5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continue"/>
            <w:tcBorders>
              <w:top w:val="single" w:color="auto" w:sz="6" w:space="0"/>
              <w:left w:val="single" w:color="auto" w:sz="6" w:space="0"/>
              <w:bottom w:val="single" w:color="auto" w:sz="6" w:space="0"/>
              <w:right w:val="single" w:color="auto" w:sz="6" w:space="0"/>
            </w:tcBorders>
            <w:noWrap/>
            <w:vAlign w:val="center"/>
          </w:tcPr>
          <w:p w14:paraId="18AE12BA">
            <w:pPr>
              <w:spacing w:line="240" w:lineRule="auto"/>
              <w:ind w:firstLine="0" w:firstLineChars="0"/>
              <w:jc w:val="center"/>
              <w:rPr>
                <w:rFonts w:hint="eastAsia" w:ascii="宋体" w:hAnsi="宋体" w:eastAsia="宋体" w:cs="宋体"/>
                <w:color w:val="auto"/>
                <w:kern w:val="2"/>
                <w:sz w:val="21"/>
                <w:szCs w:val="21"/>
              </w:rPr>
            </w:pPr>
          </w:p>
        </w:tc>
        <w:tc>
          <w:tcPr>
            <w:tcW w:w="530" w:type="dxa"/>
            <w:tcBorders>
              <w:top w:val="single" w:color="auto" w:sz="6" w:space="0"/>
              <w:left w:val="single" w:color="auto" w:sz="6" w:space="0"/>
              <w:bottom w:val="single" w:color="auto" w:sz="6" w:space="0"/>
              <w:right w:val="single" w:color="auto" w:sz="6" w:space="0"/>
            </w:tcBorders>
            <w:noWrap/>
            <w:vAlign w:val="center"/>
          </w:tcPr>
          <w:p w14:paraId="58637595">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9</w:t>
            </w:r>
          </w:p>
        </w:tc>
        <w:tc>
          <w:tcPr>
            <w:tcW w:w="1460" w:type="dxa"/>
            <w:tcBorders>
              <w:top w:val="single" w:color="auto" w:sz="6" w:space="0"/>
              <w:left w:val="single" w:color="auto" w:sz="6" w:space="0"/>
              <w:bottom w:val="single" w:color="auto" w:sz="6" w:space="0"/>
              <w:right w:val="single" w:color="auto" w:sz="6" w:space="0"/>
            </w:tcBorders>
            <w:noWrap/>
            <w:vAlign w:val="center"/>
          </w:tcPr>
          <w:p w14:paraId="708874B0">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管道设备</w:t>
            </w:r>
          </w:p>
        </w:tc>
        <w:tc>
          <w:tcPr>
            <w:tcW w:w="1156" w:type="dxa"/>
            <w:tcBorders>
              <w:top w:val="single" w:color="auto" w:sz="6" w:space="0"/>
              <w:left w:val="single" w:color="auto" w:sz="6" w:space="0"/>
              <w:bottom w:val="single" w:color="auto" w:sz="6" w:space="0"/>
              <w:right w:val="single" w:color="auto" w:sz="6" w:space="0"/>
            </w:tcBorders>
            <w:noWrap/>
            <w:vAlign w:val="center"/>
          </w:tcPr>
          <w:p w14:paraId="6FE85CBB">
            <w:pPr>
              <w:snapToGrid w:val="0"/>
              <w:spacing w:line="240" w:lineRule="auto"/>
              <w:ind w:firstLine="0" w:firstLineChars="0"/>
              <w:rPr>
                <w:rFonts w:hint="eastAsia" w:ascii="宋体" w:hAnsi="宋体" w:eastAsia="宋体" w:cs="宋体"/>
                <w:color w:val="auto"/>
                <w:kern w:val="2"/>
                <w:sz w:val="21"/>
                <w:szCs w:val="21"/>
              </w:rPr>
            </w:pPr>
          </w:p>
        </w:tc>
        <w:tc>
          <w:tcPr>
            <w:tcW w:w="1246" w:type="dxa"/>
            <w:tcBorders>
              <w:top w:val="single" w:color="auto" w:sz="6" w:space="0"/>
              <w:left w:val="single" w:color="auto" w:sz="6" w:space="0"/>
              <w:bottom w:val="single" w:color="auto" w:sz="6" w:space="0"/>
              <w:right w:val="single" w:color="auto" w:sz="6" w:space="0"/>
            </w:tcBorders>
            <w:noWrap/>
            <w:vAlign w:val="center"/>
          </w:tcPr>
          <w:p w14:paraId="793B920C">
            <w:pPr>
              <w:snapToGrid w:val="0"/>
              <w:spacing w:line="240" w:lineRule="auto"/>
              <w:ind w:firstLine="0" w:firstLineChars="0"/>
              <w:rPr>
                <w:rFonts w:hint="eastAsia" w:ascii="宋体" w:hAnsi="宋体" w:eastAsia="宋体" w:cs="宋体"/>
                <w:color w:val="auto"/>
                <w:kern w:val="2"/>
                <w:sz w:val="21"/>
                <w:szCs w:val="21"/>
              </w:rPr>
            </w:pPr>
          </w:p>
        </w:tc>
        <w:tc>
          <w:tcPr>
            <w:tcW w:w="1069" w:type="dxa"/>
            <w:tcBorders>
              <w:top w:val="single" w:color="auto" w:sz="6" w:space="0"/>
              <w:left w:val="single" w:color="auto" w:sz="6" w:space="0"/>
              <w:bottom w:val="single" w:color="auto" w:sz="6" w:space="0"/>
              <w:right w:val="single" w:color="auto" w:sz="6" w:space="0"/>
            </w:tcBorders>
            <w:noWrap/>
            <w:vAlign w:val="center"/>
          </w:tcPr>
          <w:p w14:paraId="17D39D43">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除尘一次</w:t>
            </w:r>
          </w:p>
        </w:tc>
        <w:tc>
          <w:tcPr>
            <w:tcW w:w="890" w:type="dxa"/>
            <w:tcBorders>
              <w:top w:val="single" w:color="auto" w:sz="6" w:space="0"/>
              <w:left w:val="single" w:color="auto" w:sz="6" w:space="0"/>
              <w:bottom w:val="single" w:color="auto" w:sz="6" w:space="0"/>
              <w:right w:val="single" w:color="auto" w:sz="6" w:space="0"/>
            </w:tcBorders>
            <w:noWrap/>
            <w:vAlign w:val="center"/>
          </w:tcPr>
          <w:p w14:paraId="35980BFA">
            <w:pPr>
              <w:snapToGrid w:val="0"/>
              <w:spacing w:line="240" w:lineRule="auto"/>
              <w:ind w:firstLine="0" w:firstLineChars="0"/>
              <w:rPr>
                <w:rFonts w:hint="eastAsia" w:ascii="宋体" w:hAnsi="宋体" w:eastAsia="宋体" w:cs="宋体"/>
                <w:color w:val="auto"/>
                <w:kern w:val="2"/>
                <w:sz w:val="21"/>
                <w:szCs w:val="21"/>
              </w:rPr>
            </w:pPr>
          </w:p>
        </w:tc>
        <w:tc>
          <w:tcPr>
            <w:tcW w:w="2229" w:type="dxa"/>
            <w:tcBorders>
              <w:top w:val="single" w:color="auto" w:sz="6" w:space="0"/>
              <w:left w:val="single" w:color="auto" w:sz="6" w:space="0"/>
              <w:bottom w:val="single" w:color="auto" w:sz="6" w:space="0"/>
              <w:right w:val="single" w:color="auto" w:sz="6" w:space="0"/>
            </w:tcBorders>
            <w:noWrap/>
            <w:vAlign w:val="center"/>
          </w:tcPr>
          <w:p w14:paraId="3A691B51">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无灰尘</w:t>
            </w:r>
          </w:p>
        </w:tc>
      </w:tr>
      <w:tr w14:paraId="787839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continue"/>
            <w:tcBorders>
              <w:top w:val="single" w:color="auto" w:sz="6" w:space="0"/>
              <w:left w:val="single" w:color="auto" w:sz="6" w:space="0"/>
              <w:bottom w:val="single" w:color="auto" w:sz="6" w:space="0"/>
              <w:right w:val="single" w:color="auto" w:sz="6" w:space="0"/>
            </w:tcBorders>
            <w:noWrap/>
            <w:vAlign w:val="center"/>
          </w:tcPr>
          <w:p w14:paraId="50CA3ED0">
            <w:pPr>
              <w:spacing w:line="240" w:lineRule="auto"/>
              <w:ind w:firstLine="0" w:firstLineChars="0"/>
              <w:jc w:val="center"/>
              <w:rPr>
                <w:rFonts w:hint="eastAsia" w:ascii="宋体" w:hAnsi="宋体" w:eastAsia="宋体" w:cs="宋体"/>
                <w:color w:val="auto"/>
                <w:kern w:val="2"/>
                <w:sz w:val="21"/>
                <w:szCs w:val="21"/>
              </w:rPr>
            </w:pPr>
          </w:p>
        </w:tc>
        <w:tc>
          <w:tcPr>
            <w:tcW w:w="530" w:type="dxa"/>
            <w:tcBorders>
              <w:top w:val="single" w:color="auto" w:sz="6" w:space="0"/>
              <w:left w:val="single" w:color="auto" w:sz="6" w:space="0"/>
              <w:bottom w:val="single" w:color="auto" w:sz="6" w:space="0"/>
              <w:right w:val="single" w:color="auto" w:sz="6" w:space="0"/>
            </w:tcBorders>
            <w:noWrap/>
            <w:vAlign w:val="center"/>
          </w:tcPr>
          <w:p w14:paraId="46BFA2D2">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10</w:t>
            </w:r>
          </w:p>
        </w:tc>
        <w:tc>
          <w:tcPr>
            <w:tcW w:w="1460" w:type="dxa"/>
            <w:tcBorders>
              <w:top w:val="single" w:color="auto" w:sz="6" w:space="0"/>
              <w:left w:val="single" w:color="auto" w:sz="6" w:space="0"/>
              <w:bottom w:val="single" w:color="auto" w:sz="6" w:space="0"/>
              <w:right w:val="single" w:color="auto" w:sz="6" w:space="0"/>
            </w:tcBorders>
            <w:noWrap/>
            <w:vAlign w:val="center"/>
          </w:tcPr>
          <w:p w14:paraId="1CB427BF">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防火门</w:t>
            </w:r>
          </w:p>
        </w:tc>
        <w:tc>
          <w:tcPr>
            <w:tcW w:w="1156" w:type="dxa"/>
            <w:tcBorders>
              <w:top w:val="single" w:color="auto" w:sz="6" w:space="0"/>
              <w:left w:val="single" w:color="auto" w:sz="6" w:space="0"/>
              <w:bottom w:val="single" w:color="auto" w:sz="6" w:space="0"/>
              <w:right w:val="single" w:color="auto" w:sz="6" w:space="0"/>
            </w:tcBorders>
            <w:noWrap/>
            <w:vAlign w:val="center"/>
          </w:tcPr>
          <w:p w14:paraId="32034CCE">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清抹一次</w:t>
            </w:r>
          </w:p>
        </w:tc>
        <w:tc>
          <w:tcPr>
            <w:tcW w:w="1246" w:type="dxa"/>
            <w:tcBorders>
              <w:top w:val="single" w:color="auto" w:sz="6" w:space="0"/>
              <w:left w:val="single" w:color="auto" w:sz="6" w:space="0"/>
              <w:bottom w:val="single" w:color="auto" w:sz="6" w:space="0"/>
              <w:right w:val="single" w:color="auto" w:sz="6" w:space="0"/>
            </w:tcBorders>
            <w:noWrap/>
            <w:vAlign w:val="center"/>
          </w:tcPr>
          <w:p w14:paraId="58FCA5BF">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用清洁剂清抹一次</w:t>
            </w:r>
          </w:p>
        </w:tc>
        <w:tc>
          <w:tcPr>
            <w:tcW w:w="1069" w:type="dxa"/>
            <w:tcBorders>
              <w:top w:val="single" w:color="auto" w:sz="6" w:space="0"/>
              <w:left w:val="single" w:color="auto" w:sz="6" w:space="0"/>
              <w:bottom w:val="single" w:color="auto" w:sz="6" w:space="0"/>
              <w:right w:val="single" w:color="auto" w:sz="6" w:space="0"/>
            </w:tcBorders>
            <w:noWrap/>
            <w:vAlign w:val="center"/>
          </w:tcPr>
          <w:p w14:paraId="2FEE47E5">
            <w:pPr>
              <w:snapToGrid w:val="0"/>
              <w:spacing w:line="240" w:lineRule="auto"/>
              <w:ind w:firstLine="0" w:firstLineChars="0"/>
              <w:rPr>
                <w:rFonts w:hint="eastAsia" w:ascii="宋体" w:hAnsi="宋体" w:eastAsia="宋体" w:cs="宋体"/>
                <w:color w:val="auto"/>
                <w:kern w:val="2"/>
                <w:sz w:val="21"/>
                <w:szCs w:val="21"/>
              </w:rPr>
            </w:pPr>
          </w:p>
        </w:tc>
        <w:tc>
          <w:tcPr>
            <w:tcW w:w="890" w:type="dxa"/>
            <w:tcBorders>
              <w:top w:val="single" w:color="auto" w:sz="6" w:space="0"/>
              <w:left w:val="single" w:color="auto" w:sz="6" w:space="0"/>
              <w:bottom w:val="single" w:color="auto" w:sz="6" w:space="0"/>
              <w:right w:val="single" w:color="auto" w:sz="6" w:space="0"/>
            </w:tcBorders>
            <w:noWrap/>
            <w:vAlign w:val="center"/>
          </w:tcPr>
          <w:p w14:paraId="08E65B57">
            <w:pPr>
              <w:snapToGrid w:val="0"/>
              <w:spacing w:line="240" w:lineRule="auto"/>
              <w:ind w:firstLine="0" w:firstLineChars="0"/>
              <w:rPr>
                <w:rFonts w:hint="eastAsia" w:ascii="宋体" w:hAnsi="宋体" w:eastAsia="宋体" w:cs="宋体"/>
                <w:color w:val="auto"/>
                <w:kern w:val="2"/>
                <w:sz w:val="21"/>
                <w:szCs w:val="21"/>
              </w:rPr>
            </w:pPr>
          </w:p>
        </w:tc>
        <w:tc>
          <w:tcPr>
            <w:tcW w:w="2229" w:type="dxa"/>
            <w:tcBorders>
              <w:top w:val="single" w:color="auto" w:sz="6" w:space="0"/>
              <w:left w:val="single" w:color="auto" w:sz="6" w:space="0"/>
              <w:bottom w:val="single" w:color="auto" w:sz="6" w:space="0"/>
              <w:right w:val="single" w:color="auto" w:sz="6" w:space="0"/>
            </w:tcBorders>
            <w:noWrap/>
            <w:vAlign w:val="center"/>
          </w:tcPr>
          <w:p w14:paraId="17E2A529">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干净、无污渍</w:t>
            </w:r>
          </w:p>
        </w:tc>
      </w:tr>
      <w:tr w14:paraId="3F93F3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continue"/>
            <w:tcBorders>
              <w:top w:val="single" w:color="auto" w:sz="6" w:space="0"/>
              <w:left w:val="single" w:color="auto" w:sz="6" w:space="0"/>
              <w:bottom w:val="single" w:color="auto" w:sz="6" w:space="0"/>
              <w:right w:val="single" w:color="auto" w:sz="6" w:space="0"/>
            </w:tcBorders>
            <w:noWrap/>
            <w:vAlign w:val="center"/>
          </w:tcPr>
          <w:p w14:paraId="43DC15A5">
            <w:pPr>
              <w:spacing w:line="240" w:lineRule="auto"/>
              <w:ind w:firstLine="0" w:firstLineChars="0"/>
              <w:jc w:val="center"/>
              <w:rPr>
                <w:rFonts w:hint="eastAsia" w:ascii="宋体" w:hAnsi="宋体" w:eastAsia="宋体" w:cs="宋体"/>
                <w:color w:val="auto"/>
                <w:kern w:val="2"/>
                <w:sz w:val="21"/>
                <w:szCs w:val="21"/>
              </w:rPr>
            </w:pPr>
          </w:p>
        </w:tc>
        <w:tc>
          <w:tcPr>
            <w:tcW w:w="530" w:type="dxa"/>
            <w:tcBorders>
              <w:top w:val="single" w:color="auto" w:sz="6" w:space="0"/>
              <w:left w:val="single" w:color="auto" w:sz="6" w:space="0"/>
              <w:bottom w:val="single" w:color="auto" w:sz="6" w:space="0"/>
              <w:right w:val="single" w:color="auto" w:sz="6" w:space="0"/>
            </w:tcBorders>
            <w:noWrap/>
            <w:vAlign w:val="center"/>
          </w:tcPr>
          <w:p w14:paraId="14BA8A19">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11</w:t>
            </w:r>
          </w:p>
        </w:tc>
        <w:tc>
          <w:tcPr>
            <w:tcW w:w="1460" w:type="dxa"/>
            <w:tcBorders>
              <w:top w:val="single" w:color="auto" w:sz="6" w:space="0"/>
              <w:left w:val="single" w:color="auto" w:sz="6" w:space="0"/>
              <w:bottom w:val="single" w:color="auto" w:sz="6" w:space="0"/>
              <w:right w:val="single" w:color="auto" w:sz="6" w:space="0"/>
            </w:tcBorders>
            <w:noWrap/>
            <w:vAlign w:val="center"/>
          </w:tcPr>
          <w:p w14:paraId="2A42648B">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卫生间</w:t>
            </w:r>
          </w:p>
        </w:tc>
        <w:tc>
          <w:tcPr>
            <w:tcW w:w="1156" w:type="dxa"/>
            <w:tcBorders>
              <w:top w:val="single" w:color="auto" w:sz="6" w:space="0"/>
              <w:left w:val="single" w:color="auto" w:sz="6" w:space="0"/>
              <w:bottom w:val="single" w:color="auto" w:sz="6" w:space="0"/>
              <w:right w:val="single" w:color="auto" w:sz="6" w:space="0"/>
            </w:tcBorders>
            <w:noWrap/>
            <w:vAlign w:val="center"/>
          </w:tcPr>
          <w:p w14:paraId="21F5499C">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每小时清拖一次，冲洗若干次</w:t>
            </w:r>
          </w:p>
        </w:tc>
        <w:tc>
          <w:tcPr>
            <w:tcW w:w="1246" w:type="dxa"/>
            <w:tcBorders>
              <w:top w:val="single" w:color="auto" w:sz="6" w:space="0"/>
              <w:left w:val="single" w:color="auto" w:sz="6" w:space="0"/>
              <w:bottom w:val="single" w:color="auto" w:sz="6" w:space="0"/>
              <w:right w:val="single" w:color="auto" w:sz="6" w:space="0"/>
            </w:tcBorders>
            <w:noWrap/>
            <w:vAlign w:val="center"/>
          </w:tcPr>
          <w:p w14:paraId="48BE2A87">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用清洁剂清洗三次</w:t>
            </w:r>
          </w:p>
        </w:tc>
        <w:tc>
          <w:tcPr>
            <w:tcW w:w="1069" w:type="dxa"/>
            <w:tcBorders>
              <w:top w:val="single" w:color="auto" w:sz="6" w:space="0"/>
              <w:left w:val="single" w:color="auto" w:sz="6" w:space="0"/>
              <w:bottom w:val="single" w:color="auto" w:sz="6" w:space="0"/>
              <w:right w:val="single" w:color="auto" w:sz="6" w:space="0"/>
            </w:tcBorders>
            <w:noWrap/>
            <w:vAlign w:val="center"/>
          </w:tcPr>
          <w:p w14:paraId="19F824B0">
            <w:pPr>
              <w:snapToGrid w:val="0"/>
              <w:spacing w:line="240" w:lineRule="auto"/>
              <w:ind w:firstLine="0" w:firstLineChars="0"/>
              <w:rPr>
                <w:rFonts w:hint="eastAsia" w:ascii="宋体" w:hAnsi="宋体" w:eastAsia="宋体" w:cs="宋体"/>
                <w:color w:val="auto"/>
                <w:kern w:val="2"/>
                <w:sz w:val="21"/>
                <w:szCs w:val="21"/>
              </w:rPr>
            </w:pPr>
          </w:p>
        </w:tc>
        <w:tc>
          <w:tcPr>
            <w:tcW w:w="890" w:type="dxa"/>
            <w:tcBorders>
              <w:top w:val="single" w:color="auto" w:sz="6" w:space="0"/>
              <w:left w:val="single" w:color="auto" w:sz="6" w:space="0"/>
              <w:bottom w:val="single" w:color="auto" w:sz="6" w:space="0"/>
              <w:right w:val="single" w:color="auto" w:sz="6" w:space="0"/>
            </w:tcBorders>
            <w:noWrap/>
            <w:vAlign w:val="center"/>
          </w:tcPr>
          <w:p w14:paraId="48905FCC">
            <w:pPr>
              <w:snapToGrid w:val="0"/>
              <w:spacing w:line="240" w:lineRule="auto"/>
              <w:ind w:firstLine="0" w:firstLineChars="0"/>
              <w:rPr>
                <w:rFonts w:hint="eastAsia" w:ascii="宋体" w:hAnsi="宋体" w:eastAsia="宋体" w:cs="宋体"/>
                <w:color w:val="auto"/>
                <w:kern w:val="2"/>
                <w:sz w:val="21"/>
                <w:szCs w:val="21"/>
              </w:rPr>
            </w:pPr>
          </w:p>
        </w:tc>
        <w:tc>
          <w:tcPr>
            <w:tcW w:w="2229" w:type="dxa"/>
            <w:tcBorders>
              <w:top w:val="single" w:color="auto" w:sz="6" w:space="0"/>
              <w:left w:val="single" w:color="auto" w:sz="6" w:space="0"/>
              <w:bottom w:val="single" w:color="auto" w:sz="6" w:space="0"/>
              <w:right w:val="single" w:color="auto" w:sz="6" w:space="0"/>
            </w:tcBorders>
            <w:noWrap/>
            <w:vAlign w:val="center"/>
          </w:tcPr>
          <w:p w14:paraId="7A3ED247">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干净、无臭、无污水</w:t>
            </w:r>
          </w:p>
        </w:tc>
      </w:tr>
      <w:tr w14:paraId="021CCD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restart"/>
            <w:tcBorders>
              <w:top w:val="single" w:color="auto" w:sz="6" w:space="0"/>
              <w:left w:val="single" w:color="auto" w:sz="6" w:space="0"/>
              <w:bottom w:val="single" w:color="auto" w:sz="6" w:space="0"/>
              <w:right w:val="single" w:color="auto" w:sz="6" w:space="0"/>
            </w:tcBorders>
            <w:noWrap/>
            <w:vAlign w:val="center"/>
          </w:tcPr>
          <w:p w14:paraId="2E5612D2">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室</w:t>
            </w:r>
          </w:p>
          <w:p w14:paraId="0ECE7C7D">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内</w:t>
            </w:r>
          </w:p>
          <w:p w14:paraId="6BB215D8">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公</w:t>
            </w:r>
          </w:p>
          <w:p w14:paraId="1D28699B">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区</w:t>
            </w:r>
          </w:p>
        </w:tc>
        <w:tc>
          <w:tcPr>
            <w:tcW w:w="530" w:type="dxa"/>
            <w:tcBorders>
              <w:top w:val="single" w:color="auto" w:sz="6" w:space="0"/>
              <w:left w:val="single" w:color="auto" w:sz="6" w:space="0"/>
              <w:bottom w:val="single" w:color="auto" w:sz="6" w:space="0"/>
              <w:right w:val="single" w:color="auto" w:sz="6" w:space="0"/>
            </w:tcBorders>
            <w:noWrap/>
            <w:vAlign w:val="center"/>
          </w:tcPr>
          <w:p w14:paraId="4FA1FCA2">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p>
        </w:tc>
        <w:tc>
          <w:tcPr>
            <w:tcW w:w="1460" w:type="dxa"/>
            <w:tcBorders>
              <w:top w:val="single" w:color="auto" w:sz="6" w:space="0"/>
              <w:left w:val="single" w:color="auto" w:sz="6" w:space="0"/>
              <w:bottom w:val="single" w:color="auto" w:sz="6" w:space="0"/>
              <w:right w:val="single" w:color="auto" w:sz="6" w:space="0"/>
            </w:tcBorders>
            <w:noWrap/>
            <w:vAlign w:val="center"/>
          </w:tcPr>
          <w:p w14:paraId="0A618A8A">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地面</w:t>
            </w:r>
          </w:p>
        </w:tc>
        <w:tc>
          <w:tcPr>
            <w:tcW w:w="1156" w:type="dxa"/>
            <w:tcBorders>
              <w:top w:val="single" w:color="auto" w:sz="6" w:space="0"/>
              <w:left w:val="single" w:color="auto" w:sz="6" w:space="0"/>
              <w:bottom w:val="single" w:color="auto" w:sz="6" w:space="0"/>
              <w:right w:val="single" w:color="auto" w:sz="6" w:space="0"/>
            </w:tcBorders>
            <w:noWrap/>
            <w:vAlign w:val="center"/>
          </w:tcPr>
          <w:p w14:paraId="1716F120">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瓷片地面：清拖二次，每季打蜡一次。</w:t>
            </w:r>
          </w:p>
        </w:tc>
        <w:tc>
          <w:tcPr>
            <w:tcW w:w="1246" w:type="dxa"/>
            <w:tcBorders>
              <w:top w:val="single" w:color="auto" w:sz="6" w:space="0"/>
              <w:left w:val="single" w:color="auto" w:sz="6" w:space="0"/>
              <w:bottom w:val="single" w:color="auto" w:sz="6" w:space="0"/>
              <w:right w:val="single" w:color="auto" w:sz="6" w:space="0"/>
            </w:tcBorders>
            <w:noWrap/>
            <w:vAlign w:val="center"/>
          </w:tcPr>
          <w:p w14:paraId="5E2986C9">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地毯每周吸尘二次</w:t>
            </w:r>
          </w:p>
        </w:tc>
        <w:tc>
          <w:tcPr>
            <w:tcW w:w="1069" w:type="dxa"/>
            <w:tcBorders>
              <w:top w:val="single" w:color="auto" w:sz="6" w:space="0"/>
              <w:left w:val="single" w:color="auto" w:sz="6" w:space="0"/>
              <w:bottom w:val="single" w:color="auto" w:sz="6" w:space="0"/>
              <w:right w:val="single" w:color="auto" w:sz="6" w:space="0"/>
            </w:tcBorders>
            <w:noWrap/>
            <w:vAlign w:val="center"/>
          </w:tcPr>
          <w:p w14:paraId="50859989">
            <w:pPr>
              <w:snapToGrid w:val="0"/>
              <w:spacing w:line="240" w:lineRule="auto"/>
              <w:ind w:firstLine="0" w:firstLineChars="0"/>
              <w:rPr>
                <w:rFonts w:hint="eastAsia" w:ascii="宋体" w:hAnsi="宋体" w:eastAsia="宋体" w:cs="宋体"/>
                <w:color w:val="auto"/>
                <w:kern w:val="2"/>
                <w:sz w:val="21"/>
                <w:szCs w:val="21"/>
              </w:rPr>
            </w:pPr>
          </w:p>
        </w:tc>
        <w:tc>
          <w:tcPr>
            <w:tcW w:w="890" w:type="dxa"/>
            <w:tcBorders>
              <w:top w:val="single" w:color="auto" w:sz="6" w:space="0"/>
              <w:left w:val="single" w:color="auto" w:sz="6" w:space="0"/>
              <w:bottom w:val="single" w:color="auto" w:sz="6" w:space="0"/>
              <w:right w:val="single" w:color="auto" w:sz="6" w:space="0"/>
            </w:tcBorders>
            <w:noWrap/>
            <w:vAlign w:val="center"/>
          </w:tcPr>
          <w:p w14:paraId="5DFD4AD3">
            <w:pPr>
              <w:snapToGrid w:val="0"/>
              <w:spacing w:line="240" w:lineRule="auto"/>
              <w:ind w:firstLine="0" w:firstLineChars="0"/>
              <w:rPr>
                <w:rFonts w:hint="eastAsia" w:ascii="宋体" w:hAnsi="宋体" w:eastAsia="宋体" w:cs="宋体"/>
                <w:color w:val="auto"/>
                <w:kern w:val="2"/>
                <w:sz w:val="21"/>
                <w:szCs w:val="21"/>
              </w:rPr>
            </w:pPr>
          </w:p>
        </w:tc>
        <w:tc>
          <w:tcPr>
            <w:tcW w:w="2229" w:type="dxa"/>
            <w:tcBorders>
              <w:top w:val="single" w:color="auto" w:sz="6" w:space="0"/>
              <w:left w:val="single" w:color="auto" w:sz="6" w:space="0"/>
              <w:bottom w:val="single" w:color="auto" w:sz="6" w:space="0"/>
              <w:right w:val="single" w:color="auto" w:sz="6" w:space="0"/>
            </w:tcBorders>
            <w:noWrap/>
            <w:vAlign w:val="center"/>
          </w:tcPr>
          <w:p w14:paraId="01CCB646">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无杂物、无污渍、无水渍</w:t>
            </w:r>
          </w:p>
          <w:p w14:paraId="311DC992">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光亮度90以上。</w:t>
            </w:r>
          </w:p>
        </w:tc>
      </w:tr>
      <w:tr w14:paraId="167588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continue"/>
            <w:tcBorders>
              <w:top w:val="single" w:color="auto" w:sz="6" w:space="0"/>
              <w:left w:val="single" w:color="auto" w:sz="6" w:space="0"/>
              <w:bottom w:val="single" w:color="auto" w:sz="6" w:space="0"/>
              <w:right w:val="single" w:color="auto" w:sz="6" w:space="0"/>
            </w:tcBorders>
            <w:noWrap/>
            <w:vAlign w:val="center"/>
          </w:tcPr>
          <w:p w14:paraId="5C2D97EE">
            <w:pPr>
              <w:spacing w:line="240" w:lineRule="auto"/>
              <w:ind w:firstLine="0" w:firstLineChars="0"/>
              <w:jc w:val="center"/>
              <w:rPr>
                <w:rFonts w:hint="eastAsia" w:ascii="宋体" w:hAnsi="宋体" w:eastAsia="宋体" w:cs="宋体"/>
                <w:color w:val="auto"/>
                <w:kern w:val="2"/>
                <w:sz w:val="21"/>
                <w:szCs w:val="21"/>
              </w:rPr>
            </w:pPr>
          </w:p>
        </w:tc>
        <w:tc>
          <w:tcPr>
            <w:tcW w:w="530" w:type="dxa"/>
            <w:tcBorders>
              <w:top w:val="single" w:color="auto" w:sz="6" w:space="0"/>
              <w:left w:val="single" w:color="auto" w:sz="6" w:space="0"/>
              <w:bottom w:val="single" w:color="auto" w:sz="6" w:space="0"/>
              <w:right w:val="single" w:color="auto" w:sz="6" w:space="0"/>
            </w:tcBorders>
            <w:noWrap/>
            <w:vAlign w:val="center"/>
          </w:tcPr>
          <w:p w14:paraId="64F41781">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w:t>
            </w:r>
          </w:p>
        </w:tc>
        <w:tc>
          <w:tcPr>
            <w:tcW w:w="1460" w:type="dxa"/>
            <w:tcBorders>
              <w:top w:val="single" w:color="auto" w:sz="6" w:space="0"/>
              <w:left w:val="single" w:color="auto" w:sz="6" w:space="0"/>
              <w:bottom w:val="single" w:color="auto" w:sz="6" w:space="0"/>
              <w:right w:val="single" w:color="auto" w:sz="6" w:space="0"/>
            </w:tcBorders>
            <w:noWrap/>
            <w:vAlign w:val="center"/>
          </w:tcPr>
          <w:p w14:paraId="4DE3A7C4">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墙面</w:t>
            </w:r>
          </w:p>
        </w:tc>
        <w:tc>
          <w:tcPr>
            <w:tcW w:w="1156" w:type="dxa"/>
            <w:tcBorders>
              <w:top w:val="single" w:color="auto" w:sz="6" w:space="0"/>
              <w:left w:val="single" w:color="auto" w:sz="6" w:space="0"/>
              <w:bottom w:val="single" w:color="auto" w:sz="6" w:space="0"/>
              <w:right w:val="single" w:color="auto" w:sz="6" w:space="0"/>
            </w:tcBorders>
            <w:noWrap/>
            <w:vAlign w:val="center"/>
          </w:tcPr>
          <w:p w14:paraId="55B5FD52">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随时保持清洁</w:t>
            </w:r>
          </w:p>
        </w:tc>
        <w:tc>
          <w:tcPr>
            <w:tcW w:w="1246" w:type="dxa"/>
            <w:tcBorders>
              <w:top w:val="single" w:color="auto" w:sz="6" w:space="0"/>
              <w:left w:val="single" w:color="auto" w:sz="6" w:space="0"/>
              <w:bottom w:val="single" w:color="auto" w:sz="6" w:space="0"/>
              <w:right w:val="single" w:color="auto" w:sz="6" w:space="0"/>
            </w:tcBorders>
            <w:noWrap/>
            <w:vAlign w:val="center"/>
          </w:tcPr>
          <w:p w14:paraId="4E42BBE6">
            <w:pPr>
              <w:snapToGrid w:val="0"/>
              <w:spacing w:line="240" w:lineRule="auto"/>
              <w:ind w:firstLine="0" w:firstLineChars="0"/>
              <w:rPr>
                <w:rFonts w:hint="eastAsia" w:ascii="宋体" w:hAnsi="宋体" w:eastAsia="宋体" w:cs="宋体"/>
                <w:color w:val="auto"/>
                <w:kern w:val="2"/>
                <w:sz w:val="21"/>
                <w:szCs w:val="21"/>
              </w:rPr>
            </w:pPr>
          </w:p>
        </w:tc>
        <w:tc>
          <w:tcPr>
            <w:tcW w:w="1069" w:type="dxa"/>
            <w:tcBorders>
              <w:top w:val="single" w:color="auto" w:sz="6" w:space="0"/>
              <w:left w:val="single" w:color="auto" w:sz="6" w:space="0"/>
              <w:bottom w:val="single" w:color="auto" w:sz="6" w:space="0"/>
              <w:right w:val="single" w:color="auto" w:sz="6" w:space="0"/>
            </w:tcBorders>
            <w:noWrap/>
            <w:vAlign w:val="center"/>
          </w:tcPr>
          <w:p w14:paraId="77657335">
            <w:pPr>
              <w:snapToGrid w:val="0"/>
              <w:spacing w:line="240" w:lineRule="auto"/>
              <w:ind w:firstLine="0" w:firstLineChars="0"/>
              <w:rPr>
                <w:rFonts w:hint="eastAsia" w:ascii="宋体" w:hAnsi="宋体" w:eastAsia="宋体" w:cs="宋体"/>
                <w:color w:val="auto"/>
                <w:kern w:val="2"/>
                <w:sz w:val="21"/>
                <w:szCs w:val="21"/>
              </w:rPr>
            </w:pPr>
          </w:p>
        </w:tc>
        <w:tc>
          <w:tcPr>
            <w:tcW w:w="890" w:type="dxa"/>
            <w:tcBorders>
              <w:top w:val="single" w:color="auto" w:sz="6" w:space="0"/>
              <w:left w:val="single" w:color="auto" w:sz="6" w:space="0"/>
              <w:bottom w:val="single" w:color="auto" w:sz="6" w:space="0"/>
              <w:right w:val="single" w:color="auto" w:sz="6" w:space="0"/>
            </w:tcBorders>
            <w:noWrap/>
            <w:vAlign w:val="center"/>
          </w:tcPr>
          <w:p w14:paraId="1CC7105F">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全面清扫一次</w:t>
            </w:r>
          </w:p>
        </w:tc>
        <w:tc>
          <w:tcPr>
            <w:tcW w:w="2229" w:type="dxa"/>
            <w:tcBorders>
              <w:top w:val="single" w:color="auto" w:sz="6" w:space="0"/>
              <w:left w:val="single" w:color="auto" w:sz="6" w:space="0"/>
              <w:bottom w:val="single" w:color="auto" w:sz="6" w:space="0"/>
              <w:right w:val="single" w:color="auto" w:sz="6" w:space="0"/>
            </w:tcBorders>
            <w:noWrap/>
            <w:vAlign w:val="center"/>
          </w:tcPr>
          <w:p w14:paraId="76A26913">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无污渍、无灰尘、无蜘蛛网。</w:t>
            </w:r>
          </w:p>
        </w:tc>
      </w:tr>
      <w:tr w14:paraId="0CDAB6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continue"/>
            <w:tcBorders>
              <w:top w:val="single" w:color="auto" w:sz="6" w:space="0"/>
              <w:left w:val="single" w:color="auto" w:sz="6" w:space="0"/>
              <w:bottom w:val="single" w:color="auto" w:sz="6" w:space="0"/>
              <w:right w:val="single" w:color="auto" w:sz="6" w:space="0"/>
            </w:tcBorders>
            <w:noWrap/>
            <w:vAlign w:val="center"/>
          </w:tcPr>
          <w:p w14:paraId="7D30700A">
            <w:pPr>
              <w:spacing w:line="240" w:lineRule="auto"/>
              <w:ind w:firstLine="0" w:firstLineChars="0"/>
              <w:jc w:val="center"/>
              <w:rPr>
                <w:rFonts w:hint="eastAsia" w:ascii="宋体" w:hAnsi="宋体" w:eastAsia="宋体" w:cs="宋体"/>
                <w:color w:val="auto"/>
                <w:kern w:val="2"/>
                <w:sz w:val="21"/>
                <w:szCs w:val="21"/>
              </w:rPr>
            </w:pPr>
          </w:p>
        </w:tc>
        <w:tc>
          <w:tcPr>
            <w:tcW w:w="530" w:type="dxa"/>
            <w:tcBorders>
              <w:top w:val="single" w:color="auto" w:sz="6" w:space="0"/>
              <w:left w:val="single" w:color="auto" w:sz="6" w:space="0"/>
              <w:bottom w:val="single" w:color="auto" w:sz="6" w:space="0"/>
              <w:right w:val="single" w:color="auto" w:sz="6" w:space="0"/>
            </w:tcBorders>
            <w:noWrap/>
            <w:vAlign w:val="center"/>
          </w:tcPr>
          <w:p w14:paraId="4974BAD9">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w:t>
            </w:r>
          </w:p>
        </w:tc>
        <w:tc>
          <w:tcPr>
            <w:tcW w:w="1460" w:type="dxa"/>
            <w:tcBorders>
              <w:top w:val="single" w:color="auto" w:sz="6" w:space="0"/>
              <w:left w:val="single" w:color="auto" w:sz="6" w:space="0"/>
              <w:bottom w:val="single" w:color="auto" w:sz="6" w:space="0"/>
              <w:right w:val="single" w:color="auto" w:sz="6" w:space="0"/>
            </w:tcBorders>
            <w:noWrap/>
            <w:vAlign w:val="center"/>
          </w:tcPr>
          <w:p w14:paraId="44CCDDF8">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门、窗</w:t>
            </w:r>
          </w:p>
        </w:tc>
        <w:tc>
          <w:tcPr>
            <w:tcW w:w="1156" w:type="dxa"/>
            <w:tcBorders>
              <w:top w:val="single" w:color="auto" w:sz="6" w:space="0"/>
              <w:left w:val="single" w:color="auto" w:sz="6" w:space="0"/>
              <w:bottom w:val="single" w:color="auto" w:sz="6" w:space="0"/>
              <w:right w:val="single" w:color="auto" w:sz="6" w:space="0"/>
            </w:tcBorders>
            <w:noWrap/>
            <w:vAlign w:val="center"/>
          </w:tcPr>
          <w:p w14:paraId="2A991117">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清抹一次</w:t>
            </w:r>
          </w:p>
        </w:tc>
        <w:tc>
          <w:tcPr>
            <w:tcW w:w="1246" w:type="dxa"/>
            <w:tcBorders>
              <w:top w:val="single" w:color="auto" w:sz="6" w:space="0"/>
              <w:left w:val="single" w:color="auto" w:sz="6" w:space="0"/>
              <w:bottom w:val="single" w:color="auto" w:sz="6" w:space="0"/>
              <w:right w:val="single" w:color="auto" w:sz="6" w:space="0"/>
            </w:tcBorders>
            <w:noWrap/>
            <w:vAlign w:val="center"/>
          </w:tcPr>
          <w:p w14:paraId="26454188">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用清洁剂清抹一次</w:t>
            </w:r>
          </w:p>
        </w:tc>
        <w:tc>
          <w:tcPr>
            <w:tcW w:w="1069" w:type="dxa"/>
            <w:tcBorders>
              <w:top w:val="single" w:color="auto" w:sz="6" w:space="0"/>
              <w:left w:val="single" w:color="auto" w:sz="6" w:space="0"/>
              <w:bottom w:val="single" w:color="auto" w:sz="6" w:space="0"/>
              <w:right w:val="single" w:color="auto" w:sz="6" w:space="0"/>
            </w:tcBorders>
            <w:noWrap/>
            <w:vAlign w:val="center"/>
          </w:tcPr>
          <w:p w14:paraId="6DA12B4F">
            <w:pPr>
              <w:snapToGrid w:val="0"/>
              <w:spacing w:line="240" w:lineRule="auto"/>
              <w:ind w:firstLine="0" w:firstLineChars="0"/>
              <w:rPr>
                <w:rFonts w:hint="eastAsia" w:ascii="宋体" w:hAnsi="宋体" w:eastAsia="宋体" w:cs="宋体"/>
                <w:color w:val="auto"/>
                <w:kern w:val="2"/>
                <w:sz w:val="21"/>
                <w:szCs w:val="21"/>
              </w:rPr>
            </w:pPr>
          </w:p>
        </w:tc>
        <w:tc>
          <w:tcPr>
            <w:tcW w:w="890" w:type="dxa"/>
            <w:tcBorders>
              <w:top w:val="single" w:color="auto" w:sz="6" w:space="0"/>
              <w:left w:val="single" w:color="auto" w:sz="6" w:space="0"/>
              <w:bottom w:val="single" w:color="auto" w:sz="6" w:space="0"/>
              <w:right w:val="single" w:color="auto" w:sz="6" w:space="0"/>
            </w:tcBorders>
            <w:noWrap/>
            <w:vAlign w:val="center"/>
          </w:tcPr>
          <w:p w14:paraId="4838622A">
            <w:pPr>
              <w:snapToGrid w:val="0"/>
              <w:spacing w:line="240" w:lineRule="auto"/>
              <w:ind w:firstLine="0" w:firstLineChars="0"/>
              <w:rPr>
                <w:rFonts w:hint="eastAsia" w:ascii="宋体" w:hAnsi="宋体" w:eastAsia="宋体" w:cs="宋体"/>
                <w:color w:val="auto"/>
                <w:kern w:val="2"/>
                <w:sz w:val="21"/>
                <w:szCs w:val="21"/>
              </w:rPr>
            </w:pPr>
          </w:p>
        </w:tc>
        <w:tc>
          <w:tcPr>
            <w:tcW w:w="2229" w:type="dxa"/>
            <w:tcBorders>
              <w:top w:val="single" w:color="auto" w:sz="6" w:space="0"/>
              <w:left w:val="single" w:color="auto" w:sz="6" w:space="0"/>
              <w:bottom w:val="single" w:color="auto" w:sz="6" w:space="0"/>
              <w:right w:val="single" w:color="auto" w:sz="6" w:space="0"/>
            </w:tcBorders>
            <w:noWrap/>
            <w:vAlign w:val="center"/>
          </w:tcPr>
          <w:p w14:paraId="23547F1C">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无尘、无污渍</w:t>
            </w:r>
          </w:p>
        </w:tc>
      </w:tr>
      <w:tr w14:paraId="7EF9BA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continue"/>
            <w:tcBorders>
              <w:top w:val="single" w:color="auto" w:sz="6" w:space="0"/>
              <w:left w:val="single" w:color="auto" w:sz="6" w:space="0"/>
              <w:bottom w:val="single" w:color="auto" w:sz="6" w:space="0"/>
              <w:right w:val="single" w:color="auto" w:sz="6" w:space="0"/>
            </w:tcBorders>
            <w:noWrap/>
            <w:vAlign w:val="center"/>
          </w:tcPr>
          <w:p w14:paraId="609854D5">
            <w:pPr>
              <w:spacing w:line="240" w:lineRule="auto"/>
              <w:ind w:firstLine="0" w:firstLineChars="0"/>
              <w:jc w:val="center"/>
              <w:rPr>
                <w:rFonts w:hint="eastAsia" w:ascii="宋体" w:hAnsi="宋体" w:eastAsia="宋体" w:cs="宋体"/>
                <w:color w:val="auto"/>
                <w:kern w:val="2"/>
                <w:sz w:val="21"/>
                <w:szCs w:val="21"/>
              </w:rPr>
            </w:pPr>
          </w:p>
        </w:tc>
        <w:tc>
          <w:tcPr>
            <w:tcW w:w="530" w:type="dxa"/>
            <w:tcBorders>
              <w:top w:val="single" w:color="auto" w:sz="6" w:space="0"/>
              <w:left w:val="single" w:color="auto" w:sz="6" w:space="0"/>
              <w:bottom w:val="single" w:color="auto" w:sz="6" w:space="0"/>
              <w:right w:val="single" w:color="auto" w:sz="6" w:space="0"/>
            </w:tcBorders>
            <w:noWrap/>
            <w:vAlign w:val="center"/>
          </w:tcPr>
          <w:p w14:paraId="5AAC25F7">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4</w:t>
            </w:r>
          </w:p>
        </w:tc>
        <w:tc>
          <w:tcPr>
            <w:tcW w:w="1460" w:type="dxa"/>
            <w:tcBorders>
              <w:top w:val="single" w:color="auto" w:sz="6" w:space="0"/>
              <w:left w:val="single" w:color="auto" w:sz="6" w:space="0"/>
              <w:bottom w:val="single" w:color="auto" w:sz="6" w:space="0"/>
              <w:right w:val="single" w:color="auto" w:sz="6" w:space="0"/>
            </w:tcBorders>
            <w:noWrap/>
            <w:vAlign w:val="center"/>
          </w:tcPr>
          <w:p w14:paraId="4A70E17D">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桌、椅</w:t>
            </w:r>
          </w:p>
        </w:tc>
        <w:tc>
          <w:tcPr>
            <w:tcW w:w="1156" w:type="dxa"/>
            <w:tcBorders>
              <w:top w:val="single" w:color="auto" w:sz="6" w:space="0"/>
              <w:left w:val="single" w:color="auto" w:sz="6" w:space="0"/>
              <w:bottom w:val="single" w:color="auto" w:sz="6" w:space="0"/>
              <w:right w:val="single" w:color="auto" w:sz="6" w:space="0"/>
            </w:tcBorders>
            <w:noWrap/>
            <w:vAlign w:val="center"/>
          </w:tcPr>
          <w:p w14:paraId="32CC549A">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清抹一次</w:t>
            </w:r>
          </w:p>
        </w:tc>
        <w:tc>
          <w:tcPr>
            <w:tcW w:w="1246" w:type="dxa"/>
            <w:tcBorders>
              <w:top w:val="single" w:color="auto" w:sz="6" w:space="0"/>
              <w:left w:val="single" w:color="auto" w:sz="6" w:space="0"/>
              <w:bottom w:val="single" w:color="auto" w:sz="6" w:space="0"/>
              <w:right w:val="single" w:color="auto" w:sz="6" w:space="0"/>
            </w:tcBorders>
            <w:noWrap/>
            <w:vAlign w:val="center"/>
          </w:tcPr>
          <w:p w14:paraId="267028ED">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用清洁剂清抹一次</w:t>
            </w:r>
          </w:p>
        </w:tc>
        <w:tc>
          <w:tcPr>
            <w:tcW w:w="1069" w:type="dxa"/>
            <w:tcBorders>
              <w:top w:val="single" w:color="auto" w:sz="6" w:space="0"/>
              <w:left w:val="single" w:color="auto" w:sz="6" w:space="0"/>
              <w:bottom w:val="single" w:color="auto" w:sz="6" w:space="0"/>
              <w:right w:val="single" w:color="auto" w:sz="6" w:space="0"/>
            </w:tcBorders>
            <w:noWrap/>
            <w:vAlign w:val="center"/>
          </w:tcPr>
          <w:p w14:paraId="70D3F162">
            <w:pPr>
              <w:snapToGrid w:val="0"/>
              <w:spacing w:line="240" w:lineRule="auto"/>
              <w:ind w:firstLine="0" w:firstLineChars="0"/>
              <w:rPr>
                <w:rFonts w:hint="eastAsia" w:ascii="宋体" w:hAnsi="宋体" w:eastAsia="宋体" w:cs="宋体"/>
                <w:color w:val="auto"/>
                <w:kern w:val="2"/>
                <w:sz w:val="21"/>
                <w:szCs w:val="21"/>
              </w:rPr>
            </w:pPr>
          </w:p>
        </w:tc>
        <w:tc>
          <w:tcPr>
            <w:tcW w:w="890" w:type="dxa"/>
            <w:tcBorders>
              <w:top w:val="single" w:color="auto" w:sz="6" w:space="0"/>
              <w:left w:val="single" w:color="auto" w:sz="6" w:space="0"/>
              <w:bottom w:val="single" w:color="auto" w:sz="6" w:space="0"/>
              <w:right w:val="single" w:color="auto" w:sz="6" w:space="0"/>
            </w:tcBorders>
            <w:noWrap/>
            <w:vAlign w:val="center"/>
          </w:tcPr>
          <w:p w14:paraId="0F29BF1E">
            <w:pPr>
              <w:snapToGrid w:val="0"/>
              <w:spacing w:line="240" w:lineRule="auto"/>
              <w:ind w:firstLine="0" w:firstLineChars="0"/>
              <w:rPr>
                <w:rFonts w:hint="eastAsia" w:ascii="宋体" w:hAnsi="宋体" w:eastAsia="宋体" w:cs="宋体"/>
                <w:color w:val="auto"/>
                <w:kern w:val="2"/>
                <w:sz w:val="21"/>
                <w:szCs w:val="21"/>
              </w:rPr>
            </w:pPr>
          </w:p>
        </w:tc>
        <w:tc>
          <w:tcPr>
            <w:tcW w:w="2229" w:type="dxa"/>
            <w:tcBorders>
              <w:top w:val="single" w:color="auto" w:sz="6" w:space="0"/>
              <w:left w:val="single" w:color="auto" w:sz="6" w:space="0"/>
              <w:bottom w:val="single" w:color="auto" w:sz="6" w:space="0"/>
              <w:right w:val="single" w:color="auto" w:sz="6" w:space="0"/>
            </w:tcBorders>
            <w:noWrap/>
            <w:vAlign w:val="center"/>
          </w:tcPr>
          <w:p w14:paraId="75F68928">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无污渍</w:t>
            </w:r>
          </w:p>
        </w:tc>
      </w:tr>
      <w:tr w14:paraId="4CE970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continue"/>
            <w:tcBorders>
              <w:top w:val="single" w:color="auto" w:sz="6" w:space="0"/>
              <w:left w:val="single" w:color="auto" w:sz="6" w:space="0"/>
              <w:bottom w:val="single" w:color="auto" w:sz="6" w:space="0"/>
              <w:right w:val="single" w:color="auto" w:sz="6" w:space="0"/>
            </w:tcBorders>
            <w:noWrap/>
            <w:vAlign w:val="center"/>
          </w:tcPr>
          <w:p w14:paraId="4D3F50B7">
            <w:pPr>
              <w:spacing w:line="240" w:lineRule="auto"/>
              <w:ind w:firstLine="0" w:firstLineChars="0"/>
              <w:jc w:val="center"/>
              <w:rPr>
                <w:rFonts w:hint="eastAsia" w:ascii="宋体" w:hAnsi="宋体" w:eastAsia="宋体" w:cs="宋体"/>
                <w:color w:val="auto"/>
                <w:kern w:val="2"/>
                <w:sz w:val="21"/>
                <w:szCs w:val="21"/>
              </w:rPr>
            </w:pPr>
          </w:p>
        </w:tc>
        <w:tc>
          <w:tcPr>
            <w:tcW w:w="530" w:type="dxa"/>
            <w:tcBorders>
              <w:top w:val="single" w:color="auto" w:sz="6" w:space="0"/>
              <w:left w:val="single" w:color="auto" w:sz="6" w:space="0"/>
              <w:bottom w:val="single" w:color="auto" w:sz="6" w:space="0"/>
              <w:right w:val="single" w:color="auto" w:sz="6" w:space="0"/>
            </w:tcBorders>
            <w:noWrap/>
            <w:vAlign w:val="center"/>
          </w:tcPr>
          <w:p w14:paraId="18C64C43">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5</w:t>
            </w:r>
          </w:p>
        </w:tc>
        <w:tc>
          <w:tcPr>
            <w:tcW w:w="1460" w:type="dxa"/>
            <w:tcBorders>
              <w:top w:val="single" w:color="auto" w:sz="6" w:space="0"/>
              <w:left w:val="single" w:color="auto" w:sz="6" w:space="0"/>
              <w:bottom w:val="single" w:color="auto" w:sz="6" w:space="0"/>
              <w:right w:val="single" w:color="auto" w:sz="6" w:space="0"/>
            </w:tcBorders>
            <w:noWrap/>
            <w:vAlign w:val="center"/>
          </w:tcPr>
          <w:p w14:paraId="64A02711">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饰物</w:t>
            </w:r>
          </w:p>
        </w:tc>
        <w:tc>
          <w:tcPr>
            <w:tcW w:w="1156" w:type="dxa"/>
            <w:tcBorders>
              <w:top w:val="single" w:color="auto" w:sz="6" w:space="0"/>
              <w:left w:val="single" w:color="auto" w:sz="6" w:space="0"/>
              <w:bottom w:val="single" w:color="auto" w:sz="6" w:space="0"/>
              <w:right w:val="single" w:color="auto" w:sz="6" w:space="0"/>
            </w:tcBorders>
            <w:noWrap/>
            <w:vAlign w:val="center"/>
          </w:tcPr>
          <w:p w14:paraId="3402B7C0">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清抹一次</w:t>
            </w:r>
          </w:p>
        </w:tc>
        <w:tc>
          <w:tcPr>
            <w:tcW w:w="1246" w:type="dxa"/>
            <w:tcBorders>
              <w:top w:val="single" w:color="auto" w:sz="6" w:space="0"/>
              <w:left w:val="single" w:color="auto" w:sz="6" w:space="0"/>
              <w:bottom w:val="single" w:color="auto" w:sz="6" w:space="0"/>
              <w:right w:val="single" w:color="auto" w:sz="6" w:space="0"/>
            </w:tcBorders>
            <w:noWrap/>
            <w:vAlign w:val="center"/>
          </w:tcPr>
          <w:p w14:paraId="50BCC88D">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用清洁剂清抹一次</w:t>
            </w:r>
          </w:p>
        </w:tc>
        <w:tc>
          <w:tcPr>
            <w:tcW w:w="1069" w:type="dxa"/>
            <w:tcBorders>
              <w:top w:val="single" w:color="auto" w:sz="6" w:space="0"/>
              <w:left w:val="single" w:color="auto" w:sz="6" w:space="0"/>
              <w:bottom w:val="single" w:color="auto" w:sz="6" w:space="0"/>
              <w:right w:val="single" w:color="auto" w:sz="6" w:space="0"/>
            </w:tcBorders>
            <w:noWrap/>
            <w:vAlign w:val="center"/>
          </w:tcPr>
          <w:p w14:paraId="07D2AA25">
            <w:pPr>
              <w:snapToGrid w:val="0"/>
              <w:spacing w:line="240" w:lineRule="auto"/>
              <w:ind w:firstLine="0" w:firstLineChars="0"/>
              <w:rPr>
                <w:rFonts w:hint="eastAsia" w:ascii="宋体" w:hAnsi="宋体" w:eastAsia="宋体" w:cs="宋体"/>
                <w:color w:val="auto"/>
                <w:kern w:val="2"/>
                <w:sz w:val="21"/>
                <w:szCs w:val="21"/>
              </w:rPr>
            </w:pPr>
          </w:p>
        </w:tc>
        <w:tc>
          <w:tcPr>
            <w:tcW w:w="890" w:type="dxa"/>
            <w:tcBorders>
              <w:top w:val="single" w:color="auto" w:sz="6" w:space="0"/>
              <w:left w:val="single" w:color="auto" w:sz="6" w:space="0"/>
              <w:bottom w:val="single" w:color="auto" w:sz="6" w:space="0"/>
              <w:right w:val="single" w:color="auto" w:sz="6" w:space="0"/>
            </w:tcBorders>
            <w:noWrap/>
            <w:vAlign w:val="center"/>
          </w:tcPr>
          <w:p w14:paraId="51D2516B">
            <w:pPr>
              <w:snapToGrid w:val="0"/>
              <w:spacing w:line="240" w:lineRule="auto"/>
              <w:ind w:firstLine="0" w:firstLineChars="0"/>
              <w:rPr>
                <w:rFonts w:hint="eastAsia" w:ascii="宋体" w:hAnsi="宋体" w:eastAsia="宋体" w:cs="宋体"/>
                <w:color w:val="auto"/>
                <w:kern w:val="2"/>
                <w:sz w:val="21"/>
                <w:szCs w:val="21"/>
              </w:rPr>
            </w:pPr>
          </w:p>
        </w:tc>
        <w:tc>
          <w:tcPr>
            <w:tcW w:w="2229" w:type="dxa"/>
            <w:tcBorders>
              <w:top w:val="single" w:color="auto" w:sz="6" w:space="0"/>
              <w:left w:val="single" w:color="auto" w:sz="6" w:space="0"/>
              <w:bottom w:val="single" w:color="auto" w:sz="6" w:space="0"/>
              <w:right w:val="single" w:color="auto" w:sz="6" w:space="0"/>
            </w:tcBorders>
            <w:noWrap/>
            <w:vAlign w:val="center"/>
          </w:tcPr>
          <w:p w14:paraId="06E9784F">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无尘、无污渍</w:t>
            </w:r>
          </w:p>
        </w:tc>
      </w:tr>
      <w:tr w14:paraId="45F8A0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continue"/>
            <w:tcBorders>
              <w:top w:val="single" w:color="auto" w:sz="6" w:space="0"/>
              <w:left w:val="single" w:color="auto" w:sz="6" w:space="0"/>
              <w:bottom w:val="single" w:color="auto" w:sz="6" w:space="0"/>
              <w:right w:val="single" w:color="auto" w:sz="6" w:space="0"/>
            </w:tcBorders>
            <w:noWrap/>
            <w:vAlign w:val="center"/>
          </w:tcPr>
          <w:p w14:paraId="2D7B19AF">
            <w:pPr>
              <w:spacing w:line="240" w:lineRule="auto"/>
              <w:ind w:firstLine="0" w:firstLineChars="0"/>
              <w:jc w:val="center"/>
              <w:rPr>
                <w:rFonts w:hint="eastAsia" w:ascii="宋体" w:hAnsi="宋体" w:eastAsia="宋体" w:cs="宋体"/>
                <w:color w:val="auto"/>
                <w:kern w:val="2"/>
                <w:sz w:val="21"/>
                <w:szCs w:val="21"/>
              </w:rPr>
            </w:pPr>
          </w:p>
        </w:tc>
        <w:tc>
          <w:tcPr>
            <w:tcW w:w="530" w:type="dxa"/>
            <w:tcBorders>
              <w:top w:val="single" w:color="auto" w:sz="6" w:space="0"/>
              <w:left w:val="single" w:color="auto" w:sz="6" w:space="0"/>
              <w:bottom w:val="single" w:color="auto" w:sz="6" w:space="0"/>
              <w:right w:val="single" w:color="auto" w:sz="6" w:space="0"/>
            </w:tcBorders>
            <w:noWrap/>
            <w:vAlign w:val="center"/>
          </w:tcPr>
          <w:p w14:paraId="5E4AC307">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6</w:t>
            </w:r>
          </w:p>
        </w:tc>
        <w:tc>
          <w:tcPr>
            <w:tcW w:w="1460" w:type="dxa"/>
            <w:tcBorders>
              <w:top w:val="single" w:color="auto" w:sz="6" w:space="0"/>
              <w:left w:val="single" w:color="auto" w:sz="6" w:space="0"/>
              <w:bottom w:val="single" w:color="auto" w:sz="6" w:space="0"/>
              <w:right w:val="single" w:color="auto" w:sz="6" w:space="0"/>
            </w:tcBorders>
            <w:noWrap/>
            <w:vAlign w:val="center"/>
          </w:tcPr>
          <w:p w14:paraId="578AC3E5">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天花灯饰</w:t>
            </w:r>
          </w:p>
        </w:tc>
        <w:tc>
          <w:tcPr>
            <w:tcW w:w="1156" w:type="dxa"/>
            <w:tcBorders>
              <w:top w:val="single" w:color="auto" w:sz="6" w:space="0"/>
              <w:left w:val="single" w:color="auto" w:sz="6" w:space="0"/>
              <w:bottom w:val="single" w:color="auto" w:sz="6" w:space="0"/>
              <w:right w:val="single" w:color="auto" w:sz="6" w:space="0"/>
            </w:tcBorders>
            <w:noWrap/>
            <w:vAlign w:val="center"/>
          </w:tcPr>
          <w:p w14:paraId="0E5AE365">
            <w:pPr>
              <w:snapToGrid w:val="0"/>
              <w:spacing w:line="240" w:lineRule="auto"/>
              <w:ind w:firstLine="0" w:firstLineChars="0"/>
              <w:rPr>
                <w:rFonts w:hint="eastAsia" w:ascii="宋体" w:hAnsi="宋体" w:eastAsia="宋体" w:cs="宋体"/>
                <w:color w:val="auto"/>
                <w:kern w:val="2"/>
                <w:sz w:val="21"/>
                <w:szCs w:val="21"/>
              </w:rPr>
            </w:pPr>
          </w:p>
        </w:tc>
        <w:tc>
          <w:tcPr>
            <w:tcW w:w="1246" w:type="dxa"/>
            <w:tcBorders>
              <w:top w:val="single" w:color="auto" w:sz="6" w:space="0"/>
              <w:left w:val="single" w:color="auto" w:sz="6" w:space="0"/>
              <w:bottom w:val="single" w:color="auto" w:sz="6" w:space="0"/>
              <w:right w:val="single" w:color="auto" w:sz="6" w:space="0"/>
            </w:tcBorders>
            <w:noWrap/>
            <w:vAlign w:val="center"/>
          </w:tcPr>
          <w:p w14:paraId="47985285">
            <w:pPr>
              <w:snapToGrid w:val="0"/>
              <w:spacing w:line="240" w:lineRule="auto"/>
              <w:ind w:firstLine="0" w:firstLineChars="0"/>
              <w:rPr>
                <w:rFonts w:hint="eastAsia" w:ascii="宋体" w:hAnsi="宋体" w:eastAsia="宋体" w:cs="宋体"/>
                <w:color w:val="auto"/>
                <w:kern w:val="2"/>
                <w:sz w:val="21"/>
                <w:szCs w:val="21"/>
              </w:rPr>
            </w:pPr>
          </w:p>
        </w:tc>
        <w:tc>
          <w:tcPr>
            <w:tcW w:w="1069" w:type="dxa"/>
            <w:tcBorders>
              <w:top w:val="single" w:color="auto" w:sz="6" w:space="0"/>
              <w:left w:val="single" w:color="auto" w:sz="6" w:space="0"/>
              <w:bottom w:val="single" w:color="auto" w:sz="6" w:space="0"/>
              <w:right w:val="single" w:color="auto" w:sz="6" w:space="0"/>
            </w:tcBorders>
            <w:noWrap/>
            <w:vAlign w:val="center"/>
          </w:tcPr>
          <w:p w14:paraId="1D8C3B88">
            <w:pPr>
              <w:snapToGrid w:val="0"/>
              <w:spacing w:line="240" w:lineRule="auto"/>
              <w:ind w:firstLine="0" w:firstLineChars="0"/>
              <w:rPr>
                <w:rFonts w:hint="eastAsia" w:ascii="宋体" w:hAnsi="宋体" w:eastAsia="宋体" w:cs="宋体"/>
                <w:color w:val="auto"/>
                <w:kern w:val="2"/>
                <w:sz w:val="21"/>
                <w:szCs w:val="21"/>
              </w:rPr>
            </w:pPr>
          </w:p>
        </w:tc>
        <w:tc>
          <w:tcPr>
            <w:tcW w:w="890" w:type="dxa"/>
            <w:tcBorders>
              <w:top w:val="single" w:color="auto" w:sz="6" w:space="0"/>
              <w:left w:val="single" w:color="auto" w:sz="6" w:space="0"/>
              <w:bottom w:val="single" w:color="auto" w:sz="6" w:space="0"/>
              <w:right w:val="single" w:color="auto" w:sz="6" w:space="0"/>
            </w:tcBorders>
            <w:noWrap/>
            <w:vAlign w:val="center"/>
          </w:tcPr>
          <w:p w14:paraId="20125EC7">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清扫一次</w:t>
            </w:r>
          </w:p>
        </w:tc>
        <w:tc>
          <w:tcPr>
            <w:tcW w:w="2229" w:type="dxa"/>
            <w:tcBorders>
              <w:top w:val="single" w:color="auto" w:sz="6" w:space="0"/>
              <w:left w:val="single" w:color="auto" w:sz="6" w:space="0"/>
              <w:bottom w:val="single" w:color="auto" w:sz="6" w:space="0"/>
              <w:right w:val="single" w:color="auto" w:sz="6" w:space="0"/>
            </w:tcBorders>
            <w:noWrap/>
            <w:vAlign w:val="center"/>
          </w:tcPr>
          <w:p w14:paraId="5AF5A76C">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干净、无蜘蛛网</w:t>
            </w:r>
          </w:p>
        </w:tc>
      </w:tr>
      <w:tr w14:paraId="1C8DEF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continue"/>
            <w:tcBorders>
              <w:top w:val="single" w:color="auto" w:sz="6" w:space="0"/>
              <w:left w:val="single" w:color="auto" w:sz="6" w:space="0"/>
              <w:bottom w:val="single" w:color="auto" w:sz="6" w:space="0"/>
              <w:right w:val="single" w:color="auto" w:sz="6" w:space="0"/>
            </w:tcBorders>
            <w:noWrap/>
            <w:vAlign w:val="center"/>
          </w:tcPr>
          <w:p w14:paraId="3E96419B">
            <w:pPr>
              <w:spacing w:line="240" w:lineRule="auto"/>
              <w:ind w:firstLine="0" w:firstLineChars="0"/>
              <w:jc w:val="center"/>
              <w:rPr>
                <w:rFonts w:hint="eastAsia" w:ascii="宋体" w:hAnsi="宋体" w:eastAsia="宋体" w:cs="宋体"/>
                <w:color w:val="auto"/>
                <w:kern w:val="2"/>
                <w:sz w:val="21"/>
                <w:szCs w:val="21"/>
              </w:rPr>
            </w:pPr>
          </w:p>
        </w:tc>
        <w:tc>
          <w:tcPr>
            <w:tcW w:w="530" w:type="dxa"/>
            <w:tcBorders>
              <w:top w:val="single" w:color="auto" w:sz="6" w:space="0"/>
              <w:left w:val="single" w:color="auto" w:sz="6" w:space="0"/>
              <w:bottom w:val="single" w:color="auto" w:sz="6" w:space="0"/>
              <w:right w:val="single" w:color="auto" w:sz="6" w:space="0"/>
            </w:tcBorders>
            <w:noWrap/>
            <w:vAlign w:val="center"/>
          </w:tcPr>
          <w:p w14:paraId="78BDF4AE">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7</w:t>
            </w:r>
          </w:p>
        </w:tc>
        <w:tc>
          <w:tcPr>
            <w:tcW w:w="1460" w:type="dxa"/>
            <w:tcBorders>
              <w:top w:val="single" w:color="auto" w:sz="6" w:space="0"/>
              <w:left w:val="single" w:color="auto" w:sz="6" w:space="0"/>
              <w:bottom w:val="single" w:color="auto" w:sz="6" w:space="0"/>
              <w:right w:val="single" w:color="auto" w:sz="6" w:space="0"/>
            </w:tcBorders>
            <w:noWrap/>
            <w:vAlign w:val="center"/>
          </w:tcPr>
          <w:p w14:paraId="562D4D83">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垃圾箱、篓</w:t>
            </w:r>
          </w:p>
        </w:tc>
        <w:tc>
          <w:tcPr>
            <w:tcW w:w="1156" w:type="dxa"/>
            <w:tcBorders>
              <w:top w:val="single" w:color="auto" w:sz="6" w:space="0"/>
              <w:left w:val="single" w:color="auto" w:sz="6" w:space="0"/>
              <w:bottom w:val="single" w:color="auto" w:sz="6" w:space="0"/>
              <w:right w:val="single" w:color="auto" w:sz="6" w:space="0"/>
            </w:tcBorders>
            <w:noWrap/>
            <w:vAlign w:val="center"/>
          </w:tcPr>
          <w:p w14:paraId="16D060E9">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清洁一次</w:t>
            </w:r>
          </w:p>
        </w:tc>
        <w:tc>
          <w:tcPr>
            <w:tcW w:w="1246" w:type="dxa"/>
            <w:tcBorders>
              <w:top w:val="single" w:color="auto" w:sz="6" w:space="0"/>
              <w:left w:val="single" w:color="auto" w:sz="6" w:space="0"/>
              <w:bottom w:val="single" w:color="auto" w:sz="6" w:space="0"/>
              <w:right w:val="single" w:color="auto" w:sz="6" w:space="0"/>
            </w:tcBorders>
            <w:noWrap/>
            <w:vAlign w:val="center"/>
          </w:tcPr>
          <w:p w14:paraId="0FB9A609">
            <w:pPr>
              <w:snapToGrid w:val="0"/>
              <w:spacing w:line="240" w:lineRule="auto"/>
              <w:ind w:firstLine="0" w:firstLineChars="0"/>
              <w:rPr>
                <w:rFonts w:hint="eastAsia" w:ascii="宋体" w:hAnsi="宋体" w:eastAsia="宋体" w:cs="宋体"/>
                <w:color w:val="auto"/>
                <w:kern w:val="2"/>
                <w:sz w:val="21"/>
                <w:szCs w:val="21"/>
              </w:rPr>
            </w:pPr>
          </w:p>
        </w:tc>
        <w:tc>
          <w:tcPr>
            <w:tcW w:w="1069" w:type="dxa"/>
            <w:tcBorders>
              <w:top w:val="single" w:color="auto" w:sz="6" w:space="0"/>
              <w:left w:val="single" w:color="auto" w:sz="6" w:space="0"/>
              <w:bottom w:val="single" w:color="auto" w:sz="6" w:space="0"/>
              <w:right w:val="single" w:color="auto" w:sz="6" w:space="0"/>
            </w:tcBorders>
            <w:noWrap/>
            <w:vAlign w:val="center"/>
          </w:tcPr>
          <w:p w14:paraId="44091C11">
            <w:pPr>
              <w:snapToGrid w:val="0"/>
              <w:spacing w:line="240" w:lineRule="auto"/>
              <w:ind w:firstLine="0" w:firstLineChars="0"/>
              <w:rPr>
                <w:rFonts w:hint="eastAsia" w:ascii="宋体" w:hAnsi="宋体" w:eastAsia="宋体" w:cs="宋体"/>
                <w:color w:val="auto"/>
                <w:kern w:val="2"/>
                <w:sz w:val="21"/>
                <w:szCs w:val="21"/>
              </w:rPr>
            </w:pPr>
          </w:p>
        </w:tc>
        <w:tc>
          <w:tcPr>
            <w:tcW w:w="890" w:type="dxa"/>
            <w:tcBorders>
              <w:top w:val="single" w:color="auto" w:sz="6" w:space="0"/>
              <w:left w:val="single" w:color="auto" w:sz="6" w:space="0"/>
              <w:bottom w:val="single" w:color="auto" w:sz="6" w:space="0"/>
              <w:right w:val="single" w:color="auto" w:sz="6" w:space="0"/>
            </w:tcBorders>
            <w:noWrap/>
            <w:vAlign w:val="center"/>
          </w:tcPr>
          <w:p w14:paraId="79756556">
            <w:pPr>
              <w:snapToGrid w:val="0"/>
              <w:spacing w:line="240" w:lineRule="auto"/>
              <w:ind w:firstLine="0" w:firstLineChars="0"/>
              <w:rPr>
                <w:rFonts w:hint="eastAsia" w:ascii="宋体" w:hAnsi="宋体" w:eastAsia="宋体" w:cs="宋体"/>
                <w:color w:val="auto"/>
                <w:kern w:val="2"/>
                <w:sz w:val="21"/>
                <w:szCs w:val="21"/>
              </w:rPr>
            </w:pPr>
          </w:p>
        </w:tc>
        <w:tc>
          <w:tcPr>
            <w:tcW w:w="2229" w:type="dxa"/>
            <w:tcBorders>
              <w:top w:val="single" w:color="auto" w:sz="6" w:space="0"/>
              <w:left w:val="single" w:color="auto" w:sz="6" w:space="0"/>
              <w:bottom w:val="single" w:color="auto" w:sz="6" w:space="0"/>
              <w:right w:val="single" w:color="auto" w:sz="6" w:space="0"/>
            </w:tcBorders>
            <w:noWrap/>
            <w:vAlign w:val="center"/>
          </w:tcPr>
          <w:p w14:paraId="0DF887ED">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无过夜垃圾</w:t>
            </w:r>
          </w:p>
        </w:tc>
      </w:tr>
      <w:tr w14:paraId="286686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continue"/>
            <w:tcBorders>
              <w:top w:val="single" w:color="auto" w:sz="6" w:space="0"/>
              <w:left w:val="single" w:color="auto" w:sz="6" w:space="0"/>
              <w:bottom w:val="single" w:color="auto" w:sz="6" w:space="0"/>
              <w:right w:val="single" w:color="auto" w:sz="6" w:space="0"/>
            </w:tcBorders>
            <w:noWrap/>
            <w:vAlign w:val="center"/>
          </w:tcPr>
          <w:p w14:paraId="1773CFA6">
            <w:pPr>
              <w:spacing w:line="240" w:lineRule="auto"/>
              <w:ind w:firstLine="0" w:firstLineChars="0"/>
              <w:jc w:val="center"/>
              <w:rPr>
                <w:rFonts w:hint="eastAsia" w:ascii="宋体" w:hAnsi="宋体" w:eastAsia="宋体" w:cs="宋体"/>
                <w:color w:val="auto"/>
                <w:kern w:val="2"/>
                <w:sz w:val="21"/>
                <w:szCs w:val="21"/>
              </w:rPr>
            </w:pPr>
          </w:p>
        </w:tc>
        <w:tc>
          <w:tcPr>
            <w:tcW w:w="530" w:type="dxa"/>
            <w:tcBorders>
              <w:top w:val="single" w:color="auto" w:sz="6" w:space="0"/>
              <w:left w:val="single" w:color="auto" w:sz="6" w:space="0"/>
              <w:bottom w:val="single" w:color="auto" w:sz="6" w:space="0"/>
              <w:right w:val="single" w:color="auto" w:sz="6" w:space="0"/>
            </w:tcBorders>
            <w:noWrap/>
            <w:vAlign w:val="center"/>
          </w:tcPr>
          <w:p w14:paraId="4233CC13">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8</w:t>
            </w:r>
          </w:p>
        </w:tc>
        <w:tc>
          <w:tcPr>
            <w:tcW w:w="1460" w:type="dxa"/>
            <w:tcBorders>
              <w:top w:val="single" w:color="auto" w:sz="6" w:space="0"/>
              <w:left w:val="single" w:color="auto" w:sz="6" w:space="0"/>
              <w:bottom w:val="single" w:color="auto" w:sz="6" w:space="0"/>
              <w:right w:val="single" w:color="auto" w:sz="6" w:space="0"/>
            </w:tcBorders>
            <w:noWrap/>
            <w:vAlign w:val="center"/>
          </w:tcPr>
          <w:p w14:paraId="681727FB">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空调出风口</w:t>
            </w:r>
          </w:p>
        </w:tc>
        <w:tc>
          <w:tcPr>
            <w:tcW w:w="1156" w:type="dxa"/>
            <w:tcBorders>
              <w:top w:val="single" w:color="auto" w:sz="6" w:space="0"/>
              <w:left w:val="single" w:color="auto" w:sz="6" w:space="0"/>
              <w:bottom w:val="single" w:color="auto" w:sz="6" w:space="0"/>
              <w:right w:val="single" w:color="auto" w:sz="6" w:space="0"/>
            </w:tcBorders>
            <w:noWrap/>
            <w:vAlign w:val="center"/>
          </w:tcPr>
          <w:p w14:paraId="45E0632A">
            <w:pPr>
              <w:snapToGrid w:val="0"/>
              <w:spacing w:line="240" w:lineRule="auto"/>
              <w:ind w:firstLine="0" w:firstLineChars="0"/>
              <w:rPr>
                <w:rFonts w:hint="eastAsia" w:ascii="宋体" w:hAnsi="宋体" w:eastAsia="宋体" w:cs="宋体"/>
                <w:color w:val="auto"/>
                <w:kern w:val="2"/>
                <w:sz w:val="21"/>
                <w:szCs w:val="21"/>
              </w:rPr>
            </w:pPr>
          </w:p>
        </w:tc>
        <w:tc>
          <w:tcPr>
            <w:tcW w:w="1246" w:type="dxa"/>
            <w:tcBorders>
              <w:top w:val="single" w:color="auto" w:sz="6" w:space="0"/>
              <w:left w:val="single" w:color="auto" w:sz="6" w:space="0"/>
              <w:bottom w:val="single" w:color="auto" w:sz="6" w:space="0"/>
              <w:right w:val="single" w:color="auto" w:sz="6" w:space="0"/>
            </w:tcBorders>
            <w:noWrap/>
            <w:vAlign w:val="center"/>
          </w:tcPr>
          <w:p w14:paraId="35769D68">
            <w:pPr>
              <w:snapToGrid w:val="0"/>
              <w:spacing w:line="240" w:lineRule="auto"/>
              <w:ind w:firstLine="0" w:firstLineChars="0"/>
              <w:rPr>
                <w:rFonts w:hint="eastAsia" w:ascii="宋体" w:hAnsi="宋体" w:eastAsia="宋体" w:cs="宋体"/>
                <w:color w:val="auto"/>
                <w:kern w:val="2"/>
                <w:sz w:val="21"/>
                <w:szCs w:val="21"/>
              </w:rPr>
            </w:pPr>
          </w:p>
        </w:tc>
        <w:tc>
          <w:tcPr>
            <w:tcW w:w="1069" w:type="dxa"/>
            <w:tcBorders>
              <w:top w:val="single" w:color="auto" w:sz="6" w:space="0"/>
              <w:left w:val="single" w:color="auto" w:sz="6" w:space="0"/>
              <w:bottom w:val="single" w:color="auto" w:sz="6" w:space="0"/>
              <w:right w:val="single" w:color="auto" w:sz="6" w:space="0"/>
            </w:tcBorders>
            <w:noWrap/>
            <w:vAlign w:val="center"/>
          </w:tcPr>
          <w:p w14:paraId="6DDF2332">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清洗一次</w:t>
            </w:r>
          </w:p>
        </w:tc>
        <w:tc>
          <w:tcPr>
            <w:tcW w:w="890" w:type="dxa"/>
            <w:tcBorders>
              <w:top w:val="single" w:color="auto" w:sz="6" w:space="0"/>
              <w:left w:val="single" w:color="auto" w:sz="6" w:space="0"/>
              <w:bottom w:val="single" w:color="auto" w:sz="6" w:space="0"/>
              <w:right w:val="single" w:color="auto" w:sz="6" w:space="0"/>
            </w:tcBorders>
            <w:noWrap/>
            <w:vAlign w:val="center"/>
          </w:tcPr>
          <w:p w14:paraId="1BE5FA65">
            <w:pPr>
              <w:snapToGrid w:val="0"/>
              <w:spacing w:line="240" w:lineRule="auto"/>
              <w:ind w:firstLine="0" w:firstLineChars="0"/>
              <w:rPr>
                <w:rFonts w:hint="eastAsia" w:ascii="宋体" w:hAnsi="宋体" w:eastAsia="宋体" w:cs="宋体"/>
                <w:color w:val="auto"/>
                <w:kern w:val="2"/>
                <w:sz w:val="21"/>
                <w:szCs w:val="21"/>
              </w:rPr>
            </w:pPr>
          </w:p>
        </w:tc>
        <w:tc>
          <w:tcPr>
            <w:tcW w:w="2229" w:type="dxa"/>
            <w:tcBorders>
              <w:top w:val="single" w:color="auto" w:sz="6" w:space="0"/>
              <w:left w:val="single" w:color="auto" w:sz="6" w:space="0"/>
              <w:bottom w:val="single" w:color="auto" w:sz="6" w:space="0"/>
              <w:right w:val="single" w:color="auto" w:sz="6" w:space="0"/>
            </w:tcBorders>
            <w:noWrap/>
            <w:vAlign w:val="center"/>
          </w:tcPr>
          <w:p w14:paraId="7D76D3D5">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无尘、无污渍</w:t>
            </w:r>
          </w:p>
        </w:tc>
      </w:tr>
      <w:tr w14:paraId="5A91B3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restart"/>
            <w:tcBorders>
              <w:top w:val="single" w:color="auto" w:sz="6" w:space="0"/>
              <w:left w:val="single" w:color="auto" w:sz="6" w:space="0"/>
              <w:bottom w:val="single" w:color="auto" w:sz="6" w:space="0"/>
              <w:right w:val="single" w:color="auto" w:sz="6" w:space="0"/>
            </w:tcBorders>
            <w:noWrap/>
            <w:vAlign w:val="center"/>
          </w:tcPr>
          <w:p w14:paraId="547BEC62">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地</w:t>
            </w:r>
          </w:p>
          <w:p w14:paraId="011A2E32">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下</w:t>
            </w:r>
          </w:p>
          <w:p w14:paraId="276C48AC">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室</w:t>
            </w:r>
          </w:p>
        </w:tc>
        <w:tc>
          <w:tcPr>
            <w:tcW w:w="530" w:type="dxa"/>
            <w:tcBorders>
              <w:top w:val="single" w:color="auto" w:sz="6" w:space="0"/>
              <w:left w:val="single" w:color="auto" w:sz="6" w:space="0"/>
              <w:bottom w:val="single" w:color="auto" w:sz="6" w:space="0"/>
              <w:right w:val="single" w:color="auto" w:sz="6" w:space="0"/>
            </w:tcBorders>
            <w:noWrap/>
            <w:vAlign w:val="center"/>
          </w:tcPr>
          <w:p w14:paraId="0DAE4331">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l</w:t>
            </w:r>
          </w:p>
        </w:tc>
        <w:tc>
          <w:tcPr>
            <w:tcW w:w="1460" w:type="dxa"/>
            <w:tcBorders>
              <w:top w:val="single" w:color="auto" w:sz="6" w:space="0"/>
              <w:left w:val="single" w:color="auto" w:sz="6" w:space="0"/>
              <w:bottom w:val="single" w:color="auto" w:sz="6" w:space="0"/>
              <w:right w:val="single" w:color="auto" w:sz="6" w:space="0"/>
            </w:tcBorders>
            <w:noWrap/>
            <w:vAlign w:val="center"/>
          </w:tcPr>
          <w:p w14:paraId="3F005A86">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地面</w:t>
            </w:r>
          </w:p>
        </w:tc>
        <w:tc>
          <w:tcPr>
            <w:tcW w:w="1156" w:type="dxa"/>
            <w:tcBorders>
              <w:top w:val="single" w:color="auto" w:sz="6" w:space="0"/>
              <w:left w:val="single" w:color="auto" w:sz="6" w:space="0"/>
              <w:bottom w:val="single" w:color="auto" w:sz="6" w:space="0"/>
              <w:right w:val="single" w:color="auto" w:sz="6" w:space="0"/>
            </w:tcBorders>
            <w:noWrap/>
            <w:vAlign w:val="center"/>
          </w:tcPr>
          <w:p w14:paraId="771BB9AC">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清扫二次</w:t>
            </w:r>
          </w:p>
        </w:tc>
        <w:tc>
          <w:tcPr>
            <w:tcW w:w="1246" w:type="dxa"/>
            <w:tcBorders>
              <w:top w:val="single" w:color="auto" w:sz="6" w:space="0"/>
              <w:left w:val="single" w:color="auto" w:sz="6" w:space="0"/>
              <w:bottom w:val="single" w:color="auto" w:sz="6" w:space="0"/>
              <w:right w:val="single" w:color="auto" w:sz="6" w:space="0"/>
            </w:tcBorders>
            <w:noWrap/>
            <w:vAlign w:val="center"/>
          </w:tcPr>
          <w:p w14:paraId="3146192E">
            <w:pPr>
              <w:snapToGrid w:val="0"/>
              <w:spacing w:line="240" w:lineRule="auto"/>
              <w:ind w:firstLine="0" w:firstLineChars="0"/>
              <w:rPr>
                <w:rFonts w:hint="eastAsia" w:ascii="宋体" w:hAnsi="宋体" w:eastAsia="宋体" w:cs="宋体"/>
                <w:color w:val="auto"/>
                <w:kern w:val="2"/>
                <w:sz w:val="21"/>
                <w:szCs w:val="21"/>
              </w:rPr>
            </w:pPr>
          </w:p>
        </w:tc>
        <w:tc>
          <w:tcPr>
            <w:tcW w:w="1069" w:type="dxa"/>
            <w:tcBorders>
              <w:top w:val="single" w:color="auto" w:sz="6" w:space="0"/>
              <w:left w:val="single" w:color="auto" w:sz="6" w:space="0"/>
              <w:bottom w:val="single" w:color="auto" w:sz="6" w:space="0"/>
              <w:right w:val="single" w:color="auto" w:sz="6" w:space="0"/>
            </w:tcBorders>
            <w:noWrap/>
            <w:vAlign w:val="center"/>
          </w:tcPr>
          <w:p w14:paraId="4EFA9DE6">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用清洁剂清洗一次</w:t>
            </w:r>
          </w:p>
        </w:tc>
        <w:tc>
          <w:tcPr>
            <w:tcW w:w="890" w:type="dxa"/>
            <w:tcBorders>
              <w:top w:val="single" w:color="auto" w:sz="6" w:space="0"/>
              <w:left w:val="single" w:color="auto" w:sz="6" w:space="0"/>
              <w:bottom w:val="single" w:color="auto" w:sz="6" w:space="0"/>
              <w:right w:val="single" w:color="auto" w:sz="6" w:space="0"/>
            </w:tcBorders>
            <w:noWrap/>
            <w:vAlign w:val="center"/>
          </w:tcPr>
          <w:p w14:paraId="0DB2CA49">
            <w:pPr>
              <w:snapToGrid w:val="0"/>
              <w:spacing w:line="240" w:lineRule="auto"/>
              <w:ind w:firstLine="0" w:firstLineChars="0"/>
              <w:rPr>
                <w:rFonts w:hint="eastAsia" w:ascii="宋体" w:hAnsi="宋体" w:eastAsia="宋体" w:cs="宋体"/>
                <w:color w:val="auto"/>
                <w:kern w:val="2"/>
                <w:sz w:val="21"/>
                <w:szCs w:val="21"/>
              </w:rPr>
            </w:pPr>
          </w:p>
        </w:tc>
        <w:tc>
          <w:tcPr>
            <w:tcW w:w="2229" w:type="dxa"/>
            <w:tcBorders>
              <w:top w:val="single" w:color="auto" w:sz="6" w:space="0"/>
              <w:left w:val="single" w:color="auto" w:sz="6" w:space="0"/>
              <w:bottom w:val="single" w:color="auto" w:sz="6" w:space="0"/>
              <w:right w:val="single" w:color="auto" w:sz="6" w:space="0"/>
            </w:tcBorders>
            <w:noWrap/>
            <w:vAlign w:val="center"/>
          </w:tcPr>
          <w:p w14:paraId="30F098AC">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干净、无杂物、无污</w:t>
            </w:r>
          </w:p>
          <w:p w14:paraId="06875C3F">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渍、无积水</w:t>
            </w:r>
          </w:p>
        </w:tc>
      </w:tr>
      <w:tr w14:paraId="321C5B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continue"/>
            <w:tcBorders>
              <w:top w:val="single" w:color="auto" w:sz="6" w:space="0"/>
              <w:left w:val="single" w:color="auto" w:sz="6" w:space="0"/>
              <w:bottom w:val="single" w:color="auto" w:sz="6" w:space="0"/>
              <w:right w:val="single" w:color="auto" w:sz="6" w:space="0"/>
            </w:tcBorders>
            <w:noWrap/>
            <w:vAlign w:val="center"/>
          </w:tcPr>
          <w:p w14:paraId="52ED8792">
            <w:pPr>
              <w:spacing w:line="240" w:lineRule="auto"/>
              <w:ind w:firstLine="0" w:firstLineChars="0"/>
              <w:jc w:val="center"/>
              <w:rPr>
                <w:rFonts w:hint="eastAsia" w:ascii="宋体" w:hAnsi="宋体" w:eastAsia="宋体" w:cs="宋体"/>
                <w:color w:val="auto"/>
                <w:kern w:val="2"/>
                <w:sz w:val="21"/>
                <w:szCs w:val="21"/>
              </w:rPr>
            </w:pPr>
          </w:p>
        </w:tc>
        <w:tc>
          <w:tcPr>
            <w:tcW w:w="530" w:type="dxa"/>
            <w:tcBorders>
              <w:top w:val="single" w:color="auto" w:sz="6" w:space="0"/>
              <w:left w:val="single" w:color="auto" w:sz="6" w:space="0"/>
              <w:bottom w:val="single" w:color="auto" w:sz="6" w:space="0"/>
              <w:right w:val="single" w:color="auto" w:sz="6" w:space="0"/>
            </w:tcBorders>
            <w:noWrap/>
            <w:vAlign w:val="center"/>
          </w:tcPr>
          <w:p w14:paraId="3F916B98">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w:t>
            </w:r>
          </w:p>
        </w:tc>
        <w:tc>
          <w:tcPr>
            <w:tcW w:w="1460" w:type="dxa"/>
            <w:tcBorders>
              <w:top w:val="single" w:color="auto" w:sz="6" w:space="0"/>
              <w:left w:val="single" w:color="auto" w:sz="6" w:space="0"/>
              <w:bottom w:val="single" w:color="auto" w:sz="6" w:space="0"/>
              <w:right w:val="single" w:color="auto" w:sz="6" w:space="0"/>
            </w:tcBorders>
            <w:noWrap/>
            <w:vAlign w:val="center"/>
          </w:tcPr>
          <w:p w14:paraId="4A516381">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墙面</w:t>
            </w:r>
          </w:p>
        </w:tc>
        <w:tc>
          <w:tcPr>
            <w:tcW w:w="1156" w:type="dxa"/>
            <w:tcBorders>
              <w:top w:val="single" w:color="auto" w:sz="6" w:space="0"/>
              <w:left w:val="single" w:color="auto" w:sz="6" w:space="0"/>
              <w:bottom w:val="single" w:color="auto" w:sz="6" w:space="0"/>
              <w:right w:val="single" w:color="auto" w:sz="6" w:space="0"/>
            </w:tcBorders>
            <w:noWrap/>
            <w:vAlign w:val="center"/>
          </w:tcPr>
          <w:p w14:paraId="566563BC">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随时保持清洁</w:t>
            </w:r>
          </w:p>
        </w:tc>
        <w:tc>
          <w:tcPr>
            <w:tcW w:w="1246" w:type="dxa"/>
            <w:tcBorders>
              <w:top w:val="single" w:color="auto" w:sz="6" w:space="0"/>
              <w:left w:val="single" w:color="auto" w:sz="6" w:space="0"/>
              <w:bottom w:val="single" w:color="auto" w:sz="6" w:space="0"/>
              <w:right w:val="single" w:color="auto" w:sz="6" w:space="0"/>
            </w:tcBorders>
            <w:noWrap/>
            <w:vAlign w:val="center"/>
          </w:tcPr>
          <w:p w14:paraId="1D85983E">
            <w:pPr>
              <w:snapToGrid w:val="0"/>
              <w:spacing w:line="240" w:lineRule="auto"/>
              <w:ind w:firstLine="0" w:firstLineChars="0"/>
              <w:rPr>
                <w:rFonts w:hint="eastAsia" w:ascii="宋体" w:hAnsi="宋体" w:eastAsia="宋体" w:cs="宋体"/>
                <w:color w:val="auto"/>
                <w:kern w:val="2"/>
                <w:sz w:val="21"/>
                <w:szCs w:val="21"/>
              </w:rPr>
            </w:pPr>
          </w:p>
        </w:tc>
        <w:tc>
          <w:tcPr>
            <w:tcW w:w="1069" w:type="dxa"/>
            <w:tcBorders>
              <w:top w:val="single" w:color="auto" w:sz="6" w:space="0"/>
              <w:left w:val="single" w:color="auto" w:sz="6" w:space="0"/>
              <w:bottom w:val="single" w:color="auto" w:sz="6" w:space="0"/>
              <w:right w:val="single" w:color="auto" w:sz="6" w:space="0"/>
            </w:tcBorders>
            <w:noWrap/>
            <w:vAlign w:val="center"/>
          </w:tcPr>
          <w:p w14:paraId="5BD777D0">
            <w:pPr>
              <w:snapToGrid w:val="0"/>
              <w:spacing w:line="240" w:lineRule="auto"/>
              <w:ind w:firstLine="0" w:firstLineChars="0"/>
              <w:rPr>
                <w:rFonts w:hint="eastAsia" w:ascii="宋体" w:hAnsi="宋体" w:eastAsia="宋体" w:cs="宋体"/>
                <w:color w:val="auto"/>
                <w:kern w:val="2"/>
                <w:sz w:val="21"/>
                <w:szCs w:val="21"/>
              </w:rPr>
            </w:pPr>
          </w:p>
        </w:tc>
        <w:tc>
          <w:tcPr>
            <w:tcW w:w="890" w:type="dxa"/>
            <w:tcBorders>
              <w:top w:val="single" w:color="auto" w:sz="6" w:space="0"/>
              <w:left w:val="single" w:color="auto" w:sz="6" w:space="0"/>
              <w:bottom w:val="single" w:color="auto" w:sz="6" w:space="0"/>
              <w:right w:val="single" w:color="auto" w:sz="6" w:space="0"/>
            </w:tcBorders>
            <w:noWrap/>
            <w:vAlign w:val="center"/>
          </w:tcPr>
          <w:p w14:paraId="4CF88229">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全面清扫一次</w:t>
            </w:r>
          </w:p>
        </w:tc>
        <w:tc>
          <w:tcPr>
            <w:tcW w:w="2229" w:type="dxa"/>
            <w:tcBorders>
              <w:top w:val="single" w:color="auto" w:sz="6" w:space="0"/>
              <w:left w:val="single" w:color="auto" w:sz="6" w:space="0"/>
              <w:bottom w:val="single" w:color="auto" w:sz="6" w:space="0"/>
              <w:right w:val="single" w:color="auto" w:sz="6" w:space="0"/>
            </w:tcBorders>
            <w:noWrap/>
            <w:vAlign w:val="center"/>
          </w:tcPr>
          <w:p w14:paraId="13EF926E">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干净、无灰尘、无污渍</w:t>
            </w:r>
          </w:p>
        </w:tc>
      </w:tr>
      <w:tr w14:paraId="74559F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continue"/>
            <w:tcBorders>
              <w:top w:val="single" w:color="auto" w:sz="6" w:space="0"/>
              <w:left w:val="single" w:color="auto" w:sz="6" w:space="0"/>
              <w:bottom w:val="single" w:color="auto" w:sz="6" w:space="0"/>
              <w:right w:val="single" w:color="auto" w:sz="6" w:space="0"/>
            </w:tcBorders>
            <w:noWrap/>
            <w:vAlign w:val="center"/>
          </w:tcPr>
          <w:p w14:paraId="657A3B8B">
            <w:pPr>
              <w:spacing w:line="240" w:lineRule="auto"/>
              <w:ind w:firstLine="0" w:firstLineChars="0"/>
              <w:jc w:val="center"/>
              <w:rPr>
                <w:rFonts w:hint="eastAsia" w:ascii="宋体" w:hAnsi="宋体" w:eastAsia="宋体" w:cs="宋体"/>
                <w:color w:val="auto"/>
                <w:kern w:val="2"/>
                <w:sz w:val="21"/>
                <w:szCs w:val="21"/>
              </w:rPr>
            </w:pPr>
          </w:p>
        </w:tc>
        <w:tc>
          <w:tcPr>
            <w:tcW w:w="530" w:type="dxa"/>
            <w:tcBorders>
              <w:top w:val="single" w:color="auto" w:sz="6" w:space="0"/>
              <w:left w:val="single" w:color="auto" w:sz="6" w:space="0"/>
              <w:bottom w:val="single" w:color="auto" w:sz="6" w:space="0"/>
              <w:right w:val="single" w:color="auto" w:sz="6" w:space="0"/>
            </w:tcBorders>
            <w:noWrap/>
            <w:vAlign w:val="center"/>
          </w:tcPr>
          <w:p w14:paraId="54FF51E8">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w:t>
            </w:r>
          </w:p>
        </w:tc>
        <w:tc>
          <w:tcPr>
            <w:tcW w:w="1460" w:type="dxa"/>
            <w:tcBorders>
              <w:top w:val="single" w:color="auto" w:sz="6" w:space="0"/>
              <w:left w:val="single" w:color="auto" w:sz="6" w:space="0"/>
              <w:bottom w:val="single" w:color="auto" w:sz="6" w:space="0"/>
              <w:right w:val="single" w:color="auto" w:sz="6" w:space="0"/>
            </w:tcBorders>
            <w:noWrap/>
            <w:vAlign w:val="center"/>
          </w:tcPr>
          <w:p w14:paraId="1D5065CC">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天花灯饰</w:t>
            </w:r>
          </w:p>
        </w:tc>
        <w:tc>
          <w:tcPr>
            <w:tcW w:w="1156" w:type="dxa"/>
            <w:tcBorders>
              <w:top w:val="single" w:color="auto" w:sz="6" w:space="0"/>
              <w:left w:val="single" w:color="auto" w:sz="6" w:space="0"/>
              <w:bottom w:val="single" w:color="auto" w:sz="6" w:space="0"/>
              <w:right w:val="single" w:color="auto" w:sz="6" w:space="0"/>
            </w:tcBorders>
            <w:noWrap/>
            <w:vAlign w:val="center"/>
          </w:tcPr>
          <w:p w14:paraId="067B5E36">
            <w:pPr>
              <w:snapToGrid w:val="0"/>
              <w:spacing w:line="240" w:lineRule="auto"/>
              <w:ind w:firstLine="0" w:firstLineChars="0"/>
              <w:rPr>
                <w:rFonts w:hint="eastAsia" w:ascii="宋体" w:hAnsi="宋体" w:eastAsia="宋体" w:cs="宋体"/>
                <w:color w:val="auto"/>
                <w:kern w:val="2"/>
                <w:sz w:val="21"/>
                <w:szCs w:val="21"/>
              </w:rPr>
            </w:pPr>
          </w:p>
        </w:tc>
        <w:tc>
          <w:tcPr>
            <w:tcW w:w="1246" w:type="dxa"/>
            <w:tcBorders>
              <w:top w:val="single" w:color="auto" w:sz="6" w:space="0"/>
              <w:left w:val="single" w:color="auto" w:sz="6" w:space="0"/>
              <w:bottom w:val="single" w:color="auto" w:sz="6" w:space="0"/>
              <w:right w:val="single" w:color="auto" w:sz="6" w:space="0"/>
            </w:tcBorders>
            <w:noWrap/>
            <w:vAlign w:val="center"/>
          </w:tcPr>
          <w:p w14:paraId="6A6B0C71">
            <w:pPr>
              <w:snapToGrid w:val="0"/>
              <w:spacing w:line="240" w:lineRule="auto"/>
              <w:ind w:firstLine="0" w:firstLineChars="0"/>
              <w:rPr>
                <w:rFonts w:hint="eastAsia" w:ascii="宋体" w:hAnsi="宋体" w:eastAsia="宋体" w:cs="宋体"/>
                <w:color w:val="auto"/>
                <w:kern w:val="2"/>
                <w:sz w:val="21"/>
                <w:szCs w:val="21"/>
              </w:rPr>
            </w:pPr>
          </w:p>
        </w:tc>
        <w:tc>
          <w:tcPr>
            <w:tcW w:w="1069" w:type="dxa"/>
            <w:tcBorders>
              <w:top w:val="single" w:color="auto" w:sz="6" w:space="0"/>
              <w:left w:val="single" w:color="auto" w:sz="6" w:space="0"/>
              <w:bottom w:val="single" w:color="auto" w:sz="6" w:space="0"/>
              <w:right w:val="single" w:color="auto" w:sz="6" w:space="0"/>
            </w:tcBorders>
            <w:noWrap/>
            <w:vAlign w:val="center"/>
          </w:tcPr>
          <w:p w14:paraId="7C124968">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清抹一次</w:t>
            </w:r>
          </w:p>
        </w:tc>
        <w:tc>
          <w:tcPr>
            <w:tcW w:w="890" w:type="dxa"/>
            <w:tcBorders>
              <w:top w:val="single" w:color="auto" w:sz="6" w:space="0"/>
              <w:left w:val="single" w:color="auto" w:sz="6" w:space="0"/>
              <w:bottom w:val="single" w:color="auto" w:sz="6" w:space="0"/>
              <w:right w:val="single" w:color="auto" w:sz="6" w:space="0"/>
            </w:tcBorders>
            <w:noWrap/>
            <w:vAlign w:val="center"/>
          </w:tcPr>
          <w:p w14:paraId="293381BC">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全面清抹一次</w:t>
            </w:r>
          </w:p>
        </w:tc>
        <w:tc>
          <w:tcPr>
            <w:tcW w:w="2229" w:type="dxa"/>
            <w:tcBorders>
              <w:top w:val="single" w:color="auto" w:sz="6" w:space="0"/>
              <w:left w:val="single" w:color="auto" w:sz="6" w:space="0"/>
              <w:bottom w:val="single" w:color="auto" w:sz="6" w:space="0"/>
              <w:right w:val="single" w:color="auto" w:sz="6" w:space="0"/>
            </w:tcBorders>
            <w:noWrap/>
            <w:vAlign w:val="center"/>
          </w:tcPr>
          <w:p w14:paraId="46EA5962">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干净、无蜘蛛网</w:t>
            </w:r>
          </w:p>
        </w:tc>
      </w:tr>
      <w:tr w14:paraId="07972C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continue"/>
            <w:tcBorders>
              <w:top w:val="single" w:color="auto" w:sz="6" w:space="0"/>
              <w:left w:val="single" w:color="auto" w:sz="6" w:space="0"/>
              <w:bottom w:val="single" w:color="auto" w:sz="6" w:space="0"/>
              <w:right w:val="single" w:color="auto" w:sz="6" w:space="0"/>
            </w:tcBorders>
            <w:noWrap/>
            <w:vAlign w:val="center"/>
          </w:tcPr>
          <w:p w14:paraId="595E262F">
            <w:pPr>
              <w:spacing w:line="240" w:lineRule="auto"/>
              <w:ind w:firstLine="0" w:firstLineChars="0"/>
              <w:jc w:val="center"/>
              <w:rPr>
                <w:rFonts w:hint="eastAsia" w:ascii="宋体" w:hAnsi="宋体" w:eastAsia="宋体" w:cs="宋体"/>
                <w:color w:val="auto"/>
                <w:kern w:val="2"/>
                <w:sz w:val="21"/>
                <w:szCs w:val="21"/>
              </w:rPr>
            </w:pPr>
          </w:p>
        </w:tc>
        <w:tc>
          <w:tcPr>
            <w:tcW w:w="530" w:type="dxa"/>
            <w:tcBorders>
              <w:top w:val="single" w:color="auto" w:sz="6" w:space="0"/>
              <w:left w:val="single" w:color="auto" w:sz="6" w:space="0"/>
              <w:bottom w:val="single" w:color="auto" w:sz="6" w:space="0"/>
              <w:right w:val="single" w:color="auto" w:sz="6" w:space="0"/>
            </w:tcBorders>
            <w:noWrap/>
            <w:vAlign w:val="center"/>
          </w:tcPr>
          <w:p w14:paraId="4CED1FCF">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4</w:t>
            </w:r>
          </w:p>
        </w:tc>
        <w:tc>
          <w:tcPr>
            <w:tcW w:w="1460" w:type="dxa"/>
            <w:tcBorders>
              <w:top w:val="single" w:color="auto" w:sz="6" w:space="0"/>
              <w:left w:val="single" w:color="auto" w:sz="6" w:space="0"/>
              <w:bottom w:val="single" w:color="auto" w:sz="6" w:space="0"/>
              <w:right w:val="single" w:color="auto" w:sz="6" w:space="0"/>
            </w:tcBorders>
            <w:noWrap/>
            <w:vAlign w:val="center"/>
          </w:tcPr>
          <w:p w14:paraId="1B18A249">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门、消防栓</w:t>
            </w:r>
          </w:p>
        </w:tc>
        <w:tc>
          <w:tcPr>
            <w:tcW w:w="1156" w:type="dxa"/>
            <w:tcBorders>
              <w:top w:val="single" w:color="auto" w:sz="6" w:space="0"/>
              <w:left w:val="single" w:color="auto" w:sz="6" w:space="0"/>
              <w:bottom w:val="single" w:color="auto" w:sz="6" w:space="0"/>
              <w:right w:val="single" w:color="auto" w:sz="6" w:space="0"/>
            </w:tcBorders>
            <w:noWrap/>
            <w:vAlign w:val="center"/>
          </w:tcPr>
          <w:p w14:paraId="1736B208">
            <w:pPr>
              <w:snapToGrid w:val="0"/>
              <w:spacing w:line="240" w:lineRule="auto"/>
              <w:ind w:firstLine="0" w:firstLineChars="0"/>
              <w:rPr>
                <w:rFonts w:hint="eastAsia" w:ascii="宋体" w:hAnsi="宋体" w:eastAsia="宋体" w:cs="宋体"/>
                <w:color w:val="auto"/>
                <w:kern w:val="2"/>
                <w:sz w:val="21"/>
                <w:szCs w:val="21"/>
              </w:rPr>
            </w:pPr>
          </w:p>
        </w:tc>
        <w:tc>
          <w:tcPr>
            <w:tcW w:w="1246" w:type="dxa"/>
            <w:tcBorders>
              <w:top w:val="single" w:color="auto" w:sz="6" w:space="0"/>
              <w:left w:val="single" w:color="auto" w:sz="6" w:space="0"/>
              <w:bottom w:val="single" w:color="auto" w:sz="6" w:space="0"/>
              <w:right w:val="single" w:color="auto" w:sz="6" w:space="0"/>
            </w:tcBorders>
            <w:noWrap/>
            <w:vAlign w:val="center"/>
          </w:tcPr>
          <w:p w14:paraId="09BC08EC">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清洁一次</w:t>
            </w:r>
          </w:p>
        </w:tc>
        <w:tc>
          <w:tcPr>
            <w:tcW w:w="1069" w:type="dxa"/>
            <w:tcBorders>
              <w:top w:val="single" w:color="auto" w:sz="6" w:space="0"/>
              <w:left w:val="single" w:color="auto" w:sz="6" w:space="0"/>
              <w:bottom w:val="single" w:color="auto" w:sz="6" w:space="0"/>
              <w:right w:val="single" w:color="auto" w:sz="6" w:space="0"/>
            </w:tcBorders>
            <w:noWrap/>
            <w:vAlign w:val="center"/>
          </w:tcPr>
          <w:p w14:paraId="3F4B3B23">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用清洁剂清洗一次</w:t>
            </w:r>
          </w:p>
        </w:tc>
        <w:tc>
          <w:tcPr>
            <w:tcW w:w="890" w:type="dxa"/>
            <w:tcBorders>
              <w:top w:val="single" w:color="auto" w:sz="6" w:space="0"/>
              <w:left w:val="single" w:color="auto" w:sz="6" w:space="0"/>
              <w:bottom w:val="single" w:color="auto" w:sz="6" w:space="0"/>
              <w:right w:val="single" w:color="auto" w:sz="6" w:space="0"/>
            </w:tcBorders>
            <w:noWrap/>
            <w:vAlign w:val="center"/>
          </w:tcPr>
          <w:p w14:paraId="23BC64C4">
            <w:pPr>
              <w:snapToGrid w:val="0"/>
              <w:spacing w:line="240" w:lineRule="auto"/>
              <w:ind w:firstLine="0" w:firstLineChars="0"/>
              <w:rPr>
                <w:rFonts w:hint="eastAsia" w:ascii="宋体" w:hAnsi="宋体" w:eastAsia="宋体" w:cs="宋体"/>
                <w:color w:val="auto"/>
                <w:kern w:val="2"/>
                <w:sz w:val="21"/>
                <w:szCs w:val="21"/>
              </w:rPr>
            </w:pPr>
          </w:p>
        </w:tc>
        <w:tc>
          <w:tcPr>
            <w:tcW w:w="2229" w:type="dxa"/>
            <w:tcBorders>
              <w:top w:val="single" w:color="auto" w:sz="6" w:space="0"/>
              <w:left w:val="single" w:color="auto" w:sz="6" w:space="0"/>
              <w:bottom w:val="single" w:color="auto" w:sz="6" w:space="0"/>
              <w:right w:val="single" w:color="auto" w:sz="6" w:space="0"/>
            </w:tcBorders>
            <w:noWrap/>
            <w:vAlign w:val="center"/>
          </w:tcPr>
          <w:p w14:paraId="5BFE00F3">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干净、无污渍</w:t>
            </w:r>
          </w:p>
        </w:tc>
      </w:tr>
      <w:tr w14:paraId="07A43A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continue"/>
            <w:tcBorders>
              <w:top w:val="single" w:color="auto" w:sz="6" w:space="0"/>
              <w:left w:val="single" w:color="auto" w:sz="6" w:space="0"/>
              <w:bottom w:val="single" w:color="auto" w:sz="6" w:space="0"/>
              <w:right w:val="single" w:color="auto" w:sz="6" w:space="0"/>
            </w:tcBorders>
            <w:noWrap/>
            <w:vAlign w:val="center"/>
          </w:tcPr>
          <w:p w14:paraId="5CD237A5">
            <w:pPr>
              <w:spacing w:line="240" w:lineRule="auto"/>
              <w:ind w:firstLine="0" w:firstLineChars="0"/>
              <w:jc w:val="center"/>
              <w:rPr>
                <w:rFonts w:hint="eastAsia" w:ascii="宋体" w:hAnsi="宋体" w:eastAsia="宋体" w:cs="宋体"/>
                <w:color w:val="auto"/>
                <w:kern w:val="2"/>
                <w:sz w:val="21"/>
                <w:szCs w:val="21"/>
              </w:rPr>
            </w:pPr>
          </w:p>
        </w:tc>
        <w:tc>
          <w:tcPr>
            <w:tcW w:w="530" w:type="dxa"/>
            <w:tcBorders>
              <w:top w:val="single" w:color="auto" w:sz="6" w:space="0"/>
              <w:left w:val="single" w:color="auto" w:sz="6" w:space="0"/>
              <w:bottom w:val="single" w:color="auto" w:sz="6" w:space="0"/>
              <w:right w:val="single" w:color="auto" w:sz="6" w:space="0"/>
            </w:tcBorders>
            <w:noWrap/>
            <w:vAlign w:val="center"/>
          </w:tcPr>
          <w:p w14:paraId="4078B8C2">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5</w:t>
            </w:r>
          </w:p>
        </w:tc>
        <w:tc>
          <w:tcPr>
            <w:tcW w:w="1460" w:type="dxa"/>
            <w:tcBorders>
              <w:top w:val="single" w:color="auto" w:sz="6" w:space="0"/>
              <w:left w:val="single" w:color="auto" w:sz="6" w:space="0"/>
              <w:bottom w:val="single" w:color="auto" w:sz="6" w:space="0"/>
              <w:right w:val="single" w:color="auto" w:sz="6" w:space="0"/>
            </w:tcBorders>
            <w:noWrap/>
            <w:vAlign w:val="center"/>
          </w:tcPr>
          <w:p w14:paraId="7DE2DD66">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楼梯通道</w:t>
            </w:r>
          </w:p>
        </w:tc>
        <w:tc>
          <w:tcPr>
            <w:tcW w:w="1156" w:type="dxa"/>
            <w:tcBorders>
              <w:top w:val="single" w:color="auto" w:sz="6" w:space="0"/>
              <w:left w:val="single" w:color="auto" w:sz="6" w:space="0"/>
              <w:bottom w:val="single" w:color="auto" w:sz="6" w:space="0"/>
              <w:right w:val="single" w:color="auto" w:sz="6" w:space="0"/>
            </w:tcBorders>
            <w:noWrap/>
            <w:vAlign w:val="center"/>
          </w:tcPr>
          <w:p w14:paraId="5BB45746">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地面扫二次，扶手清抹一次</w:t>
            </w:r>
          </w:p>
        </w:tc>
        <w:tc>
          <w:tcPr>
            <w:tcW w:w="1246" w:type="dxa"/>
            <w:tcBorders>
              <w:top w:val="single" w:color="auto" w:sz="6" w:space="0"/>
              <w:left w:val="single" w:color="auto" w:sz="6" w:space="0"/>
              <w:bottom w:val="single" w:color="auto" w:sz="6" w:space="0"/>
              <w:right w:val="single" w:color="auto" w:sz="6" w:space="0"/>
            </w:tcBorders>
            <w:noWrap/>
            <w:vAlign w:val="center"/>
          </w:tcPr>
          <w:p w14:paraId="3B30C9E1">
            <w:pPr>
              <w:snapToGrid w:val="0"/>
              <w:spacing w:line="240" w:lineRule="auto"/>
              <w:ind w:firstLine="0" w:firstLineChars="0"/>
              <w:rPr>
                <w:rFonts w:hint="eastAsia" w:ascii="宋体" w:hAnsi="宋体" w:eastAsia="宋体" w:cs="宋体"/>
                <w:color w:val="auto"/>
                <w:kern w:val="2"/>
                <w:sz w:val="21"/>
                <w:szCs w:val="21"/>
              </w:rPr>
            </w:pPr>
          </w:p>
        </w:tc>
        <w:tc>
          <w:tcPr>
            <w:tcW w:w="1069" w:type="dxa"/>
            <w:tcBorders>
              <w:top w:val="single" w:color="auto" w:sz="6" w:space="0"/>
              <w:left w:val="single" w:color="auto" w:sz="6" w:space="0"/>
              <w:bottom w:val="single" w:color="auto" w:sz="6" w:space="0"/>
              <w:right w:val="single" w:color="auto" w:sz="6" w:space="0"/>
            </w:tcBorders>
            <w:noWrap/>
            <w:vAlign w:val="center"/>
          </w:tcPr>
          <w:p w14:paraId="5C807BE8">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用清洁剂清洗一次</w:t>
            </w:r>
          </w:p>
        </w:tc>
        <w:tc>
          <w:tcPr>
            <w:tcW w:w="890" w:type="dxa"/>
            <w:tcBorders>
              <w:top w:val="single" w:color="auto" w:sz="6" w:space="0"/>
              <w:left w:val="single" w:color="auto" w:sz="6" w:space="0"/>
              <w:bottom w:val="single" w:color="auto" w:sz="6" w:space="0"/>
              <w:right w:val="single" w:color="auto" w:sz="6" w:space="0"/>
            </w:tcBorders>
            <w:noWrap/>
            <w:vAlign w:val="center"/>
          </w:tcPr>
          <w:p w14:paraId="343E11E3">
            <w:pPr>
              <w:snapToGrid w:val="0"/>
              <w:spacing w:line="240" w:lineRule="auto"/>
              <w:ind w:firstLine="0" w:firstLineChars="0"/>
              <w:rPr>
                <w:rFonts w:hint="eastAsia" w:ascii="宋体" w:hAnsi="宋体" w:eastAsia="宋体" w:cs="宋体"/>
                <w:color w:val="auto"/>
                <w:kern w:val="2"/>
                <w:sz w:val="21"/>
                <w:szCs w:val="21"/>
              </w:rPr>
            </w:pPr>
          </w:p>
        </w:tc>
        <w:tc>
          <w:tcPr>
            <w:tcW w:w="2229" w:type="dxa"/>
            <w:tcBorders>
              <w:top w:val="single" w:color="auto" w:sz="6" w:space="0"/>
              <w:left w:val="single" w:color="auto" w:sz="6" w:space="0"/>
              <w:bottom w:val="single" w:color="auto" w:sz="6" w:space="0"/>
              <w:right w:val="single" w:color="auto" w:sz="6" w:space="0"/>
            </w:tcBorders>
            <w:noWrap/>
            <w:vAlign w:val="center"/>
          </w:tcPr>
          <w:p w14:paraId="77D681A5">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干净、无杂物、无污渍</w:t>
            </w:r>
          </w:p>
        </w:tc>
      </w:tr>
      <w:tr w14:paraId="54C1BE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continue"/>
            <w:tcBorders>
              <w:top w:val="single" w:color="auto" w:sz="6" w:space="0"/>
              <w:left w:val="single" w:color="auto" w:sz="6" w:space="0"/>
              <w:bottom w:val="single" w:color="auto" w:sz="6" w:space="0"/>
              <w:right w:val="single" w:color="auto" w:sz="6" w:space="0"/>
            </w:tcBorders>
            <w:noWrap/>
            <w:vAlign w:val="center"/>
          </w:tcPr>
          <w:p w14:paraId="0192F64D">
            <w:pPr>
              <w:spacing w:line="240" w:lineRule="auto"/>
              <w:ind w:firstLine="0" w:firstLineChars="0"/>
              <w:jc w:val="center"/>
              <w:rPr>
                <w:rFonts w:hint="eastAsia" w:ascii="宋体" w:hAnsi="宋体" w:eastAsia="宋体" w:cs="宋体"/>
                <w:color w:val="auto"/>
                <w:kern w:val="2"/>
                <w:sz w:val="21"/>
                <w:szCs w:val="21"/>
              </w:rPr>
            </w:pPr>
          </w:p>
        </w:tc>
        <w:tc>
          <w:tcPr>
            <w:tcW w:w="530" w:type="dxa"/>
            <w:tcBorders>
              <w:top w:val="single" w:color="auto" w:sz="6" w:space="0"/>
              <w:left w:val="single" w:color="auto" w:sz="6" w:space="0"/>
              <w:bottom w:val="single" w:color="auto" w:sz="6" w:space="0"/>
              <w:right w:val="single" w:color="auto" w:sz="6" w:space="0"/>
            </w:tcBorders>
            <w:noWrap/>
            <w:vAlign w:val="center"/>
          </w:tcPr>
          <w:p w14:paraId="092B424B">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6</w:t>
            </w:r>
          </w:p>
        </w:tc>
        <w:tc>
          <w:tcPr>
            <w:tcW w:w="1460" w:type="dxa"/>
            <w:tcBorders>
              <w:top w:val="single" w:color="auto" w:sz="6" w:space="0"/>
              <w:left w:val="single" w:color="auto" w:sz="6" w:space="0"/>
              <w:bottom w:val="single" w:color="auto" w:sz="6" w:space="0"/>
              <w:right w:val="single" w:color="auto" w:sz="6" w:space="0"/>
            </w:tcBorders>
            <w:noWrap/>
            <w:vAlign w:val="center"/>
          </w:tcPr>
          <w:p w14:paraId="7B368582">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设备房</w:t>
            </w:r>
          </w:p>
        </w:tc>
        <w:tc>
          <w:tcPr>
            <w:tcW w:w="1156" w:type="dxa"/>
            <w:tcBorders>
              <w:top w:val="single" w:color="auto" w:sz="6" w:space="0"/>
              <w:left w:val="single" w:color="auto" w:sz="6" w:space="0"/>
              <w:bottom w:val="single" w:color="auto" w:sz="6" w:space="0"/>
              <w:right w:val="single" w:color="auto" w:sz="6" w:space="0"/>
            </w:tcBorders>
            <w:noWrap/>
            <w:vAlign w:val="center"/>
          </w:tcPr>
          <w:p w14:paraId="40C88338">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清扫一次</w:t>
            </w:r>
          </w:p>
        </w:tc>
        <w:tc>
          <w:tcPr>
            <w:tcW w:w="1246" w:type="dxa"/>
            <w:tcBorders>
              <w:top w:val="single" w:color="auto" w:sz="6" w:space="0"/>
              <w:left w:val="single" w:color="auto" w:sz="6" w:space="0"/>
              <w:bottom w:val="single" w:color="auto" w:sz="6" w:space="0"/>
              <w:right w:val="single" w:color="auto" w:sz="6" w:space="0"/>
            </w:tcBorders>
            <w:noWrap/>
            <w:vAlign w:val="center"/>
          </w:tcPr>
          <w:p w14:paraId="78C1ECB9">
            <w:pPr>
              <w:snapToGrid w:val="0"/>
              <w:spacing w:line="240" w:lineRule="auto"/>
              <w:ind w:firstLine="0" w:firstLineChars="0"/>
              <w:rPr>
                <w:rFonts w:hint="eastAsia" w:ascii="宋体" w:hAnsi="宋体" w:eastAsia="宋体" w:cs="宋体"/>
                <w:color w:val="auto"/>
                <w:kern w:val="2"/>
                <w:sz w:val="21"/>
                <w:szCs w:val="21"/>
              </w:rPr>
            </w:pPr>
          </w:p>
        </w:tc>
        <w:tc>
          <w:tcPr>
            <w:tcW w:w="1069" w:type="dxa"/>
            <w:tcBorders>
              <w:top w:val="single" w:color="auto" w:sz="6" w:space="0"/>
              <w:left w:val="single" w:color="auto" w:sz="6" w:space="0"/>
              <w:bottom w:val="single" w:color="auto" w:sz="6" w:space="0"/>
              <w:right w:val="single" w:color="auto" w:sz="6" w:space="0"/>
            </w:tcBorders>
            <w:noWrap/>
            <w:vAlign w:val="center"/>
          </w:tcPr>
          <w:p w14:paraId="275064F8">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全面清拖一次</w:t>
            </w:r>
          </w:p>
        </w:tc>
        <w:tc>
          <w:tcPr>
            <w:tcW w:w="890" w:type="dxa"/>
            <w:tcBorders>
              <w:top w:val="single" w:color="auto" w:sz="6" w:space="0"/>
              <w:left w:val="single" w:color="auto" w:sz="6" w:space="0"/>
              <w:bottom w:val="single" w:color="auto" w:sz="6" w:space="0"/>
              <w:right w:val="single" w:color="auto" w:sz="6" w:space="0"/>
            </w:tcBorders>
            <w:noWrap/>
            <w:vAlign w:val="center"/>
          </w:tcPr>
          <w:p w14:paraId="2C12219E">
            <w:pPr>
              <w:snapToGrid w:val="0"/>
              <w:spacing w:line="240" w:lineRule="auto"/>
              <w:ind w:firstLine="0" w:firstLineChars="0"/>
              <w:rPr>
                <w:rFonts w:hint="eastAsia" w:ascii="宋体" w:hAnsi="宋体" w:eastAsia="宋体" w:cs="宋体"/>
                <w:color w:val="auto"/>
                <w:kern w:val="2"/>
                <w:sz w:val="21"/>
                <w:szCs w:val="21"/>
              </w:rPr>
            </w:pPr>
          </w:p>
        </w:tc>
        <w:tc>
          <w:tcPr>
            <w:tcW w:w="2229" w:type="dxa"/>
            <w:tcBorders>
              <w:top w:val="single" w:color="auto" w:sz="6" w:space="0"/>
              <w:left w:val="single" w:color="auto" w:sz="6" w:space="0"/>
              <w:bottom w:val="single" w:color="auto" w:sz="6" w:space="0"/>
              <w:right w:val="single" w:color="auto" w:sz="6" w:space="0"/>
            </w:tcBorders>
            <w:noWrap/>
            <w:vAlign w:val="center"/>
          </w:tcPr>
          <w:p w14:paraId="7228419B">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干净、无积水、无蜘 蛛网</w:t>
            </w:r>
          </w:p>
        </w:tc>
      </w:tr>
      <w:tr w14:paraId="02F062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444" w:hRule="atLeast"/>
          <w:jc w:val="center"/>
        </w:trPr>
        <w:tc>
          <w:tcPr>
            <w:tcW w:w="650" w:type="dxa"/>
            <w:vMerge w:val="continue"/>
            <w:tcBorders>
              <w:top w:val="single" w:color="auto" w:sz="6" w:space="0"/>
              <w:left w:val="single" w:color="auto" w:sz="6" w:space="0"/>
              <w:bottom w:val="single" w:color="auto" w:sz="6" w:space="0"/>
              <w:right w:val="single" w:color="auto" w:sz="6" w:space="0"/>
            </w:tcBorders>
            <w:noWrap/>
            <w:vAlign w:val="center"/>
          </w:tcPr>
          <w:p w14:paraId="1980CC5B">
            <w:pPr>
              <w:spacing w:line="240" w:lineRule="auto"/>
              <w:ind w:firstLine="0" w:firstLineChars="0"/>
              <w:jc w:val="center"/>
              <w:rPr>
                <w:rFonts w:hint="eastAsia" w:ascii="宋体" w:hAnsi="宋体" w:eastAsia="宋体" w:cs="宋体"/>
                <w:color w:val="auto"/>
                <w:kern w:val="2"/>
                <w:sz w:val="21"/>
                <w:szCs w:val="21"/>
              </w:rPr>
            </w:pPr>
          </w:p>
        </w:tc>
        <w:tc>
          <w:tcPr>
            <w:tcW w:w="530" w:type="dxa"/>
            <w:tcBorders>
              <w:top w:val="single" w:color="auto" w:sz="6" w:space="0"/>
              <w:left w:val="single" w:color="auto" w:sz="6" w:space="0"/>
              <w:bottom w:val="single" w:color="auto" w:sz="6" w:space="0"/>
              <w:right w:val="single" w:color="auto" w:sz="6" w:space="0"/>
            </w:tcBorders>
            <w:noWrap/>
            <w:vAlign w:val="center"/>
          </w:tcPr>
          <w:p w14:paraId="0232B6C5">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7</w:t>
            </w:r>
          </w:p>
        </w:tc>
        <w:tc>
          <w:tcPr>
            <w:tcW w:w="1460" w:type="dxa"/>
            <w:tcBorders>
              <w:top w:val="single" w:color="auto" w:sz="6" w:space="0"/>
              <w:left w:val="single" w:color="auto" w:sz="6" w:space="0"/>
              <w:bottom w:val="single" w:color="auto" w:sz="6" w:space="0"/>
              <w:right w:val="single" w:color="auto" w:sz="6" w:space="0"/>
            </w:tcBorders>
            <w:noWrap/>
            <w:vAlign w:val="center"/>
          </w:tcPr>
          <w:p w14:paraId="71C73FA7">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地下室车库</w:t>
            </w:r>
          </w:p>
        </w:tc>
        <w:tc>
          <w:tcPr>
            <w:tcW w:w="1156" w:type="dxa"/>
            <w:tcBorders>
              <w:top w:val="single" w:color="auto" w:sz="6" w:space="0"/>
              <w:left w:val="single" w:color="auto" w:sz="6" w:space="0"/>
              <w:bottom w:val="single" w:color="auto" w:sz="6" w:space="0"/>
              <w:right w:val="single" w:color="auto" w:sz="6" w:space="0"/>
            </w:tcBorders>
            <w:noWrap/>
            <w:vAlign w:val="center"/>
          </w:tcPr>
          <w:p w14:paraId="352E32C6">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清扫一次</w:t>
            </w:r>
          </w:p>
        </w:tc>
        <w:tc>
          <w:tcPr>
            <w:tcW w:w="1246" w:type="dxa"/>
            <w:tcBorders>
              <w:top w:val="single" w:color="auto" w:sz="6" w:space="0"/>
              <w:left w:val="single" w:color="auto" w:sz="6" w:space="0"/>
              <w:bottom w:val="single" w:color="auto" w:sz="6" w:space="0"/>
              <w:right w:val="single" w:color="auto" w:sz="6" w:space="0"/>
            </w:tcBorders>
            <w:noWrap/>
            <w:vAlign w:val="center"/>
          </w:tcPr>
          <w:p w14:paraId="2EE0E84C">
            <w:pPr>
              <w:snapToGrid w:val="0"/>
              <w:spacing w:line="240" w:lineRule="auto"/>
              <w:ind w:firstLine="0" w:firstLineChars="0"/>
              <w:rPr>
                <w:rFonts w:hint="eastAsia" w:ascii="宋体" w:hAnsi="宋体" w:eastAsia="宋体" w:cs="宋体"/>
                <w:color w:val="auto"/>
                <w:kern w:val="2"/>
                <w:sz w:val="21"/>
                <w:szCs w:val="21"/>
              </w:rPr>
            </w:pPr>
          </w:p>
        </w:tc>
        <w:tc>
          <w:tcPr>
            <w:tcW w:w="1069" w:type="dxa"/>
            <w:tcBorders>
              <w:top w:val="single" w:color="auto" w:sz="6" w:space="0"/>
              <w:left w:val="single" w:color="auto" w:sz="6" w:space="0"/>
              <w:bottom w:val="single" w:color="auto" w:sz="6" w:space="0"/>
              <w:right w:val="single" w:color="auto" w:sz="6" w:space="0"/>
            </w:tcBorders>
            <w:noWrap/>
            <w:vAlign w:val="center"/>
          </w:tcPr>
          <w:p w14:paraId="0DD9816F">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冲洗一次</w:t>
            </w:r>
          </w:p>
        </w:tc>
        <w:tc>
          <w:tcPr>
            <w:tcW w:w="890" w:type="dxa"/>
            <w:tcBorders>
              <w:top w:val="single" w:color="auto" w:sz="6" w:space="0"/>
              <w:left w:val="single" w:color="auto" w:sz="6" w:space="0"/>
              <w:bottom w:val="single" w:color="auto" w:sz="6" w:space="0"/>
              <w:right w:val="single" w:color="auto" w:sz="6" w:space="0"/>
            </w:tcBorders>
            <w:noWrap/>
            <w:vAlign w:val="center"/>
          </w:tcPr>
          <w:p w14:paraId="17C23B07">
            <w:pPr>
              <w:snapToGrid w:val="0"/>
              <w:spacing w:line="240" w:lineRule="auto"/>
              <w:ind w:firstLine="0" w:firstLineChars="0"/>
              <w:rPr>
                <w:rFonts w:hint="eastAsia" w:ascii="宋体" w:hAnsi="宋体" w:eastAsia="宋体" w:cs="宋体"/>
                <w:color w:val="auto"/>
                <w:kern w:val="2"/>
                <w:sz w:val="21"/>
                <w:szCs w:val="21"/>
              </w:rPr>
            </w:pPr>
          </w:p>
        </w:tc>
        <w:tc>
          <w:tcPr>
            <w:tcW w:w="2229" w:type="dxa"/>
            <w:tcBorders>
              <w:top w:val="single" w:color="auto" w:sz="6" w:space="0"/>
              <w:left w:val="single" w:color="auto" w:sz="6" w:space="0"/>
              <w:bottom w:val="single" w:color="auto" w:sz="6" w:space="0"/>
              <w:right w:val="single" w:color="auto" w:sz="6" w:space="0"/>
            </w:tcBorders>
            <w:noWrap/>
            <w:vAlign w:val="center"/>
          </w:tcPr>
          <w:p w14:paraId="6FA9D368">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干净、无臭、无污水</w:t>
            </w:r>
          </w:p>
        </w:tc>
      </w:tr>
      <w:tr w14:paraId="3F69E9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restart"/>
            <w:tcBorders>
              <w:top w:val="single" w:color="auto" w:sz="6" w:space="0"/>
              <w:left w:val="single" w:color="auto" w:sz="6" w:space="0"/>
              <w:bottom w:val="single" w:color="auto" w:sz="6" w:space="0"/>
              <w:right w:val="single" w:color="auto" w:sz="6" w:space="0"/>
            </w:tcBorders>
            <w:noWrap/>
            <w:vAlign w:val="center"/>
          </w:tcPr>
          <w:p w14:paraId="493B18D8">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电</w:t>
            </w:r>
          </w:p>
          <w:p w14:paraId="15D21EC1">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梯</w:t>
            </w:r>
          </w:p>
        </w:tc>
        <w:tc>
          <w:tcPr>
            <w:tcW w:w="530" w:type="dxa"/>
            <w:tcBorders>
              <w:top w:val="single" w:color="auto" w:sz="6" w:space="0"/>
              <w:left w:val="single" w:color="auto" w:sz="6" w:space="0"/>
              <w:bottom w:val="single" w:color="auto" w:sz="6" w:space="0"/>
              <w:right w:val="single" w:color="auto" w:sz="6" w:space="0"/>
            </w:tcBorders>
            <w:noWrap/>
            <w:vAlign w:val="center"/>
          </w:tcPr>
          <w:p w14:paraId="3A7AAC92">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p>
        </w:tc>
        <w:tc>
          <w:tcPr>
            <w:tcW w:w="1460" w:type="dxa"/>
            <w:tcBorders>
              <w:top w:val="single" w:color="auto" w:sz="6" w:space="0"/>
              <w:left w:val="single" w:color="auto" w:sz="6" w:space="0"/>
              <w:bottom w:val="single" w:color="auto" w:sz="6" w:space="0"/>
              <w:right w:val="single" w:color="auto" w:sz="6" w:space="0"/>
            </w:tcBorders>
            <w:noWrap/>
            <w:vAlign w:val="center"/>
          </w:tcPr>
          <w:p w14:paraId="1275729B">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不锈钢表面</w:t>
            </w:r>
          </w:p>
        </w:tc>
        <w:tc>
          <w:tcPr>
            <w:tcW w:w="1156" w:type="dxa"/>
            <w:tcBorders>
              <w:top w:val="single" w:color="auto" w:sz="6" w:space="0"/>
              <w:left w:val="single" w:color="auto" w:sz="6" w:space="0"/>
              <w:bottom w:val="single" w:color="auto" w:sz="6" w:space="0"/>
              <w:right w:val="single" w:color="auto" w:sz="6" w:space="0"/>
            </w:tcBorders>
            <w:noWrap/>
            <w:vAlign w:val="center"/>
          </w:tcPr>
          <w:p w14:paraId="10B2A481">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用不锈钢油</w:t>
            </w:r>
          </w:p>
          <w:p w14:paraId="591BD8A2">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清抹二次</w:t>
            </w:r>
          </w:p>
        </w:tc>
        <w:tc>
          <w:tcPr>
            <w:tcW w:w="1246" w:type="dxa"/>
            <w:tcBorders>
              <w:top w:val="single" w:color="auto" w:sz="6" w:space="0"/>
              <w:left w:val="single" w:color="auto" w:sz="6" w:space="0"/>
              <w:bottom w:val="single" w:color="auto" w:sz="6" w:space="0"/>
              <w:right w:val="single" w:color="auto" w:sz="6" w:space="0"/>
            </w:tcBorders>
            <w:noWrap/>
            <w:vAlign w:val="center"/>
          </w:tcPr>
          <w:p w14:paraId="1C87D643">
            <w:pPr>
              <w:snapToGrid w:val="0"/>
              <w:spacing w:line="240" w:lineRule="auto"/>
              <w:ind w:firstLine="0" w:firstLineChars="0"/>
              <w:rPr>
                <w:rFonts w:hint="eastAsia" w:ascii="宋体" w:hAnsi="宋体" w:eastAsia="宋体" w:cs="宋体"/>
                <w:color w:val="auto"/>
                <w:kern w:val="2"/>
                <w:sz w:val="21"/>
                <w:szCs w:val="21"/>
              </w:rPr>
            </w:pPr>
          </w:p>
        </w:tc>
        <w:tc>
          <w:tcPr>
            <w:tcW w:w="1069" w:type="dxa"/>
            <w:tcBorders>
              <w:top w:val="single" w:color="auto" w:sz="6" w:space="0"/>
              <w:left w:val="single" w:color="auto" w:sz="6" w:space="0"/>
              <w:bottom w:val="single" w:color="auto" w:sz="6" w:space="0"/>
              <w:right w:val="single" w:color="auto" w:sz="6" w:space="0"/>
            </w:tcBorders>
            <w:noWrap/>
            <w:vAlign w:val="center"/>
          </w:tcPr>
          <w:p w14:paraId="5D215BC4">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全面清洁一次</w:t>
            </w:r>
          </w:p>
        </w:tc>
        <w:tc>
          <w:tcPr>
            <w:tcW w:w="890" w:type="dxa"/>
            <w:tcBorders>
              <w:top w:val="single" w:color="auto" w:sz="6" w:space="0"/>
              <w:left w:val="single" w:color="auto" w:sz="6" w:space="0"/>
              <w:bottom w:val="single" w:color="auto" w:sz="6" w:space="0"/>
              <w:right w:val="single" w:color="auto" w:sz="6" w:space="0"/>
            </w:tcBorders>
            <w:noWrap/>
            <w:vAlign w:val="center"/>
          </w:tcPr>
          <w:p w14:paraId="1FEDAF17">
            <w:pPr>
              <w:snapToGrid w:val="0"/>
              <w:spacing w:line="240" w:lineRule="auto"/>
              <w:ind w:firstLine="0" w:firstLineChars="0"/>
              <w:rPr>
                <w:rFonts w:hint="eastAsia" w:ascii="宋体" w:hAnsi="宋体" w:eastAsia="宋体" w:cs="宋体"/>
                <w:color w:val="auto"/>
                <w:kern w:val="2"/>
                <w:sz w:val="21"/>
                <w:szCs w:val="21"/>
              </w:rPr>
            </w:pPr>
          </w:p>
        </w:tc>
        <w:tc>
          <w:tcPr>
            <w:tcW w:w="2229" w:type="dxa"/>
            <w:tcBorders>
              <w:top w:val="single" w:color="auto" w:sz="6" w:space="0"/>
              <w:left w:val="single" w:color="auto" w:sz="6" w:space="0"/>
              <w:bottom w:val="single" w:color="auto" w:sz="6" w:space="0"/>
              <w:right w:val="single" w:color="auto" w:sz="6" w:space="0"/>
            </w:tcBorders>
            <w:noWrap/>
            <w:vAlign w:val="center"/>
          </w:tcPr>
          <w:p w14:paraId="5A31B082">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光洁明亮、无污渍</w:t>
            </w:r>
          </w:p>
        </w:tc>
      </w:tr>
      <w:tr w14:paraId="269362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continue"/>
            <w:tcBorders>
              <w:top w:val="single" w:color="auto" w:sz="6" w:space="0"/>
              <w:left w:val="single" w:color="auto" w:sz="6" w:space="0"/>
              <w:bottom w:val="single" w:color="auto" w:sz="6" w:space="0"/>
              <w:right w:val="single" w:color="auto" w:sz="6" w:space="0"/>
            </w:tcBorders>
            <w:noWrap/>
            <w:vAlign w:val="center"/>
          </w:tcPr>
          <w:p w14:paraId="38AC8B63">
            <w:pPr>
              <w:spacing w:line="240" w:lineRule="auto"/>
              <w:ind w:firstLine="0" w:firstLineChars="0"/>
              <w:jc w:val="center"/>
              <w:rPr>
                <w:rFonts w:hint="eastAsia" w:ascii="宋体" w:hAnsi="宋体" w:eastAsia="宋体" w:cs="宋体"/>
                <w:color w:val="auto"/>
                <w:kern w:val="2"/>
                <w:sz w:val="21"/>
                <w:szCs w:val="21"/>
              </w:rPr>
            </w:pPr>
          </w:p>
        </w:tc>
        <w:tc>
          <w:tcPr>
            <w:tcW w:w="530" w:type="dxa"/>
            <w:tcBorders>
              <w:top w:val="single" w:color="auto" w:sz="6" w:space="0"/>
              <w:left w:val="single" w:color="auto" w:sz="6" w:space="0"/>
              <w:bottom w:val="single" w:color="auto" w:sz="6" w:space="0"/>
              <w:right w:val="single" w:color="auto" w:sz="6" w:space="0"/>
            </w:tcBorders>
            <w:noWrap/>
            <w:vAlign w:val="center"/>
          </w:tcPr>
          <w:p w14:paraId="379A0FC1">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w:t>
            </w:r>
          </w:p>
        </w:tc>
        <w:tc>
          <w:tcPr>
            <w:tcW w:w="1460" w:type="dxa"/>
            <w:tcBorders>
              <w:top w:val="single" w:color="auto" w:sz="6" w:space="0"/>
              <w:left w:val="single" w:color="auto" w:sz="6" w:space="0"/>
              <w:bottom w:val="single" w:color="auto" w:sz="6" w:space="0"/>
              <w:right w:val="single" w:color="auto" w:sz="6" w:space="0"/>
            </w:tcBorders>
            <w:noWrap/>
            <w:vAlign w:val="center"/>
          </w:tcPr>
          <w:p w14:paraId="1FC2BD99">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轿箱地面</w:t>
            </w:r>
          </w:p>
        </w:tc>
        <w:tc>
          <w:tcPr>
            <w:tcW w:w="1156" w:type="dxa"/>
            <w:tcBorders>
              <w:top w:val="single" w:color="auto" w:sz="6" w:space="0"/>
              <w:left w:val="single" w:color="auto" w:sz="6" w:space="0"/>
              <w:bottom w:val="single" w:color="auto" w:sz="6" w:space="0"/>
              <w:right w:val="single" w:color="auto" w:sz="6" w:space="0"/>
            </w:tcBorders>
            <w:noWrap/>
            <w:vAlign w:val="center"/>
          </w:tcPr>
          <w:p w14:paraId="7E11C9F8">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清洁地面若干次</w:t>
            </w:r>
          </w:p>
        </w:tc>
        <w:tc>
          <w:tcPr>
            <w:tcW w:w="1246" w:type="dxa"/>
            <w:tcBorders>
              <w:top w:val="single" w:color="auto" w:sz="6" w:space="0"/>
              <w:left w:val="single" w:color="auto" w:sz="6" w:space="0"/>
              <w:bottom w:val="single" w:color="auto" w:sz="6" w:space="0"/>
              <w:right w:val="single" w:color="auto" w:sz="6" w:space="0"/>
            </w:tcBorders>
            <w:noWrap/>
            <w:vAlign w:val="center"/>
          </w:tcPr>
          <w:p w14:paraId="5C0D1A12">
            <w:pPr>
              <w:snapToGrid w:val="0"/>
              <w:spacing w:line="240" w:lineRule="auto"/>
              <w:ind w:firstLine="0" w:firstLineChars="0"/>
              <w:rPr>
                <w:rFonts w:hint="eastAsia" w:ascii="宋体" w:hAnsi="宋体" w:eastAsia="宋体" w:cs="宋体"/>
                <w:color w:val="auto"/>
                <w:kern w:val="2"/>
                <w:sz w:val="21"/>
                <w:szCs w:val="21"/>
              </w:rPr>
            </w:pPr>
          </w:p>
        </w:tc>
        <w:tc>
          <w:tcPr>
            <w:tcW w:w="1069" w:type="dxa"/>
            <w:tcBorders>
              <w:top w:val="single" w:color="auto" w:sz="6" w:space="0"/>
              <w:left w:val="single" w:color="auto" w:sz="6" w:space="0"/>
              <w:bottom w:val="single" w:color="auto" w:sz="6" w:space="0"/>
              <w:right w:val="single" w:color="auto" w:sz="6" w:space="0"/>
            </w:tcBorders>
            <w:noWrap/>
            <w:vAlign w:val="center"/>
          </w:tcPr>
          <w:p w14:paraId="5811B166">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抛光一次</w:t>
            </w:r>
          </w:p>
        </w:tc>
        <w:tc>
          <w:tcPr>
            <w:tcW w:w="890" w:type="dxa"/>
            <w:tcBorders>
              <w:top w:val="single" w:color="auto" w:sz="6" w:space="0"/>
              <w:left w:val="single" w:color="auto" w:sz="6" w:space="0"/>
              <w:bottom w:val="single" w:color="auto" w:sz="6" w:space="0"/>
              <w:right w:val="single" w:color="auto" w:sz="6" w:space="0"/>
            </w:tcBorders>
            <w:noWrap/>
            <w:vAlign w:val="center"/>
          </w:tcPr>
          <w:p w14:paraId="121E5CBD">
            <w:pPr>
              <w:snapToGrid w:val="0"/>
              <w:spacing w:line="240" w:lineRule="auto"/>
              <w:ind w:firstLine="0" w:firstLineChars="0"/>
              <w:rPr>
                <w:rFonts w:hint="eastAsia" w:ascii="宋体" w:hAnsi="宋体" w:eastAsia="宋体" w:cs="宋体"/>
                <w:color w:val="auto"/>
                <w:kern w:val="2"/>
                <w:sz w:val="21"/>
                <w:szCs w:val="21"/>
              </w:rPr>
            </w:pPr>
          </w:p>
        </w:tc>
        <w:tc>
          <w:tcPr>
            <w:tcW w:w="2229" w:type="dxa"/>
            <w:tcBorders>
              <w:top w:val="single" w:color="auto" w:sz="6" w:space="0"/>
              <w:left w:val="single" w:color="auto" w:sz="6" w:space="0"/>
              <w:bottom w:val="single" w:color="auto" w:sz="6" w:space="0"/>
              <w:right w:val="single" w:color="auto" w:sz="6" w:space="0"/>
            </w:tcBorders>
            <w:noWrap/>
            <w:vAlign w:val="center"/>
          </w:tcPr>
          <w:p w14:paraId="2AF92F93">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与石材地面要求相同</w:t>
            </w:r>
          </w:p>
        </w:tc>
      </w:tr>
      <w:tr w14:paraId="1C6C0E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continue"/>
            <w:tcBorders>
              <w:top w:val="single" w:color="auto" w:sz="6" w:space="0"/>
              <w:left w:val="single" w:color="auto" w:sz="6" w:space="0"/>
              <w:bottom w:val="single" w:color="auto" w:sz="6" w:space="0"/>
              <w:right w:val="single" w:color="auto" w:sz="6" w:space="0"/>
            </w:tcBorders>
            <w:noWrap/>
            <w:vAlign w:val="center"/>
          </w:tcPr>
          <w:p w14:paraId="5F4422AE">
            <w:pPr>
              <w:spacing w:line="240" w:lineRule="auto"/>
              <w:ind w:firstLine="0" w:firstLineChars="0"/>
              <w:jc w:val="center"/>
              <w:rPr>
                <w:rFonts w:hint="eastAsia" w:ascii="宋体" w:hAnsi="宋体" w:eastAsia="宋体" w:cs="宋体"/>
                <w:color w:val="auto"/>
                <w:kern w:val="2"/>
                <w:sz w:val="21"/>
                <w:szCs w:val="21"/>
              </w:rPr>
            </w:pPr>
          </w:p>
        </w:tc>
        <w:tc>
          <w:tcPr>
            <w:tcW w:w="530" w:type="dxa"/>
            <w:tcBorders>
              <w:top w:val="single" w:color="auto" w:sz="6" w:space="0"/>
              <w:left w:val="single" w:color="auto" w:sz="6" w:space="0"/>
              <w:bottom w:val="single" w:color="auto" w:sz="6" w:space="0"/>
              <w:right w:val="single" w:color="auto" w:sz="6" w:space="0"/>
            </w:tcBorders>
            <w:noWrap/>
            <w:vAlign w:val="center"/>
          </w:tcPr>
          <w:p w14:paraId="58A63943">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w:t>
            </w:r>
          </w:p>
        </w:tc>
        <w:tc>
          <w:tcPr>
            <w:tcW w:w="1460" w:type="dxa"/>
            <w:tcBorders>
              <w:top w:val="single" w:color="auto" w:sz="6" w:space="0"/>
              <w:left w:val="single" w:color="auto" w:sz="6" w:space="0"/>
              <w:bottom w:val="single" w:color="auto" w:sz="6" w:space="0"/>
              <w:right w:val="single" w:color="auto" w:sz="6" w:space="0"/>
            </w:tcBorders>
            <w:noWrap/>
            <w:vAlign w:val="center"/>
          </w:tcPr>
          <w:p w14:paraId="756F5532">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轿箱内地脚线</w:t>
            </w:r>
          </w:p>
        </w:tc>
        <w:tc>
          <w:tcPr>
            <w:tcW w:w="1156" w:type="dxa"/>
            <w:tcBorders>
              <w:top w:val="single" w:color="auto" w:sz="6" w:space="0"/>
              <w:left w:val="single" w:color="auto" w:sz="6" w:space="0"/>
              <w:bottom w:val="single" w:color="auto" w:sz="6" w:space="0"/>
              <w:right w:val="single" w:color="auto" w:sz="6" w:space="0"/>
            </w:tcBorders>
            <w:noWrap/>
            <w:vAlign w:val="center"/>
          </w:tcPr>
          <w:p w14:paraId="1BE4A819">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清抹一次</w:t>
            </w:r>
          </w:p>
        </w:tc>
        <w:tc>
          <w:tcPr>
            <w:tcW w:w="1246" w:type="dxa"/>
            <w:tcBorders>
              <w:top w:val="single" w:color="auto" w:sz="6" w:space="0"/>
              <w:left w:val="single" w:color="auto" w:sz="6" w:space="0"/>
              <w:bottom w:val="single" w:color="auto" w:sz="6" w:space="0"/>
              <w:right w:val="single" w:color="auto" w:sz="6" w:space="0"/>
            </w:tcBorders>
            <w:noWrap/>
            <w:vAlign w:val="center"/>
          </w:tcPr>
          <w:p w14:paraId="2F3756DC">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用清洁剂清抹一次</w:t>
            </w:r>
          </w:p>
        </w:tc>
        <w:tc>
          <w:tcPr>
            <w:tcW w:w="1069" w:type="dxa"/>
            <w:tcBorders>
              <w:top w:val="single" w:color="auto" w:sz="6" w:space="0"/>
              <w:left w:val="single" w:color="auto" w:sz="6" w:space="0"/>
              <w:bottom w:val="single" w:color="auto" w:sz="6" w:space="0"/>
              <w:right w:val="single" w:color="auto" w:sz="6" w:space="0"/>
            </w:tcBorders>
            <w:noWrap/>
            <w:vAlign w:val="center"/>
          </w:tcPr>
          <w:p w14:paraId="5BF9E930">
            <w:pPr>
              <w:snapToGrid w:val="0"/>
              <w:spacing w:line="240" w:lineRule="auto"/>
              <w:ind w:firstLine="0" w:firstLineChars="0"/>
              <w:rPr>
                <w:rFonts w:hint="eastAsia" w:ascii="宋体" w:hAnsi="宋体" w:eastAsia="宋体" w:cs="宋体"/>
                <w:color w:val="auto"/>
                <w:kern w:val="2"/>
                <w:sz w:val="21"/>
                <w:szCs w:val="21"/>
              </w:rPr>
            </w:pPr>
          </w:p>
        </w:tc>
        <w:tc>
          <w:tcPr>
            <w:tcW w:w="890" w:type="dxa"/>
            <w:tcBorders>
              <w:top w:val="single" w:color="auto" w:sz="6" w:space="0"/>
              <w:left w:val="single" w:color="auto" w:sz="6" w:space="0"/>
              <w:bottom w:val="single" w:color="auto" w:sz="6" w:space="0"/>
              <w:right w:val="single" w:color="auto" w:sz="6" w:space="0"/>
            </w:tcBorders>
            <w:noWrap/>
            <w:vAlign w:val="center"/>
          </w:tcPr>
          <w:p w14:paraId="4FDD23E0">
            <w:pPr>
              <w:snapToGrid w:val="0"/>
              <w:spacing w:line="240" w:lineRule="auto"/>
              <w:ind w:firstLine="0" w:firstLineChars="0"/>
              <w:rPr>
                <w:rFonts w:hint="eastAsia" w:ascii="宋体" w:hAnsi="宋体" w:eastAsia="宋体" w:cs="宋体"/>
                <w:color w:val="auto"/>
                <w:kern w:val="2"/>
                <w:sz w:val="21"/>
                <w:szCs w:val="21"/>
              </w:rPr>
            </w:pPr>
          </w:p>
        </w:tc>
        <w:tc>
          <w:tcPr>
            <w:tcW w:w="2229" w:type="dxa"/>
            <w:tcBorders>
              <w:top w:val="single" w:color="auto" w:sz="6" w:space="0"/>
              <w:left w:val="single" w:color="auto" w:sz="6" w:space="0"/>
              <w:bottom w:val="single" w:color="auto" w:sz="6" w:space="0"/>
              <w:right w:val="single" w:color="auto" w:sz="6" w:space="0"/>
            </w:tcBorders>
            <w:noWrap/>
            <w:vAlign w:val="center"/>
          </w:tcPr>
          <w:p w14:paraId="65610683">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干净、无尘</w:t>
            </w:r>
          </w:p>
        </w:tc>
      </w:tr>
      <w:tr w14:paraId="175A93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0" w:hRule="atLeast"/>
          <w:jc w:val="center"/>
        </w:trPr>
        <w:tc>
          <w:tcPr>
            <w:tcW w:w="650" w:type="dxa"/>
            <w:vMerge w:val="continue"/>
            <w:tcBorders>
              <w:top w:val="single" w:color="auto" w:sz="6" w:space="0"/>
              <w:left w:val="single" w:color="auto" w:sz="6" w:space="0"/>
              <w:bottom w:val="single" w:color="auto" w:sz="6" w:space="0"/>
              <w:right w:val="single" w:color="auto" w:sz="6" w:space="0"/>
            </w:tcBorders>
            <w:noWrap/>
            <w:vAlign w:val="center"/>
          </w:tcPr>
          <w:p w14:paraId="53F03134">
            <w:pPr>
              <w:spacing w:line="240" w:lineRule="auto"/>
              <w:ind w:firstLine="0" w:firstLineChars="0"/>
              <w:jc w:val="center"/>
              <w:rPr>
                <w:rFonts w:hint="eastAsia" w:ascii="宋体" w:hAnsi="宋体" w:eastAsia="宋体" w:cs="宋体"/>
                <w:color w:val="auto"/>
                <w:kern w:val="2"/>
                <w:sz w:val="21"/>
                <w:szCs w:val="21"/>
              </w:rPr>
            </w:pPr>
          </w:p>
        </w:tc>
        <w:tc>
          <w:tcPr>
            <w:tcW w:w="530" w:type="dxa"/>
            <w:tcBorders>
              <w:top w:val="single" w:color="auto" w:sz="6" w:space="0"/>
              <w:left w:val="single" w:color="auto" w:sz="6" w:space="0"/>
              <w:bottom w:val="single" w:color="auto" w:sz="6" w:space="0"/>
              <w:right w:val="single" w:color="auto" w:sz="6" w:space="0"/>
            </w:tcBorders>
            <w:noWrap/>
            <w:vAlign w:val="center"/>
          </w:tcPr>
          <w:p w14:paraId="2A001D77">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4</w:t>
            </w:r>
          </w:p>
        </w:tc>
        <w:tc>
          <w:tcPr>
            <w:tcW w:w="1460" w:type="dxa"/>
            <w:tcBorders>
              <w:top w:val="single" w:color="auto" w:sz="6" w:space="0"/>
              <w:left w:val="single" w:color="auto" w:sz="6" w:space="0"/>
              <w:bottom w:val="single" w:color="auto" w:sz="6" w:space="0"/>
              <w:right w:val="single" w:color="auto" w:sz="6" w:space="0"/>
            </w:tcBorders>
            <w:noWrap/>
            <w:vAlign w:val="center"/>
          </w:tcPr>
          <w:p w14:paraId="4E764C9E">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接钮、灯</w:t>
            </w:r>
          </w:p>
          <w:p w14:paraId="24382045">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饰、箱顶</w:t>
            </w:r>
          </w:p>
        </w:tc>
        <w:tc>
          <w:tcPr>
            <w:tcW w:w="1156" w:type="dxa"/>
            <w:tcBorders>
              <w:top w:val="single" w:color="auto" w:sz="6" w:space="0"/>
              <w:left w:val="single" w:color="auto" w:sz="6" w:space="0"/>
              <w:bottom w:val="single" w:color="auto" w:sz="6" w:space="0"/>
              <w:right w:val="single" w:color="auto" w:sz="6" w:space="0"/>
            </w:tcBorders>
            <w:noWrap/>
            <w:vAlign w:val="center"/>
          </w:tcPr>
          <w:p w14:paraId="76024244">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清抹一次</w:t>
            </w:r>
          </w:p>
        </w:tc>
        <w:tc>
          <w:tcPr>
            <w:tcW w:w="1246" w:type="dxa"/>
            <w:tcBorders>
              <w:top w:val="single" w:color="auto" w:sz="6" w:space="0"/>
              <w:left w:val="single" w:color="auto" w:sz="6" w:space="0"/>
              <w:bottom w:val="single" w:color="auto" w:sz="6" w:space="0"/>
              <w:right w:val="single" w:color="auto" w:sz="6" w:space="0"/>
            </w:tcBorders>
            <w:noWrap/>
            <w:vAlign w:val="center"/>
          </w:tcPr>
          <w:p w14:paraId="246BC131">
            <w:pPr>
              <w:snapToGrid w:val="0"/>
              <w:spacing w:line="240" w:lineRule="auto"/>
              <w:ind w:firstLine="0" w:firstLineChars="0"/>
              <w:rPr>
                <w:rFonts w:hint="eastAsia" w:ascii="宋体" w:hAnsi="宋体" w:eastAsia="宋体" w:cs="宋体"/>
                <w:color w:val="auto"/>
                <w:kern w:val="2"/>
                <w:sz w:val="21"/>
                <w:szCs w:val="21"/>
              </w:rPr>
            </w:pPr>
          </w:p>
        </w:tc>
        <w:tc>
          <w:tcPr>
            <w:tcW w:w="1069" w:type="dxa"/>
            <w:tcBorders>
              <w:top w:val="single" w:color="auto" w:sz="6" w:space="0"/>
              <w:left w:val="single" w:color="auto" w:sz="6" w:space="0"/>
              <w:bottom w:val="single" w:color="auto" w:sz="6" w:space="0"/>
              <w:right w:val="single" w:color="auto" w:sz="6" w:space="0"/>
            </w:tcBorders>
            <w:noWrap/>
            <w:vAlign w:val="center"/>
          </w:tcPr>
          <w:p w14:paraId="0581D61B">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用清洁剂清洁一次</w:t>
            </w:r>
          </w:p>
        </w:tc>
        <w:tc>
          <w:tcPr>
            <w:tcW w:w="890" w:type="dxa"/>
            <w:tcBorders>
              <w:top w:val="single" w:color="auto" w:sz="6" w:space="0"/>
              <w:left w:val="single" w:color="auto" w:sz="6" w:space="0"/>
              <w:bottom w:val="single" w:color="auto" w:sz="6" w:space="0"/>
              <w:right w:val="single" w:color="auto" w:sz="6" w:space="0"/>
            </w:tcBorders>
            <w:noWrap/>
            <w:vAlign w:val="center"/>
          </w:tcPr>
          <w:p w14:paraId="4DB30F2A">
            <w:pPr>
              <w:snapToGrid w:val="0"/>
              <w:spacing w:line="240" w:lineRule="auto"/>
              <w:ind w:firstLine="0" w:firstLineChars="0"/>
              <w:rPr>
                <w:rFonts w:hint="eastAsia" w:ascii="宋体" w:hAnsi="宋体" w:eastAsia="宋体" w:cs="宋体"/>
                <w:color w:val="auto"/>
                <w:kern w:val="2"/>
                <w:sz w:val="21"/>
                <w:szCs w:val="21"/>
              </w:rPr>
            </w:pPr>
          </w:p>
        </w:tc>
        <w:tc>
          <w:tcPr>
            <w:tcW w:w="2229" w:type="dxa"/>
            <w:tcBorders>
              <w:top w:val="single" w:color="auto" w:sz="6" w:space="0"/>
              <w:left w:val="single" w:color="auto" w:sz="6" w:space="0"/>
              <w:bottom w:val="single" w:color="auto" w:sz="6" w:space="0"/>
              <w:right w:val="single" w:color="auto" w:sz="6" w:space="0"/>
            </w:tcBorders>
            <w:noWrap/>
            <w:vAlign w:val="center"/>
          </w:tcPr>
          <w:p w14:paraId="4528FD94">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干净、无灰尘</w:t>
            </w:r>
          </w:p>
        </w:tc>
      </w:tr>
    </w:tbl>
    <w:p w14:paraId="1A7229FF">
      <w:pPr>
        <w:numPr>
          <w:ilvl w:val="0"/>
          <w:numId w:val="9"/>
        </w:numPr>
        <w:spacing w:line="360" w:lineRule="auto"/>
        <w:ind w:firstLine="0" w:firstLineChars="0"/>
        <w:rPr>
          <w:rFonts w:hint="eastAsia" w:ascii="宋体" w:hAnsi="宋体" w:eastAsia="宋体" w:cs="宋体"/>
          <w:color w:val="auto"/>
          <w:sz w:val="21"/>
          <w:szCs w:val="21"/>
          <w:highlight w:val="none"/>
        </w:rPr>
      </w:pPr>
      <w:bookmarkStart w:id="600" w:name="_Toc28625"/>
      <w:bookmarkStart w:id="601" w:name="_Toc27191"/>
      <w:r>
        <w:rPr>
          <w:rFonts w:hint="eastAsia" w:ascii="宋体" w:hAnsi="宋体" w:eastAsia="宋体" w:cs="宋体"/>
          <w:color w:val="auto"/>
          <w:sz w:val="21"/>
          <w:szCs w:val="21"/>
          <w:highlight w:val="none"/>
          <w:lang w:val="en-US" w:eastAsia="zh-CN"/>
        </w:rPr>
        <w:t>租赁</w:t>
      </w:r>
      <w:r>
        <w:rPr>
          <w:rFonts w:hint="eastAsia" w:ascii="宋体" w:hAnsi="宋体" w:eastAsia="宋体" w:cs="宋体"/>
          <w:color w:val="auto"/>
          <w:sz w:val="21"/>
          <w:szCs w:val="21"/>
          <w:highlight w:val="none"/>
        </w:rPr>
        <w:t>区域外消杀作业要求与标准：（不得使用国家或地方明令禁止使用的药物）</w:t>
      </w:r>
    </w:p>
    <w:tbl>
      <w:tblPr>
        <w:tblStyle w:val="41"/>
        <w:tblW w:w="940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49"/>
        <w:gridCol w:w="691"/>
        <w:gridCol w:w="1117"/>
        <w:gridCol w:w="2422"/>
        <w:gridCol w:w="2450"/>
        <w:gridCol w:w="2177"/>
      </w:tblGrid>
      <w:tr w14:paraId="52EA0C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549" w:type="dxa"/>
            <w:vMerge w:val="restart"/>
            <w:tcBorders>
              <w:top w:val="single" w:color="auto" w:sz="6" w:space="0"/>
              <w:left w:val="single" w:color="auto" w:sz="6" w:space="0"/>
              <w:bottom w:val="single" w:color="auto" w:sz="6" w:space="0"/>
              <w:right w:val="single" w:color="auto" w:sz="6" w:space="0"/>
            </w:tcBorders>
            <w:noWrap/>
            <w:vAlign w:val="center"/>
          </w:tcPr>
          <w:p w14:paraId="2DDCC918">
            <w:pPr>
              <w:snapToGrid w:val="0"/>
              <w:spacing w:line="240" w:lineRule="auto"/>
              <w:ind w:firstLine="0" w:firstLineChars="0"/>
              <w:jc w:val="center"/>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rPr>
              <w:t>序号</w:t>
            </w:r>
          </w:p>
        </w:tc>
        <w:tc>
          <w:tcPr>
            <w:tcW w:w="691" w:type="dxa"/>
            <w:vMerge w:val="restart"/>
            <w:tcBorders>
              <w:top w:val="single" w:color="auto" w:sz="6" w:space="0"/>
              <w:left w:val="single" w:color="auto" w:sz="6" w:space="0"/>
              <w:bottom w:val="single" w:color="auto" w:sz="6" w:space="0"/>
              <w:right w:val="single" w:color="auto" w:sz="6" w:space="0"/>
            </w:tcBorders>
            <w:noWrap/>
            <w:vAlign w:val="center"/>
          </w:tcPr>
          <w:p w14:paraId="66851F07">
            <w:pPr>
              <w:snapToGrid w:val="0"/>
              <w:spacing w:line="240" w:lineRule="auto"/>
              <w:ind w:firstLine="0" w:firstLineChars="0"/>
              <w:jc w:val="center"/>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rPr>
              <w:t>位置</w:t>
            </w:r>
          </w:p>
        </w:tc>
        <w:tc>
          <w:tcPr>
            <w:tcW w:w="1117" w:type="dxa"/>
            <w:vMerge w:val="restart"/>
            <w:tcBorders>
              <w:top w:val="single" w:color="auto" w:sz="6" w:space="0"/>
              <w:left w:val="single" w:color="auto" w:sz="6" w:space="0"/>
              <w:bottom w:val="single" w:color="auto" w:sz="6" w:space="0"/>
              <w:right w:val="single" w:color="auto" w:sz="6" w:space="0"/>
            </w:tcBorders>
            <w:noWrap/>
            <w:vAlign w:val="center"/>
          </w:tcPr>
          <w:p w14:paraId="0B2F8706">
            <w:pPr>
              <w:snapToGrid w:val="0"/>
              <w:spacing w:line="240" w:lineRule="auto"/>
              <w:ind w:firstLine="0" w:firstLineChars="0"/>
              <w:jc w:val="center"/>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rPr>
              <w:t>消杀项目</w:t>
            </w:r>
          </w:p>
        </w:tc>
        <w:tc>
          <w:tcPr>
            <w:tcW w:w="4872" w:type="dxa"/>
            <w:gridSpan w:val="2"/>
            <w:tcBorders>
              <w:top w:val="single" w:color="auto" w:sz="6" w:space="0"/>
              <w:left w:val="single" w:color="auto" w:sz="6" w:space="0"/>
              <w:bottom w:val="single" w:color="auto" w:sz="6" w:space="0"/>
              <w:right w:val="single" w:color="auto" w:sz="6" w:space="0"/>
            </w:tcBorders>
            <w:noWrap/>
            <w:vAlign w:val="center"/>
          </w:tcPr>
          <w:p w14:paraId="4C4355F8">
            <w:pPr>
              <w:snapToGrid w:val="0"/>
              <w:spacing w:line="240" w:lineRule="auto"/>
              <w:ind w:firstLine="0" w:firstLineChars="0"/>
              <w:jc w:val="center"/>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rPr>
              <w:t>药物消杀安排</w:t>
            </w:r>
          </w:p>
        </w:tc>
        <w:tc>
          <w:tcPr>
            <w:tcW w:w="2177" w:type="dxa"/>
            <w:vMerge w:val="restart"/>
            <w:tcBorders>
              <w:top w:val="single" w:color="auto" w:sz="6" w:space="0"/>
              <w:left w:val="single" w:color="auto" w:sz="6" w:space="0"/>
              <w:bottom w:val="single" w:color="auto" w:sz="6" w:space="0"/>
              <w:right w:val="single" w:color="auto" w:sz="6" w:space="0"/>
            </w:tcBorders>
            <w:noWrap/>
            <w:vAlign w:val="center"/>
          </w:tcPr>
          <w:p w14:paraId="777977C2">
            <w:pPr>
              <w:snapToGrid w:val="0"/>
              <w:spacing w:line="240" w:lineRule="auto"/>
              <w:ind w:firstLine="0" w:firstLineChars="0"/>
              <w:jc w:val="center"/>
              <w:rPr>
                <w:rFonts w:hint="eastAsia" w:ascii="宋体" w:hAnsi="宋体" w:eastAsia="宋体" w:cs="宋体"/>
                <w:b/>
                <w:color w:val="auto"/>
                <w:kern w:val="2"/>
                <w:sz w:val="21"/>
                <w:szCs w:val="21"/>
              </w:rPr>
            </w:pPr>
            <w:r>
              <w:rPr>
                <w:rFonts w:hint="eastAsia" w:ascii="宋体" w:hAnsi="宋体" w:eastAsia="宋体" w:cs="宋体"/>
                <w:b/>
                <w:color w:val="auto"/>
                <w:kern w:val="2"/>
                <w:sz w:val="21"/>
                <w:szCs w:val="21"/>
              </w:rPr>
              <w:t>工作标准</w:t>
            </w:r>
          </w:p>
        </w:tc>
      </w:tr>
      <w:tr w14:paraId="77D298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549" w:type="dxa"/>
            <w:vMerge w:val="continue"/>
            <w:tcBorders>
              <w:top w:val="single" w:color="auto" w:sz="6" w:space="0"/>
              <w:left w:val="single" w:color="auto" w:sz="6" w:space="0"/>
              <w:bottom w:val="single" w:color="auto" w:sz="6" w:space="0"/>
              <w:right w:val="single" w:color="auto" w:sz="6" w:space="0"/>
            </w:tcBorders>
            <w:noWrap/>
            <w:vAlign w:val="center"/>
          </w:tcPr>
          <w:p w14:paraId="55ADB516">
            <w:pPr>
              <w:spacing w:line="240" w:lineRule="auto"/>
              <w:ind w:firstLine="0" w:firstLineChars="0"/>
              <w:jc w:val="both"/>
              <w:rPr>
                <w:rFonts w:hint="eastAsia" w:ascii="宋体" w:hAnsi="宋体" w:eastAsia="宋体" w:cs="宋体"/>
                <w:b/>
                <w:bCs/>
                <w:color w:val="auto"/>
                <w:kern w:val="2"/>
                <w:sz w:val="21"/>
                <w:szCs w:val="21"/>
              </w:rPr>
            </w:pPr>
          </w:p>
        </w:tc>
        <w:tc>
          <w:tcPr>
            <w:tcW w:w="691" w:type="dxa"/>
            <w:vMerge w:val="continue"/>
            <w:tcBorders>
              <w:top w:val="single" w:color="auto" w:sz="6" w:space="0"/>
              <w:left w:val="single" w:color="auto" w:sz="6" w:space="0"/>
              <w:bottom w:val="single" w:color="auto" w:sz="6" w:space="0"/>
              <w:right w:val="single" w:color="auto" w:sz="6" w:space="0"/>
            </w:tcBorders>
            <w:noWrap/>
            <w:vAlign w:val="center"/>
          </w:tcPr>
          <w:p w14:paraId="797C1107">
            <w:pPr>
              <w:spacing w:line="240" w:lineRule="auto"/>
              <w:ind w:firstLine="0" w:firstLineChars="0"/>
              <w:jc w:val="both"/>
              <w:rPr>
                <w:rFonts w:hint="eastAsia" w:ascii="宋体" w:hAnsi="宋体" w:eastAsia="宋体" w:cs="宋体"/>
                <w:b/>
                <w:bCs/>
                <w:color w:val="auto"/>
                <w:kern w:val="2"/>
                <w:sz w:val="21"/>
                <w:szCs w:val="21"/>
              </w:rPr>
            </w:pPr>
          </w:p>
        </w:tc>
        <w:tc>
          <w:tcPr>
            <w:tcW w:w="1117" w:type="dxa"/>
            <w:vMerge w:val="continue"/>
            <w:tcBorders>
              <w:top w:val="single" w:color="auto" w:sz="6" w:space="0"/>
              <w:left w:val="single" w:color="auto" w:sz="6" w:space="0"/>
              <w:bottom w:val="single" w:color="auto" w:sz="6" w:space="0"/>
              <w:right w:val="single" w:color="auto" w:sz="6" w:space="0"/>
            </w:tcBorders>
            <w:noWrap/>
            <w:vAlign w:val="center"/>
          </w:tcPr>
          <w:p w14:paraId="624C56C6">
            <w:pPr>
              <w:spacing w:line="240" w:lineRule="auto"/>
              <w:ind w:firstLine="0" w:firstLineChars="0"/>
              <w:jc w:val="both"/>
              <w:rPr>
                <w:rFonts w:hint="eastAsia" w:ascii="宋体" w:hAnsi="宋体" w:eastAsia="宋体" w:cs="宋体"/>
                <w:b/>
                <w:bCs/>
                <w:color w:val="auto"/>
                <w:kern w:val="2"/>
                <w:sz w:val="21"/>
                <w:szCs w:val="21"/>
              </w:rPr>
            </w:pPr>
          </w:p>
        </w:tc>
        <w:tc>
          <w:tcPr>
            <w:tcW w:w="2422" w:type="dxa"/>
            <w:tcBorders>
              <w:top w:val="single" w:color="auto" w:sz="6" w:space="0"/>
              <w:left w:val="single" w:color="auto" w:sz="6" w:space="0"/>
              <w:bottom w:val="single" w:color="auto" w:sz="6" w:space="0"/>
              <w:right w:val="single" w:color="auto" w:sz="6" w:space="0"/>
            </w:tcBorders>
            <w:noWrap/>
            <w:vAlign w:val="center"/>
          </w:tcPr>
          <w:p w14:paraId="17EF5964">
            <w:pPr>
              <w:snapToGrid w:val="0"/>
              <w:spacing w:line="240" w:lineRule="auto"/>
              <w:ind w:firstLine="0" w:firstLineChars="0"/>
              <w:jc w:val="center"/>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rPr>
              <w:t>每周</w:t>
            </w:r>
          </w:p>
        </w:tc>
        <w:tc>
          <w:tcPr>
            <w:tcW w:w="2450" w:type="dxa"/>
            <w:tcBorders>
              <w:top w:val="single" w:color="auto" w:sz="6" w:space="0"/>
              <w:left w:val="single" w:color="auto" w:sz="6" w:space="0"/>
              <w:bottom w:val="single" w:color="auto" w:sz="6" w:space="0"/>
              <w:right w:val="single" w:color="auto" w:sz="6" w:space="0"/>
            </w:tcBorders>
            <w:noWrap/>
            <w:vAlign w:val="center"/>
          </w:tcPr>
          <w:p w14:paraId="408B07CE">
            <w:pPr>
              <w:snapToGrid w:val="0"/>
              <w:spacing w:line="240" w:lineRule="auto"/>
              <w:ind w:firstLine="0" w:firstLineChars="0"/>
              <w:jc w:val="center"/>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rPr>
              <w:t>每月</w:t>
            </w:r>
          </w:p>
        </w:tc>
        <w:tc>
          <w:tcPr>
            <w:tcW w:w="2177" w:type="dxa"/>
            <w:vMerge w:val="continue"/>
            <w:tcBorders>
              <w:top w:val="single" w:color="auto" w:sz="6" w:space="0"/>
              <w:left w:val="single" w:color="auto" w:sz="6" w:space="0"/>
              <w:bottom w:val="single" w:color="auto" w:sz="6" w:space="0"/>
              <w:right w:val="single" w:color="auto" w:sz="6" w:space="0"/>
            </w:tcBorders>
            <w:noWrap/>
            <w:vAlign w:val="center"/>
          </w:tcPr>
          <w:p w14:paraId="790A1FA5">
            <w:pPr>
              <w:spacing w:line="240" w:lineRule="auto"/>
              <w:ind w:firstLine="0" w:firstLineChars="0"/>
              <w:jc w:val="both"/>
              <w:rPr>
                <w:rFonts w:hint="eastAsia" w:ascii="宋体" w:hAnsi="宋体" w:eastAsia="宋体" w:cs="宋体"/>
                <w:color w:val="auto"/>
                <w:kern w:val="2"/>
                <w:sz w:val="21"/>
                <w:szCs w:val="21"/>
              </w:rPr>
            </w:pPr>
          </w:p>
        </w:tc>
      </w:tr>
      <w:tr w14:paraId="6CEEB6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549" w:type="dxa"/>
            <w:vMerge w:val="restart"/>
            <w:tcBorders>
              <w:top w:val="single" w:color="auto" w:sz="6" w:space="0"/>
              <w:left w:val="single" w:color="auto" w:sz="6" w:space="0"/>
              <w:bottom w:val="single" w:color="auto" w:sz="6" w:space="0"/>
              <w:right w:val="single" w:color="auto" w:sz="6" w:space="0"/>
            </w:tcBorders>
            <w:noWrap/>
            <w:vAlign w:val="center"/>
          </w:tcPr>
          <w:p w14:paraId="46D7BAE0">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p>
        </w:tc>
        <w:tc>
          <w:tcPr>
            <w:tcW w:w="691" w:type="dxa"/>
            <w:vMerge w:val="restart"/>
            <w:tcBorders>
              <w:top w:val="single" w:color="auto" w:sz="6" w:space="0"/>
              <w:left w:val="single" w:color="auto" w:sz="6" w:space="0"/>
              <w:bottom w:val="single" w:color="auto" w:sz="6" w:space="0"/>
              <w:right w:val="single" w:color="auto" w:sz="6" w:space="0"/>
            </w:tcBorders>
            <w:noWrap/>
            <w:vAlign w:val="center"/>
          </w:tcPr>
          <w:p w14:paraId="3F1F85B6">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卫</w:t>
            </w:r>
          </w:p>
          <w:p w14:paraId="4C817FA3">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生</w:t>
            </w:r>
          </w:p>
          <w:p w14:paraId="2A24639B">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间</w:t>
            </w:r>
          </w:p>
        </w:tc>
        <w:tc>
          <w:tcPr>
            <w:tcW w:w="1117" w:type="dxa"/>
            <w:tcBorders>
              <w:top w:val="single" w:color="auto" w:sz="6" w:space="0"/>
              <w:left w:val="single" w:color="auto" w:sz="6" w:space="0"/>
              <w:bottom w:val="single" w:color="auto" w:sz="6" w:space="0"/>
              <w:right w:val="single" w:color="auto" w:sz="6" w:space="0"/>
            </w:tcBorders>
            <w:noWrap/>
            <w:vAlign w:val="center"/>
          </w:tcPr>
          <w:p w14:paraId="40592A2D">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蟑螂</w:t>
            </w:r>
          </w:p>
        </w:tc>
        <w:tc>
          <w:tcPr>
            <w:tcW w:w="2422" w:type="dxa"/>
            <w:tcBorders>
              <w:top w:val="single" w:color="auto" w:sz="6" w:space="0"/>
              <w:left w:val="single" w:color="auto" w:sz="6" w:space="0"/>
              <w:bottom w:val="single" w:color="auto" w:sz="6" w:space="0"/>
              <w:right w:val="single" w:color="auto" w:sz="6" w:space="0"/>
            </w:tcBorders>
            <w:noWrap/>
            <w:vAlign w:val="center"/>
          </w:tcPr>
          <w:p w14:paraId="527DA225">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10%爱克宁、奋斗呐粉剂、拜力坦浮油交替喷洒到蟑螂藏藏身的洞穴、缝隙、角落、墙角等处，每周二次</w:t>
            </w:r>
          </w:p>
        </w:tc>
        <w:tc>
          <w:tcPr>
            <w:tcW w:w="2450" w:type="dxa"/>
            <w:tcBorders>
              <w:top w:val="single" w:color="auto" w:sz="6" w:space="0"/>
              <w:left w:val="single" w:color="auto" w:sz="6" w:space="0"/>
              <w:bottom w:val="single" w:color="auto" w:sz="6" w:space="0"/>
              <w:right w:val="single" w:color="auto" w:sz="6" w:space="0"/>
            </w:tcBorders>
            <w:noWrap/>
            <w:vAlign w:val="center"/>
          </w:tcPr>
          <w:p w14:paraId="56C270A8">
            <w:pPr>
              <w:snapToGrid w:val="0"/>
              <w:spacing w:line="240" w:lineRule="auto"/>
              <w:ind w:firstLine="0" w:firstLineChars="0"/>
              <w:rPr>
                <w:rFonts w:hint="eastAsia" w:ascii="宋体" w:hAnsi="宋体" w:eastAsia="宋体" w:cs="宋体"/>
                <w:color w:val="auto"/>
                <w:kern w:val="2"/>
                <w:sz w:val="21"/>
                <w:szCs w:val="21"/>
              </w:rPr>
            </w:pPr>
          </w:p>
        </w:tc>
        <w:tc>
          <w:tcPr>
            <w:tcW w:w="2177" w:type="dxa"/>
            <w:vMerge w:val="restart"/>
            <w:tcBorders>
              <w:top w:val="single" w:color="auto" w:sz="6" w:space="0"/>
              <w:left w:val="single" w:color="auto" w:sz="6" w:space="0"/>
              <w:bottom w:val="single" w:color="auto" w:sz="6" w:space="0"/>
              <w:right w:val="single" w:color="auto" w:sz="6" w:space="0"/>
            </w:tcBorders>
            <w:noWrap/>
            <w:vAlign w:val="center"/>
          </w:tcPr>
          <w:p w14:paraId="366D464A">
            <w:pPr>
              <w:spacing w:line="240" w:lineRule="auto"/>
              <w:ind w:firstLine="0" w:firstLineChars="0"/>
              <w:jc w:val="both"/>
              <w:rPr>
                <w:rFonts w:hint="eastAsia" w:ascii="宋体" w:hAnsi="宋体" w:eastAsia="宋体" w:cs="宋体"/>
                <w:color w:val="auto"/>
                <w:kern w:val="2"/>
                <w:sz w:val="21"/>
                <w:szCs w:val="21"/>
              </w:rPr>
            </w:pPr>
          </w:p>
          <w:p w14:paraId="7FF1AD9D">
            <w:pPr>
              <w:numPr>
                <w:ilvl w:val="0"/>
                <w:numId w:val="10"/>
              </w:numPr>
              <w:autoSpaceDE/>
              <w:autoSpaceDN/>
              <w:adjustRightInd/>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灭鼠标准：鼠密度不超过5%（粉迹法）；</w:t>
            </w:r>
          </w:p>
          <w:p w14:paraId="430BFDBC">
            <w:pPr>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2.灭蚊标准：积水中三龄幼蝇或蛹阳性率不超过3%；</w:t>
            </w:r>
          </w:p>
          <w:p w14:paraId="0EE31567">
            <w:pPr>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3.灭蝇标准：蝇类孽生的三龄虫和蛹检出率不超过3%；</w:t>
            </w:r>
          </w:p>
          <w:p w14:paraId="3528EACF">
            <w:pPr>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4.灭蟑螂标准：蟑螂密度不超过1%（粉迹法）；</w:t>
            </w:r>
          </w:p>
          <w:p w14:paraId="6C6BB1C9">
            <w:pPr>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5.灭白蚁标准：按《城市房屋白蚁防治管理规定》执行。</w:t>
            </w:r>
          </w:p>
        </w:tc>
      </w:tr>
      <w:tr w14:paraId="15A19F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549" w:type="dxa"/>
            <w:vMerge w:val="continue"/>
            <w:tcBorders>
              <w:top w:val="single" w:color="auto" w:sz="6" w:space="0"/>
              <w:left w:val="single" w:color="auto" w:sz="6" w:space="0"/>
              <w:bottom w:val="single" w:color="auto" w:sz="6" w:space="0"/>
              <w:right w:val="single" w:color="auto" w:sz="6" w:space="0"/>
            </w:tcBorders>
            <w:noWrap/>
            <w:vAlign w:val="center"/>
          </w:tcPr>
          <w:p w14:paraId="4AD3662E">
            <w:pPr>
              <w:spacing w:line="240" w:lineRule="auto"/>
              <w:ind w:firstLine="0" w:firstLineChars="0"/>
              <w:jc w:val="both"/>
              <w:rPr>
                <w:rFonts w:hint="eastAsia" w:ascii="宋体" w:hAnsi="宋体" w:eastAsia="宋体" w:cs="宋体"/>
                <w:color w:val="auto"/>
                <w:kern w:val="2"/>
                <w:sz w:val="21"/>
                <w:szCs w:val="21"/>
              </w:rPr>
            </w:pPr>
          </w:p>
        </w:tc>
        <w:tc>
          <w:tcPr>
            <w:tcW w:w="691" w:type="dxa"/>
            <w:vMerge w:val="continue"/>
            <w:tcBorders>
              <w:top w:val="single" w:color="auto" w:sz="6" w:space="0"/>
              <w:left w:val="single" w:color="auto" w:sz="6" w:space="0"/>
              <w:bottom w:val="single" w:color="auto" w:sz="6" w:space="0"/>
              <w:right w:val="single" w:color="auto" w:sz="6" w:space="0"/>
            </w:tcBorders>
            <w:noWrap/>
            <w:vAlign w:val="center"/>
          </w:tcPr>
          <w:p w14:paraId="1EBFF4AB">
            <w:pPr>
              <w:spacing w:line="240" w:lineRule="auto"/>
              <w:ind w:firstLine="0" w:firstLineChars="0"/>
              <w:jc w:val="both"/>
              <w:rPr>
                <w:rFonts w:hint="eastAsia" w:ascii="宋体" w:hAnsi="宋体" w:eastAsia="宋体" w:cs="宋体"/>
                <w:color w:val="auto"/>
                <w:kern w:val="2"/>
                <w:sz w:val="21"/>
                <w:szCs w:val="21"/>
              </w:rPr>
            </w:pPr>
          </w:p>
        </w:tc>
        <w:tc>
          <w:tcPr>
            <w:tcW w:w="1117" w:type="dxa"/>
            <w:tcBorders>
              <w:top w:val="single" w:color="auto" w:sz="6" w:space="0"/>
              <w:left w:val="single" w:color="auto" w:sz="6" w:space="0"/>
              <w:bottom w:val="single" w:color="auto" w:sz="6" w:space="0"/>
              <w:right w:val="single" w:color="auto" w:sz="6" w:space="0"/>
            </w:tcBorders>
            <w:noWrap/>
            <w:vAlign w:val="center"/>
          </w:tcPr>
          <w:p w14:paraId="64CEFA7A">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蚊、蝇</w:t>
            </w:r>
          </w:p>
        </w:tc>
        <w:tc>
          <w:tcPr>
            <w:tcW w:w="2422" w:type="dxa"/>
            <w:tcBorders>
              <w:top w:val="single" w:color="auto" w:sz="6" w:space="0"/>
              <w:left w:val="single" w:color="auto" w:sz="6" w:space="0"/>
              <w:bottom w:val="single" w:color="auto" w:sz="6" w:space="0"/>
              <w:right w:val="single" w:color="auto" w:sz="6" w:space="0"/>
            </w:tcBorders>
            <w:noWrap/>
            <w:vAlign w:val="center"/>
          </w:tcPr>
          <w:p w14:paraId="7A6289D4">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用家虫清、奋斗呐悬浮剂喷洒二次</w:t>
            </w:r>
          </w:p>
        </w:tc>
        <w:tc>
          <w:tcPr>
            <w:tcW w:w="2450" w:type="dxa"/>
            <w:tcBorders>
              <w:top w:val="single" w:color="auto" w:sz="6" w:space="0"/>
              <w:left w:val="single" w:color="auto" w:sz="6" w:space="0"/>
              <w:bottom w:val="single" w:color="auto" w:sz="6" w:space="0"/>
              <w:right w:val="single" w:color="auto" w:sz="6" w:space="0"/>
            </w:tcBorders>
            <w:noWrap/>
            <w:vAlign w:val="center"/>
          </w:tcPr>
          <w:p w14:paraId="08C8A5FC">
            <w:pPr>
              <w:snapToGrid w:val="0"/>
              <w:spacing w:line="240" w:lineRule="auto"/>
              <w:ind w:firstLine="0" w:firstLineChars="0"/>
              <w:rPr>
                <w:rFonts w:hint="eastAsia" w:ascii="宋体" w:hAnsi="宋体" w:eastAsia="宋体" w:cs="宋体"/>
                <w:color w:val="auto"/>
                <w:kern w:val="2"/>
                <w:sz w:val="21"/>
                <w:szCs w:val="21"/>
              </w:rPr>
            </w:pPr>
          </w:p>
        </w:tc>
        <w:tc>
          <w:tcPr>
            <w:tcW w:w="2177" w:type="dxa"/>
            <w:vMerge w:val="continue"/>
            <w:tcBorders>
              <w:top w:val="single" w:color="auto" w:sz="6" w:space="0"/>
              <w:left w:val="single" w:color="auto" w:sz="6" w:space="0"/>
              <w:bottom w:val="single" w:color="auto" w:sz="6" w:space="0"/>
              <w:right w:val="single" w:color="auto" w:sz="6" w:space="0"/>
            </w:tcBorders>
            <w:noWrap/>
            <w:vAlign w:val="center"/>
          </w:tcPr>
          <w:p w14:paraId="0553152C">
            <w:pPr>
              <w:spacing w:line="240" w:lineRule="auto"/>
              <w:ind w:firstLine="0" w:firstLineChars="0"/>
              <w:jc w:val="both"/>
              <w:rPr>
                <w:rFonts w:hint="eastAsia" w:ascii="宋体" w:hAnsi="宋体" w:eastAsia="宋体" w:cs="宋体"/>
                <w:color w:val="auto"/>
                <w:kern w:val="2"/>
                <w:sz w:val="21"/>
                <w:szCs w:val="21"/>
              </w:rPr>
            </w:pPr>
          </w:p>
        </w:tc>
      </w:tr>
      <w:tr w14:paraId="79B753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549" w:type="dxa"/>
            <w:vMerge w:val="continue"/>
            <w:tcBorders>
              <w:top w:val="single" w:color="auto" w:sz="6" w:space="0"/>
              <w:left w:val="single" w:color="auto" w:sz="6" w:space="0"/>
              <w:bottom w:val="single" w:color="auto" w:sz="6" w:space="0"/>
              <w:right w:val="single" w:color="auto" w:sz="6" w:space="0"/>
            </w:tcBorders>
            <w:noWrap/>
            <w:vAlign w:val="center"/>
          </w:tcPr>
          <w:p w14:paraId="35149151">
            <w:pPr>
              <w:spacing w:line="240" w:lineRule="auto"/>
              <w:ind w:firstLine="0" w:firstLineChars="0"/>
              <w:jc w:val="both"/>
              <w:rPr>
                <w:rFonts w:hint="eastAsia" w:ascii="宋体" w:hAnsi="宋体" w:eastAsia="宋体" w:cs="宋体"/>
                <w:color w:val="auto"/>
                <w:kern w:val="2"/>
                <w:sz w:val="21"/>
                <w:szCs w:val="21"/>
              </w:rPr>
            </w:pPr>
          </w:p>
        </w:tc>
        <w:tc>
          <w:tcPr>
            <w:tcW w:w="691" w:type="dxa"/>
            <w:vMerge w:val="continue"/>
            <w:tcBorders>
              <w:top w:val="single" w:color="auto" w:sz="6" w:space="0"/>
              <w:left w:val="single" w:color="auto" w:sz="6" w:space="0"/>
              <w:bottom w:val="single" w:color="auto" w:sz="6" w:space="0"/>
              <w:right w:val="single" w:color="auto" w:sz="6" w:space="0"/>
            </w:tcBorders>
            <w:noWrap/>
            <w:vAlign w:val="center"/>
          </w:tcPr>
          <w:p w14:paraId="7D769D49">
            <w:pPr>
              <w:spacing w:line="240" w:lineRule="auto"/>
              <w:ind w:firstLine="0" w:firstLineChars="0"/>
              <w:jc w:val="both"/>
              <w:rPr>
                <w:rFonts w:hint="eastAsia" w:ascii="宋体" w:hAnsi="宋体" w:eastAsia="宋体" w:cs="宋体"/>
                <w:color w:val="auto"/>
                <w:kern w:val="2"/>
                <w:sz w:val="21"/>
                <w:szCs w:val="21"/>
              </w:rPr>
            </w:pPr>
          </w:p>
        </w:tc>
        <w:tc>
          <w:tcPr>
            <w:tcW w:w="1117" w:type="dxa"/>
            <w:tcBorders>
              <w:top w:val="single" w:color="auto" w:sz="6" w:space="0"/>
              <w:left w:val="single" w:color="auto" w:sz="6" w:space="0"/>
              <w:bottom w:val="single" w:color="auto" w:sz="6" w:space="0"/>
              <w:right w:val="single" w:color="auto" w:sz="6" w:space="0"/>
            </w:tcBorders>
            <w:noWrap/>
            <w:vAlign w:val="center"/>
          </w:tcPr>
          <w:p w14:paraId="4D7572D6">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老鼠</w:t>
            </w:r>
          </w:p>
        </w:tc>
        <w:tc>
          <w:tcPr>
            <w:tcW w:w="2422" w:type="dxa"/>
            <w:tcBorders>
              <w:top w:val="single" w:color="auto" w:sz="6" w:space="0"/>
              <w:left w:val="single" w:color="auto" w:sz="6" w:space="0"/>
              <w:bottom w:val="single" w:color="auto" w:sz="6" w:space="0"/>
              <w:right w:val="single" w:color="auto" w:sz="6" w:space="0"/>
            </w:tcBorders>
            <w:noWrap/>
            <w:vAlign w:val="center"/>
          </w:tcPr>
          <w:p w14:paraId="764EDDAA">
            <w:pPr>
              <w:spacing w:line="240" w:lineRule="auto"/>
              <w:ind w:firstLine="0" w:firstLineChars="0"/>
              <w:rPr>
                <w:rFonts w:hint="eastAsia" w:ascii="宋体" w:hAnsi="宋体" w:eastAsia="宋体" w:cs="宋体"/>
                <w:color w:val="auto"/>
                <w:kern w:val="2"/>
                <w:sz w:val="21"/>
                <w:szCs w:val="21"/>
              </w:rPr>
            </w:pPr>
          </w:p>
        </w:tc>
        <w:tc>
          <w:tcPr>
            <w:tcW w:w="2450" w:type="dxa"/>
            <w:tcBorders>
              <w:top w:val="single" w:color="auto" w:sz="6" w:space="0"/>
              <w:left w:val="single" w:color="auto" w:sz="6" w:space="0"/>
              <w:bottom w:val="single" w:color="auto" w:sz="6" w:space="0"/>
              <w:right w:val="single" w:color="auto" w:sz="6" w:space="0"/>
            </w:tcBorders>
            <w:noWrap/>
            <w:vAlign w:val="center"/>
          </w:tcPr>
          <w:p w14:paraId="3E10F25B">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于老鼠经常出没之地投放鼠药毒饵两次，几种鼠药轮换投放。</w:t>
            </w:r>
          </w:p>
        </w:tc>
        <w:tc>
          <w:tcPr>
            <w:tcW w:w="2177" w:type="dxa"/>
            <w:vMerge w:val="continue"/>
            <w:tcBorders>
              <w:top w:val="single" w:color="auto" w:sz="6" w:space="0"/>
              <w:left w:val="single" w:color="auto" w:sz="6" w:space="0"/>
              <w:bottom w:val="single" w:color="auto" w:sz="6" w:space="0"/>
              <w:right w:val="single" w:color="auto" w:sz="6" w:space="0"/>
            </w:tcBorders>
            <w:noWrap/>
            <w:vAlign w:val="center"/>
          </w:tcPr>
          <w:p w14:paraId="59371B97">
            <w:pPr>
              <w:spacing w:line="240" w:lineRule="auto"/>
              <w:ind w:firstLine="0" w:firstLineChars="0"/>
              <w:jc w:val="both"/>
              <w:rPr>
                <w:rFonts w:hint="eastAsia" w:ascii="宋体" w:hAnsi="宋体" w:eastAsia="宋体" w:cs="宋体"/>
                <w:color w:val="auto"/>
                <w:kern w:val="2"/>
                <w:sz w:val="21"/>
                <w:szCs w:val="21"/>
              </w:rPr>
            </w:pPr>
          </w:p>
        </w:tc>
      </w:tr>
      <w:tr w14:paraId="5AA5F9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549" w:type="dxa"/>
            <w:vMerge w:val="restart"/>
            <w:tcBorders>
              <w:top w:val="single" w:color="auto" w:sz="6" w:space="0"/>
              <w:left w:val="single" w:color="auto" w:sz="6" w:space="0"/>
              <w:bottom w:val="single" w:color="auto" w:sz="6" w:space="0"/>
              <w:right w:val="single" w:color="auto" w:sz="6" w:space="0"/>
            </w:tcBorders>
            <w:noWrap/>
            <w:vAlign w:val="center"/>
          </w:tcPr>
          <w:p w14:paraId="5565F928">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w:t>
            </w:r>
          </w:p>
        </w:tc>
        <w:tc>
          <w:tcPr>
            <w:tcW w:w="691" w:type="dxa"/>
            <w:vMerge w:val="restart"/>
            <w:tcBorders>
              <w:top w:val="single" w:color="auto" w:sz="6" w:space="0"/>
              <w:left w:val="single" w:color="auto" w:sz="6" w:space="0"/>
              <w:bottom w:val="single" w:color="auto" w:sz="6" w:space="0"/>
              <w:right w:val="single" w:color="auto" w:sz="6" w:space="0"/>
            </w:tcBorders>
            <w:noWrap/>
            <w:vAlign w:val="center"/>
          </w:tcPr>
          <w:p w14:paraId="53A794E7">
            <w:pPr>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消防通道地下室电梯间</w:t>
            </w:r>
          </w:p>
        </w:tc>
        <w:tc>
          <w:tcPr>
            <w:tcW w:w="1117" w:type="dxa"/>
            <w:tcBorders>
              <w:top w:val="single" w:color="auto" w:sz="6" w:space="0"/>
              <w:left w:val="single" w:color="auto" w:sz="6" w:space="0"/>
              <w:bottom w:val="single" w:color="auto" w:sz="6" w:space="0"/>
              <w:right w:val="single" w:color="auto" w:sz="6" w:space="0"/>
            </w:tcBorders>
            <w:noWrap/>
            <w:vAlign w:val="center"/>
          </w:tcPr>
          <w:p w14:paraId="1FC655A6">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蟑螂</w:t>
            </w:r>
          </w:p>
        </w:tc>
        <w:tc>
          <w:tcPr>
            <w:tcW w:w="2422" w:type="dxa"/>
            <w:tcBorders>
              <w:top w:val="single" w:color="auto" w:sz="6" w:space="0"/>
              <w:left w:val="single" w:color="auto" w:sz="6" w:space="0"/>
              <w:bottom w:val="single" w:color="auto" w:sz="6" w:space="0"/>
              <w:right w:val="single" w:color="auto" w:sz="6" w:space="0"/>
            </w:tcBorders>
            <w:noWrap/>
            <w:vAlign w:val="center"/>
          </w:tcPr>
          <w:p w14:paraId="4F092544">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10%爱克宁、奋斗呐粉剂、拜力坦浮油交替喷洒到蟑螂藏藏身的洞穴、缝隙、角落、墙角等处，每周二次</w:t>
            </w:r>
          </w:p>
        </w:tc>
        <w:tc>
          <w:tcPr>
            <w:tcW w:w="2450" w:type="dxa"/>
            <w:tcBorders>
              <w:top w:val="single" w:color="auto" w:sz="6" w:space="0"/>
              <w:left w:val="single" w:color="auto" w:sz="6" w:space="0"/>
              <w:bottom w:val="single" w:color="auto" w:sz="6" w:space="0"/>
              <w:right w:val="single" w:color="auto" w:sz="6" w:space="0"/>
            </w:tcBorders>
            <w:noWrap/>
            <w:vAlign w:val="center"/>
          </w:tcPr>
          <w:p w14:paraId="40F3AFBB">
            <w:pPr>
              <w:snapToGrid w:val="0"/>
              <w:spacing w:line="240" w:lineRule="auto"/>
              <w:ind w:firstLine="0" w:firstLineChars="0"/>
              <w:rPr>
                <w:rFonts w:hint="eastAsia" w:ascii="宋体" w:hAnsi="宋体" w:eastAsia="宋体" w:cs="宋体"/>
                <w:color w:val="auto"/>
                <w:kern w:val="2"/>
                <w:sz w:val="21"/>
                <w:szCs w:val="21"/>
              </w:rPr>
            </w:pPr>
          </w:p>
        </w:tc>
        <w:tc>
          <w:tcPr>
            <w:tcW w:w="2177" w:type="dxa"/>
            <w:vMerge w:val="continue"/>
            <w:tcBorders>
              <w:top w:val="single" w:color="auto" w:sz="6" w:space="0"/>
              <w:left w:val="single" w:color="auto" w:sz="6" w:space="0"/>
              <w:bottom w:val="single" w:color="auto" w:sz="6" w:space="0"/>
              <w:right w:val="single" w:color="auto" w:sz="6" w:space="0"/>
            </w:tcBorders>
            <w:noWrap/>
            <w:vAlign w:val="center"/>
          </w:tcPr>
          <w:p w14:paraId="75493BF7">
            <w:pPr>
              <w:spacing w:line="240" w:lineRule="auto"/>
              <w:ind w:firstLine="0" w:firstLineChars="0"/>
              <w:jc w:val="both"/>
              <w:rPr>
                <w:rFonts w:hint="eastAsia" w:ascii="宋体" w:hAnsi="宋体" w:eastAsia="宋体" w:cs="宋体"/>
                <w:color w:val="auto"/>
                <w:kern w:val="2"/>
                <w:sz w:val="21"/>
                <w:szCs w:val="21"/>
              </w:rPr>
            </w:pPr>
          </w:p>
        </w:tc>
      </w:tr>
      <w:tr w14:paraId="28EEDF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549" w:type="dxa"/>
            <w:vMerge w:val="continue"/>
            <w:tcBorders>
              <w:top w:val="single" w:color="auto" w:sz="6" w:space="0"/>
              <w:left w:val="single" w:color="auto" w:sz="6" w:space="0"/>
              <w:bottom w:val="single" w:color="auto" w:sz="6" w:space="0"/>
              <w:right w:val="single" w:color="auto" w:sz="6" w:space="0"/>
            </w:tcBorders>
            <w:noWrap/>
            <w:vAlign w:val="center"/>
          </w:tcPr>
          <w:p w14:paraId="3BB194B4">
            <w:pPr>
              <w:spacing w:line="240" w:lineRule="auto"/>
              <w:ind w:firstLine="0" w:firstLineChars="0"/>
              <w:jc w:val="both"/>
              <w:rPr>
                <w:rFonts w:hint="eastAsia" w:ascii="宋体" w:hAnsi="宋体" w:eastAsia="宋体" w:cs="宋体"/>
                <w:color w:val="auto"/>
                <w:kern w:val="2"/>
                <w:sz w:val="21"/>
                <w:szCs w:val="21"/>
              </w:rPr>
            </w:pPr>
          </w:p>
        </w:tc>
        <w:tc>
          <w:tcPr>
            <w:tcW w:w="691" w:type="dxa"/>
            <w:vMerge w:val="continue"/>
            <w:tcBorders>
              <w:top w:val="single" w:color="auto" w:sz="6" w:space="0"/>
              <w:left w:val="single" w:color="auto" w:sz="6" w:space="0"/>
              <w:bottom w:val="single" w:color="auto" w:sz="6" w:space="0"/>
              <w:right w:val="single" w:color="auto" w:sz="6" w:space="0"/>
            </w:tcBorders>
            <w:noWrap/>
            <w:vAlign w:val="center"/>
          </w:tcPr>
          <w:p w14:paraId="1771044D">
            <w:pPr>
              <w:spacing w:line="240" w:lineRule="auto"/>
              <w:ind w:firstLine="0" w:firstLineChars="0"/>
              <w:jc w:val="both"/>
              <w:rPr>
                <w:rFonts w:hint="eastAsia" w:ascii="宋体" w:hAnsi="宋体" w:eastAsia="宋体" w:cs="宋体"/>
                <w:color w:val="auto"/>
                <w:kern w:val="2"/>
                <w:sz w:val="21"/>
                <w:szCs w:val="21"/>
              </w:rPr>
            </w:pPr>
          </w:p>
        </w:tc>
        <w:tc>
          <w:tcPr>
            <w:tcW w:w="1117" w:type="dxa"/>
            <w:tcBorders>
              <w:top w:val="single" w:color="auto" w:sz="6" w:space="0"/>
              <w:left w:val="single" w:color="auto" w:sz="6" w:space="0"/>
              <w:bottom w:val="single" w:color="auto" w:sz="6" w:space="0"/>
              <w:right w:val="single" w:color="auto" w:sz="6" w:space="0"/>
            </w:tcBorders>
            <w:noWrap/>
            <w:vAlign w:val="center"/>
          </w:tcPr>
          <w:p w14:paraId="7E373741">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蚊、蝇</w:t>
            </w:r>
          </w:p>
        </w:tc>
        <w:tc>
          <w:tcPr>
            <w:tcW w:w="2422" w:type="dxa"/>
            <w:tcBorders>
              <w:top w:val="single" w:color="auto" w:sz="6" w:space="0"/>
              <w:left w:val="single" w:color="auto" w:sz="6" w:space="0"/>
              <w:bottom w:val="single" w:color="auto" w:sz="6" w:space="0"/>
              <w:right w:val="single" w:color="auto" w:sz="6" w:space="0"/>
            </w:tcBorders>
            <w:noWrap/>
            <w:vAlign w:val="center"/>
          </w:tcPr>
          <w:p w14:paraId="33A35B81">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用家虫清、奋斗呐悬浮剂喷洒二次</w:t>
            </w:r>
          </w:p>
        </w:tc>
        <w:tc>
          <w:tcPr>
            <w:tcW w:w="2450" w:type="dxa"/>
            <w:tcBorders>
              <w:top w:val="single" w:color="auto" w:sz="6" w:space="0"/>
              <w:left w:val="single" w:color="auto" w:sz="6" w:space="0"/>
              <w:bottom w:val="single" w:color="auto" w:sz="6" w:space="0"/>
              <w:right w:val="single" w:color="auto" w:sz="6" w:space="0"/>
            </w:tcBorders>
            <w:noWrap/>
            <w:vAlign w:val="center"/>
          </w:tcPr>
          <w:p w14:paraId="3B0B2B29">
            <w:pPr>
              <w:snapToGrid w:val="0"/>
              <w:spacing w:line="240" w:lineRule="auto"/>
              <w:ind w:firstLine="0" w:firstLineChars="0"/>
              <w:rPr>
                <w:rFonts w:hint="eastAsia" w:ascii="宋体" w:hAnsi="宋体" w:eastAsia="宋体" w:cs="宋体"/>
                <w:color w:val="auto"/>
                <w:kern w:val="2"/>
                <w:sz w:val="21"/>
                <w:szCs w:val="21"/>
              </w:rPr>
            </w:pPr>
          </w:p>
        </w:tc>
        <w:tc>
          <w:tcPr>
            <w:tcW w:w="2177" w:type="dxa"/>
            <w:vMerge w:val="continue"/>
            <w:tcBorders>
              <w:top w:val="single" w:color="auto" w:sz="6" w:space="0"/>
              <w:left w:val="single" w:color="auto" w:sz="6" w:space="0"/>
              <w:bottom w:val="single" w:color="auto" w:sz="6" w:space="0"/>
              <w:right w:val="single" w:color="auto" w:sz="6" w:space="0"/>
            </w:tcBorders>
            <w:noWrap/>
            <w:vAlign w:val="center"/>
          </w:tcPr>
          <w:p w14:paraId="077F77AA">
            <w:pPr>
              <w:spacing w:line="240" w:lineRule="auto"/>
              <w:ind w:firstLine="0" w:firstLineChars="0"/>
              <w:jc w:val="both"/>
              <w:rPr>
                <w:rFonts w:hint="eastAsia" w:ascii="宋体" w:hAnsi="宋体" w:eastAsia="宋体" w:cs="宋体"/>
                <w:color w:val="auto"/>
                <w:kern w:val="2"/>
                <w:sz w:val="21"/>
                <w:szCs w:val="21"/>
              </w:rPr>
            </w:pPr>
          </w:p>
        </w:tc>
      </w:tr>
      <w:tr w14:paraId="745B99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549" w:type="dxa"/>
            <w:vMerge w:val="continue"/>
            <w:tcBorders>
              <w:top w:val="single" w:color="auto" w:sz="6" w:space="0"/>
              <w:left w:val="single" w:color="auto" w:sz="6" w:space="0"/>
              <w:bottom w:val="single" w:color="auto" w:sz="6" w:space="0"/>
              <w:right w:val="single" w:color="auto" w:sz="6" w:space="0"/>
            </w:tcBorders>
            <w:noWrap/>
            <w:vAlign w:val="center"/>
          </w:tcPr>
          <w:p w14:paraId="208B76A9">
            <w:pPr>
              <w:spacing w:line="240" w:lineRule="auto"/>
              <w:ind w:firstLine="0" w:firstLineChars="0"/>
              <w:jc w:val="both"/>
              <w:rPr>
                <w:rFonts w:hint="eastAsia" w:ascii="宋体" w:hAnsi="宋体" w:eastAsia="宋体" w:cs="宋体"/>
                <w:color w:val="auto"/>
                <w:kern w:val="2"/>
                <w:sz w:val="21"/>
                <w:szCs w:val="21"/>
              </w:rPr>
            </w:pPr>
          </w:p>
        </w:tc>
        <w:tc>
          <w:tcPr>
            <w:tcW w:w="691" w:type="dxa"/>
            <w:vMerge w:val="continue"/>
            <w:tcBorders>
              <w:top w:val="single" w:color="auto" w:sz="6" w:space="0"/>
              <w:left w:val="single" w:color="auto" w:sz="6" w:space="0"/>
              <w:bottom w:val="single" w:color="auto" w:sz="6" w:space="0"/>
              <w:right w:val="single" w:color="auto" w:sz="6" w:space="0"/>
            </w:tcBorders>
            <w:noWrap/>
            <w:vAlign w:val="center"/>
          </w:tcPr>
          <w:p w14:paraId="20D5BE74">
            <w:pPr>
              <w:spacing w:line="240" w:lineRule="auto"/>
              <w:ind w:firstLine="0" w:firstLineChars="0"/>
              <w:jc w:val="both"/>
              <w:rPr>
                <w:rFonts w:hint="eastAsia" w:ascii="宋体" w:hAnsi="宋体" w:eastAsia="宋体" w:cs="宋体"/>
                <w:color w:val="auto"/>
                <w:kern w:val="2"/>
                <w:sz w:val="21"/>
                <w:szCs w:val="21"/>
              </w:rPr>
            </w:pPr>
          </w:p>
        </w:tc>
        <w:tc>
          <w:tcPr>
            <w:tcW w:w="1117" w:type="dxa"/>
            <w:tcBorders>
              <w:top w:val="single" w:color="auto" w:sz="6" w:space="0"/>
              <w:left w:val="single" w:color="auto" w:sz="6" w:space="0"/>
              <w:bottom w:val="single" w:color="auto" w:sz="6" w:space="0"/>
              <w:right w:val="single" w:color="auto" w:sz="6" w:space="0"/>
            </w:tcBorders>
            <w:noWrap/>
            <w:vAlign w:val="center"/>
          </w:tcPr>
          <w:p w14:paraId="519C359C">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老鼠</w:t>
            </w:r>
          </w:p>
        </w:tc>
        <w:tc>
          <w:tcPr>
            <w:tcW w:w="2422" w:type="dxa"/>
            <w:tcBorders>
              <w:top w:val="single" w:color="auto" w:sz="6" w:space="0"/>
              <w:left w:val="single" w:color="auto" w:sz="6" w:space="0"/>
              <w:bottom w:val="single" w:color="auto" w:sz="6" w:space="0"/>
              <w:right w:val="single" w:color="auto" w:sz="6" w:space="0"/>
            </w:tcBorders>
            <w:noWrap/>
            <w:vAlign w:val="center"/>
          </w:tcPr>
          <w:p w14:paraId="7CB4897E">
            <w:pPr>
              <w:snapToGrid w:val="0"/>
              <w:spacing w:line="240" w:lineRule="auto"/>
              <w:ind w:firstLine="0" w:firstLineChars="0"/>
              <w:rPr>
                <w:rFonts w:hint="eastAsia" w:ascii="宋体" w:hAnsi="宋体" w:eastAsia="宋体" w:cs="宋体"/>
                <w:color w:val="auto"/>
                <w:kern w:val="2"/>
                <w:sz w:val="21"/>
                <w:szCs w:val="21"/>
              </w:rPr>
            </w:pPr>
          </w:p>
        </w:tc>
        <w:tc>
          <w:tcPr>
            <w:tcW w:w="2450" w:type="dxa"/>
            <w:tcBorders>
              <w:top w:val="single" w:color="auto" w:sz="6" w:space="0"/>
              <w:left w:val="single" w:color="auto" w:sz="6" w:space="0"/>
              <w:bottom w:val="single" w:color="auto" w:sz="6" w:space="0"/>
              <w:right w:val="single" w:color="auto" w:sz="6" w:space="0"/>
            </w:tcBorders>
            <w:noWrap/>
            <w:vAlign w:val="center"/>
          </w:tcPr>
          <w:p w14:paraId="378C32A7">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于老鼠经常出没之地投放鼠药毒饵两次，几种鼠药轮换投放。</w:t>
            </w:r>
          </w:p>
        </w:tc>
        <w:tc>
          <w:tcPr>
            <w:tcW w:w="2177" w:type="dxa"/>
            <w:vMerge w:val="continue"/>
            <w:tcBorders>
              <w:top w:val="single" w:color="auto" w:sz="6" w:space="0"/>
              <w:left w:val="single" w:color="auto" w:sz="6" w:space="0"/>
              <w:bottom w:val="single" w:color="auto" w:sz="6" w:space="0"/>
              <w:right w:val="single" w:color="auto" w:sz="6" w:space="0"/>
            </w:tcBorders>
            <w:noWrap/>
            <w:vAlign w:val="center"/>
          </w:tcPr>
          <w:p w14:paraId="761DD5D4">
            <w:pPr>
              <w:spacing w:line="240" w:lineRule="auto"/>
              <w:ind w:firstLine="0" w:firstLineChars="0"/>
              <w:jc w:val="both"/>
              <w:rPr>
                <w:rFonts w:hint="eastAsia" w:ascii="宋体" w:hAnsi="宋体" w:eastAsia="宋体" w:cs="宋体"/>
                <w:color w:val="auto"/>
                <w:kern w:val="2"/>
                <w:sz w:val="21"/>
                <w:szCs w:val="21"/>
              </w:rPr>
            </w:pPr>
          </w:p>
        </w:tc>
      </w:tr>
      <w:tr w14:paraId="3F9119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549" w:type="dxa"/>
            <w:vMerge w:val="restart"/>
            <w:tcBorders>
              <w:top w:val="single" w:color="auto" w:sz="6" w:space="0"/>
              <w:left w:val="single" w:color="auto" w:sz="6" w:space="0"/>
              <w:bottom w:val="single" w:color="auto" w:sz="6" w:space="0"/>
              <w:right w:val="single" w:color="auto" w:sz="6" w:space="0"/>
            </w:tcBorders>
            <w:noWrap/>
            <w:vAlign w:val="center"/>
          </w:tcPr>
          <w:p w14:paraId="447F4758">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w:t>
            </w:r>
          </w:p>
        </w:tc>
        <w:tc>
          <w:tcPr>
            <w:tcW w:w="691" w:type="dxa"/>
            <w:vMerge w:val="restart"/>
            <w:tcBorders>
              <w:top w:val="single" w:color="auto" w:sz="6" w:space="0"/>
              <w:left w:val="single" w:color="auto" w:sz="6" w:space="0"/>
              <w:bottom w:val="single" w:color="auto" w:sz="6" w:space="0"/>
              <w:right w:val="single" w:color="auto" w:sz="6" w:space="0"/>
            </w:tcBorders>
            <w:noWrap/>
            <w:vAlign w:val="center"/>
          </w:tcPr>
          <w:p w14:paraId="042ABAA8">
            <w:pPr>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污水井污水沟</w:t>
            </w:r>
          </w:p>
        </w:tc>
        <w:tc>
          <w:tcPr>
            <w:tcW w:w="1117" w:type="dxa"/>
            <w:tcBorders>
              <w:top w:val="single" w:color="auto" w:sz="6" w:space="0"/>
              <w:left w:val="single" w:color="auto" w:sz="6" w:space="0"/>
              <w:bottom w:val="single" w:color="auto" w:sz="6" w:space="0"/>
              <w:right w:val="single" w:color="auto" w:sz="6" w:space="0"/>
            </w:tcBorders>
            <w:noWrap/>
            <w:vAlign w:val="center"/>
          </w:tcPr>
          <w:p w14:paraId="055D0413">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蟑螂</w:t>
            </w:r>
          </w:p>
        </w:tc>
        <w:tc>
          <w:tcPr>
            <w:tcW w:w="2422" w:type="dxa"/>
            <w:tcBorders>
              <w:top w:val="single" w:color="auto" w:sz="6" w:space="0"/>
              <w:left w:val="single" w:color="auto" w:sz="6" w:space="0"/>
              <w:bottom w:val="single" w:color="auto" w:sz="6" w:space="0"/>
              <w:right w:val="single" w:color="auto" w:sz="6" w:space="0"/>
            </w:tcBorders>
            <w:noWrap/>
            <w:vAlign w:val="center"/>
          </w:tcPr>
          <w:p w14:paraId="2DCB92E9">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10%爱克宁、奋斗呐粉剂、拜力坦浮油交替喷洒到蟑螂藏藏身的洞穴、缝隙、角落、墙角等处，每周二次</w:t>
            </w:r>
          </w:p>
        </w:tc>
        <w:tc>
          <w:tcPr>
            <w:tcW w:w="2450" w:type="dxa"/>
            <w:tcBorders>
              <w:top w:val="single" w:color="auto" w:sz="6" w:space="0"/>
              <w:left w:val="single" w:color="auto" w:sz="6" w:space="0"/>
              <w:bottom w:val="single" w:color="auto" w:sz="6" w:space="0"/>
              <w:right w:val="single" w:color="auto" w:sz="6" w:space="0"/>
            </w:tcBorders>
            <w:noWrap/>
            <w:vAlign w:val="center"/>
          </w:tcPr>
          <w:p w14:paraId="775442A5">
            <w:pPr>
              <w:snapToGrid w:val="0"/>
              <w:spacing w:line="240" w:lineRule="auto"/>
              <w:ind w:firstLine="0" w:firstLineChars="0"/>
              <w:rPr>
                <w:rFonts w:hint="eastAsia" w:ascii="宋体" w:hAnsi="宋体" w:eastAsia="宋体" w:cs="宋体"/>
                <w:color w:val="auto"/>
                <w:kern w:val="2"/>
                <w:sz w:val="21"/>
                <w:szCs w:val="21"/>
              </w:rPr>
            </w:pPr>
          </w:p>
        </w:tc>
        <w:tc>
          <w:tcPr>
            <w:tcW w:w="2177" w:type="dxa"/>
            <w:vMerge w:val="continue"/>
            <w:tcBorders>
              <w:top w:val="single" w:color="auto" w:sz="6" w:space="0"/>
              <w:left w:val="single" w:color="auto" w:sz="6" w:space="0"/>
              <w:bottom w:val="single" w:color="auto" w:sz="6" w:space="0"/>
              <w:right w:val="single" w:color="auto" w:sz="6" w:space="0"/>
            </w:tcBorders>
            <w:noWrap/>
            <w:vAlign w:val="center"/>
          </w:tcPr>
          <w:p w14:paraId="4D144529">
            <w:pPr>
              <w:spacing w:line="240" w:lineRule="auto"/>
              <w:ind w:firstLine="0" w:firstLineChars="0"/>
              <w:jc w:val="both"/>
              <w:rPr>
                <w:rFonts w:hint="eastAsia" w:ascii="宋体" w:hAnsi="宋体" w:eastAsia="宋体" w:cs="宋体"/>
                <w:color w:val="auto"/>
                <w:kern w:val="2"/>
                <w:sz w:val="21"/>
                <w:szCs w:val="21"/>
              </w:rPr>
            </w:pPr>
          </w:p>
        </w:tc>
      </w:tr>
      <w:tr w14:paraId="271F79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549" w:type="dxa"/>
            <w:vMerge w:val="continue"/>
            <w:tcBorders>
              <w:top w:val="single" w:color="auto" w:sz="6" w:space="0"/>
              <w:left w:val="single" w:color="auto" w:sz="6" w:space="0"/>
              <w:bottom w:val="single" w:color="auto" w:sz="6" w:space="0"/>
              <w:right w:val="single" w:color="auto" w:sz="6" w:space="0"/>
            </w:tcBorders>
            <w:noWrap/>
            <w:vAlign w:val="center"/>
          </w:tcPr>
          <w:p w14:paraId="6FB01EFF">
            <w:pPr>
              <w:spacing w:line="240" w:lineRule="auto"/>
              <w:ind w:firstLine="0" w:firstLineChars="0"/>
              <w:jc w:val="both"/>
              <w:rPr>
                <w:rFonts w:hint="eastAsia" w:ascii="宋体" w:hAnsi="宋体" w:eastAsia="宋体" w:cs="宋体"/>
                <w:color w:val="auto"/>
                <w:kern w:val="2"/>
                <w:sz w:val="21"/>
                <w:szCs w:val="21"/>
              </w:rPr>
            </w:pPr>
          </w:p>
        </w:tc>
        <w:tc>
          <w:tcPr>
            <w:tcW w:w="691" w:type="dxa"/>
            <w:vMerge w:val="continue"/>
            <w:tcBorders>
              <w:top w:val="single" w:color="auto" w:sz="6" w:space="0"/>
              <w:left w:val="single" w:color="auto" w:sz="6" w:space="0"/>
              <w:bottom w:val="single" w:color="auto" w:sz="6" w:space="0"/>
              <w:right w:val="single" w:color="auto" w:sz="6" w:space="0"/>
            </w:tcBorders>
            <w:noWrap/>
            <w:vAlign w:val="center"/>
          </w:tcPr>
          <w:p w14:paraId="0D61D590">
            <w:pPr>
              <w:spacing w:line="240" w:lineRule="auto"/>
              <w:ind w:firstLine="0" w:firstLineChars="0"/>
              <w:jc w:val="both"/>
              <w:rPr>
                <w:rFonts w:hint="eastAsia" w:ascii="宋体" w:hAnsi="宋体" w:eastAsia="宋体" w:cs="宋体"/>
                <w:color w:val="auto"/>
                <w:kern w:val="2"/>
                <w:sz w:val="21"/>
                <w:szCs w:val="21"/>
              </w:rPr>
            </w:pPr>
          </w:p>
        </w:tc>
        <w:tc>
          <w:tcPr>
            <w:tcW w:w="1117" w:type="dxa"/>
            <w:tcBorders>
              <w:top w:val="single" w:color="auto" w:sz="6" w:space="0"/>
              <w:left w:val="single" w:color="auto" w:sz="6" w:space="0"/>
              <w:bottom w:val="single" w:color="auto" w:sz="6" w:space="0"/>
              <w:right w:val="single" w:color="auto" w:sz="6" w:space="0"/>
            </w:tcBorders>
            <w:noWrap/>
            <w:vAlign w:val="center"/>
          </w:tcPr>
          <w:p w14:paraId="3B93DA0D">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“四害”消杀</w:t>
            </w:r>
          </w:p>
        </w:tc>
        <w:tc>
          <w:tcPr>
            <w:tcW w:w="2422" w:type="dxa"/>
            <w:tcBorders>
              <w:top w:val="single" w:color="auto" w:sz="6" w:space="0"/>
              <w:left w:val="single" w:color="auto" w:sz="6" w:space="0"/>
              <w:bottom w:val="single" w:color="auto" w:sz="6" w:space="0"/>
              <w:right w:val="single" w:color="auto" w:sz="6" w:space="0"/>
            </w:tcBorders>
            <w:noWrap/>
            <w:vAlign w:val="center"/>
          </w:tcPr>
          <w:p w14:paraId="0052AE34">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用家虫清、奋斗呐悬浮剂喷洒二次</w:t>
            </w:r>
          </w:p>
        </w:tc>
        <w:tc>
          <w:tcPr>
            <w:tcW w:w="2450" w:type="dxa"/>
            <w:tcBorders>
              <w:top w:val="single" w:color="auto" w:sz="6" w:space="0"/>
              <w:left w:val="single" w:color="auto" w:sz="6" w:space="0"/>
              <w:bottom w:val="single" w:color="auto" w:sz="6" w:space="0"/>
              <w:right w:val="single" w:color="auto" w:sz="6" w:space="0"/>
            </w:tcBorders>
            <w:noWrap/>
            <w:vAlign w:val="center"/>
          </w:tcPr>
          <w:p w14:paraId="1C6D7A8A">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每周用球形芽孢喷洒两次。</w:t>
            </w:r>
          </w:p>
        </w:tc>
        <w:tc>
          <w:tcPr>
            <w:tcW w:w="2177" w:type="dxa"/>
            <w:vMerge w:val="continue"/>
            <w:tcBorders>
              <w:top w:val="single" w:color="auto" w:sz="6" w:space="0"/>
              <w:left w:val="single" w:color="auto" w:sz="6" w:space="0"/>
              <w:bottom w:val="single" w:color="auto" w:sz="6" w:space="0"/>
              <w:right w:val="single" w:color="auto" w:sz="6" w:space="0"/>
            </w:tcBorders>
            <w:noWrap/>
            <w:vAlign w:val="center"/>
          </w:tcPr>
          <w:p w14:paraId="11C38E31">
            <w:pPr>
              <w:spacing w:line="240" w:lineRule="auto"/>
              <w:ind w:firstLine="0" w:firstLineChars="0"/>
              <w:jc w:val="both"/>
              <w:rPr>
                <w:rFonts w:hint="eastAsia" w:ascii="宋体" w:hAnsi="宋体" w:eastAsia="宋体" w:cs="宋体"/>
                <w:color w:val="auto"/>
                <w:kern w:val="2"/>
                <w:sz w:val="21"/>
                <w:szCs w:val="21"/>
              </w:rPr>
            </w:pPr>
          </w:p>
        </w:tc>
      </w:tr>
      <w:tr w14:paraId="78DEC3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549" w:type="dxa"/>
            <w:tcBorders>
              <w:top w:val="single" w:color="auto" w:sz="6" w:space="0"/>
              <w:left w:val="single" w:color="auto" w:sz="6" w:space="0"/>
              <w:bottom w:val="single" w:color="auto" w:sz="6" w:space="0"/>
              <w:right w:val="single" w:color="auto" w:sz="6" w:space="0"/>
            </w:tcBorders>
            <w:noWrap/>
            <w:vAlign w:val="center"/>
          </w:tcPr>
          <w:p w14:paraId="7E3BACA0">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4</w:t>
            </w:r>
          </w:p>
        </w:tc>
        <w:tc>
          <w:tcPr>
            <w:tcW w:w="691" w:type="dxa"/>
            <w:tcBorders>
              <w:top w:val="single" w:color="auto" w:sz="6" w:space="0"/>
              <w:left w:val="single" w:color="auto" w:sz="6" w:space="0"/>
              <w:bottom w:val="single" w:color="auto" w:sz="6" w:space="0"/>
              <w:right w:val="single" w:color="auto" w:sz="6" w:space="0"/>
            </w:tcBorders>
            <w:noWrap/>
            <w:vAlign w:val="center"/>
          </w:tcPr>
          <w:p w14:paraId="4CCD6B67">
            <w:pPr>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污水井</w:t>
            </w:r>
          </w:p>
        </w:tc>
        <w:tc>
          <w:tcPr>
            <w:tcW w:w="1117" w:type="dxa"/>
            <w:tcBorders>
              <w:top w:val="single" w:color="auto" w:sz="6" w:space="0"/>
              <w:left w:val="single" w:color="auto" w:sz="6" w:space="0"/>
              <w:bottom w:val="single" w:color="auto" w:sz="6" w:space="0"/>
              <w:right w:val="single" w:color="auto" w:sz="6" w:space="0"/>
            </w:tcBorders>
            <w:noWrap/>
            <w:vAlign w:val="center"/>
          </w:tcPr>
          <w:p w14:paraId="6E0F50A2">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老鼠</w:t>
            </w:r>
          </w:p>
        </w:tc>
        <w:tc>
          <w:tcPr>
            <w:tcW w:w="2422" w:type="dxa"/>
            <w:tcBorders>
              <w:top w:val="single" w:color="auto" w:sz="6" w:space="0"/>
              <w:left w:val="single" w:color="auto" w:sz="6" w:space="0"/>
              <w:bottom w:val="single" w:color="auto" w:sz="6" w:space="0"/>
              <w:right w:val="single" w:color="auto" w:sz="6" w:space="0"/>
            </w:tcBorders>
            <w:noWrap/>
            <w:vAlign w:val="center"/>
          </w:tcPr>
          <w:p w14:paraId="2DE53DCF">
            <w:pPr>
              <w:snapToGrid w:val="0"/>
              <w:spacing w:line="240" w:lineRule="auto"/>
              <w:ind w:firstLine="0" w:firstLineChars="0"/>
              <w:rPr>
                <w:rFonts w:hint="eastAsia" w:ascii="宋体" w:hAnsi="宋体" w:eastAsia="宋体" w:cs="宋体"/>
                <w:color w:val="auto"/>
                <w:kern w:val="2"/>
                <w:sz w:val="21"/>
                <w:szCs w:val="21"/>
              </w:rPr>
            </w:pPr>
          </w:p>
        </w:tc>
        <w:tc>
          <w:tcPr>
            <w:tcW w:w="2450" w:type="dxa"/>
            <w:tcBorders>
              <w:top w:val="single" w:color="auto" w:sz="6" w:space="0"/>
              <w:left w:val="single" w:color="auto" w:sz="6" w:space="0"/>
              <w:bottom w:val="single" w:color="auto" w:sz="6" w:space="0"/>
              <w:right w:val="single" w:color="auto" w:sz="6" w:space="0"/>
            </w:tcBorders>
            <w:noWrap/>
            <w:vAlign w:val="center"/>
          </w:tcPr>
          <w:p w14:paraId="38617DB5">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于老鼠经常出没之地投放鼠药毒饵两次，几种鼠药轮换投放。</w:t>
            </w:r>
          </w:p>
        </w:tc>
        <w:tc>
          <w:tcPr>
            <w:tcW w:w="2177" w:type="dxa"/>
            <w:vMerge w:val="continue"/>
            <w:tcBorders>
              <w:top w:val="single" w:color="auto" w:sz="6" w:space="0"/>
              <w:left w:val="single" w:color="auto" w:sz="6" w:space="0"/>
              <w:bottom w:val="single" w:color="auto" w:sz="6" w:space="0"/>
              <w:right w:val="single" w:color="auto" w:sz="6" w:space="0"/>
            </w:tcBorders>
            <w:noWrap/>
            <w:vAlign w:val="center"/>
          </w:tcPr>
          <w:p w14:paraId="25A92E67">
            <w:pPr>
              <w:spacing w:line="240" w:lineRule="auto"/>
              <w:ind w:firstLine="0" w:firstLineChars="0"/>
              <w:jc w:val="both"/>
              <w:rPr>
                <w:rFonts w:hint="eastAsia" w:ascii="宋体" w:hAnsi="宋体" w:eastAsia="宋体" w:cs="宋体"/>
                <w:color w:val="auto"/>
                <w:kern w:val="2"/>
                <w:sz w:val="21"/>
                <w:szCs w:val="21"/>
              </w:rPr>
            </w:pPr>
          </w:p>
        </w:tc>
      </w:tr>
      <w:tr w14:paraId="4EBE3A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549" w:type="dxa"/>
            <w:vMerge w:val="restart"/>
            <w:tcBorders>
              <w:top w:val="single" w:color="auto" w:sz="6" w:space="0"/>
              <w:left w:val="single" w:color="auto" w:sz="6" w:space="0"/>
              <w:bottom w:val="single" w:color="auto" w:sz="6" w:space="0"/>
              <w:right w:val="single" w:color="auto" w:sz="6" w:space="0"/>
            </w:tcBorders>
            <w:noWrap/>
            <w:vAlign w:val="center"/>
          </w:tcPr>
          <w:p w14:paraId="7FD456A5">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5</w:t>
            </w:r>
          </w:p>
        </w:tc>
        <w:tc>
          <w:tcPr>
            <w:tcW w:w="691" w:type="dxa"/>
            <w:vMerge w:val="restart"/>
            <w:tcBorders>
              <w:top w:val="single" w:color="auto" w:sz="6" w:space="0"/>
              <w:left w:val="single" w:color="auto" w:sz="6" w:space="0"/>
              <w:bottom w:val="single" w:color="auto" w:sz="6" w:space="0"/>
              <w:right w:val="single" w:color="auto" w:sz="6" w:space="0"/>
            </w:tcBorders>
            <w:noWrap/>
            <w:vAlign w:val="center"/>
          </w:tcPr>
          <w:p w14:paraId="3529B417">
            <w:pPr>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垃圾中转站</w:t>
            </w:r>
          </w:p>
        </w:tc>
        <w:tc>
          <w:tcPr>
            <w:tcW w:w="1117" w:type="dxa"/>
            <w:tcBorders>
              <w:top w:val="single" w:color="auto" w:sz="6" w:space="0"/>
              <w:left w:val="single" w:color="auto" w:sz="6" w:space="0"/>
              <w:bottom w:val="single" w:color="auto" w:sz="6" w:space="0"/>
              <w:right w:val="single" w:color="auto" w:sz="6" w:space="0"/>
            </w:tcBorders>
            <w:noWrap/>
            <w:vAlign w:val="center"/>
          </w:tcPr>
          <w:p w14:paraId="2E715C5A">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蟑螂</w:t>
            </w:r>
          </w:p>
        </w:tc>
        <w:tc>
          <w:tcPr>
            <w:tcW w:w="2422" w:type="dxa"/>
            <w:tcBorders>
              <w:top w:val="single" w:color="auto" w:sz="6" w:space="0"/>
              <w:left w:val="single" w:color="auto" w:sz="6" w:space="0"/>
              <w:bottom w:val="single" w:color="auto" w:sz="6" w:space="0"/>
              <w:right w:val="single" w:color="auto" w:sz="6" w:space="0"/>
            </w:tcBorders>
            <w:noWrap/>
            <w:vAlign w:val="center"/>
          </w:tcPr>
          <w:p w14:paraId="51A5809C">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10%爱克宁、奋斗呐粉剂、拜力坦浮油交替喷洒到蟑螂藏藏身的洞穴、缝隙、角落、墙角等处，每周一次</w:t>
            </w:r>
          </w:p>
        </w:tc>
        <w:tc>
          <w:tcPr>
            <w:tcW w:w="2450" w:type="dxa"/>
            <w:tcBorders>
              <w:top w:val="single" w:color="auto" w:sz="6" w:space="0"/>
              <w:left w:val="single" w:color="auto" w:sz="6" w:space="0"/>
              <w:bottom w:val="single" w:color="auto" w:sz="6" w:space="0"/>
              <w:right w:val="single" w:color="auto" w:sz="6" w:space="0"/>
            </w:tcBorders>
            <w:noWrap/>
            <w:vAlign w:val="center"/>
          </w:tcPr>
          <w:p w14:paraId="6A0C06DE">
            <w:pPr>
              <w:snapToGrid w:val="0"/>
              <w:spacing w:line="240" w:lineRule="auto"/>
              <w:ind w:firstLine="0" w:firstLineChars="0"/>
              <w:rPr>
                <w:rFonts w:hint="eastAsia" w:ascii="宋体" w:hAnsi="宋体" w:eastAsia="宋体" w:cs="宋体"/>
                <w:color w:val="auto"/>
                <w:kern w:val="2"/>
                <w:sz w:val="21"/>
                <w:szCs w:val="21"/>
              </w:rPr>
            </w:pPr>
          </w:p>
        </w:tc>
        <w:tc>
          <w:tcPr>
            <w:tcW w:w="2177" w:type="dxa"/>
            <w:vMerge w:val="continue"/>
            <w:tcBorders>
              <w:top w:val="single" w:color="auto" w:sz="6" w:space="0"/>
              <w:left w:val="single" w:color="auto" w:sz="6" w:space="0"/>
              <w:bottom w:val="single" w:color="auto" w:sz="6" w:space="0"/>
              <w:right w:val="single" w:color="auto" w:sz="6" w:space="0"/>
            </w:tcBorders>
            <w:noWrap/>
            <w:vAlign w:val="center"/>
          </w:tcPr>
          <w:p w14:paraId="505E21C1">
            <w:pPr>
              <w:spacing w:line="240" w:lineRule="auto"/>
              <w:ind w:firstLine="0" w:firstLineChars="0"/>
              <w:jc w:val="both"/>
              <w:rPr>
                <w:rFonts w:hint="eastAsia" w:ascii="宋体" w:hAnsi="宋体" w:eastAsia="宋体" w:cs="宋体"/>
                <w:color w:val="auto"/>
                <w:kern w:val="2"/>
                <w:sz w:val="21"/>
                <w:szCs w:val="21"/>
              </w:rPr>
            </w:pPr>
          </w:p>
        </w:tc>
      </w:tr>
      <w:tr w14:paraId="42948B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549" w:type="dxa"/>
            <w:vMerge w:val="continue"/>
            <w:tcBorders>
              <w:top w:val="single" w:color="auto" w:sz="6" w:space="0"/>
              <w:left w:val="single" w:color="auto" w:sz="6" w:space="0"/>
              <w:bottom w:val="single" w:color="auto" w:sz="6" w:space="0"/>
              <w:right w:val="single" w:color="auto" w:sz="6" w:space="0"/>
            </w:tcBorders>
            <w:noWrap/>
            <w:vAlign w:val="center"/>
          </w:tcPr>
          <w:p w14:paraId="714194AC">
            <w:pPr>
              <w:spacing w:line="240" w:lineRule="auto"/>
              <w:ind w:firstLine="0" w:firstLineChars="0"/>
              <w:jc w:val="both"/>
              <w:rPr>
                <w:rFonts w:hint="eastAsia" w:ascii="宋体" w:hAnsi="宋体" w:eastAsia="宋体" w:cs="宋体"/>
                <w:color w:val="auto"/>
                <w:kern w:val="2"/>
                <w:sz w:val="21"/>
                <w:szCs w:val="21"/>
              </w:rPr>
            </w:pPr>
          </w:p>
        </w:tc>
        <w:tc>
          <w:tcPr>
            <w:tcW w:w="691" w:type="dxa"/>
            <w:vMerge w:val="continue"/>
            <w:tcBorders>
              <w:top w:val="single" w:color="auto" w:sz="6" w:space="0"/>
              <w:left w:val="single" w:color="auto" w:sz="6" w:space="0"/>
              <w:bottom w:val="single" w:color="auto" w:sz="6" w:space="0"/>
              <w:right w:val="single" w:color="auto" w:sz="6" w:space="0"/>
            </w:tcBorders>
            <w:noWrap/>
            <w:vAlign w:val="center"/>
          </w:tcPr>
          <w:p w14:paraId="7C6720F8">
            <w:pPr>
              <w:spacing w:line="240" w:lineRule="auto"/>
              <w:ind w:firstLine="0" w:firstLineChars="0"/>
              <w:jc w:val="both"/>
              <w:rPr>
                <w:rFonts w:hint="eastAsia" w:ascii="宋体" w:hAnsi="宋体" w:eastAsia="宋体" w:cs="宋体"/>
                <w:color w:val="auto"/>
                <w:kern w:val="2"/>
                <w:sz w:val="21"/>
                <w:szCs w:val="21"/>
              </w:rPr>
            </w:pPr>
          </w:p>
        </w:tc>
        <w:tc>
          <w:tcPr>
            <w:tcW w:w="1117" w:type="dxa"/>
            <w:tcBorders>
              <w:top w:val="single" w:color="auto" w:sz="6" w:space="0"/>
              <w:left w:val="single" w:color="auto" w:sz="6" w:space="0"/>
              <w:bottom w:val="single" w:color="auto" w:sz="6" w:space="0"/>
              <w:right w:val="single" w:color="auto" w:sz="6" w:space="0"/>
            </w:tcBorders>
            <w:noWrap/>
            <w:vAlign w:val="center"/>
          </w:tcPr>
          <w:p w14:paraId="0276075A">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蚊、蝇</w:t>
            </w:r>
          </w:p>
        </w:tc>
        <w:tc>
          <w:tcPr>
            <w:tcW w:w="2422" w:type="dxa"/>
            <w:tcBorders>
              <w:top w:val="single" w:color="auto" w:sz="6" w:space="0"/>
              <w:left w:val="single" w:color="auto" w:sz="6" w:space="0"/>
              <w:bottom w:val="single" w:color="auto" w:sz="6" w:space="0"/>
              <w:right w:val="single" w:color="auto" w:sz="6" w:space="0"/>
            </w:tcBorders>
            <w:noWrap/>
            <w:vAlign w:val="center"/>
          </w:tcPr>
          <w:p w14:paraId="1B467D14">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用家虫清、奋斗呐悬浮剂喷洒一次</w:t>
            </w:r>
          </w:p>
        </w:tc>
        <w:tc>
          <w:tcPr>
            <w:tcW w:w="2450" w:type="dxa"/>
            <w:tcBorders>
              <w:top w:val="single" w:color="auto" w:sz="6" w:space="0"/>
              <w:left w:val="single" w:color="auto" w:sz="6" w:space="0"/>
              <w:bottom w:val="single" w:color="auto" w:sz="6" w:space="0"/>
              <w:right w:val="single" w:color="auto" w:sz="6" w:space="0"/>
            </w:tcBorders>
            <w:noWrap/>
            <w:vAlign w:val="center"/>
          </w:tcPr>
          <w:p w14:paraId="0C973118">
            <w:pPr>
              <w:snapToGrid w:val="0"/>
              <w:spacing w:line="240" w:lineRule="auto"/>
              <w:ind w:firstLine="0" w:firstLineChars="0"/>
              <w:rPr>
                <w:rFonts w:hint="eastAsia" w:ascii="宋体" w:hAnsi="宋体" w:eastAsia="宋体" w:cs="宋体"/>
                <w:color w:val="auto"/>
                <w:kern w:val="2"/>
                <w:sz w:val="21"/>
                <w:szCs w:val="21"/>
              </w:rPr>
            </w:pPr>
          </w:p>
        </w:tc>
        <w:tc>
          <w:tcPr>
            <w:tcW w:w="2177" w:type="dxa"/>
            <w:vMerge w:val="continue"/>
            <w:tcBorders>
              <w:top w:val="single" w:color="auto" w:sz="6" w:space="0"/>
              <w:left w:val="single" w:color="auto" w:sz="6" w:space="0"/>
              <w:bottom w:val="single" w:color="auto" w:sz="6" w:space="0"/>
              <w:right w:val="single" w:color="auto" w:sz="6" w:space="0"/>
            </w:tcBorders>
            <w:noWrap/>
            <w:vAlign w:val="center"/>
          </w:tcPr>
          <w:p w14:paraId="6A8E5C1C">
            <w:pPr>
              <w:spacing w:line="240" w:lineRule="auto"/>
              <w:ind w:firstLine="0" w:firstLineChars="0"/>
              <w:jc w:val="both"/>
              <w:rPr>
                <w:rFonts w:hint="eastAsia" w:ascii="宋体" w:hAnsi="宋体" w:eastAsia="宋体" w:cs="宋体"/>
                <w:color w:val="auto"/>
                <w:kern w:val="2"/>
                <w:sz w:val="21"/>
                <w:szCs w:val="21"/>
              </w:rPr>
            </w:pPr>
          </w:p>
        </w:tc>
      </w:tr>
      <w:tr w14:paraId="7C6C88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549" w:type="dxa"/>
            <w:vMerge w:val="continue"/>
            <w:tcBorders>
              <w:top w:val="single" w:color="auto" w:sz="6" w:space="0"/>
              <w:left w:val="single" w:color="auto" w:sz="6" w:space="0"/>
              <w:bottom w:val="single" w:color="auto" w:sz="6" w:space="0"/>
              <w:right w:val="single" w:color="auto" w:sz="6" w:space="0"/>
            </w:tcBorders>
            <w:noWrap/>
            <w:vAlign w:val="center"/>
          </w:tcPr>
          <w:p w14:paraId="05373E44">
            <w:pPr>
              <w:spacing w:line="240" w:lineRule="auto"/>
              <w:ind w:firstLine="0" w:firstLineChars="0"/>
              <w:jc w:val="both"/>
              <w:rPr>
                <w:rFonts w:hint="eastAsia" w:ascii="宋体" w:hAnsi="宋体" w:eastAsia="宋体" w:cs="宋体"/>
                <w:color w:val="auto"/>
                <w:kern w:val="2"/>
                <w:sz w:val="21"/>
                <w:szCs w:val="21"/>
              </w:rPr>
            </w:pPr>
          </w:p>
        </w:tc>
        <w:tc>
          <w:tcPr>
            <w:tcW w:w="691" w:type="dxa"/>
            <w:vMerge w:val="continue"/>
            <w:tcBorders>
              <w:top w:val="single" w:color="auto" w:sz="6" w:space="0"/>
              <w:left w:val="single" w:color="auto" w:sz="6" w:space="0"/>
              <w:bottom w:val="single" w:color="auto" w:sz="6" w:space="0"/>
              <w:right w:val="single" w:color="auto" w:sz="6" w:space="0"/>
            </w:tcBorders>
            <w:noWrap/>
            <w:vAlign w:val="center"/>
          </w:tcPr>
          <w:p w14:paraId="42ABD5C6">
            <w:pPr>
              <w:spacing w:line="240" w:lineRule="auto"/>
              <w:ind w:firstLine="0" w:firstLineChars="0"/>
              <w:jc w:val="both"/>
              <w:rPr>
                <w:rFonts w:hint="eastAsia" w:ascii="宋体" w:hAnsi="宋体" w:eastAsia="宋体" w:cs="宋体"/>
                <w:color w:val="auto"/>
                <w:kern w:val="2"/>
                <w:sz w:val="21"/>
                <w:szCs w:val="21"/>
              </w:rPr>
            </w:pPr>
          </w:p>
        </w:tc>
        <w:tc>
          <w:tcPr>
            <w:tcW w:w="1117" w:type="dxa"/>
            <w:tcBorders>
              <w:top w:val="single" w:color="auto" w:sz="6" w:space="0"/>
              <w:left w:val="single" w:color="auto" w:sz="6" w:space="0"/>
              <w:bottom w:val="single" w:color="auto" w:sz="6" w:space="0"/>
              <w:right w:val="single" w:color="auto" w:sz="6" w:space="0"/>
            </w:tcBorders>
            <w:noWrap/>
            <w:vAlign w:val="center"/>
          </w:tcPr>
          <w:p w14:paraId="2BCC765C">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老鼠</w:t>
            </w:r>
          </w:p>
        </w:tc>
        <w:tc>
          <w:tcPr>
            <w:tcW w:w="2422" w:type="dxa"/>
            <w:tcBorders>
              <w:top w:val="single" w:color="auto" w:sz="6" w:space="0"/>
              <w:left w:val="single" w:color="auto" w:sz="6" w:space="0"/>
              <w:bottom w:val="single" w:color="auto" w:sz="6" w:space="0"/>
              <w:right w:val="single" w:color="auto" w:sz="6" w:space="0"/>
            </w:tcBorders>
            <w:noWrap/>
            <w:vAlign w:val="center"/>
          </w:tcPr>
          <w:p w14:paraId="1E026E46">
            <w:pPr>
              <w:snapToGrid w:val="0"/>
              <w:spacing w:line="240" w:lineRule="auto"/>
              <w:ind w:firstLine="0" w:firstLineChars="0"/>
              <w:rPr>
                <w:rFonts w:hint="eastAsia" w:ascii="宋体" w:hAnsi="宋体" w:eastAsia="宋体" w:cs="宋体"/>
                <w:color w:val="auto"/>
                <w:kern w:val="2"/>
                <w:sz w:val="21"/>
                <w:szCs w:val="21"/>
              </w:rPr>
            </w:pPr>
          </w:p>
        </w:tc>
        <w:tc>
          <w:tcPr>
            <w:tcW w:w="2450" w:type="dxa"/>
            <w:tcBorders>
              <w:top w:val="single" w:color="auto" w:sz="6" w:space="0"/>
              <w:left w:val="single" w:color="auto" w:sz="6" w:space="0"/>
              <w:bottom w:val="single" w:color="auto" w:sz="6" w:space="0"/>
              <w:right w:val="single" w:color="auto" w:sz="6" w:space="0"/>
            </w:tcBorders>
            <w:noWrap/>
            <w:vAlign w:val="center"/>
          </w:tcPr>
          <w:p w14:paraId="424B5FBD">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投放鼠必杀两次</w:t>
            </w:r>
          </w:p>
        </w:tc>
        <w:tc>
          <w:tcPr>
            <w:tcW w:w="2177" w:type="dxa"/>
            <w:vMerge w:val="continue"/>
            <w:tcBorders>
              <w:top w:val="single" w:color="auto" w:sz="6" w:space="0"/>
              <w:left w:val="single" w:color="auto" w:sz="6" w:space="0"/>
              <w:bottom w:val="single" w:color="auto" w:sz="6" w:space="0"/>
              <w:right w:val="single" w:color="auto" w:sz="6" w:space="0"/>
            </w:tcBorders>
            <w:noWrap/>
            <w:vAlign w:val="center"/>
          </w:tcPr>
          <w:p w14:paraId="22FDC63D">
            <w:pPr>
              <w:spacing w:line="240" w:lineRule="auto"/>
              <w:ind w:firstLine="0" w:firstLineChars="0"/>
              <w:jc w:val="both"/>
              <w:rPr>
                <w:rFonts w:hint="eastAsia" w:ascii="宋体" w:hAnsi="宋体" w:eastAsia="宋体" w:cs="宋体"/>
                <w:color w:val="auto"/>
                <w:kern w:val="2"/>
                <w:sz w:val="21"/>
                <w:szCs w:val="21"/>
              </w:rPr>
            </w:pPr>
          </w:p>
        </w:tc>
      </w:tr>
      <w:tr w14:paraId="3FCCA7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549" w:type="dxa"/>
            <w:tcBorders>
              <w:top w:val="single" w:color="auto" w:sz="6" w:space="0"/>
              <w:left w:val="single" w:color="auto" w:sz="6" w:space="0"/>
              <w:bottom w:val="single" w:color="auto" w:sz="6" w:space="0"/>
              <w:right w:val="single" w:color="auto" w:sz="6" w:space="0"/>
            </w:tcBorders>
            <w:noWrap/>
            <w:vAlign w:val="center"/>
          </w:tcPr>
          <w:p w14:paraId="4CA1ABFD">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6</w:t>
            </w:r>
          </w:p>
        </w:tc>
        <w:tc>
          <w:tcPr>
            <w:tcW w:w="691" w:type="dxa"/>
            <w:tcBorders>
              <w:top w:val="single" w:color="auto" w:sz="6" w:space="0"/>
              <w:left w:val="single" w:color="auto" w:sz="6" w:space="0"/>
              <w:bottom w:val="single" w:color="auto" w:sz="6" w:space="0"/>
              <w:right w:val="single" w:color="auto" w:sz="6" w:space="0"/>
            </w:tcBorders>
            <w:noWrap/>
            <w:vAlign w:val="center"/>
          </w:tcPr>
          <w:p w14:paraId="01952E07">
            <w:pPr>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建筑物内外</w:t>
            </w:r>
          </w:p>
        </w:tc>
        <w:tc>
          <w:tcPr>
            <w:tcW w:w="1117" w:type="dxa"/>
            <w:tcBorders>
              <w:top w:val="single" w:color="auto" w:sz="6" w:space="0"/>
              <w:left w:val="single" w:color="auto" w:sz="6" w:space="0"/>
              <w:bottom w:val="single" w:color="auto" w:sz="6" w:space="0"/>
              <w:right w:val="single" w:color="auto" w:sz="6" w:space="0"/>
            </w:tcBorders>
            <w:noWrap/>
            <w:vAlign w:val="center"/>
          </w:tcPr>
          <w:p w14:paraId="44A604C8">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白蚁</w:t>
            </w:r>
          </w:p>
        </w:tc>
        <w:tc>
          <w:tcPr>
            <w:tcW w:w="2422" w:type="dxa"/>
            <w:tcBorders>
              <w:top w:val="single" w:color="auto" w:sz="6" w:space="0"/>
              <w:left w:val="single" w:color="auto" w:sz="6" w:space="0"/>
              <w:bottom w:val="single" w:color="auto" w:sz="6" w:space="0"/>
              <w:right w:val="single" w:color="auto" w:sz="6" w:space="0"/>
            </w:tcBorders>
            <w:noWrap/>
            <w:vAlign w:val="center"/>
          </w:tcPr>
          <w:p w14:paraId="1563FA69">
            <w:pPr>
              <w:snapToGrid w:val="0"/>
              <w:spacing w:line="240" w:lineRule="auto"/>
              <w:ind w:firstLine="0" w:firstLineChars="0"/>
              <w:rPr>
                <w:rFonts w:hint="eastAsia" w:ascii="宋体" w:hAnsi="宋体" w:eastAsia="宋体" w:cs="宋体"/>
                <w:color w:val="auto"/>
                <w:kern w:val="2"/>
                <w:sz w:val="21"/>
                <w:szCs w:val="21"/>
              </w:rPr>
            </w:pPr>
          </w:p>
        </w:tc>
        <w:tc>
          <w:tcPr>
            <w:tcW w:w="2450" w:type="dxa"/>
            <w:tcBorders>
              <w:top w:val="single" w:color="auto" w:sz="6" w:space="0"/>
              <w:left w:val="single" w:color="auto" w:sz="6" w:space="0"/>
              <w:bottom w:val="single" w:color="auto" w:sz="6" w:space="0"/>
              <w:right w:val="single" w:color="auto" w:sz="6" w:space="0"/>
            </w:tcBorders>
            <w:noWrap/>
            <w:vAlign w:val="center"/>
          </w:tcPr>
          <w:p w14:paraId="3EEF0A60">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利用其生活习性和活动规律找巢，或利用药物借助于白蚁习性在群体内进行扩散，最后使全巢白蚁死亡，具体做法：用毒死蜱、灭蚁灵等进行诱杀、毒杀一次。</w:t>
            </w:r>
          </w:p>
        </w:tc>
        <w:tc>
          <w:tcPr>
            <w:tcW w:w="2177" w:type="dxa"/>
            <w:vMerge w:val="continue"/>
            <w:tcBorders>
              <w:top w:val="single" w:color="auto" w:sz="6" w:space="0"/>
              <w:left w:val="single" w:color="auto" w:sz="6" w:space="0"/>
              <w:bottom w:val="single" w:color="auto" w:sz="6" w:space="0"/>
              <w:right w:val="single" w:color="auto" w:sz="6" w:space="0"/>
            </w:tcBorders>
            <w:noWrap/>
            <w:vAlign w:val="center"/>
          </w:tcPr>
          <w:p w14:paraId="3E10E49F">
            <w:pPr>
              <w:spacing w:line="240" w:lineRule="auto"/>
              <w:ind w:firstLine="0" w:firstLineChars="0"/>
              <w:jc w:val="both"/>
              <w:rPr>
                <w:rFonts w:hint="eastAsia" w:ascii="宋体" w:hAnsi="宋体" w:eastAsia="宋体" w:cs="宋体"/>
                <w:color w:val="auto"/>
                <w:kern w:val="2"/>
                <w:sz w:val="21"/>
                <w:szCs w:val="21"/>
              </w:rPr>
            </w:pPr>
          </w:p>
        </w:tc>
      </w:tr>
    </w:tbl>
    <w:p w14:paraId="6E04A107">
      <w:pPr>
        <w:numPr>
          <w:ilvl w:val="0"/>
          <w:numId w:val="9"/>
        </w:numPr>
        <w:spacing w:line="360" w:lineRule="auto"/>
        <w:ind w:left="0" w:firstLine="42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对于突发事件引起的情况（如恶性传染病或者流感等），应做好管理区域内的卫生及日常消杀、消毒工作，确保工作环境安全。</w:t>
      </w:r>
    </w:p>
    <w:p w14:paraId="096C3405">
      <w:pPr>
        <w:numPr>
          <w:ilvl w:val="0"/>
          <w:numId w:val="9"/>
        </w:numPr>
        <w:spacing w:line="360" w:lineRule="auto"/>
        <w:ind w:left="0" w:firstLine="42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公共区域卫生间消耗品要求与标准</w:t>
      </w:r>
    </w:p>
    <w:p w14:paraId="6DF3BFA9">
      <w:pPr>
        <w:numPr>
          <w:ilvl w:val="-1"/>
          <w:numId w:val="0"/>
        </w:numPr>
        <w:spacing w:line="360" w:lineRule="auto"/>
        <w:ind w:left="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公共区域卫生间消耗品实行按需提供方式，中标人应按实际情况根据日常或特殊时期的使用习惯提供足够的卫生间消耗品（一般为平时每日3次，节假日每日2次，实际使用过程中应按需调整卫生消耗品的提供次数和用量）。</w:t>
      </w:r>
    </w:p>
    <w:p w14:paraId="1299BFFA">
      <w:pPr>
        <w:numPr>
          <w:ilvl w:val="-1"/>
          <w:numId w:val="0"/>
        </w:numPr>
        <w:spacing w:line="360" w:lineRule="auto"/>
        <w:ind w:left="420" w:firstLine="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卫生消耗品的品牌质量档次不得低于以下参考品牌：</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2"/>
        <w:gridCol w:w="2826"/>
        <w:gridCol w:w="3935"/>
      </w:tblGrid>
      <w:tr w14:paraId="71DF0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2" w:type="dxa"/>
            <w:noWrap w:val="0"/>
            <w:vAlign w:val="top"/>
          </w:tcPr>
          <w:p w14:paraId="176AC222">
            <w:pPr>
              <w:spacing w:line="240" w:lineRule="auto"/>
              <w:ind w:firstLine="0" w:firstLineChars="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序号</w:t>
            </w:r>
          </w:p>
        </w:tc>
        <w:tc>
          <w:tcPr>
            <w:tcW w:w="2826" w:type="dxa"/>
            <w:noWrap w:val="0"/>
            <w:vAlign w:val="top"/>
          </w:tcPr>
          <w:p w14:paraId="3BD35199">
            <w:pPr>
              <w:spacing w:line="240" w:lineRule="auto"/>
              <w:ind w:firstLine="0" w:firstLineChars="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消耗品名称</w:t>
            </w:r>
          </w:p>
        </w:tc>
        <w:tc>
          <w:tcPr>
            <w:tcW w:w="3935" w:type="dxa"/>
            <w:noWrap w:val="0"/>
            <w:vAlign w:val="top"/>
          </w:tcPr>
          <w:p w14:paraId="4330A9B5">
            <w:pPr>
              <w:spacing w:line="240" w:lineRule="auto"/>
              <w:ind w:firstLine="0" w:firstLineChars="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参考品牌</w:t>
            </w:r>
          </w:p>
        </w:tc>
      </w:tr>
      <w:tr w14:paraId="201A9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2" w:type="dxa"/>
            <w:noWrap w:val="0"/>
            <w:vAlign w:val="top"/>
          </w:tcPr>
          <w:p w14:paraId="7DD8375C">
            <w:pPr>
              <w:spacing w:line="240" w:lineRule="auto"/>
              <w:ind w:firstLine="0" w:firstLineChars="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w:t>
            </w:r>
          </w:p>
        </w:tc>
        <w:tc>
          <w:tcPr>
            <w:tcW w:w="2826" w:type="dxa"/>
            <w:noWrap w:val="0"/>
            <w:vAlign w:val="top"/>
          </w:tcPr>
          <w:p w14:paraId="3F939183">
            <w:pPr>
              <w:spacing w:line="240" w:lineRule="auto"/>
              <w:ind w:firstLine="0" w:firstLineChars="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清洁剂</w:t>
            </w:r>
          </w:p>
        </w:tc>
        <w:tc>
          <w:tcPr>
            <w:tcW w:w="3935" w:type="dxa"/>
            <w:noWrap w:val="0"/>
            <w:vAlign w:val="top"/>
          </w:tcPr>
          <w:p w14:paraId="5E59369C">
            <w:pPr>
              <w:spacing w:line="240" w:lineRule="auto"/>
              <w:ind w:firstLine="0" w:firstLineChars="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威猛先生、蓝月亮、绿伞</w:t>
            </w:r>
          </w:p>
        </w:tc>
      </w:tr>
      <w:tr w14:paraId="168C2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2" w:type="dxa"/>
            <w:noWrap w:val="0"/>
            <w:vAlign w:val="top"/>
          </w:tcPr>
          <w:p w14:paraId="0C8549FE">
            <w:pPr>
              <w:spacing w:line="240" w:lineRule="auto"/>
              <w:ind w:firstLine="0" w:firstLineChars="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2</w:t>
            </w:r>
          </w:p>
        </w:tc>
        <w:tc>
          <w:tcPr>
            <w:tcW w:w="2826" w:type="dxa"/>
            <w:noWrap w:val="0"/>
            <w:vAlign w:val="top"/>
          </w:tcPr>
          <w:p w14:paraId="4AD39E6E">
            <w:pPr>
              <w:spacing w:line="240" w:lineRule="auto"/>
              <w:ind w:firstLine="0" w:firstLineChars="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消毒剂</w:t>
            </w:r>
          </w:p>
        </w:tc>
        <w:tc>
          <w:tcPr>
            <w:tcW w:w="3935" w:type="dxa"/>
            <w:noWrap w:val="0"/>
            <w:vAlign w:val="top"/>
          </w:tcPr>
          <w:p w14:paraId="6FA79553">
            <w:pPr>
              <w:spacing w:line="240" w:lineRule="auto"/>
              <w:ind w:firstLine="0" w:firstLineChars="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威露士、滴露、蓝月亮</w:t>
            </w:r>
          </w:p>
        </w:tc>
      </w:tr>
      <w:tr w14:paraId="2925E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2" w:type="dxa"/>
            <w:noWrap w:val="0"/>
            <w:vAlign w:val="top"/>
          </w:tcPr>
          <w:p w14:paraId="246A4609">
            <w:pPr>
              <w:spacing w:line="240" w:lineRule="auto"/>
              <w:ind w:firstLine="0" w:firstLineChars="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3</w:t>
            </w:r>
          </w:p>
        </w:tc>
        <w:tc>
          <w:tcPr>
            <w:tcW w:w="2826" w:type="dxa"/>
            <w:noWrap w:val="0"/>
            <w:vAlign w:val="top"/>
          </w:tcPr>
          <w:p w14:paraId="2FF718DE">
            <w:pPr>
              <w:spacing w:line="240" w:lineRule="auto"/>
              <w:ind w:firstLine="0" w:firstLineChars="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除臭剂</w:t>
            </w:r>
          </w:p>
        </w:tc>
        <w:tc>
          <w:tcPr>
            <w:tcW w:w="3935" w:type="dxa"/>
            <w:noWrap w:val="0"/>
            <w:vAlign w:val="top"/>
          </w:tcPr>
          <w:p w14:paraId="1732FC74">
            <w:pPr>
              <w:spacing w:line="240" w:lineRule="auto"/>
              <w:ind w:firstLine="0" w:firstLineChars="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小林制药、花仙子、老管家</w:t>
            </w:r>
          </w:p>
        </w:tc>
      </w:tr>
      <w:tr w14:paraId="1EB2D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2" w:type="dxa"/>
            <w:noWrap w:val="0"/>
            <w:vAlign w:val="top"/>
          </w:tcPr>
          <w:p w14:paraId="07789C49">
            <w:pPr>
              <w:spacing w:line="240" w:lineRule="auto"/>
              <w:ind w:firstLine="0" w:firstLineChars="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4</w:t>
            </w:r>
          </w:p>
        </w:tc>
        <w:tc>
          <w:tcPr>
            <w:tcW w:w="2826" w:type="dxa"/>
            <w:noWrap w:val="0"/>
            <w:vAlign w:val="top"/>
          </w:tcPr>
          <w:p w14:paraId="025CCEF2">
            <w:pPr>
              <w:spacing w:line="240" w:lineRule="auto"/>
              <w:ind w:firstLine="0" w:firstLineChars="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洗手液</w:t>
            </w:r>
          </w:p>
        </w:tc>
        <w:tc>
          <w:tcPr>
            <w:tcW w:w="3935" w:type="dxa"/>
            <w:noWrap w:val="0"/>
            <w:vAlign w:val="top"/>
          </w:tcPr>
          <w:p w14:paraId="4CB6B660">
            <w:pPr>
              <w:spacing w:line="240" w:lineRule="auto"/>
              <w:ind w:firstLine="0" w:firstLineChars="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蓝月亮、威露士、滴露</w:t>
            </w:r>
          </w:p>
        </w:tc>
      </w:tr>
      <w:tr w14:paraId="3FA61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2" w:type="dxa"/>
            <w:noWrap w:val="0"/>
            <w:vAlign w:val="top"/>
          </w:tcPr>
          <w:p w14:paraId="782DEDC4">
            <w:pPr>
              <w:spacing w:line="240" w:lineRule="auto"/>
              <w:ind w:firstLine="0" w:firstLineChars="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5</w:t>
            </w:r>
          </w:p>
        </w:tc>
        <w:tc>
          <w:tcPr>
            <w:tcW w:w="2826" w:type="dxa"/>
            <w:noWrap w:val="0"/>
            <w:vAlign w:val="top"/>
          </w:tcPr>
          <w:p w14:paraId="771EE239">
            <w:pPr>
              <w:spacing w:line="240" w:lineRule="auto"/>
              <w:ind w:firstLine="0" w:firstLineChars="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大卷纸</w:t>
            </w:r>
          </w:p>
        </w:tc>
        <w:tc>
          <w:tcPr>
            <w:tcW w:w="3935" w:type="dxa"/>
            <w:noWrap w:val="0"/>
            <w:vAlign w:val="top"/>
          </w:tcPr>
          <w:p w14:paraId="5A79657C">
            <w:pPr>
              <w:spacing w:line="240" w:lineRule="auto"/>
              <w:ind w:firstLine="0" w:firstLineChars="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维达、心相印、清风</w:t>
            </w:r>
          </w:p>
        </w:tc>
      </w:tr>
      <w:tr w14:paraId="26502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2" w:type="dxa"/>
            <w:noWrap w:val="0"/>
            <w:vAlign w:val="top"/>
          </w:tcPr>
          <w:p w14:paraId="08076481">
            <w:pPr>
              <w:spacing w:line="240" w:lineRule="auto"/>
              <w:ind w:firstLine="0" w:firstLineChars="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6</w:t>
            </w:r>
          </w:p>
        </w:tc>
        <w:tc>
          <w:tcPr>
            <w:tcW w:w="2826" w:type="dxa"/>
            <w:noWrap w:val="0"/>
            <w:vAlign w:val="top"/>
          </w:tcPr>
          <w:p w14:paraId="6EDCD769">
            <w:pPr>
              <w:spacing w:line="240" w:lineRule="auto"/>
              <w:ind w:firstLine="0" w:firstLineChars="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擦手纸</w:t>
            </w:r>
          </w:p>
        </w:tc>
        <w:tc>
          <w:tcPr>
            <w:tcW w:w="3935" w:type="dxa"/>
            <w:noWrap w:val="0"/>
            <w:vAlign w:val="top"/>
          </w:tcPr>
          <w:p w14:paraId="73392B73">
            <w:pPr>
              <w:spacing w:line="240" w:lineRule="auto"/>
              <w:ind w:firstLine="0" w:firstLineChars="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维达、心相印、清风</w:t>
            </w:r>
          </w:p>
        </w:tc>
      </w:tr>
      <w:tr w14:paraId="19ADF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2" w:type="dxa"/>
            <w:noWrap w:val="0"/>
            <w:vAlign w:val="top"/>
          </w:tcPr>
          <w:p w14:paraId="2AA73F6E">
            <w:pPr>
              <w:spacing w:line="240" w:lineRule="auto"/>
              <w:ind w:firstLine="0" w:firstLineChars="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7</w:t>
            </w:r>
          </w:p>
        </w:tc>
        <w:tc>
          <w:tcPr>
            <w:tcW w:w="2826" w:type="dxa"/>
            <w:noWrap w:val="0"/>
            <w:vAlign w:val="top"/>
          </w:tcPr>
          <w:p w14:paraId="703230A9">
            <w:pPr>
              <w:spacing w:line="240" w:lineRule="auto"/>
              <w:ind w:firstLine="0" w:firstLineChars="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坐厕纸</w:t>
            </w:r>
          </w:p>
        </w:tc>
        <w:tc>
          <w:tcPr>
            <w:tcW w:w="3935" w:type="dxa"/>
            <w:noWrap w:val="0"/>
            <w:vAlign w:val="top"/>
          </w:tcPr>
          <w:p w14:paraId="00671E6A">
            <w:pPr>
              <w:spacing w:line="240" w:lineRule="auto"/>
              <w:ind w:firstLine="0" w:firstLineChars="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香臣、得力、无印良品</w:t>
            </w:r>
          </w:p>
        </w:tc>
      </w:tr>
    </w:tbl>
    <w:p w14:paraId="58463211">
      <w:pPr>
        <w:keepNext w:val="0"/>
        <w:keepLines w:val="0"/>
        <w:pageBreakBefore w:val="0"/>
        <w:widowControl/>
        <w:numPr>
          <w:ilvl w:val="0"/>
          <w:numId w:val="9"/>
        </w:numPr>
        <w:kinsoku/>
        <w:wordWrap/>
        <w:overflowPunct/>
        <w:topLinePunct w:val="0"/>
        <w:autoSpaceDE/>
        <w:autoSpaceDN/>
        <w:bidi w:val="0"/>
        <w:adjustRightInd/>
        <w:snapToGrid/>
        <w:spacing w:line="360" w:lineRule="auto"/>
        <w:ind w:left="0" w:leftChars="0" w:firstLine="420" w:firstLineChars="0"/>
        <w:textAlignment w:val="auto"/>
        <w:outlineLvl w:val="9"/>
        <w:rPr>
          <w:rFonts w:hint="eastAsia" w:ascii="宋体" w:hAnsi="宋体" w:eastAsia="宋体" w:cs="宋体"/>
          <w:b w:val="0"/>
          <w:bCs w:val="0"/>
          <w:color w:val="auto"/>
          <w:sz w:val="21"/>
          <w:szCs w:val="21"/>
          <w:highlight w:val="none"/>
          <w:lang w:val="en-US" w:eastAsia="zh-CN"/>
        </w:rPr>
      </w:pPr>
      <w:bookmarkStart w:id="602" w:name="_Toc14802"/>
      <w:bookmarkStart w:id="603" w:name="_Toc22852"/>
      <w:bookmarkStart w:id="604" w:name="_Toc7527"/>
      <w:r>
        <w:rPr>
          <w:rFonts w:hint="eastAsia" w:ascii="宋体" w:hAnsi="宋体" w:eastAsia="宋体" w:cs="宋体"/>
          <w:b w:val="0"/>
          <w:bCs w:val="0"/>
          <w:color w:val="auto"/>
          <w:sz w:val="21"/>
          <w:szCs w:val="21"/>
          <w:highlight w:val="none"/>
          <w:lang w:val="en-US" w:eastAsia="zh-CN"/>
        </w:rPr>
        <w:t>租赁</w:t>
      </w:r>
      <w:r>
        <w:rPr>
          <w:rFonts w:hint="eastAsia" w:ascii="宋体" w:hAnsi="宋体" w:eastAsia="宋体" w:cs="宋体"/>
          <w:b w:val="0"/>
          <w:bCs w:val="0"/>
          <w:color w:val="auto"/>
          <w:sz w:val="21"/>
          <w:szCs w:val="21"/>
          <w:highlight w:val="none"/>
        </w:rPr>
        <w:t>区域</w:t>
      </w:r>
      <w:r>
        <w:rPr>
          <w:rFonts w:hint="eastAsia" w:ascii="宋体" w:hAnsi="宋体" w:eastAsia="宋体" w:cs="宋体"/>
          <w:b w:val="0"/>
          <w:bCs w:val="0"/>
          <w:color w:val="auto"/>
          <w:sz w:val="21"/>
          <w:szCs w:val="21"/>
          <w:highlight w:val="none"/>
          <w:lang w:val="en-US" w:eastAsia="zh-CN"/>
        </w:rPr>
        <w:t>内室内区域（适用于</w:t>
      </w:r>
      <w:bookmarkStart w:id="605" w:name="OLE_LINK21"/>
      <w:bookmarkStart w:id="606" w:name="OLE_LINK13"/>
      <w:r>
        <w:rPr>
          <w:rFonts w:hint="eastAsia" w:ascii="宋体" w:hAnsi="宋体" w:eastAsia="宋体" w:cs="宋体"/>
          <w:b w:val="0"/>
          <w:bCs w:val="0"/>
          <w:color w:val="auto"/>
          <w:kern w:val="0"/>
          <w:sz w:val="21"/>
          <w:szCs w:val="21"/>
          <w:highlight w:val="none"/>
          <w:lang w:val="en-US" w:eastAsia="zh-CN" w:bidi="en-US"/>
        </w:rPr>
        <w:t>招标人</w:t>
      </w:r>
      <w:bookmarkEnd w:id="605"/>
      <w:r>
        <w:rPr>
          <w:rFonts w:hint="eastAsia" w:ascii="宋体" w:hAnsi="宋体" w:eastAsia="宋体" w:cs="宋体"/>
          <w:b w:val="0"/>
          <w:bCs w:val="0"/>
          <w:color w:val="auto"/>
          <w:kern w:val="0"/>
          <w:sz w:val="21"/>
          <w:szCs w:val="21"/>
          <w:highlight w:val="none"/>
          <w:lang w:val="en-US" w:eastAsia="zh-CN" w:bidi="en-US"/>
        </w:rPr>
        <w:t>集团内部各企业</w:t>
      </w:r>
      <w:bookmarkEnd w:id="606"/>
      <w:r>
        <w:rPr>
          <w:rFonts w:hint="eastAsia" w:ascii="宋体" w:hAnsi="宋体" w:eastAsia="宋体" w:cs="宋体"/>
          <w:b w:val="0"/>
          <w:bCs w:val="0"/>
          <w:color w:val="auto"/>
          <w:kern w:val="0"/>
          <w:sz w:val="21"/>
          <w:szCs w:val="21"/>
          <w:highlight w:val="none"/>
          <w:lang w:val="en-US" w:eastAsia="zh-CN" w:bidi="en-US"/>
        </w:rPr>
        <w:t>办公区域</w:t>
      </w:r>
      <w:r>
        <w:rPr>
          <w:rFonts w:hint="eastAsia" w:ascii="宋体" w:hAnsi="宋体" w:eastAsia="宋体" w:cs="宋体"/>
          <w:b w:val="0"/>
          <w:bCs w:val="0"/>
          <w:color w:val="auto"/>
          <w:sz w:val="21"/>
          <w:szCs w:val="21"/>
          <w:highlight w:val="none"/>
          <w:lang w:val="en-US" w:eastAsia="zh-CN"/>
        </w:rPr>
        <w:t>）</w:t>
      </w:r>
    </w:p>
    <w:p w14:paraId="07C22767">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val="0"/>
          <w:bCs w:val="0"/>
          <w:color w:val="auto"/>
          <w:szCs w:val="21"/>
          <w:highlight w:val="none"/>
        </w:rPr>
      </w:pPr>
      <w:bookmarkStart w:id="607" w:name="OLE_LINK12"/>
      <w:r>
        <w:rPr>
          <w:rFonts w:hint="eastAsia" w:ascii="宋体" w:hAnsi="宋体" w:eastAsia="宋体" w:cs="宋体"/>
          <w:b w:val="0"/>
          <w:bCs w:val="0"/>
          <w:color w:val="auto"/>
          <w:sz w:val="21"/>
          <w:szCs w:val="21"/>
          <w:highlight w:val="none"/>
          <w:lang w:val="en-US" w:eastAsia="zh-CN"/>
        </w:rPr>
        <w:t>1）</w:t>
      </w:r>
      <w:bookmarkEnd w:id="607"/>
      <w:r>
        <w:rPr>
          <w:rFonts w:hint="eastAsia" w:ascii="宋体" w:hAnsi="宋体" w:eastAsia="宋体" w:cs="宋体"/>
          <w:b w:val="0"/>
          <w:bCs w:val="0"/>
          <w:color w:val="auto"/>
          <w:sz w:val="21"/>
          <w:szCs w:val="21"/>
          <w:highlight w:val="none"/>
        </w:rPr>
        <w:t>清洁保洁服务包括但不限于以下内容</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租赁</w:t>
      </w:r>
      <w:r>
        <w:rPr>
          <w:rFonts w:hint="eastAsia" w:ascii="宋体" w:hAnsi="宋体" w:eastAsia="宋体" w:cs="宋体"/>
          <w:b w:val="0"/>
          <w:bCs w:val="0"/>
          <w:color w:val="auto"/>
          <w:sz w:val="21"/>
          <w:szCs w:val="21"/>
          <w:highlight w:val="none"/>
        </w:rPr>
        <w:t>区域</w:t>
      </w:r>
      <w:r>
        <w:rPr>
          <w:rFonts w:hint="eastAsia" w:ascii="宋体" w:hAnsi="宋体" w:eastAsia="宋体" w:cs="宋体"/>
          <w:b w:val="0"/>
          <w:bCs w:val="0"/>
          <w:color w:val="auto"/>
          <w:sz w:val="21"/>
          <w:szCs w:val="21"/>
          <w:highlight w:val="none"/>
          <w:lang w:val="en-US" w:eastAsia="zh-CN"/>
        </w:rPr>
        <w:t>内</w:t>
      </w:r>
      <w:r>
        <w:rPr>
          <w:rFonts w:hint="eastAsia" w:ascii="宋体" w:hAnsi="宋体" w:eastAsia="宋体" w:cs="宋体"/>
          <w:b w:val="0"/>
          <w:bCs w:val="0"/>
          <w:color w:val="auto"/>
          <w:szCs w:val="21"/>
          <w:highlight w:val="none"/>
        </w:rPr>
        <w:t>所有办公区域的清洁保洁</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rPr>
        <w:t>如办公区域、会议室、接待室、茶水间、</w:t>
      </w:r>
      <w:r>
        <w:rPr>
          <w:rFonts w:hint="eastAsia" w:ascii="宋体" w:hAnsi="宋体" w:eastAsia="宋体" w:cs="宋体"/>
          <w:b w:val="0"/>
          <w:bCs w:val="0"/>
          <w:color w:val="auto"/>
          <w:szCs w:val="21"/>
          <w:highlight w:val="none"/>
          <w:lang w:val="en-US" w:eastAsia="zh-CN"/>
        </w:rPr>
        <w:t>玻璃窗、</w:t>
      </w:r>
      <w:r>
        <w:rPr>
          <w:rFonts w:hint="eastAsia" w:ascii="宋体" w:hAnsi="宋体" w:eastAsia="宋体" w:cs="宋体"/>
          <w:b w:val="0"/>
          <w:bCs w:val="0"/>
          <w:color w:val="auto"/>
          <w:szCs w:val="21"/>
          <w:highlight w:val="none"/>
        </w:rPr>
        <w:t>洗手间、</w:t>
      </w:r>
      <w:r>
        <w:rPr>
          <w:rFonts w:hint="eastAsia" w:ascii="宋体" w:hAnsi="宋体" w:eastAsia="宋体" w:cs="宋体"/>
          <w:b w:val="0"/>
          <w:bCs w:val="0"/>
          <w:color w:val="auto"/>
          <w:sz w:val="21"/>
          <w:szCs w:val="21"/>
          <w:highlight w:val="none"/>
          <w:lang w:val="en-US" w:eastAsia="zh-CN"/>
        </w:rPr>
        <w:t>租赁</w:t>
      </w:r>
      <w:r>
        <w:rPr>
          <w:rFonts w:hint="eastAsia" w:ascii="宋体" w:hAnsi="宋体" w:eastAsia="宋体" w:cs="宋体"/>
          <w:b w:val="0"/>
          <w:bCs w:val="0"/>
          <w:color w:val="auto"/>
          <w:sz w:val="21"/>
          <w:szCs w:val="21"/>
          <w:highlight w:val="none"/>
        </w:rPr>
        <w:t>区域</w:t>
      </w:r>
      <w:r>
        <w:rPr>
          <w:rFonts w:hint="eastAsia" w:ascii="宋体" w:hAnsi="宋体" w:eastAsia="宋体" w:cs="宋体"/>
          <w:b w:val="0"/>
          <w:bCs w:val="0"/>
          <w:color w:val="auto"/>
          <w:sz w:val="21"/>
          <w:szCs w:val="21"/>
          <w:highlight w:val="none"/>
          <w:lang w:val="en-US" w:eastAsia="zh-CN"/>
        </w:rPr>
        <w:t>内</w:t>
      </w:r>
      <w:r>
        <w:rPr>
          <w:rFonts w:hint="eastAsia" w:ascii="宋体" w:hAnsi="宋体" w:eastAsia="宋体" w:cs="宋体"/>
          <w:b w:val="0"/>
          <w:bCs w:val="0"/>
          <w:color w:val="auto"/>
          <w:szCs w:val="21"/>
          <w:highlight w:val="none"/>
        </w:rPr>
        <w:t>公共区域、</w:t>
      </w:r>
      <w:r>
        <w:rPr>
          <w:rFonts w:hint="eastAsia" w:ascii="宋体" w:hAnsi="宋体" w:eastAsia="宋体" w:cs="宋体"/>
          <w:b w:val="0"/>
          <w:bCs w:val="0"/>
          <w:color w:val="auto"/>
          <w:szCs w:val="21"/>
          <w:highlight w:val="none"/>
          <w:lang w:val="en-US" w:eastAsia="zh-CN"/>
        </w:rPr>
        <w:t>办公室</w:t>
      </w:r>
      <w:r>
        <w:rPr>
          <w:rFonts w:hint="eastAsia" w:ascii="宋体" w:hAnsi="宋体" w:eastAsia="宋体" w:cs="宋体"/>
          <w:b w:val="0"/>
          <w:bCs w:val="0"/>
          <w:color w:val="auto"/>
          <w:szCs w:val="21"/>
          <w:highlight w:val="none"/>
        </w:rPr>
        <w:t>天花板的清洁保洁工作</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rPr>
        <w:t>健身活动室及</w:t>
      </w:r>
      <w:r>
        <w:rPr>
          <w:rFonts w:hint="eastAsia" w:ascii="宋体" w:hAnsi="宋体" w:eastAsia="宋体" w:cs="宋体"/>
          <w:b w:val="0"/>
          <w:bCs w:val="0"/>
          <w:color w:val="auto"/>
          <w:sz w:val="21"/>
          <w:szCs w:val="21"/>
          <w:highlight w:val="none"/>
          <w:lang w:val="en-US" w:eastAsia="zh-CN"/>
        </w:rPr>
        <w:t>租赁</w:t>
      </w:r>
      <w:r>
        <w:rPr>
          <w:rFonts w:hint="eastAsia" w:ascii="宋体" w:hAnsi="宋体" w:eastAsia="宋体" w:cs="宋体"/>
          <w:b w:val="0"/>
          <w:bCs w:val="0"/>
          <w:color w:val="auto"/>
          <w:sz w:val="21"/>
          <w:szCs w:val="21"/>
          <w:highlight w:val="none"/>
        </w:rPr>
        <w:t>区域</w:t>
      </w:r>
      <w:r>
        <w:rPr>
          <w:rFonts w:hint="eastAsia" w:ascii="宋体" w:hAnsi="宋体" w:eastAsia="宋体" w:cs="宋体"/>
          <w:b w:val="0"/>
          <w:bCs w:val="0"/>
          <w:color w:val="auto"/>
          <w:sz w:val="21"/>
          <w:szCs w:val="21"/>
          <w:highlight w:val="none"/>
          <w:lang w:val="en-US" w:eastAsia="zh-CN"/>
        </w:rPr>
        <w:t>内</w:t>
      </w:r>
      <w:r>
        <w:rPr>
          <w:rFonts w:hint="eastAsia" w:ascii="宋体" w:hAnsi="宋体" w:eastAsia="宋体" w:cs="宋体"/>
          <w:b w:val="0"/>
          <w:bCs w:val="0"/>
          <w:color w:val="auto"/>
          <w:szCs w:val="21"/>
          <w:highlight w:val="none"/>
        </w:rPr>
        <w:t>相关公共区域的保洁工作。</w:t>
      </w:r>
    </w:p>
    <w:p w14:paraId="27986245">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val="0"/>
          <w:bCs w:val="0"/>
          <w:color w:val="auto"/>
          <w:sz w:val="21"/>
          <w:szCs w:val="21"/>
          <w:highlight w:val="none"/>
          <w:lang w:val="en-US" w:eastAsia="zh-CN"/>
        </w:rPr>
      </w:pPr>
      <w:bookmarkStart w:id="608" w:name="OLE_LINK23"/>
      <w:r>
        <w:rPr>
          <w:rFonts w:hint="eastAsia" w:ascii="宋体" w:hAnsi="宋体" w:eastAsia="宋体" w:cs="宋体"/>
          <w:b w:val="0"/>
          <w:bCs w:val="0"/>
          <w:color w:val="auto"/>
          <w:sz w:val="21"/>
          <w:szCs w:val="21"/>
          <w:highlight w:val="none"/>
          <w:lang w:val="en-US" w:eastAsia="zh-CN"/>
        </w:rPr>
        <w:t>2）</w:t>
      </w:r>
      <w:bookmarkEnd w:id="608"/>
      <w:r>
        <w:rPr>
          <w:rFonts w:hint="eastAsia" w:ascii="宋体" w:hAnsi="宋体" w:eastAsia="宋体" w:cs="宋体"/>
          <w:b w:val="0"/>
          <w:bCs w:val="0"/>
          <w:color w:val="auto"/>
          <w:sz w:val="21"/>
          <w:szCs w:val="21"/>
          <w:highlight w:val="none"/>
          <w:lang w:val="en-US" w:eastAsia="zh-CN"/>
        </w:rPr>
        <w:t>服务标准：</w:t>
      </w:r>
    </w:p>
    <w:tbl>
      <w:tblPr>
        <w:tblStyle w:val="41"/>
        <w:tblW w:w="8011" w:type="dxa"/>
        <w:tblInd w:w="4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4"/>
        <w:gridCol w:w="1772"/>
        <w:gridCol w:w="5525"/>
      </w:tblGrid>
      <w:tr w14:paraId="5AE74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noWrap/>
            <w:vAlign w:val="center"/>
          </w:tcPr>
          <w:p w14:paraId="5AB3ED0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编号</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45BDE13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区域</w:t>
            </w:r>
          </w:p>
        </w:tc>
        <w:tc>
          <w:tcPr>
            <w:tcW w:w="5525" w:type="dxa"/>
            <w:tcBorders>
              <w:top w:val="single" w:color="000000" w:sz="4" w:space="0"/>
              <w:left w:val="single" w:color="000000" w:sz="4" w:space="0"/>
              <w:bottom w:val="single" w:color="000000" w:sz="4" w:space="0"/>
              <w:right w:val="single" w:color="000000" w:sz="4" w:space="0"/>
            </w:tcBorders>
            <w:noWrap/>
            <w:vAlign w:val="center"/>
          </w:tcPr>
          <w:p w14:paraId="275FD4E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清洁标准</w:t>
            </w:r>
          </w:p>
        </w:tc>
      </w:tr>
      <w:tr w14:paraId="30EFD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5" w:hRule="atLeast"/>
        </w:trPr>
        <w:tc>
          <w:tcPr>
            <w:tcW w:w="714" w:type="dxa"/>
            <w:tcBorders>
              <w:top w:val="single" w:color="000000" w:sz="4" w:space="0"/>
              <w:left w:val="single" w:color="000000" w:sz="4" w:space="0"/>
              <w:bottom w:val="single" w:color="000000" w:sz="4" w:space="0"/>
              <w:right w:val="single" w:color="000000" w:sz="4" w:space="0"/>
            </w:tcBorders>
            <w:noWrap/>
            <w:vAlign w:val="center"/>
          </w:tcPr>
          <w:p w14:paraId="711977ED">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3BC8A02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办公区</w:t>
            </w:r>
          </w:p>
        </w:tc>
        <w:tc>
          <w:tcPr>
            <w:tcW w:w="5525" w:type="dxa"/>
            <w:tcBorders>
              <w:top w:val="single" w:color="000000" w:sz="4" w:space="0"/>
              <w:left w:val="single" w:color="000000" w:sz="4" w:space="0"/>
              <w:bottom w:val="single" w:color="000000" w:sz="4" w:space="0"/>
              <w:right w:val="single" w:color="000000" w:sz="4" w:space="0"/>
            </w:tcBorders>
            <w:noWrap w:val="0"/>
            <w:vAlign w:val="center"/>
          </w:tcPr>
          <w:p w14:paraId="0C588C77">
            <w:pPr>
              <w:keepNext w:val="0"/>
              <w:keepLines w:val="0"/>
              <w:widowControl/>
              <w:suppressLineNumbers w:val="0"/>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桌面：用干抹布擦拭，无灰尘，严禁触碰、移动、翻阅任何办公文件、资料及个人物品，清洁人员需签署保密承诺书。如确需小范围移动以便清洁，须在员工在场时进行。</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隔断：无灰尘、无手印。</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电话：每日用酒精消毒擦拭。</w:t>
            </w:r>
          </w:p>
          <w:p w14:paraId="5159715B">
            <w:pPr>
              <w:keepNext w:val="0"/>
              <w:keepLines w:val="0"/>
              <w:widowControl/>
              <w:suppressLineNumbers w:val="0"/>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垃圾桶：每日清倒，更换垃圾袋，外壁清洁。</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地面：地毯每日吸尘，无纸屑、无斑点；硬质地面保持光亮无尘、无污渍。</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门窗：玻璃洁净，轨道、窗台无积尘。</w:t>
            </w:r>
          </w:p>
        </w:tc>
      </w:tr>
      <w:tr w14:paraId="6FC3B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1" w:hRule="atLeast"/>
        </w:trPr>
        <w:tc>
          <w:tcPr>
            <w:tcW w:w="714" w:type="dxa"/>
            <w:tcBorders>
              <w:top w:val="single" w:color="000000" w:sz="4" w:space="0"/>
              <w:left w:val="single" w:color="000000" w:sz="4" w:space="0"/>
              <w:bottom w:val="single" w:color="000000" w:sz="4" w:space="0"/>
              <w:right w:val="single" w:color="000000" w:sz="4" w:space="0"/>
            </w:tcBorders>
            <w:noWrap/>
            <w:vAlign w:val="center"/>
          </w:tcPr>
          <w:p w14:paraId="18E6CA0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2</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065C90F4">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lang w:val="en-US"/>
              </w:rPr>
            </w:pPr>
            <w:r>
              <w:rPr>
                <w:rFonts w:hint="eastAsia" w:ascii="宋体" w:hAnsi="宋体" w:eastAsia="宋体" w:cs="宋体"/>
                <w:b w:val="0"/>
                <w:bCs w:val="0"/>
                <w:i w:val="0"/>
                <w:iCs w:val="0"/>
                <w:color w:val="auto"/>
                <w:kern w:val="0"/>
                <w:sz w:val="21"/>
                <w:szCs w:val="21"/>
                <w:u w:val="none"/>
                <w:lang w:val="en-US" w:eastAsia="zh-CN" w:bidi="ar"/>
              </w:rPr>
              <w:t>独立办公室/会议室</w:t>
            </w:r>
          </w:p>
        </w:tc>
        <w:tc>
          <w:tcPr>
            <w:tcW w:w="5525" w:type="dxa"/>
            <w:tcBorders>
              <w:top w:val="single" w:color="000000" w:sz="4" w:space="0"/>
              <w:left w:val="single" w:color="000000" w:sz="4" w:space="0"/>
              <w:bottom w:val="single" w:color="000000" w:sz="4" w:space="0"/>
              <w:right w:val="single" w:color="000000" w:sz="4" w:space="0"/>
            </w:tcBorders>
            <w:noWrap w:val="0"/>
            <w:vAlign w:val="center"/>
          </w:tcPr>
          <w:p w14:paraId="55FD36F9">
            <w:pPr>
              <w:keepNext w:val="0"/>
              <w:keepLines w:val="0"/>
              <w:widowControl/>
              <w:suppressLineNumbers w:val="0"/>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高标准要求：会议室清洁需在每次使用后30分钟内完成复位。复位标准包括：桌椅按标准布局摆放整齐、桌面无任何痕迹、白板擦拭干净、设备电源线收纳整齐。高管办公室除日常标准外，需增加对书柜、装饰品、绿植叶面等进行精细除尘。</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桌椅：摆放整齐，椅背、扶手等细节处无尘。</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电子设备：投影仪、电视屏幕无灰尘。</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白板/黑板：干净，笔槽无粉笔灰。</w:t>
            </w:r>
          </w:p>
        </w:tc>
      </w:tr>
      <w:tr w14:paraId="30D2B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9" w:hRule="atLeast"/>
        </w:trPr>
        <w:tc>
          <w:tcPr>
            <w:tcW w:w="714" w:type="dxa"/>
            <w:tcBorders>
              <w:top w:val="single" w:color="000000" w:sz="4" w:space="0"/>
              <w:left w:val="single" w:color="000000" w:sz="4" w:space="0"/>
              <w:bottom w:val="single" w:color="000000" w:sz="4" w:space="0"/>
              <w:right w:val="single" w:color="000000" w:sz="4" w:space="0"/>
            </w:tcBorders>
            <w:noWrap/>
            <w:vAlign w:val="center"/>
          </w:tcPr>
          <w:p w14:paraId="18C3B74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3</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40DFC60D">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茶水间</w:t>
            </w:r>
          </w:p>
        </w:tc>
        <w:tc>
          <w:tcPr>
            <w:tcW w:w="5525" w:type="dxa"/>
            <w:tcBorders>
              <w:top w:val="single" w:color="000000" w:sz="4" w:space="0"/>
              <w:left w:val="single" w:color="000000" w:sz="4" w:space="0"/>
              <w:bottom w:val="single" w:color="000000" w:sz="4" w:space="0"/>
              <w:right w:val="single" w:color="000000" w:sz="4" w:space="0"/>
            </w:tcBorders>
            <w:noWrap w:val="0"/>
            <w:vAlign w:val="center"/>
          </w:tcPr>
          <w:p w14:paraId="140E1ADA">
            <w:pPr>
              <w:keepNext w:val="0"/>
              <w:keepLines w:val="0"/>
              <w:widowControl/>
              <w:suppressLineNumbers w:val="0"/>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台面与水槽：无食物残渣、无水迹、无茶渍。</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微波炉、冰箱：内外清洁，无残留食物、无异味。</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饮水机：水槽无积水，表面无污渍。</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地面：保持干燥，严防滑倒。</w:t>
            </w:r>
          </w:p>
        </w:tc>
      </w:tr>
      <w:tr w14:paraId="19624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7" w:hRule="atLeast"/>
        </w:trPr>
        <w:tc>
          <w:tcPr>
            <w:tcW w:w="714" w:type="dxa"/>
            <w:tcBorders>
              <w:top w:val="single" w:color="000000" w:sz="4" w:space="0"/>
              <w:left w:val="single" w:color="000000" w:sz="4" w:space="0"/>
              <w:bottom w:val="single" w:color="000000" w:sz="4" w:space="0"/>
              <w:right w:val="single" w:color="000000" w:sz="4" w:space="0"/>
            </w:tcBorders>
            <w:noWrap/>
            <w:vAlign w:val="center"/>
          </w:tcPr>
          <w:p w14:paraId="42C3988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4</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2FCCCA6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bookmarkStart w:id="609" w:name="OLE_LINK26"/>
            <w:r>
              <w:rPr>
                <w:rFonts w:hint="eastAsia" w:ascii="宋体" w:hAnsi="宋体" w:eastAsia="宋体" w:cs="宋体"/>
                <w:b w:val="0"/>
                <w:bCs w:val="0"/>
                <w:color w:val="auto"/>
                <w:sz w:val="21"/>
                <w:szCs w:val="21"/>
                <w:highlight w:val="none"/>
                <w:lang w:val="en-US" w:eastAsia="zh-CN"/>
              </w:rPr>
              <w:t>租赁</w:t>
            </w:r>
            <w:r>
              <w:rPr>
                <w:rFonts w:hint="eastAsia" w:ascii="宋体" w:hAnsi="宋体" w:eastAsia="宋体" w:cs="宋体"/>
                <w:b w:val="0"/>
                <w:bCs w:val="0"/>
                <w:color w:val="auto"/>
                <w:sz w:val="21"/>
                <w:szCs w:val="21"/>
                <w:highlight w:val="none"/>
              </w:rPr>
              <w:t>区域</w:t>
            </w:r>
            <w:r>
              <w:rPr>
                <w:rFonts w:hint="eastAsia" w:ascii="宋体" w:hAnsi="宋体" w:eastAsia="宋体" w:cs="宋体"/>
                <w:b w:val="0"/>
                <w:bCs w:val="0"/>
                <w:color w:val="auto"/>
                <w:sz w:val="21"/>
                <w:szCs w:val="21"/>
                <w:highlight w:val="none"/>
                <w:lang w:val="en-US" w:eastAsia="zh-CN"/>
              </w:rPr>
              <w:t>内</w:t>
            </w:r>
            <w:r>
              <w:rPr>
                <w:rFonts w:hint="eastAsia" w:ascii="宋体" w:hAnsi="宋体" w:eastAsia="宋体" w:cs="宋体"/>
                <w:b w:val="0"/>
                <w:bCs w:val="0"/>
                <w:i w:val="0"/>
                <w:iCs w:val="0"/>
                <w:color w:val="auto"/>
                <w:kern w:val="0"/>
                <w:sz w:val="21"/>
                <w:szCs w:val="21"/>
                <w:u w:val="none"/>
                <w:lang w:val="en-US" w:eastAsia="zh-CN" w:bidi="ar"/>
              </w:rPr>
              <w:t>公共办公区域</w:t>
            </w:r>
            <w:bookmarkEnd w:id="609"/>
          </w:p>
        </w:tc>
        <w:tc>
          <w:tcPr>
            <w:tcW w:w="5525" w:type="dxa"/>
            <w:tcBorders>
              <w:top w:val="single" w:color="000000" w:sz="4" w:space="0"/>
              <w:left w:val="single" w:color="000000" w:sz="4" w:space="0"/>
              <w:bottom w:val="single" w:color="000000" w:sz="4" w:space="0"/>
              <w:right w:val="single" w:color="000000" w:sz="4" w:space="0"/>
            </w:tcBorders>
            <w:noWrap w:val="0"/>
            <w:vAlign w:val="center"/>
          </w:tcPr>
          <w:p w14:paraId="0CDDE297">
            <w:pPr>
              <w:keepNext w:val="0"/>
              <w:keepLines w:val="0"/>
              <w:widowControl/>
              <w:suppressLineNumbers w:val="0"/>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玻璃及幕墙：内外光洁透明，无手印、无水痕、无污迹；金属边框及不锈钢立柱光亮无氧化，无指印。</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前台及接待区：台面光亮无尘，无杂物；家具、摆设、装饰品一尘不染；垃圾桶外观洁净，内置垃圾袋，垃圾不超过1/2容量。</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天花及灯具：天花板、风口、灯罩无灰尘、无蛛网；灯具明亮，无死蝇、无积尘。</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空气：通过有效的清洁和通风保持空气清新无异味。如需使用香氛系统或空气清新剂，其品牌、香型及使用频率须事先征得我方书面同意，应选用低敏、淡雅的商业级产品。</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地面（石材/瓷砖）：光亮如镜，无灰尘、无水迹、无脚印、无污渍；接缝处无黑垢，定期进行晶面处理或打蜡保养；门口地垫平整、干净，无积尘、无潮湿。</w:t>
            </w:r>
          </w:p>
        </w:tc>
      </w:tr>
      <w:tr w14:paraId="6022A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8" w:hRule="atLeast"/>
        </w:trPr>
        <w:tc>
          <w:tcPr>
            <w:tcW w:w="714" w:type="dxa"/>
            <w:tcBorders>
              <w:top w:val="single" w:color="000000" w:sz="4" w:space="0"/>
              <w:left w:val="single" w:color="000000" w:sz="4" w:space="0"/>
              <w:bottom w:val="single" w:color="000000" w:sz="4" w:space="0"/>
              <w:right w:val="single" w:color="000000" w:sz="4" w:space="0"/>
            </w:tcBorders>
            <w:noWrap/>
            <w:vAlign w:val="center"/>
          </w:tcPr>
          <w:p w14:paraId="7039383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5</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7C9611DA">
            <w:pPr>
              <w:keepNext w:val="0"/>
              <w:keepLines w:val="0"/>
              <w:widowControl/>
              <w:suppressLineNumbers w:val="0"/>
              <w:jc w:val="left"/>
              <w:textAlignment w:val="center"/>
              <w:rPr>
                <w:rFonts w:hint="eastAsia" w:ascii="宋体" w:hAnsi="宋体" w:eastAsia="宋体" w:cs="宋体"/>
                <w:b w:val="0"/>
                <w:bCs w:val="0"/>
                <w:i w:val="0"/>
                <w:iCs w:val="0"/>
                <w:color w:val="auto"/>
                <w:sz w:val="21"/>
                <w:szCs w:val="21"/>
                <w:u w:val="none"/>
              </w:rPr>
            </w:pPr>
            <w:bookmarkStart w:id="610" w:name="OLE_LINK25"/>
            <w:r>
              <w:rPr>
                <w:rFonts w:hint="eastAsia" w:ascii="宋体" w:hAnsi="宋体" w:eastAsia="宋体" w:cs="宋体"/>
                <w:b w:val="0"/>
                <w:bCs w:val="0"/>
                <w:color w:val="auto"/>
                <w:sz w:val="21"/>
                <w:szCs w:val="21"/>
                <w:highlight w:val="none"/>
                <w:lang w:val="en-US" w:eastAsia="zh-CN"/>
              </w:rPr>
              <w:t>租赁</w:t>
            </w:r>
            <w:r>
              <w:rPr>
                <w:rFonts w:hint="eastAsia" w:ascii="宋体" w:hAnsi="宋体" w:eastAsia="宋体" w:cs="宋体"/>
                <w:b w:val="0"/>
                <w:bCs w:val="0"/>
                <w:color w:val="auto"/>
                <w:sz w:val="21"/>
                <w:szCs w:val="21"/>
                <w:highlight w:val="none"/>
              </w:rPr>
              <w:t>区域</w:t>
            </w:r>
            <w:r>
              <w:rPr>
                <w:rFonts w:hint="eastAsia" w:ascii="宋体" w:hAnsi="宋体" w:eastAsia="宋体" w:cs="宋体"/>
                <w:b w:val="0"/>
                <w:bCs w:val="0"/>
                <w:color w:val="auto"/>
                <w:sz w:val="21"/>
                <w:szCs w:val="21"/>
                <w:highlight w:val="none"/>
                <w:lang w:val="en-US" w:eastAsia="zh-CN"/>
              </w:rPr>
              <w:t>内</w:t>
            </w:r>
            <w:r>
              <w:rPr>
                <w:rFonts w:hint="eastAsia" w:ascii="宋体" w:hAnsi="宋体" w:eastAsia="宋体" w:cs="宋体"/>
                <w:b w:val="0"/>
                <w:bCs w:val="0"/>
                <w:i w:val="0"/>
                <w:iCs w:val="0"/>
                <w:color w:val="auto"/>
                <w:kern w:val="0"/>
                <w:sz w:val="21"/>
                <w:szCs w:val="21"/>
                <w:u w:val="none"/>
                <w:lang w:val="en-US" w:eastAsia="zh-CN" w:bidi="ar"/>
              </w:rPr>
              <w:t>公共走廊及通道</w:t>
            </w:r>
            <w:bookmarkEnd w:id="610"/>
          </w:p>
        </w:tc>
        <w:tc>
          <w:tcPr>
            <w:tcW w:w="5525" w:type="dxa"/>
            <w:tcBorders>
              <w:top w:val="single" w:color="000000" w:sz="4" w:space="0"/>
              <w:left w:val="single" w:color="000000" w:sz="4" w:space="0"/>
              <w:bottom w:val="single" w:color="000000" w:sz="4" w:space="0"/>
              <w:right w:val="single" w:color="000000" w:sz="4" w:space="0"/>
            </w:tcBorders>
            <w:noWrap w:val="0"/>
            <w:vAlign w:val="center"/>
          </w:tcPr>
          <w:p w14:paraId="49CBE733">
            <w:pPr>
              <w:keepNext w:val="0"/>
              <w:keepLines w:val="0"/>
              <w:widowControl/>
              <w:suppressLineNumbers w:val="0"/>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地面：同大堂标准，保持干燥，无垃圾、无水迹。</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墙面：无手印、无划痕、无污渍，踢脚线无灰尘。</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消防设施：灭火器箱、消防栓表面无尘，玻璃清晰。</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垃圾桶：位置正确，外观清洁，及时清倒。</w:t>
            </w:r>
          </w:p>
        </w:tc>
      </w:tr>
      <w:tr w14:paraId="22B94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8" w:hRule="atLeast"/>
        </w:trPr>
        <w:tc>
          <w:tcPr>
            <w:tcW w:w="714" w:type="dxa"/>
            <w:tcBorders>
              <w:top w:val="single" w:color="000000" w:sz="4" w:space="0"/>
              <w:left w:val="single" w:color="000000" w:sz="4" w:space="0"/>
              <w:bottom w:val="single" w:color="000000" w:sz="4" w:space="0"/>
              <w:right w:val="single" w:color="000000" w:sz="4" w:space="0"/>
            </w:tcBorders>
            <w:noWrap/>
            <w:vAlign w:val="center"/>
          </w:tcPr>
          <w:p w14:paraId="0DE1B59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6</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3BB50258">
            <w:pPr>
              <w:widowControl/>
              <w:jc w:val="left"/>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highlight w:val="none"/>
                <w:lang w:val="en-US" w:eastAsia="zh-CN"/>
              </w:rPr>
              <w:t>租赁</w:t>
            </w:r>
            <w:r>
              <w:rPr>
                <w:rFonts w:hint="eastAsia" w:ascii="宋体" w:hAnsi="宋体" w:eastAsia="宋体" w:cs="宋体"/>
                <w:b w:val="0"/>
                <w:bCs w:val="0"/>
                <w:color w:val="auto"/>
                <w:sz w:val="21"/>
                <w:szCs w:val="21"/>
                <w:highlight w:val="none"/>
              </w:rPr>
              <w:t>区域</w:t>
            </w:r>
            <w:r>
              <w:rPr>
                <w:rFonts w:hint="eastAsia" w:ascii="宋体" w:hAnsi="宋体" w:eastAsia="宋体" w:cs="宋体"/>
                <w:b w:val="0"/>
                <w:bCs w:val="0"/>
                <w:color w:val="auto"/>
                <w:sz w:val="21"/>
                <w:szCs w:val="21"/>
                <w:highlight w:val="none"/>
                <w:lang w:val="en-US" w:eastAsia="zh-CN"/>
              </w:rPr>
              <w:t>内</w:t>
            </w:r>
            <w:r>
              <w:rPr>
                <w:rFonts w:hint="eastAsia" w:ascii="宋体" w:hAnsi="宋体" w:eastAsia="宋体" w:cs="宋体"/>
                <w:b w:val="0"/>
                <w:bCs w:val="0"/>
                <w:i w:val="0"/>
                <w:iCs w:val="0"/>
                <w:color w:val="auto"/>
                <w:kern w:val="0"/>
                <w:sz w:val="21"/>
                <w:szCs w:val="21"/>
                <w:u w:val="none"/>
                <w:lang w:val="en-US" w:eastAsia="zh-CN" w:bidi="ar"/>
              </w:rPr>
              <w:t>办公区域卫生间</w:t>
            </w:r>
          </w:p>
        </w:tc>
        <w:tc>
          <w:tcPr>
            <w:tcW w:w="5525" w:type="dxa"/>
            <w:tcBorders>
              <w:top w:val="single" w:color="000000" w:sz="4" w:space="0"/>
              <w:left w:val="single" w:color="000000" w:sz="4" w:space="0"/>
              <w:bottom w:val="single" w:color="000000" w:sz="4" w:space="0"/>
              <w:right w:val="single" w:color="000000" w:sz="4" w:space="0"/>
            </w:tcBorders>
            <w:noWrap w:val="0"/>
            <w:vAlign w:val="center"/>
          </w:tcPr>
          <w:p w14:paraId="032916DB">
            <w:pPr>
              <w:keepNext w:val="0"/>
              <w:keepLines w:val="0"/>
              <w:widowControl/>
              <w:suppressLineNumbers w:val="0"/>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整体：空气清新，无异味。定期使用智能香氛机，品牌和香型需经我方确认。</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厕具：马桶、小便池内外光洁，无污垢、无尿碱、无异味；下水通畅，水面无杂物。</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台盆区：镜面光亮无水渍、无手印；台面无水迹、无毛发，洗手盆无污垢；水龙头、皂液器光亮无水迹。</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地面与墙面：干燥、洁净，无积水、无垃圾。</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耗材补充：卫生纸、擦手纸、洗手液及时补充，不缺不漏。</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垃圾处理：垃圾桶内垃圾不超过1/2，女性卫生间专用垃圾桶及时清理并消毒。</w:t>
            </w:r>
          </w:p>
          <w:p w14:paraId="1132AEFC">
            <w:pPr>
              <w:pStyle w:val="4"/>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rPr>
              <w:t>每日对门把手、水龙头、皂液器等高频接触点进行至少4次消毒擦拭，并留有记录</w:t>
            </w:r>
            <w:r>
              <w:rPr>
                <w:rFonts w:hint="eastAsia" w:ascii="宋体" w:hAnsi="宋体" w:eastAsia="宋体" w:cs="宋体"/>
                <w:b w:val="0"/>
                <w:bCs w:val="0"/>
                <w:color w:val="auto"/>
                <w:sz w:val="21"/>
                <w:szCs w:val="21"/>
                <w:lang w:eastAsia="zh-CN"/>
              </w:rPr>
              <w:t>。</w:t>
            </w:r>
          </w:p>
        </w:tc>
      </w:tr>
    </w:tbl>
    <w:p w14:paraId="2D358100">
      <w:pPr>
        <w:widowControl/>
        <w:numPr>
          <w:ilvl w:val="0"/>
          <w:numId w:val="0"/>
        </w:numPr>
        <w:spacing w:line="360" w:lineRule="auto"/>
        <w:ind w:firstLine="420" w:firstLineChars="200"/>
        <w:rPr>
          <w:rFonts w:hint="eastAsia" w:ascii="宋体" w:hAnsi="宋体" w:eastAsia="宋体" w:cs="宋体"/>
          <w:b w:val="0"/>
          <w:bCs w:val="0"/>
          <w:color w:val="auto"/>
          <w:sz w:val="21"/>
          <w:szCs w:val="21"/>
          <w:highlight w:val="none"/>
          <w:lang w:val="en-US" w:eastAsia="zh-CN"/>
        </w:rPr>
      </w:pPr>
      <w:bookmarkStart w:id="611" w:name="OLE_LINK27"/>
      <w:r>
        <w:rPr>
          <w:rFonts w:hint="eastAsia" w:ascii="宋体" w:hAnsi="宋体" w:eastAsia="宋体" w:cs="宋体"/>
          <w:b w:val="0"/>
          <w:bCs w:val="0"/>
          <w:color w:val="auto"/>
          <w:sz w:val="21"/>
          <w:szCs w:val="21"/>
          <w:highlight w:val="none"/>
          <w:lang w:val="en-US" w:eastAsia="zh-CN"/>
        </w:rPr>
        <w:t>3）租赁</w:t>
      </w:r>
      <w:r>
        <w:rPr>
          <w:rFonts w:hint="eastAsia" w:ascii="宋体" w:hAnsi="宋体" w:eastAsia="宋体" w:cs="宋体"/>
          <w:b w:val="0"/>
          <w:bCs w:val="0"/>
          <w:color w:val="auto"/>
          <w:sz w:val="21"/>
          <w:szCs w:val="21"/>
          <w:highlight w:val="none"/>
        </w:rPr>
        <w:t>区域</w:t>
      </w:r>
      <w:r>
        <w:rPr>
          <w:rFonts w:hint="eastAsia" w:ascii="宋体" w:hAnsi="宋体" w:eastAsia="宋体" w:cs="宋体"/>
          <w:b w:val="0"/>
          <w:bCs w:val="0"/>
          <w:color w:val="auto"/>
          <w:sz w:val="21"/>
          <w:szCs w:val="21"/>
          <w:highlight w:val="none"/>
          <w:lang w:val="en-US" w:eastAsia="zh-CN"/>
        </w:rPr>
        <w:t>内清洁频率与作业要求：</w:t>
      </w:r>
    </w:p>
    <w:bookmarkEnd w:id="611"/>
    <w:tbl>
      <w:tblPr>
        <w:tblStyle w:val="41"/>
        <w:tblW w:w="8055" w:type="dxa"/>
        <w:tblInd w:w="4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31"/>
        <w:gridCol w:w="1612"/>
        <w:gridCol w:w="2268"/>
        <w:gridCol w:w="1956"/>
        <w:gridCol w:w="1488"/>
      </w:tblGrid>
      <w:tr w14:paraId="44AEC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31" w:type="dxa"/>
            <w:tcBorders>
              <w:top w:val="single" w:color="000000" w:sz="4" w:space="0"/>
              <w:left w:val="single" w:color="000000" w:sz="4" w:space="0"/>
              <w:bottom w:val="single" w:color="000000" w:sz="4" w:space="0"/>
              <w:right w:val="single" w:color="000000" w:sz="4" w:space="0"/>
            </w:tcBorders>
            <w:noWrap w:val="0"/>
            <w:vAlign w:val="center"/>
          </w:tcPr>
          <w:p w14:paraId="309642A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序号</w:t>
            </w:r>
          </w:p>
        </w:tc>
        <w:tc>
          <w:tcPr>
            <w:tcW w:w="1612" w:type="dxa"/>
            <w:tcBorders>
              <w:top w:val="single" w:color="000000" w:sz="4" w:space="0"/>
              <w:left w:val="single" w:color="000000" w:sz="4" w:space="0"/>
              <w:bottom w:val="single" w:color="000000" w:sz="4" w:space="0"/>
              <w:right w:val="single" w:color="000000" w:sz="4" w:space="0"/>
            </w:tcBorders>
            <w:noWrap w:val="0"/>
            <w:vAlign w:val="center"/>
          </w:tcPr>
          <w:p w14:paraId="0187D8A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区域</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0A54F24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日常清洁</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14:paraId="3E3CD80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每周</w:t>
            </w:r>
            <w:r>
              <w:rPr>
                <w:rStyle w:val="214"/>
                <w:rFonts w:hint="eastAsia" w:ascii="宋体" w:hAnsi="宋体" w:eastAsia="宋体" w:cs="宋体"/>
                <w:b w:val="0"/>
                <w:bCs w:val="0"/>
                <w:color w:val="auto"/>
                <w:sz w:val="21"/>
                <w:szCs w:val="21"/>
                <w:lang w:val="en-US" w:eastAsia="zh-CN" w:bidi="ar"/>
              </w:rPr>
              <w:t>/</w:t>
            </w:r>
            <w:r>
              <w:rPr>
                <w:rStyle w:val="215"/>
                <w:rFonts w:hint="eastAsia" w:ascii="宋体" w:hAnsi="宋体" w:eastAsia="宋体" w:cs="宋体"/>
                <w:b w:val="0"/>
                <w:bCs w:val="0"/>
                <w:color w:val="auto"/>
                <w:sz w:val="21"/>
                <w:szCs w:val="21"/>
                <w:lang w:val="en-US" w:eastAsia="zh-CN" w:bidi="ar"/>
              </w:rPr>
              <w:t>定期</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14:paraId="4493168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备注</w:t>
            </w:r>
          </w:p>
        </w:tc>
      </w:tr>
      <w:tr w14:paraId="07B6F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731" w:type="dxa"/>
            <w:tcBorders>
              <w:top w:val="single" w:color="000000" w:sz="4" w:space="0"/>
              <w:left w:val="single" w:color="000000" w:sz="4" w:space="0"/>
              <w:bottom w:val="single" w:color="000000" w:sz="4" w:space="0"/>
              <w:right w:val="single" w:color="000000" w:sz="4" w:space="0"/>
            </w:tcBorders>
            <w:noWrap w:val="0"/>
            <w:vAlign w:val="center"/>
          </w:tcPr>
          <w:p w14:paraId="4976932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w:t>
            </w:r>
          </w:p>
        </w:tc>
        <w:tc>
          <w:tcPr>
            <w:tcW w:w="1612" w:type="dxa"/>
            <w:tcBorders>
              <w:top w:val="single" w:color="000000" w:sz="4" w:space="0"/>
              <w:left w:val="single" w:color="000000" w:sz="4" w:space="0"/>
              <w:bottom w:val="single" w:color="000000" w:sz="4" w:space="0"/>
              <w:right w:val="single" w:color="000000" w:sz="4" w:space="0"/>
            </w:tcBorders>
            <w:noWrap w:val="0"/>
            <w:vAlign w:val="center"/>
          </w:tcPr>
          <w:p w14:paraId="4B04B4F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color w:val="auto"/>
                <w:sz w:val="21"/>
                <w:szCs w:val="21"/>
                <w:highlight w:val="none"/>
                <w:lang w:val="en-US" w:eastAsia="zh-CN"/>
              </w:rPr>
              <w:t>租赁</w:t>
            </w:r>
            <w:r>
              <w:rPr>
                <w:rFonts w:hint="eastAsia" w:ascii="宋体" w:hAnsi="宋体" w:eastAsia="宋体" w:cs="宋体"/>
                <w:b w:val="0"/>
                <w:bCs w:val="0"/>
                <w:color w:val="auto"/>
                <w:sz w:val="21"/>
                <w:szCs w:val="21"/>
                <w:highlight w:val="none"/>
              </w:rPr>
              <w:t>区域</w:t>
            </w:r>
            <w:r>
              <w:rPr>
                <w:rFonts w:hint="eastAsia" w:ascii="宋体" w:hAnsi="宋体" w:eastAsia="宋体" w:cs="宋体"/>
                <w:b w:val="0"/>
                <w:bCs w:val="0"/>
                <w:color w:val="auto"/>
                <w:sz w:val="21"/>
                <w:szCs w:val="21"/>
                <w:highlight w:val="none"/>
                <w:lang w:val="en-US" w:eastAsia="zh-CN"/>
              </w:rPr>
              <w:t>内</w:t>
            </w:r>
            <w:r>
              <w:rPr>
                <w:rFonts w:hint="eastAsia" w:ascii="宋体" w:hAnsi="宋体" w:eastAsia="宋体" w:cs="宋体"/>
                <w:b w:val="0"/>
                <w:bCs w:val="0"/>
                <w:i w:val="0"/>
                <w:iCs w:val="0"/>
                <w:color w:val="auto"/>
                <w:kern w:val="0"/>
                <w:sz w:val="21"/>
                <w:szCs w:val="21"/>
                <w:u w:val="none"/>
                <w:lang w:val="en-US" w:eastAsia="zh-CN" w:bidi="ar"/>
              </w:rPr>
              <w:t>公共办公区域</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10261477">
            <w:pPr>
              <w:keepNext w:val="0"/>
              <w:keepLines w:val="0"/>
              <w:widowControl/>
              <w:suppressLineNumbers w:val="0"/>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循环保洁，随时清理</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14:paraId="25EF2309">
            <w:pPr>
              <w:keepNext w:val="0"/>
              <w:keepLines w:val="0"/>
              <w:widowControl/>
              <w:suppressLineNumbers w:val="0"/>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石材晶面处理；电梯深度保养</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14:paraId="6ED5A6C0">
            <w:pPr>
              <w:keepNext w:val="0"/>
              <w:keepLines w:val="0"/>
              <w:widowControl/>
              <w:suppressLineNumbers w:val="0"/>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高峰时段加强频率</w:t>
            </w:r>
          </w:p>
        </w:tc>
      </w:tr>
      <w:tr w14:paraId="0AD90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731" w:type="dxa"/>
            <w:tcBorders>
              <w:top w:val="single" w:color="000000" w:sz="4" w:space="0"/>
              <w:left w:val="single" w:color="000000" w:sz="4" w:space="0"/>
              <w:bottom w:val="single" w:color="000000" w:sz="4" w:space="0"/>
              <w:right w:val="single" w:color="000000" w:sz="4" w:space="0"/>
            </w:tcBorders>
            <w:noWrap w:val="0"/>
            <w:vAlign w:val="center"/>
          </w:tcPr>
          <w:p w14:paraId="170542B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2</w:t>
            </w:r>
          </w:p>
        </w:tc>
        <w:tc>
          <w:tcPr>
            <w:tcW w:w="1612" w:type="dxa"/>
            <w:tcBorders>
              <w:top w:val="single" w:color="000000" w:sz="4" w:space="0"/>
              <w:left w:val="single" w:color="000000" w:sz="4" w:space="0"/>
              <w:bottom w:val="single" w:color="000000" w:sz="4" w:space="0"/>
              <w:right w:val="single" w:color="000000" w:sz="4" w:space="0"/>
            </w:tcBorders>
            <w:noWrap w:val="0"/>
            <w:vAlign w:val="center"/>
          </w:tcPr>
          <w:p w14:paraId="5D19698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color w:val="auto"/>
                <w:sz w:val="21"/>
                <w:szCs w:val="21"/>
                <w:highlight w:val="none"/>
                <w:lang w:val="en-US" w:eastAsia="zh-CN"/>
              </w:rPr>
              <w:t>租赁</w:t>
            </w:r>
            <w:r>
              <w:rPr>
                <w:rFonts w:hint="eastAsia" w:ascii="宋体" w:hAnsi="宋体" w:eastAsia="宋体" w:cs="宋体"/>
                <w:b w:val="0"/>
                <w:bCs w:val="0"/>
                <w:color w:val="auto"/>
                <w:sz w:val="21"/>
                <w:szCs w:val="21"/>
                <w:highlight w:val="none"/>
              </w:rPr>
              <w:t>区域</w:t>
            </w:r>
            <w:r>
              <w:rPr>
                <w:rFonts w:hint="eastAsia" w:ascii="宋体" w:hAnsi="宋体" w:eastAsia="宋体" w:cs="宋体"/>
                <w:b w:val="0"/>
                <w:bCs w:val="0"/>
                <w:color w:val="auto"/>
                <w:sz w:val="21"/>
                <w:szCs w:val="21"/>
                <w:highlight w:val="none"/>
                <w:lang w:val="en-US" w:eastAsia="zh-CN"/>
              </w:rPr>
              <w:t>内</w:t>
            </w:r>
            <w:r>
              <w:rPr>
                <w:rFonts w:hint="eastAsia" w:ascii="宋体" w:hAnsi="宋体" w:eastAsia="宋体" w:cs="宋体"/>
                <w:b w:val="0"/>
                <w:bCs w:val="0"/>
                <w:i w:val="0"/>
                <w:iCs w:val="0"/>
                <w:color w:val="auto"/>
                <w:kern w:val="0"/>
                <w:sz w:val="21"/>
                <w:szCs w:val="21"/>
                <w:u w:val="none"/>
                <w:lang w:val="en-US" w:eastAsia="zh-CN" w:bidi="ar"/>
              </w:rPr>
              <w:t>办公区域卫生间</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627244B9">
            <w:pPr>
              <w:keepNext w:val="0"/>
              <w:keepLines w:val="0"/>
              <w:widowControl/>
              <w:suppressLineNumbers w:val="0"/>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每小时巡检一次，高峰时段加强（上午8:30-10:00，下午13:30-15:00）</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14:paraId="2214A2AF">
            <w:pPr>
              <w:keepNext w:val="0"/>
              <w:keepLines w:val="0"/>
              <w:widowControl/>
              <w:suppressLineNumbers w:val="0"/>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全面消毒；清洁天花板、墙面</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14:paraId="6C30652A">
            <w:pPr>
              <w:keepNext w:val="0"/>
              <w:keepLines w:val="0"/>
              <w:widowControl/>
              <w:suppressLineNumbers w:val="0"/>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记录检查表格</w:t>
            </w:r>
          </w:p>
        </w:tc>
      </w:tr>
      <w:tr w14:paraId="12F4A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731" w:type="dxa"/>
            <w:tcBorders>
              <w:top w:val="single" w:color="000000" w:sz="4" w:space="0"/>
              <w:left w:val="single" w:color="000000" w:sz="4" w:space="0"/>
              <w:bottom w:val="single" w:color="000000" w:sz="4" w:space="0"/>
              <w:right w:val="single" w:color="000000" w:sz="4" w:space="0"/>
            </w:tcBorders>
            <w:noWrap w:val="0"/>
            <w:vAlign w:val="center"/>
          </w:tcPr>
          <w:p w14:paraId="728221D2">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3</w:t>
            </w:r>
          </w:p>
        </w:tc>
        <w:tc>
          <w:tcPr>
            <w:tcW w:w="1612" w:type="dxa"/>
            <w:tcBorders>
              <w:top w:val="single" w:color="000000" w:sz="4" w:space="0"/>
              <w:left w:val="single" w:color="000000" w:sz="4" w:space="0"/>
              <w:bottom w:val="single" w:color="000000" w:sz="4" w:space="0"/>
              <w:right w:val="single" w:color="000000" w:sz="4" w:space="0"/>
            </w:tcBorders>
            <w:noWrap w:val="0"/>
            <w:vAlign w:val="center"/>
          </w:tcPr>
          <w:p w14:paraId="61D259E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color w:val="auto"/>
                <w:sz w:val="21"/>
                <w:szCs w:val="21"/>
                <w:highlight w:val="none"/>
                <w:lang w:val="en-US" w:eastAsia="zh-CN"/>
              </w:rPr>
              <w:t>租赁</w:t>
            </w:r>
            <w:r>
              <w:rPr>
                <w:rFonts w:hint="eastAsia" w:ascii="宋体" w:hAnsi="宋体" w:eastAsia="宋体" w:cs="宋体"/>
                <w:b w:val="0"/>
                <w:bCs w:val="0"/>
                <w:color w:val="auto"/>
                <w:sz w:val="21"/>
                <w:szCs w:val="21"/>
                <w:highlight w:val="none"/>
              </w:rPr>
              <w:t>区域</w:t>
            </w:r>
            <w:r>
              <w:rPr>
                <w:rFonts w:hint="eastAsia" w:ascii="宋体" w:hAnsi="宋体" w:eastAsia="宋体" w:cs="宋体"/>
                <w:b w:val="0"/>
                <w:bCs w:val="0"/>
                <w:color w:val="auto"/>
                <w:sz w:val="21"/>
                <w:szCs w:val="21"/>
                <w:highlight w:val="none"/>
                <w:lang w:val="en-US" w:eastAsia="zh-CN"/>
              </w:rPr>
              <w:t>内</w:t>
            </w:r>
            <w:r>
              <w:rPr>
                <w:rFonts w:hint="eastAsia" w:ascii="宋体" w:hAnsi="宋体" w:eastAsia="宋体" w:cs="宋体"/>
                <w:b w:val="0"/>
                <w:bCs w:val="0"/>
                <w:i w:val="0"/>
                <w:iCs w:val="0"/>
                <w:color w:val="auto"/>
                <w:kern w:val="0"/>
                <w:sz w:val="21"/>
                <w:szCs w:val="21"/>
                <w:u w:val="none"/>
                <w:lang w:val="en-US" w:eastAsia="zh-CN" w:bidi="ar"/>
              </w:rPr>
              <w:t>公共走廊及通道</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24DB7BEE">
            <w:pPr>
              <w:keepNext w:val="0"/>
              <w:keepLines w:val="0"/>
              <w:widowControl/>
              <w:suppressLineNumbers w:val="0"/>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每日全面清扫2次</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14:paraId="4F83BBE8">
            <w:pPr>
              <w:keepNext w:val="0"/>
              <w:keepLines w:val="0"/>
              <w:widowControl/>
              <w:suppressLineNumbers w:val="0"/>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墙面除尘；灯具清洁</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14:paraId="0C6DCEF0">
            <w:pPr>
              <w:jc w:val="left"/>
              <w:rPr>
                <w:rFonts w:hint="eastAsia" w:ascii="宋体" w:hAnsi="宋体" w:eastAsia="宋体" w:cs="宋体"/>
                <w:b w:val="0"/>
                <w:bCs w:val="0"/>
                <w:i w:val="0"/>
                <w:iCs w:val="0"/>
                <w:color w:val="auto"/>
                <w:sz w:val="21"/>
                <w:szCs w:val="21"/>
                <w:u w:val="none"/>
              </w:rPr>
            </w:pPr>
          </w:p>
        </w:tc>
      </w:tr>
      <w:tr w14:paraId="48300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731" w:type="dxa"/>
            <w:tcBorders>
              <w:top w:val="single" w:color="000000" w:sz="4" w:space="0"/>
              <w:left w:val="single" w:color="000000" w:sz="4" w:space="0"/>
              <w:bottom w:val="single" w:color="000000" w:sz="4" w:space="0"/>
              <w:right w:val="single" w:color="000000" w:sz="4" w:space="0"/>
            </w:tcBorders>
            <w:noWrap w:val="0"/>
            <w:vAlign w:val="center"/>
          </w:tcPr>
          <w:p w14:paraId="2183423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4</w:t>
            </w:r>
          </w:p>
        </w:tc>
        <w:tc>
          <w:tcPr>
            <w:tcW w:w="1612" w:type="dxa"/>
            <w:tcBorders>
              <w:top w:val="single" w:color="000000" w:sz="4" w:space="0"/>
              <w:left w:val="single" w:color="000000" w:sz="4" w:space="0"/>
              <w:bottom w:val="single" w:color="000000" w:sz="4" w:space="0"/>
              <w:right w:val="single" w:color="000000" w:sz="4" w:space="0"/>
            </w:tcBorders>
            <w:noWrap w:val="0"/>
            <w:vAlign w:val="center"/>
          </w:tcPr>
          <w:p w14:paraId="1799C0D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办公区</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633C1BF5">
            <w:pPr>
              <w:keepNext w:val="0"/>
              <w:keepLines w:val="0"/>
              <w:widowControl/>
              <w:suppressLineNumbers w:val="0"/>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上班前清洁须在早上8:30前完成，下班后清洁在晚上18:00后开始，以最大程度减少对员工办公的干扰。</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14:paraId="09BB7D7D">
            <w:pPr>
              <w:keepNext w:val="0"/>
              <w:keepLines w:val="0"/>
              <w:widowControl/>
              <w:suppressLineNumbers w:val="0"/>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地毯局部去渍；高空除尘</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14:paraId="35C1014E">
            <w:pPr>
              <w:keepNext w:val="0"/>
              <w:keepLines w:val="0"/>
              <w:widowControl/>
              <w:suppressLineNumbers w:val="0"/>
              <w:jc w:val="left"/>
              <w:textAlignment w:val="center"/>
              <w:rPr>
                <w:rFonts w:hint="eastAsia" w:ascii="宋体" w:hAnsi="宋体" w:eastAsia="宋体" w:cs="宋体"/>
                <w:b w:val="0"/>
                <w:bCs w:val="0"/>
                <w:i w:val="0"/>
                <w:iCs w:val="0"/>
                <w:color w:val="auto"/>
                <w:sz w:val="21"/>
                <w:szCs w:val="21"/>
                <w:u w:val="none"/>
                <w:lang w:eastAsia="zh-CN"/>
              </w:rPr>
            </w:pPr>
            <w:r>
              <w:rPr>
                <w:rFonts w:hint="eastAsia" w:ascii="宋体" w:hAnsi="宋体" w:eastAsia="宋体" w:cs="宋体"/>
                <w:b w:val="0"/>
                <w:bCs w:val="0"/>
                <w:i w:val="0"/>
                <w:iCs w:val="0"/>
                <w:color w:val="auto"/>
                <w:sz w:val="21"/>
                <w:szCs w:val="21"/>
                <w:u w:val="none"/>
              </w:rPr>
              <w:t>清洁人员不得在办公区长时间逗留，不得使用办公区电源为私人设备充电</w:t>
            </w:r>
            <w:r>
              <w:rPr>
                <w:rFonts w:hint="eastAsia" w:ascii="宋体" w:hAnsi="宋体" w:eastAsia="宋体" w:cs="宋体"/>
                <w:b w:val="0"/>
                <w:bCs w:val="0"/>
                <w:i w:val="0"/>
                <w:iCs w:val="0"/>
                <w:color w:val="auto"/>
                <w:sz w:val="21"/>
                <w:szCs w:val="21"/>
                <w:u w:val="none"/>
                <w:lang w:eastAsia="zh-CN"/>
              </w:rPr>
              <w:t>。</w:t>
            </w:r>
          </w:p>
        </w:tc>
      </w:tr>
      <w:tr w14:paraId="5AEC8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731" w:type="dxa"/>
            <w:tcBorders>
              <w:top w:val="single" w:color="000000" w:sz="4" w:space="0"/>
              <w:left w:val="single" w:color="000000" w:sz="4" w:space="0"/>
              <w:bottom w:val="single" w:color="000000" w:sz="4" w:space="0"/>
              <w:right w:val="single" w:color="000000" w:sz="4" w:space="0"/>
            </w:tcBorders>
            <w:noWrap w:val="0"/>
            <w:vAlign w:val="center"/>
          </w:tcPr>
          <w:p w14:paraId="571BDA6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5</w:t>
            </w:r>
          </w:p>
        </w:tc>
        <w:tc>
          <w:tcPr>
            <w:tcW w:w="1612" w:type="dxa"/>
            <w:tcBorders>
              <w:top w:val="single" w:color="000000" w:sz="4" w:space="0"/>
              <w:left w:val="single" w:color="000000" w:sz="4" w:space="0"/>
              <w:bottom w:val="single" w:color="000000" w:sz="4" w:space="0"/>
              <w:right w:val="single" w:color="000000" w:sz="4" w:space="0"/>
            </w:tcBorders>
            <w:noWrap w:val="0"/>
            <w:vAlign w:val="center"/>
          </w:tcPr>
          <w:p w14:paraId="6A44372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玻璃幕墙</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6D730141">
            <w:pPr>
              <w:keepNext w:val="0"/>
              <w:keepLines w:val="0"/>
              <w:widowControl/>
              <w:suppressLineNumbers w:val="0"/>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每日擦拭手印、污迹</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14:paraId="5E68148F">
            <w:pPr>
              <w:keepNext w:val="0"/>
              <w:keepLines w:val="0"/>
              <w:widowControl/>
              <w:suppressLineNumbers w:val="0"/>
              <w:jc w:val="both"/>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定期专业、外窗清洗</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14:paraId="68E06CE1">
            <w:pPr>
              <w:keepNext w:val="0"/>
              <w:keepLines w:val="0"/>
              <w:widowControl/>
              <w:suppressLineNumbers w:val="0"/>
              <w:jc w:val="left"/>
              <w:textAlignment w:val="center"/>
              <w:rPr>
                <w:rFonts w:hint="eastAsia" w:ascii="宋体" w:hAnsi="宋体" w:eastAsia="宋体" w:cs="宋体"/>
                <w:b w:val="0"/>
                <w:bCs w:val="0"/>
                <w:i w:val="0"/>
                <w:iCs w:val="0"/>
                <w:color w:val="auto"/>
                <w:sz w:val="21"/>
                <w:szCs w:val="21"/>
                <w:u w:val="none"/>
              </w:rPr>
            </w:pPr>
          </w:p>
        </w:tc>
      </w:tr>
    </w:tbl>
    <w:p w14:paraId="1B9A9BD6">
      <w:pPr>
        <w:widowControl/>
        <w:numPr>
          <w:ilvl w:val="0"/>
          <w:numId w:val="0"/>
        </w:numPr>
        <w:spacing w:line="360" w:lineRule="auto"/>
        <w:ind w:firstLine="420" w:firstLineChars="200"/>
        <w:rPr>
          <w:rFonts w:hint="eastAsia" w:ascii="宋体" w:hAnsi="宋体" w:eastAsia="宋体" w:cs="宋体"/>
          <w:b w:val="0"/>
          <w:bCs w:val="0"/>
          <w:color w:val="auto"/>
          <w:sz w:val="21"/>
          <w:szCs w:val="21"/>
          <w:highlight w:val="none"/>
          <w:lang w:val="en-US" w:eastAsia="zh-CN"/>
        </w:rPr>
      </w:pPr>
      <w:bookmarkStart w:id="612" w:name="OLE_LINK28"/>
      <w:r>
        <w:rPr>
          <w:rFonts w:hint="eastAsia" w:ascii="宋体" w:hAnsi="宋体" w:eastAsia="宋体" w:cs="宋体"/>
          <w:b w:val="0"/>
          <w:bCs w:val="0"/>
          <w:color w:val="auto"/>
          <w:sz w:val="21"/>
          <w:szCs w:val="21"/>
          <w:highlight w:val="none"/>
          <w:lang w:val="en-US" w:eastAsia="zh-CN"/>
        </w:rPr>
        <w:t>4）</w:t>
      </w:r>
      <w:bookmarkEnd w:id="612"/>
      <w:r>
        <w:rPr>
          <w:rFonts w:hint="eastAsia" w:ascii="宋体" w:hAnsi="宋体" w:eastAsia="宋体" w:cs="宋体"/>
          <w:b w:val="0"/>
          <w:bCs w:val="0"/>
          <w:color w:val="auto"/>
          <w:szCs w:val="21"/>
          <w:highlight w:val="none"/>
        </w:rPr>
        <w:t>专项服务标准</w:t>
      </w:r>
      <w:r>
        <w:rPr>
          <w:rFonts w:hint="eastAsia" w:ascii="宋体" w:hAnsi="宋体" w:eastAsia="宋体" w:cs="宋体"/>
          <w:b w:val="0"/>
          <w:bCs w:val="0"/>
          <w:color w:val="auto"/>
          <w:sz w:val="21"/>
          <w:szCs w:val="21"/>
          <w:highlight w:val="none"/>
          <w:lang w:val="en-US" w:eastAsia="zh-CN"/>
        </w:rPr>
        <w:t>：</w:t>
      </w:r>
    </w:p>
    <w:p w14:paraId="650D325B">
      <w:pPr>
        <w:widowControl/>
        <w:numPr>
          <w:ilvl w:val="0"/>
          <w:numId w:val="0"/>
        </w:numPr>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①垃圾分类与清运：严格执行东莞市垃圾分类规定，定时、定点、分类清运，垃圾房保持整洁、无虫鼠、无异味。</w:t>
      </w:r>
    </w:p>
    <w:p w14:paraId="5FC05521">
      <w:pPr>
        <w:widowControl/>
        <w:numPr>
          <w:ilvl w:val="0"/>
          <w:numId w:val="0"/>
        </w:numPr>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②消杀服务：每月至少进行2次全面的虫害防治（灭鼠、灭蟑、灭蚊蝇</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lang w:val="en-US" w:eastAsia="zh-CN"/>
        </w:rPr>
        <w:t>灭白蚁</w:t>
      </w:r>
      <w:r>
        <w:rPr>
          <w:rFonts w:hint="eastAsia" w:ascii="宋体" w:hAnsi="宋体" w:eastAsia="宋体" w:cs="宋体"/>
          <w:b w:val="0"/>
          <w:bCs w:val="0"/>
          <w:color w:val="auto"/>
          <w:szCs w:val="21"/>
          <w:highlight w:val="none"/>
        </w:rPr>
        <w:t>）</w:t>
      </w:r>
      <w:r>
        <w:rPr>
          <w:rFonts w:hint="eastAsia" w:ascii="宋体" w:hAnsi="宋体" w:eastAsia="宋体" w:cs="宋体"/>
          <w:b w:val="0"/>
          <w:bCs w:val="0"/>
          <w:color w:val="auto"/>
          <w:szCs w:val="21"/>
          <w:highlight w:val="none"/>
          <w:lang w:val="en-US" w:eastAsia="zh-CN"/>
        </w:rPr>
        <w:t>;</w:t>
      </w:r>
      <w:r>
        <w:rPr>
          <w:rFonts w:hint="eastAsia" w:ascii="宋体" w:hAnsi="宋体" w:eastAsia="宋体" w:cs="宋体"/>
          <w:b w:val="0"/>
          <w:bCs w:val="0"/>
          <w:color w:val="auto"/>
          <w:szCs w:val="21"/>
          <w:highlight w:val="none"/>
        </w:rPr>
        <w:t>建立消杀记录，并在公共区域张贴温馨提示。</w:t>
      </w:r>
    </w:p>
    <w:p w14:paraId="4E35DE0A">
      <w:pPr>
        <w:widowControl/>
        <w:numPr>
          <w:ilvl w:val="0"/>
          <w:numId w:val="0"/>
        </w:numPr>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③高空作业：所有高空清洁（如天花、灯具、高窗）必须由经过培训的专业人员使用专业工具进行，确保安全。</w:t>
      </w:r>
    </w:p>
    <w:p w14:paraId="68D3EF14">
      <w:pPr>
        <w:widowControl/>
        <w:numPr>
          <w:ilvl w:val="0"/>
          <w:numId w:val="0"/>
        </w:numPr>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④重大会议保障：“需提供会议/活动前、中、后的重点区域专项保洁服务。会议期间，保洁人员需在指定区域待命，随时响应茶歇区、卫生间的清洁需求。”</w:t>
      </w:r>
    </w:p>
    <w:p w14:paraId="37590687">
      <w:pPr>
        <w:widowControl/>
        <w:numPr>
          <w:ilvl w:val="0"/>
          <w:numId w:val="0"/>
        </w:numPr>
        <w:spacing w:line="360" w:lineRule="auto"/>
        <w:ind w:firstLine="420" w:firstLineChars="200"/>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⑤应急清洁响应：“建立应急响应机制，对于突发的污渍（如咖啡、茶水泼洒）、卫生间堵塞等情况，需承诺在15分钟内响应并到场处理。”</w:t>
      </w:r>
    </w:p>
    <w:p w14:paraId="5A3E48AF">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5）服务质量管理与监督</w:t>
      </w:r>
    </w:p>
    <w:p w14:paraId="79132C07">
      <w:pPr>
        <w:bidi w:val="0"/>
        <w:spacing w:line="360" w:lineRule="auto"/>
        <w:ind w:firstLine="420" w:firstLineChars="200"/>
        <w:outlineLvl w:val="3"/>
        <w:rPr>
          <w:rFonts w:hint="eastAsia" w:ascii="宋体" w:hAnsi="宋体" w:eastAsia="宋体" w:cs="宋体"/>
          <w:b w:val="0"/>
          <w:bCs w:val="0"/>
          <w:color w:val="auto"/>
          <w:szCs w:val="21"/>
        </w:rPr>
      </w:pPr>
      <w:r>
        <w:rPr>
          <w:rFonts w:hint="eastAsia" w:ascii="宋体" w:hAnsi="宋体" w:eastAsia="宋体" w:cs="宋体"/>
          <w:b w:val="0"/>
          <w:bCs w:val="0"/>
          <w:color w:val="auto"/>
          <w:szCs w:val="21"/>
        </w:rPr>
        <w:t>①人员要求：所有驻场服务人员需提供无犯罪记录证明，统一着装，佩戴工牌，行为规范，礼貌避人，使用“轻声服务”。</w:t>
      </w:r>
    </w:p>
    <w:p w14:paraId="454D4C8E">
      <w:pPr>
        <w:bidi w:val="0"/>
        <w:spacing w:line="360" w:lineRule="auto"/>
        <w:ind w:firstLine="420" w:firstLineChars="200"/>
        <w:outlineLvl w:val="3"/>
        <w:rPr>
          <w:rFonts w:hint="eastAsia" w:ascii="宋体" w:hAnsi="宋体" w:eastAsia="宋体" w:cs="宋体"/>
          <w:b w:val="0"/>
          <w:bCs w:val="0"/>
          <w:color w:val="auto"/>
          <w:szCs w:val="21"/>
        </w:rPr>
      </w:pPr>
      <w:r>
        <w:rPr>
          <w:rFonts w:hint="eastAsia" w:ascii="宋体" w:hAnsi="宋体" w:eastAsia="宋体" w:cs="宋体"/>
          <w:b w:val="0"/>
          <w:bCs w:val="0"/>
          <w:color w:val="auto"/>
          <w:szCs w:val="21"/>
        </w:rPr>
        <w:t>②设备与药剂：使用先进的清洁设备（如高速抛光机、吸水机、高效吸尘器）。使用环保、低毒的清洁药剂，并正确稀释和使用。</w:t>
      </w:r>
    </w:p>
    <w:p w14:paraId="5E3076E8">
      <w:pPr>
        <w:bidi w:val="0"/>
        <w:spacing w:line="360" w:lineRule="auto"/>
        <w:ind w:firstLine="420" w:firstLineChars="200"/>
        <w:outlineLvl w:val="3"/>
        <w:rPr>
          <w:rFonts w:hint="eastAsia" w:ascii="宋体" w:hAnsi="宋体" w:eastAsia="宋体" w:cs="宋体"/>
          <w:b w:val="0"/>
          <w:bCs w:val="0"/>
          <w:color w:val="auto"/>
          <w:szCs w:val="21"/>
        </w:rPr>
      </w:pPr>
      <w:r>
        <w:rPr>
          <w:rFonts w:hint="eastAsia" w:ascii="宋体" w:hAnsi="宋体" w:eastAsia="宋体" w:cs="宋体"/>
          <w:b w:val="0"/>
          <w:bCs w:val="0"/>
          <w:color w:val="auto"/>
          <w:szCs w:val="21"/>
        </w:rPr>
        <w:t>③检查机制：</w:t>
      </w:r>
    </w:p>
    <w:p w14:paraId="127C1F4B">
      <w:pPr>
        <w:bidi w:val="0"/>
        <w:spacing w:line="360" w:lineRule="auto"/>
        <w:ind w:firstLine="420" w:firstLineChars="200"/>
        <w:outlineLvl w:val="3"/>
        <w:rPr>
          <w:rFonts w:hint="eastAsia" w:ascii="宋体" w:hAnsi="宋体" w:eastAsia="宋体" w:cs="宋体"/>
          <w:b w:val="0"/>
          <w:bCs w:val="0"/>
          <w:color w:val="auto"/>
          <w:szCs w:val="21"/>
        </w:rPr>
      </w:pPr>
      <w:r>
        <w:rPr>
          <w:rFonts w:hint="eastAsia" w:ascii="宋体" w:hAnsi="宋体" w:eastAsia="宋体" w:cs="宋体"/>
          <w:b w:val="0"/>
          <w:bCs w:val="0"/>
          <w:color w:val="auto"/>
          <w:szCs w:val="21"/>
        </w:rPr>
        <w:t>日常巡检：保洁领班每日不定时巡查，并填写日常清洁巡检表。</w:t>
      </w:r>
    </w:p>
    <w:p w14:paraId="77155271">
      <w:pPr>
        <w:bidi w:val="0"/>
        <w:spacing w:line="360" w:lineRule="auto"/>
        <w:ind w:firstLine="420" w:firstLineChars="200"/>
        <w:outlineLvl w:val="3"/>
        <w:rPr>
          <w:rFonts w:hint="eastAsia" w:ascii="宋体" w:hAnsi="宋体" w:eastAsia="宋体" w:cs="宋体"/>
          <w:b w:val="0"/>
          <w:bCs w:val="0"/>
          <w:color w:val="auto"/>
          <w:szCs w:val="21"/>
        </w:rPr>
      </w:pPr>
      <w:r>
        <w:rPr>
          <w:rFonts w:hint="eastAsia" w:ascii="宋体" w:hAnsi="宋体" w:eastAsia="宋体" w:cs="宋体"/>
          <w:b w:val="0"/>
          <w:bCs w:val="0"/>
          <w:color w:val="auto"/>
          <w:szCs w:val="21"/>
        </w:rPr>
        <w:t>周检/月检：</w:t>
      </w:r>
      <w:r>
        <w:rPr>
          <w:rFonts w:hint="eastAsia" w:ascii="宋体" w:hAnsi="宋体" w:eastAsia="宋体" w:cs="宋体"/>
          <w:b w:val="0"/>
          <w:bCs w:val="0"/>
          <w:color w:val="auto"/>
          <w:szCs w:val="21"/>
          <w:lang w:val="en-US" w:eastAsia="zh-CN"/>
        </w:rPr>
        <w:t>双方</w:t>
      </w:r>
      <w:r>
        <w:rPr>
          <w:rFonts w:hint="eastAsia" w:ascii="宋体" w:hAnsi="宋体" w:eastAsia="宋体" w:cs="宋体"/>
          <w:b w:val="0"/>
          <w:bCs w:val="0"/>
          <w:color w:val="auto"/>
          <w:szCs w:val="21"/>
        </w:rPr>
        <w:t>共同进行联合检查，并评分。</w:t>
      </w:r>
    </w:p>
    <w:p w14:paraId="429395B6">
      <w:pPr>
        <w:bidi w:val="0"/>
        <w:spacing w:line="360" w:lineRule="auto"/>
        <w:ind w:firstLine="420" w:firstLineChars="200"/>
        <w:outlineLvl w:val="3"/>
        <w:rPr>
          <w:rFonts w:hint="eastAsia" w:ascii="宋体" w:hAnsi="宋体" w:eastAsia="宋体" w:cs="宋体"/>
          <w:b w:val="0"/>
          <w:bCs w:val="0"/>
          <w:color w:val="auto"/>
          <w:szCs w:val="21"/>
        </w:rPr>
      </w:pPr>
      <w:r>
        <w:rPr>
          <w:rFonts w:hint="eastAsia" w:ascii="宋体" w:hAnsi="宋体" w:eastAsia="宋体" w:cs="宋体"/>
          <w:b w:val="0"/>
          <w:bCs w:val="0"/>
          <w:color w:val="auto"/>
          <w:szCs w:val="21"/>
        </w:rPr>
        <w:t>客户反馈：设立线上反馈二维码，张贴在卫生间、茶水间等显眼位置，确保问题能在第一时间被上报和处理。</w:t>
      </w:r>
    </w:p>
    <w:p w14:paraId="5A54296C">
      <w:pPr>
        <w:bidi w:val="0"/>
        <w:spacing w:line="360" w:lineRule="auto"/>
        <w:ind w:firstLine="420" w:firstLineChars="200"/>
        <w:outlineLvl w:val="3"/>
        <w:rPr>
          <w:rFonts w:hint="eastAsia" w:ascii="宋体" w:hAnsi="宋体" w:eastAsia="宋体" w:cs="宋体"/>
          <w:b w:val="0"/>
          <w:bCs w:val="0"/>
          <w:color w:val="auto"/>
          <w:szCs w:val="21"/>
        </w:rPr>
      </w:pPr>
      <w:r>
        <w:rPr>
          <w:rFonts w:hint="eastAsia" w:ascii="宋体" w:hAnsi="宋体" w:eastAsia="宋体" w:cs="宋体"/>
          <w:b w:val="0"/>
          <w:bCs w:val="0"/>
          <w:color w:val="auto"/>
          <w:szCs w:val="21"/>
        </w:rPr>
        <w:t>④文件记录：所有清洁计划、巡检记录、消杀报告、物料领用记录等均应存档备查。</w:t>
      </w:r>
    </w:p>
    <w:p w14:paraId="23F56741">
      <w:pPr>
        <w:bidi w:val="0"/>
        <w:spacing w:line="360" w:lineRule="auto"/>
        <w:ind w:firstLine="420" w:firstLineChars="200"/>
        <w:outlineLvl w:val="3"/>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Cs w:val="21"/>
          <w:lang w:val="en-US" w:eastAsia="zh-CN"/>
        </w:rPr>
        <w:t>⑤室内区域</w:t>
      </w:r>
      <w:r>
        <w:rPr>
          <w:rFonts w:hint="eastAsia" w:ascii="宋体" w:hAnsi="宋体" w:eastAsia="宋体" w:cs="宋体"/>
          <w:b w:val="0"/>
          <w:bCs w:val="0"/>
          <w:color w:val="auto"/>
          <w:sz w:val="21"/>
          <w:szCs w:val="21"/>
          <w:highlight w:val="none"/>
        </w:rPr>
        <w:t>清洁保洁服务</w:t>
      </w:r>
      <w:r>
        <w:rPr>
          <w:rFonts w:hint="eastAsia" w:ascii="宋体" w:hAnsi="宋体" w:eastAsia="宋体" w:cs="宋体"/>
          <w:b w:val="0"/>
          <w:bCs w:val="0"/>
          <w:color w:val="auto"/>
          <w:sz w:val="21"/>
          <w:szCs w:val="21"/>
          <w:highlight w:val="none"/>
          <w:lang w:val="en-US" w:eastAsia="zh-CN"/>
        </w:rPr>
        <w:t>考核</w:t>
      </w:r>
    </w:p>
    <w:p w14:paraId="5E214D4D">
      <w:pPr>
        <w:bidi w:val="0"/>
        <w:spacing w:line="360" w:lineRule="auto"/>
        <w:ind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考核与费用核减机制</w:t>
      </w:r>
      <w:r>
        <w:rPr>
          <w:rFonts w:hint="eastAsia" w:ascii="宋体" w:hAnsi="宋体" w:eastAsia="宋体" w:cs="宋体"/>
          <w:b w:val="0"/>
          <w:bCs w:val="0"/>
          <w:color w:val="auto"/>
          <w:sz w:val="21"/>
          <w:szCs w:val="21"/>
          <w:lang w:val="en-US" w:eastAsia="zh-CN"/>
        </w:rPr>
        <w:t>:</w:t>
      </w:r>
    </w:p>
    <w:p w14:paraId="15FE7008">
      <w:pPr>
        <w:pStyle w:val="18"/>
        <w:widowControl/>
        <w:numPr>
          <w:ilvl w:val="0"/>
          <w:numId w:val="0"/>
        </w:numPr>
        <w:spacing w:line="360" w:lineRule="auto"/>
        <w:ind w:firstLine="420" w:firstLineChars="200"/>
        <w:jc w:val="left"/>
        <w:rPr>
          <w:rFonts w:hint="eastAsia" w:ascii="宋体" w:hAnsi="宋体" w:eastAsia="宋体" w:cs="宋体"/>
          <w:b w:val="0"/>
          <w:bCs w:val="0"/>
          <w:color w:val="auto"/>
          <w:sz w:val="21"/>
          <w:szCs w:val="21"/>
          <w:lang w:eastAsia="zh-CN"/>
        </w:rPr>
      </w:pPr>
      <w:r>
        <w:rPr>
          <w:rFonts w:hint="eastAsia" w:ascii="宋体" w:hAnsi="宋体" w:eastAsia="宋体" w:cs="宋体"/>
          <w:b w:val="0"/>
          <w:bCs w:val="0"/>
          <w:i w:val="0"/>
          <w:color w:val="auto"/>
          <w:sz w:val="21"/>
          <w:szCs w:val="21"/>
        </w:rPr>
        <w:t>月度应付服务费基数：本月度应付服务费基数根据合同约定，按实际派驻的清洁员人数及对应单价计算。计算公式：月度应付服务费基数=Σ</w:t>
      </w:r>
      <w:r>
        <w:rPr>
          <w:rFonts w:hint="eastAsia" w:ascii="宋体" w:hAnsi="宋体" w:eastAsia="宋体" w:cs="宋体"/>
          <w:b w:val="0"/>
          <w:bCs w:val="0"/>
          <w:i w:val="0"/>
          <w:color w:val="auto"/>
          <w:sz w:val="21"/>
          <w:szCs w:val="21"/>
          <w:lang w:eastAsia="zh-CN"/>
        </w:rPr>
        <w:t>（</w:t>
      </w:r>
      <w:r>
        <w:rPr>
          <w:rFonts w:hint="eastAsia" w:ascii="宋体" w:hAnsi="宋体" w:eastAsia="宋体" w:cs="宋体"/>
          <w:b w:val="0"/>
          <w:bCs w:val="0"/>
          <w:i w:val="0"/>
          <w:color w:val="auto"/>
          <w:sz w:val="21"/>
          <w:szCs w:val="21"/>
        </w:rPr>
        <w:t>各岗位清洁员人数×对应岗位单价</w:t>
      </w:r>
      <w:r>
        <w:rPr>
          <w:rFonts w:hint="eastAsia" w:ascii="宋体" w:hAnsi="宋体" w:eastAsia="宋体" w:cs="宋体"/>
          <w:b w:val="0"/>
          <w:bCs w:val="0"/>
          <w:i w:val="0"/>
          <w:color w:val="auto"/>
          <w:sz w:val="21"/>
          <w:szCs w:val="21"/>
          <w:lang w:eastAsia="zh-CN"/>
        </w:rPr>
        <w:t>）</w:t>
      </w:r>
    </w:p>
    <w:p w14:paraId="4BA01244">
      <w:pPr>
        <w:pStyle w:val="18"/>
        <w:widowControl/>
        <w:numPr>
          <w:ilvl w:val="0"/>
          <w:numId w:val="0"/>
        </w:numPr>
        <w:spacing w:line="360" w:lineRule="auto"/>
        <w:ind w:firstLine="420" w:firstLineChars="200"/>
        <w:jc w:val="left"/>
        <w:rPr>
          <w:rFonts w:hint="eastAsia" w:ascii="宋体" w:hAnsi="宋体" w:eastAsia="宋体" w:cs="宋体"/>
          <w:b w:val="0"/>
          <w:bCs w:val="0"/>
          <w:color w:val="auto"/>
          <w:sz w:val="21"/>
          <w:szCs w:val="21"/>
        </w:rPr>
      </w:pPr>
      <w:r>
        <w:rPr>
          <w:rFonts w:hint="eastAsia" w:ascii="宋体" w:hAnsi="宋体" w:eastAsia="宋体" w:cs="宋体"/>
          <w:b w:val="0"/>
          <w:bCs w:val="0"/>
          <w:i w:val="0"/>
          <w:color w:val="auto"/>
          <w:sz w:val="21"/>
          <w:szCs w:val="21"/>
        </w:rPr>
        <w:t>评分与费用核减规则：最终支付的服务费将根据本月度考核综合得分，在“月度应付服务费基数”的基础上进行核减。</w:t>
      </w:r>
    </w:p>
    <w:tbl>
      <w:tblPr>
        <w:tblStyle w:val="41"/>
        <w:tblW w:w="5258" w:type="pct"/>
        <w:tblInd w:w="0" w:type="dxa"/>
        <w:tblBorders>
          <w:top w:val="single" w:color="000000" w:sz="0" w:space="0"/>
          <w:left w:val="none" w:color="auto" w:sz="0" w:space="0"/>
          <w:bottom w:val="single" w:color="000000" w:sz="0" w:space="0"/>
          <w:right w:val="none" w:color="auto" w:sz="0" w:space="0"/>
          <w:insideH w:val="none" w:color="auto" w:sz="0" w:space="0"/>
          <w:insideV w:val="none" w:color="auto" w:sz="0" w:space="0"/>
        </w:tblBorders>
        <w:tblLayout w:type="autofit"/>
        <w:tblCellMar>
          <w:top w:w="0" w:type="dxa"/>
          <w:left w:w="10" w:type="dxa"/>
          <w:bottom w:w="0" w:type="dxa"/>
          <w:right w:w="10" w:type="dxa"/>
        </w:tblCellMar>
      </w:tblPr>
      <w:tblGrid>
        <w:gridCol w:w="1293"/>
        <w:gridCol w:w="1055"/>
        <w:gridCol w:w="2156"/>
        <w:gridCol w:w="6195"/>
      </w:tblGrid>
      <w:tr w14:paraId="34B8D323">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08" w:hRule="atLeast"/>
          <w:tblHeader/>
        </w:trPr>
        <w:tc>
          <w:tcPr>
            <w:tcW w:w="604" w:type="pct"/>
            <w:tcBorders>
              <w:top w:val="single" w:color="auto" w:sz="4" w:space="0"/>
              <w:left w:val="single" w:color="auto" w:sz="4" w:space="0"/>
              <w:bottom w:val="single" w:color="auto" w:sz="4" w:space="0"/>
              <w:right w:val="single" w:color="auto" w:sz="4" w:space="0"/>
            </w:tcBorders>
            <w:noWrap w:val="0"/>
            <w:vAlign w:val="center"/>
          </w:tcPr>
          <w:p w14:paraId="5F7089EB">
            <w:pPr>
              <w:jc w:val="center"/>
              <w:rPr>
                <w:rFonts w:hint="eastAsia" w:ascii="宋体" w:hAnsi="宋体" w:eastAsia="宋体" w:cs="宋体"/>
                <w:b w:val="0"/>
                <w:bCs w:val="0"/>
                <w:color w:val="auto"/>
                <w:sz w:val="21"/>
                <w:szCs w:val="21"/>
                <w:lang w:eastAsia="zh-CN"/>
              </w:rPr>
            </w:pPr>
            <w:r>
              <w:rPr>
                <w:rFonts w:hint="eastAsia" w:ascii="宋体" w:hAnsi="宋体" w:eastAsia="宋体" w:cs="宋体"/>
                <w:b w:val="0"/>
                <w:bCs w:val="0"/>
                <w:i w:val="0"/>
                <w:iCs w:val="0"/>
                <w:color w:val="auto"/>
                <w:sz w:val="21"/>
                <w:szCs w:val="21"/>
              </w:rPr>
              <w:t>月度综合得分</w:t>
            </w:r>
            <w:r>
              <w:rPr>
                <w:rFonts w:hint="eastAsia" w:ascii="宋体" w:hAnsi="宋体" w:eastAsia="宋体" w:cs="宋体"/>
                <w:b w:val="0"/>
                <w:bCs w:val="0"/>
                <w:i w:val="0"/>
                <w:iCs w:val="0"/>
                <w:color w:val="auto"/>
                <w:sz w:val="21"/>
                <w:szCs w:val="21"/>
                <w:lang w:eastAsia="zh-CN"/>
              </w:rPr>
              <w:t>（</w:t>
            </w:r>
            <w:r>
              <w:rPr>
                <w:rFonts w:hint="eastAsia" w:ascii="宋体" w:hAnsi="宋体" w:eastAsia="宋体" w:cs="宋体"/>
                <w:b w:val="0"/>
                <w:bCs w:val="0"/>
                <w:i w:val="0"/>
                <w:iCs w:val="0"/>
                <w:color w:val="auto"/>
                <w:sz w:val="21"/>
                <w:szCs w:val="21"/>
              </w:rPr>
              <w:t>S</w:t>
            </w:r>
            <w:r>
              <w:rPr>
                <w:rFonts w:hint="eastAsia" w:ascii="宋体" w:hAnsi="宋体" w:eastAsia="宋体" w:cs="宋体"/>
                <w:b w:val="0"/>
                <w:bCs w:val="0"/>
                <w:i w:val="0"/>
                <w:iCs w:val="0"/>
                <w:color w:val="auto"/>
                <w:sz w:val="21"/>
                <w:szCs w:val="21"/>
                <w:lang w:eastAsia="zh-CN"/>
              </w:rPr>
              <w:t>）</w:t>
            </w:r>
          </w:p>
        </w:tc>
        <w:tc>
          <w:tcPr>
            <w:tcW w:w="493" w:type="pct"/>
            <w:tcBorders>
              <w:top w:val="single" w:color="auto" w:sz="4" w:space="0"/>
              <w:left w:val="single" w:color="auto" w:sz="4" w:space="0"/>
              <w:bottom w:val="single" w:color="auto" w:sz="4" w:space="0"/>
              <w:right w:val="single" w:color="auto" w:sz="4" w:space="0"/>
            </w:tcBorders>
            <w:noWrap w:val="0"/>
            <w:vAlign w:val="center"/>
          </w:tcPr>
          <w:p w14:paraId="0538B526">
            <w:pPr>
              <w:jc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sz w:val="21"/>
                <w:szCs w:val="21"/>
              </w:rPr>
              <w:t>绩效等级</w:t>
            </w:r>
          </w:p>
        </w:tc>
        <w:tc>
          <w:tcPr>
            <w:tcW w:w="1007" w:type="pct"/>
            <w:tcBorders>
              <w:top w:val="single" w:color="auto" w:sz="4" w:space="0"/>
              <w:left w:val="single" w:color="auto" w:sz="4" w:space="0"/>
              <w:bottom w:val="single" w:color="auto" w:sz="4" w:space="0"/>
              <w:right w:val="single" w:color="auto" w:sz="4" w:space="0"/>
            </w:tcBorders>
            <w:noWrap w:val="0"/>
            <w:vAlign w:val="center"/>
          </w:tcPr>
          <w:p w14:paraId="57FB4C49">
            <w:pPr>
              <w:jc w:val="center"/>
              <w:rPr>
                <w:rFonts w:hint="eastAsia" w:ascii="宋体" w:hAnsi="宋体" w:eastAsia="宋体" w:cs="宋体"/>
                <w:b w:val="0"/>
                <w:bCs w:val="0"/>
                <w:color w:val="auto"/>
                <w:sz w:val="21"/>
                <w:szCs w:val="21"/>
                <w:lang w:eastAsia="zh-CN"/>
              </w:rPr>
            </w:pPr>
            <w:r>
              <w:rPr>
                <w:rFonts w:hint="eastAsia" w:ascii="宋体" w:hAnsi="宋体" w:eastAsia="宋体" w:cs="宋体"/>
                <w:b w:val="0"/>
                <w:bCs w:val="0"/>
                <w:i w:val="0"/>
                <w:iCs w:val="0"/>
                <w:color w:val="auto"/>
                <w:sz w:val="21"/>
                <w:szCs w:val="21"/>
              </w:rPr>
              <w:t>费用核减比例</w:t>
            </w:r>
            <w:r>
              <w:rPr>
                <w:rFonts w:hint="eastAsia" w:ascii="宋体" w:hAnsi="宋体" w:eastAsia="宋体" w:cs="宋体"/>
                <w:b w:val="0"/>
                <w:bCs w:val="0"/>
                <w:i w:val="0"/>
                <w:iCs w:val="0"/>
                <w:color w:val="auto"/>
                <w:sz w:val="21"/>
                <w:szCs w:val="21"/>
                <w:lang w:eastAsia="zh-CN"/>
              </w:rPr>
              <w:t>（</w:t>
            </w:r>
            <w:r>
              <w:rPr>
                <w:rFonts w:hint="eastAsia" w:ascii="宋体" w:hAnsi="宋体" w:eastAsia="宋体" w:cs="宋体"/>
                <w:b w:val="0"/>
                <w:bCs w:val="0"/>
                <w:i w:val="0"/>
                <w:iCs w:val="0"/>
                <w:color w:val="auto"/>
                <w:sz w:val="21"/>
                <w:szCs w:val="21"/>
              </w:rPr>
              <w:t>从应付基数中扣除</w:t>
            </w:r>
            <w:r>
              <w:rPr>
                <w:rFonts w:hint="eastAsia" w:ascii="宋体" w:hAnsi="宋体" w:eastAsia="宋体" w:cs="宋体"/>
                <w:b w:val="0"/>
                <w:bCs w:val="0"/>
                <w:i w:val="0"/>
                <w:iCs w:val="0"/>
                <w:color w:val="auto"/>
                <w:sz w:val="21"/>
                <w:szCs w:val="21"/>
                <w:lang w:eastAsia="zh-CN"/>
              </w:rPr>
              <w:t>）</w:t>
            </w:r>
          </w:p>
        </w:tc>
        <w:tc>
          <w:tcPr>
            <w:tcW w:w="2894" w:type="pct"/>
            <w:tcBorders>
              <w:top w:val="single" w:color="auto" w:sz="4" w:space="0"/>
              <w:left w:val="single" w:color="auto" w:sz="4" w:space="0"/>
              <w:bottom w:val="single" w:color="auto" w:sz="4" w:space="0"/>
              <w:right w:val="single" w:color="auto" w:sz="4" w:space="0"/>
            </w:tcBorders>
            <w:noWrap w:val="0"/>
            <w:vAlign w:val="center"/>
          </w:tcPr>
          <w:p w14:paraId="3A1909D4">
            <w:pPr>
              <w:jc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sz w:val="21"/>
                <w:szCs w:val="21"/>
              </w:rPr>
              <w:t>说明</w:t>
            </w:r>
          </w:p>
        </w:tc>
      </w:tr>
      <w:tr w14:paraId="47A7A28A">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364" w:hRule="atLeast"/>
        </w:trPr>
        <w:tc>
          <w:tcPr>
            <w:tcW w:w="604" w:type="pct"/>
            <w:tcBorders>
              <w:top w:val="single" w:color="auto" w:sz="4" w:space="0"/>
              <w:left w:val="single" w:color="auto" w:sz="4" w:space="0"/>
              <w:bottom w:val="single" w:color="auto" w:sz="4" w:space="0"/>
              <w:right w:val="single" w:color="auto" w:sz="4" w:space="0"/>
            </w:tcBorders>
            <w:noWrap w:val="0"/>
            <w:vAlign w:val="center"/>
          </w:tcPr>
          <w:p w14:paraId="10E0000B">
            <w:pPr>
              <w:jc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sz w:val="21"/>
                <w:szCs w:val="21"/>
              </w:rPr>
              <w:t>S≥95分</w:t>
            </w:r>
          </w:p>
        </w:tc>
        <w:tc>
          <w:tcPr>
            <w:tcW w:w="493" w:type="pct"/>
            <w:tcBorders>
              <w:top w:val="single" w:color="auto" w:sz="4" w:space="0"/>
              <w:left w:val="single" w:color="auto" w:sz="4" w:space="0"/>
              <w:bottom w:val="single" w:color="auto" w:sz="4" w:space="0"/>
              <w:right w:val="single" w:color="auto" w:sz="4" w:space="0"/>
            </w:tcBorders>
            <w:noWrap w:val="0"/>
            <w:vAlign w:val="center"/>
          </w:tcPr>
          <w:p w14:paraId="2F94D8D1">
            <w:pPr>
              <w:jc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sz w:val="21"/>
                <w:szCs w:val="21"/>
              </w:rPr>
              <w:t>好</w:t>
            </w:r>
          </w:p>
        </w:tc>
        <w:tc>
          <w:tcPr>
            <w:tcW w:w="1007" w:type="pct"/>
            <w:tcBorders>
              <w:top w:val="single" w:color="auto" w:sz="4" w:space="0"/>
              <w:left w:val="single" w:color="auto" w:sz="4" w:space="0"/>
              <w:bottom w:val="single" w:color="auto" w:sz="4" w:space="0"/>
              <w:right w:val="single" w:color="auto" w:sz="4" w:space="0"/>
            </w:tcBorders>
            <w:noWrap w:val="0"/>
            <w:vAlign w:val="center"/>
          </w:tcPr>
          <w:p w14:paraId="564011E5">
            <w:pPr>
              <w:jc w:val="center"/>
              <w:rPr>
                <w:rFonts w:hint="eastAsia" w:ascii="宋体" w:hAnsi="宋体" w:eastAsia="宋体" w:cs="宋体"/>
                <w:b w:val="0"/>
                <w:bCs w:val="0"/>
                <w:color w:val="auto"/>
                <w:sz w:val="21"/>
                <w:szCs w:val="21"/>
                <w:lang w:eastAsia="zh-CN"/>
              </w:rPr>
            </w:pPr>
            <w:r>
              <w:rPr>
                <w:rFonts w:hint="eastAsia" w:ascii="宋体" w:hAnsi="宋体" w:eastAsia="宋体" w:cs="宋体"/>
                <w:b w:val="0"/>
                <w:bCs w:val="0"/>
                <w:i w:val="0"/>
                <w:iCs w:val="0"/>
                <w:color w:val="auto"/>
                <w:sz w:val="21"/>
                <w:szCs w:val="21"/>
              </w:rPr>
              <w:t>0%</w:t>
            </w:r>
            <w:r>
              <w:rPr>
                <w:rFonts w:hint="eastAsia" w:ascii="宋体" w:hAnsi="宋体" w:eastAsia="宋体" w:cs="宋体"/>
                <w:b w:val="0"/>
                <w:bCs w:val="0"/>
                <w:i w:val="0"/>
                <w:iCs w:val="0"/>
                <w:color w:val="auto"/>
                <w:sz w:val="21"/>
                <w:szCs w:val="21"/>
                <w:lang w:eastAsia="zh-CN"/>
              </w:rPr>
              <w:t>（</w:t>
            </w:r>
            <w:r>
              <w:rPr>
                <w:rFonts w:hint="eastAsia" w:ascii="宋体" w:hAnsi="宋体" w:eastAsia="宋体" w:cs="宋体"/>
                <w:b w:val="0"/>
                <w:bCs w:val="0"/>
                <w:i w:val="0"/>
                <w:iCs w:val="0"/>
                <w:color w:val="auto"/>
                <w:sz w:val="21"/>
                <w:szCs w:val="21"/>
              </w:rPr>
              <w:t>不扣款</w:t>
            </w:r>
            <w:r>
              <w:rPr>
                <w:rFonts w:hint="eastAsia" w:ascii="宋体" w:hAnsi="宋体" w:eastAsia="宋体" w:cs="宋体"/>
                <w:b w:val="0"/>
                <w:bCs w:val="0"/>
                <w:i w:val="0"/>
                <w:iCs w:val="0"/>
                <w:color w:val="auto"/>
                <w:sz w:val="21"/>
                <w:szCs w:val="21"/>
                <w:lang w:eastAsia="zh-CN"/>
              </w:rPr>
              <w:t>）</w:t>
            </w:r>
          </w:p>
        </w:tc>
        <w:tc>
          <w:tcPr>
            <w:tcW w:w="2894" w:type="pct"/>
            <w:tcBorders>
              <w:top w:val="single" w:color="auto" w:sz="4" w:space="0"/>
              <w:left w:val="single" w:color="auto" w:sz="4" w:space="0"/>
              <w:bottom w:val="single" w:color="auto" w:sz="4" w:space="0"/>
              <w:right w:val="single" w:color="auto" w:sz="4" w:space="0"/>
            </w:tcBorders>
            <w:noWrap w:val="0"/>
            <w:vAlign w:val="center"/>
          </w:tcPr>
          <w:p w14:paraId="285CB19A">
            <w:pPr>
              <w:jc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sz w:val="21"/>
                <w:szCs w:val="21"/>
              </w:rPr>
              <w:t>服务品质优秀，超出预期，值得表扬。</w:t>
            </w:r>
          </w:p>
        </w:tc>
      </w:tr>
      <w:tr w14:paraId="5DCE1988">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08" w:hRule="atLeast"/>
        </w:trPr>
        <w:tc>
          <w:tcPr>
            <w:tcW w:w="604" w:type="pct"/>
            <w:tcBorders>
              <w:top w:val="single" w:color="auto" w:sz="4" w:space="0"/>
              <w:left w:val="single" w:color="auto" w:sz="4" w:space="0"/>
              <w:bottom w:val="single" w:color="auto" w:sz="4" w:space="0"/>
              <w:right w:val="single" w:color="auto" w:sz="4" w:space="0"/>
            </w:tcBorders>
            <w:noWrap w:val="0"/>
            <w:vAlign w:val="center"/>
          </w:tcPr>
          <w:p w14:paraId="164D217D">
            <w:pPr>
              <w:jc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sz w:val="21"/>
                <w:szCs w:val="21"/>
              </w:rPr>
              <w:t>85分≤S&lt;95分</w:t>
            </w:r>
          </w:p>
        </w:tc>
        <w:tc>
          <w:tcPr>
            <w:tcW w:w="493" w:type="pct"/>
            <w:tcBorders>
              <w:top w:val="single" w:color="auto" w:sz="4" w:space="0"/>
              <w:left w:val="single" w:color="auto" w:sz="4" w:space="0"/>
              <w:bottom w:val="single" w:color="auto" w:sz="4" w:space="0"/>
              <w:right w:val="single" w:color="auto" w:sz="4" w:space="0"/>
            </w:tcBorders>
            <w:noWrap w:val="0"/>
            <w:vAlign w:val="center"/>
          </w:tcPr>
          <w:p w14:paraId="5B5DD8AC">
            <w:pPr>
              <w:jc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sz w:val="21"/>
                <w:szCs w:val="21"/>
              </w:rPr>
              <w:t>标准</w:t>
            </w:r>
          </w:p>
        </w:tc>
        <w:tc>
          <w:tcPr>
            <w:tcW w:w="1007" w:type="pct"/>
            <w:tcBorders>
              <w:top w:val="single" w:color="auto" w:sz="4" w:space="0"/>
              <w:left w:val="single" w:color="auto" w:sz="4" w:space="0"/>
              <w:bottom w:val="single" w:color="auto" w:sz="4" w:space="0"/>
              <w:right w:val="single" w:color="auto" w:sz="4" w:space="0"/>
            </w:tcBorders>
            <w:noWrap w:val="0"/>
            <w:vAlign w:val="center"/>
          </w:tcPr>
          <w:p w14:paraId="72456A01">
            <w:pPr>
              <w:jc w:val="center"/>
              <w:rPr>
                <w:rFonts w:hint="eastAsia" w:ascii="宋体" w:hAnsi="宋体" w:eastAsia="宋体" w:cs="宋体"/>
                <w:b w:val="0"/>
                <w:bCs w:val="0"/>
                <w:color w:val="auto"/>
                <w:sz w:val="21"/>
                <w:szCs w:val="21"/>
                <w:lang w:eastAsia="zh-CN"/>
              </w:rPr>
            </w:pPr>
            <w:r>
              <w:rPr>
                <w:rFonts w:hint="eastAsia" w:ascii="宋体" w:hAnsi="宋体" w:eastAsia="宋体" w:cs="宋体"/>
                <w:b w:val="0"/>
                <w:bCs w:val="0"/>
                <w:i w:val="0"/>
                <w:iCs w:val="0"/>
                <w:color w:val="auto"/>
                <w:sz w:val="21"/>
                <w:szCs w:val="21"/>
              </w:rPr>
              <w:t>0%</w:t>
            </w:r>
            <w:r>
              <w:rPr>
                <w:rFonts w:hint="eastAsia" w:ascii="宋体" w:hAnsi="宋体" w:eastAsia="宋体" w:cs="宋体"/>
                <w:b w:val="0"/>
                <w:bCs w:val="0"/>
                <w:i w:val="0"/>
                <w:iCs w:val="0"/>
                <w:color w:val="auto"/>
                <w:sz w:val="21"/>
                <w:szCs w:val="21"/>
                <w:lang w:eastAsia="zh-CN"/>
              </w:rPr>
              <w:t>（</w:t>
            </w:r>
            <w:r>
              <w:rPr>
                <w:rFonts w:hint="eastAsia" w:ascii="宋体" w:hAnsi="宋体" w:eastAsia="宋体" w:cs="宋体"/>
                <w:b w:val="0"/>
                <w:bCs w:val="0"/>
                <w:i w:val="0"/>
                <w:iCs w:val="0"/>
                <w:color w:val="auto"/>
                <w:sz w:val="21"/>
                <w:szCs w:val="21"/>
              </w:rPr>
              <w:t>不扣款</w:t>
            </w:r>
            <w:r>
              <w:rPr>
                <w:rFonts w:hint="eastAsia" w:ascii="宋体" w:hAnsi="宋体" w:eastAsia="宋体" w:cs="宋体"/>
                <w:b w:val="0"/>
                <w:bCs w:val="0"/>
                <w:i w:val="0"/>
                <w:iCs w:val="0"/>
                <w:color w:val="auto"/>
                <w:sz w:val="21"/>
                <w:szCs w:val="21"/>
                <w:lang w:eastAsia="zh-CN"/>
              </w:rPr>
              <w:t>）</w:t>
            </w:r>
          </w:p>
        </w:tc>
        <w:tc>
          <w:tcPr>
            <w:tcW w:w="2894" w:type="pct"/>
            <w:tcBorders>
              <w:top w:val="single" w:color="auto" w:sz="4" w:space="0"/>
              <w:left w:val="single" w:color="auto" w:sz="4" w:space="0"/>
              <w:bottom w:val="single" w:color="auto" w:sz="4" w:space="0"/>
              <w:right w:val="single" w:color="auto" w:sz="4" w:space="0"/>
            </w:tcBorders>
            <w:noWrap w:val="0"/>
            <w:vAlign w:val="center"/>
          </w:tcPr>
          <w:p w14:paraId="1097C8C4">
            <w:pPr>
              <w:jc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sz w:val="21"/>
                <w:szCs w:val="21"/>
              </w:rPr>
              <w:t>此为合同要求的基础服务水平。全面达到约定标准，服务质量稳定可靠。</w:t>
            </w:r>
          </w:p>
        </w:tc>
      </w:tr>
      <w:tr w14:paraId="0EC09CCE">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08" w:hRule="atLeast"/>
        </w:trPr>
        <w:tc>
          <w:tcPr>
            <w:tcW w:w="604" w:type="pct"/>
            <w:tcBorders>
              <w:top w:val="single" w:color="auto" w:sz="4" w:space="0"/>
              <w:left w:val="single" w:color="auto" w:sz="4" w:space="0"/>
              <w:bottom w:val="single" w:color="auto" w:sz="4" w:space="0"/>
              <w:right w:val="single" w:color="auto" w:sz="4" w:space="0"/>
            </w:tcBorders>
            <w:noWrap w:val="0"/>
            <w:vAlign w:val="center"/>
          </w:tcPr>
          <w:p w14:paraId="6D294328">
            <w:pPr>
              <w:jc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sz w:val="21"/>
                <w:szCs w:val="21"/>
              </w:rPr>
              <w:t>75分≤S&lt;85分</w:t>
            </w:r>
          </w:p>
        </w:tc>
        <w:tc>
          <w:tcPr>
            <w:tcW w:w="493" w:type="pct"/>
            <w:tcBorders>
              <w:top w:val="single" w:color="auto" w:sz="4" w:space="0"/>
              <w:left w:val="single" w:color="auto" w:sz="4" w:space="0"/>
              <w:bottom w:val="single" w:color="auto" w:sz="4" w:space="0"/>
              <w:right w:val="single" w:color="auto" w:sz="4" w:space="0"/>
            </w:tcBorders>
            <w:noWrap w:val="0"/>
            <w:vAlign w:val="center"/>
          </w:tcPr>
          <w:p w14:paraId="18A6A2F5">
            <w:pPr>
              <w:jc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sz w:val="21"/>
                <w:szCs w:val="21"/>
              </w:rPr>
              <w:t>合格</w:t>
            </w:r>
          </w:p>
        </w:tc>
        <w:tc>
          <w:tcPr>
            <w:tcW w:w="1007" w:type="pct"/>
            <w:tcBorders>
              <w:top w:val="single" w:color="auto" w:sz="4" w:space="0"/>
              <w:left w:val="single" w:color="auto" w:sz="4" w:space="0"/>
              <w:bottom w:val="single" w:color="auto" w:sz="4" w:space="0"/>
              <w:right w:val="single" w:color="auto" w:sz="4" w:space="0"/>
            </w:tcBorders>
            <w:noWrap w:val="0"/>
            <w:vAlign w:val="center"/>
          </w:tcPr>
          <w:p w14:paraId="7773E87A">
            <w:pPr>
              <w:jc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sz w:val="21"/>
                <w:szCs w:val="21"/>
              </w:rPr>
              <w:t>固定核减5%</w:t>
            </w:r>
          </w:p>
        </w:tc>
        <w:tc>
          <w:tcPr>
            <w:tcW w:w="2894" w:type="pct"/>
            <w:tcBorders>
              <w:top w:val="single" w:color="auto" w:sz="4" w:space="0"/>
              <w:left w:val="single" w:color="auto" w:sz="4" w:space="0"/>
              <w:bottom w:val="single" w:color="auto" w:sz="4" w:space="0"/>
              <w:right w:val="single" w:color="auto" w:sz="4" w:space="0"/>
            </w:tcBorders>
            <w:noWrap w:val="0"/>
            <w:vAlign w:val="center"/>
          </w:tcPr>
          <w:p w14:paraId="10D96958">
            <w:pPr>
              <w:jc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sz w:val="21"/>
                <w:szCs w:val="21"/>
              </w:rPr>
              <w:t>服务基本达标，但存在个别问题，需提交书面整改报告。</w:t>
            </w:r>
          </w:p>
        </w:tc>
      </w:tr>
      <w:tr w14:paraId="47191827">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08" w:hRule="atLeast"/>
        </w:trPr>
        <w:tc>
          <w:tcPr>
            <w:tcW w:w="604" w:type="pct"/>
            <w:tcBorders>
              <w:top w:val="single" w:color="auto" w:sz="4" w:space="0"/>
              <w:left w:val="single" w:color="auto" w:sz="4" w:space="0"/>
              <w:bottom w:val="single" w:color="auto" w:sz="4" w:space="0"/>
              <w:right w:val="single" w:color="auto" w:sz="4" w:space="0"/>
            </w:tcBorders>
            <w:noWrap w:val="0"/>
            <w:vAlign w:val="center"/>
          </w:tcPr>
          <w:p w14:paraId="0A7B20AA">
            <w:pPr>
              <w:jc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sz w:val="21"/>
                <w:szCs w:val="21"/>
              </w:rPr>
              <w:t>60分≤S&lt;75分</w:t>
            </w:r>
          </w:p>
        </w:tc>
        <w:tc>
          <w:tcPr>
            <w:tcW w:w="493" w:type="pct"/>
            <w:tcBorders>
              <w:top w:val="single" w:color="auto" w:sz="4" w:space="0"/>
              <w:left w:val="single" w:color="auto" w:sz="4" w:space="0"/>
              <w:bottom w:val="single" w:color="auto" w:sz="4" w:space="0"/>
              <w:right w:val="single" w:color="auto" w:sz="4" w:space="0"/>
            </w:tcBorders>
            <w:noWrap w:val="0"/>
            <w:vAlign w:val="center"/>
          </w:tcPr>
          <w:p w14:paraId="4BA3A35F">
            <w:pPr>
              <w:jc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sz w:val="21"/>
                <w:szCs w:val="21"/>
              </w:rPr>
              <w:t>待改进</w:t>
            </w:r>
          </w:p>
        </w:tc>
        <w:tc>
          <w:tcPr>
            <w:tcW w:w="1007" w:type="pct"/>
            <w:tcBorders>
              <w:top w:val="single" w:color="auto" w:sz="4" w:space="0"/>
              <w:left w:val="single" w:color="auto" w:sz="4" w:space="0"/>
              <w:bottom w:val="single" w:color="auto" w:sz="4" w:space="0"/>
              <w:right w:val="single" w:color="auto" w:sz="4" w:space="0"/>
            </w:tcBorders>
            <w:noWrap w:val="0"/>
            <w:vAlign w:val="center"/>
          </w:tcPr>
          <w:p w14:paraId="39B5FE1B">
            <w:pPr>
              <w:jc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sz w:val="21"/>
                <w:szCs w:val="21"/>
              </w:rPr>
              <w:t>固定核减15%</w:t>
            </w:r>
          </w:p>
        </w:tc>
        <w:tc>
          <w:tcPr>
            <w:tcW w:w="2894" w:type="pct"/>
            <w:tcBorders>
              <w:top w:val="single" w:color="auto" w:sz="4" w:space="0"/>
              <w:left w:val="single" w:color="auto" w:sz="4" w:space="0"/>
              <w:bottom w:val="single" w:color="auto" w:sz="4" w:space="0"/>
              <w:right w:val="single" w:color="auto" w:sz="4" w:space="0"/>
            </w:tcBorders>
            <w:noWrap w:val="0"/>
            <w:vAlign w:val="center"/>
          </w:tcPr>
          <w:p w14:paraId="4FEFE352">
            <w:pPr>
              <w:jc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sz w:val="21"/>
                <w:szCs w:val="21"/>
              </w:rPr>
              <w:t>出现多项、重复性问题，服务质量明显不达标。需提交专项整改计划，并由双方管理层共同复核。</w:t>
            </w:r>
          </w:p>
        </w:tc>
      </w:tr>
      <w:tr w14:paraId="3AE2AC46">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1064" w:hRule="atLeast"/>
        </w:trPr>
        <w:tc>
          <w:tcPr>
            <w:tcW w:w="604" w:type="pct"/>
            <w:tcBorders>
              <w:top w:val="single" w:color="auto" w:sz="4" w:space="0"/>
              <w:left w:val="single" w:color="auto" w:sz="4" w:space="0"/>
              <w:bottom w:val="single" w:color="auto" w:sz="4" w:space="0"/>
              <w:right w:val="single" w:color="auto" w:sz="4" w:space="0"/>
            </w:tcBorders>
            <w:noWrap w:val="0"/>
            <w:vAlign w:val="center"/>
          </w:tcPr>
          <w:p w14:paraId="3862996B">
            <w:pPr>
              <w:jc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sz w:val="21"/>
                <w:szCs w:val="21"/>
              </w:rPr>
              <w:t>S&lt;60分</w:t>
            </w:r>
          </w:p>
        </w:tc>
        <w:tc>
          <w:tcPr>
            <w:tcW w:w="493" w:type="pct"/>
            <w:tcBorders>
              <w:top w:val="single" w:color="auto" w:sz="4" w:space="0"/>
              <w:left w:val="single" w:color="auto" w:sz="4" w:space="0"/>
              <w:bottom w:val="single" w:color="auto" w:sz="4" w:space="0"/>
              <w:right w:val="single" w:color="auto" w:sz="4" w:space="0"/>
            </w:tcBorders>
            <w:noWrap w:val="0"/>
            <w:vAlign w:val="center"/>
          </w:tcPr>
          <w:p w14:paraId="50560F70">
            <w:pPr>
              <w:jc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sz w:val="21"/>
                <w:szCs w:val="21"/>
              </w:rPr>
              <w:t>不合格</w:t>
            </w:r>
          </w:p>
        </w:tc>
        <w:tc>
          <w:tcPr>
            <w:tcW w:w="1007" w:type="pct"/>
            <w:tcBorders>
              <w:top w:val="single" w:color="auto" w:sz="4" w:space="0"/>
              <w:left w:val="single" w:color="auto" w:sz="4" w:space="0"/>
              <w:bottom w:val="single" w:color="auto" w:sz="4" w:space="0"/>
              <w:right w:val="single" w:color="auto" w:sz="4" w:space="0"/>
            </w:tcBorders>
            <w:noWrap w:val="0"/>
            <w:vAlign w:val="center"/>
          </w:tcPr>
          <w:p w14:paraId="1862EC54">
            <w:pPr>
              <w:jc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sz w:val="21"/>
                <w:szCs w:val="21"/>
              </w:rPr>
              <w:t>固定核减30%</w:t>
            </w:r>
          </w:p>
        </w:tc>
        <w:tc>
          <w:tcPr>
            <w:tcW w:w="2894" w:type="pct"/>
            <w:tcBorders>
              <w:top w:val="single" w:color="auto" w:sz="4" w:space="0"/>
              <w:left w:val="single" w:color="auto" w:sz="4" w:space="0"/>
              <w:bottom w:val="single" w:color="auto" w:sz="4" w:space="0"/>
              <w:right w:val="single" w:color="auto" w:sz="4" w:space="0"/>
            </w:tcBorders>
            <w:noWrap w:val="0"/>
            <w:vAlign w:val="center"/>
          </w:tcPr>
          <w:p w14:paraId="64D0BA96">
            <w:pPr>
              <w:jc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sz w:val="21"/>
                <w:szCs w:val="21"/>
              </w:rPr>
              <w:t>服务存在严重缺陷，影响集团正常办公及企业形象。将触发合同违约条款，集团保留进一步追究责任及终止合同的权利。</w:t>
            </w:r>
          </w:p>
        </w:tc>
      </w:tr>
    </w:tbl>
    <w:p w14:paraId="5EE235B0">
      <w:pPr>
        <w:pStyle w:val="18"/>
        <w:widowControl/>
        <w:numPr>
          <w:ilvl w:val="0"/>
          <w:numId w:val="0"/>
        </w:numPr>
        <w:spacing w:line="360" w:lineRule="auto"/>
        <w:ind w:firstLine="420" w:firstLineChars="200"/>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i w:val="0"/>
          <w:color w:val="auto"/>
          <w:sz w:val="21"/>
          <w:szCs w:val="21"/>
        </w:rPr>
        <w:t>重大问题处理规则：如在考核期内发生以下任何一项重大问题，无论总分多少，当月服务费直接按“不合格”等级处理，即固定核减30%的费用：</w:t>
      </w:r>
      <w:r>
        <w:rPr>
          <w:rFonts w:hint="eastAsia" w:ascii="宋体" w:hAnsi="宋体" w:eastAsia="宋体" w:cs="宋体"/>
          <w:b w:val="0"/>
          <w:bCs w:val="0"/>
          <w:i w:val="0"/>
          <w:color w:val="auto"/>
          <w:sz w:val="21"/>
          <w:szCs w:val="21"/>
          <w:lang w:val="en-US" w:eastAsia="zh-CN"/>
        </w:rPr>
        <w:t>1.</w:t>
      </w:r>
      <w:r>
        <w:rPr>
          <w:rFonts w:hint="eastAsia" w:ascii="宋体" w:hAnsi="宋体" w:eastAsia="宋体" w:cs="宋体"/>
          <w:b w:val="0"/>
          <w:bCs w:val="0"/>
          <w:i w:val="0"/>
          <w:color w:val="auto"/>
          <w:sz w:val="21"/>
          <w:szCs w:val="21"/>
        </w:rPr>
        <w:t>发生安全生产责任事故。</w:t>
      </w:r>
      <w:r>
        <w:rPr>
          <w:rFonts w:hint="eastAsia" w:ascii="宋体" w:hAnsi="宋体" w:eastAsia="宋体" w:cs="宋体"/>
          <w:b w:val="0"/>
          <w:bCs w:val="0"/>
          <w:i w:val="0"/>
          <w:color w:val="auto"/>
          <w:sz w:val="21"/>
          <w:szCs w:val="21"/>
          <w:lang w:val="en-US" w:eastAsia="zh-CN"/>
        </w:rPr>
        <w:t>2.</w:t>
      </w:r>
      <w:r>
        <w:rPr>
          <w:rFonts w:hint="eastAsia" w:ascii="宋体" w:hAnsi="宋体" w:eastAsia="宋体" w:cs="宋体"/>
          <w:b w:val="0"/>
          <w:bCs w:val="0"/>
          <w:i w:val="0"/>
          <w:color w:val="auto"/>
          <w:sz w:val="21"/>
          <w:szCs w:val="21"/>
        </w:rPr>
        <w:t>因清洁疏忽导致设施设备严重损坏。</w:t>
      </w:r>
      <w:r>
        <w:rPr>
          <w:rFonts w:hint="eastAsia" w:ascii="宋体" w:hAnsi="宋体" w:eastAsia="宋体" w:cs="宋体"/>
          <w:b w:val="0"/>
          <w:bCs w:val="0"/>
          <w:i w:val="0"/>
          <w:color w:val="auto"/>
          <w:sz w:val="21"/>
          <w:szCs w:val="21"/>
          <w:lang w:val="en-US" w:eastAsia="zh-CN"/>
        </w:rPr>
        <w:t>3.发生严重违反保密协议的行为。</w:t>
      </w:r>
    </w:p>
    <w:p w14:paraId="3B2C1551">
      <w:pPr>
        <w:bidi w:val="0"/>
        <w:spacing w:line="360" w:lineRule="auto"/>
        <w:ind w:firstLine="420" w:firstLineChars="200"/>
        <w:outlineLvl w:val="3"/>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Cs w:val="21"/>
        </w:rPr>
        <w:t>评分细则</w:t>
      </w:r>
      <w:r>
        <w:rPr>
          <w:rFonts w:hint="eastAsia" w:ascii="宋体" w:hAnsi="宋体" w:eastAsia="宋体" w:cs="宋体"/>
          <w:b w:val="0"/>
          <w:bCs w:val="0"/>
          <w:color w:val="auto"/>
          <w:szCs w:val="21"/>
          <w:lang w:eastAsia="zh-CN"/>
        </w:rPr>
        <w:t>（</w:t>
      </w:r>
      <w:r>
        <w:rPr>
          <w:rFonts w:hint="eastAsia" w:ascii="宋体" w:hAnsi="宋体" w:eastAsia="宋体" w:cs="宋体"/>
          <w:b w:val="0"/>
          <w:bCs w:val="0"/>
          <w:color w:val="auto"/>
          <w:szCs w:val="21"/>
        </w:rPr>
        <w:t>总分100分</w:t>
      </w:r>
      <w:r>
        <w:rPr>
          <w:rFonts w:hint="eastAsia" w:ascii="宋体" w:hAnsi="宋体" w:eastAsia="宋体" w:cs="宋体"/>
          <w:b w:val="0"/>
          <w:bCs w:val="0"/>
          <w:color w:val="auto"/>
          <w:szCs w:val="21"/>
          <w:lang w:eastAsia="zh-CN"/>
        </w:rPr>
        <w:t>）</w:t>
      </w:r>
      <w:r>
        <w:rPr>
          <w:rFonts w:hint="eastAsia" w:ascii="宋体" w:hAnsi="宋体" w:eastAsia="宋体" w:cs="宋体"/>
          <w:b w:val="0"/>
          <w:bCs w:val="0"/>
          <w:color w:val="auto"/>
          <w:szCs w:val="21"/>
          <w:lang w:val="en-US" w:eastAsia="zh-CN"/>
        </w:rPr>
        <w:t>:</w:t>
      </w:r>
    </w:p>
    <w:tbl>
      <w:tblPr>
        <w:tblStyle w:val="4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060"/>
        <w:gridCol w:w="712"/>
        <w:gridCol w:w="6754"/>
        <w:gridCol w:w="535"/>
        <w:gridCol w:w="385"/>
        <w:gridCol w:w="728"/>
      </w:tblGrid>
      <w:tr w14:paraId="20686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W w:w="5000" w:type="pct"/>
            <w:gridSpan w:val="6"/>
            <w:tcBorders>
              <w:tl2br w:val="nil"/>
              <w:tr2bl w:val="nil"/>
            </w:tcBorders>
            <w:noWrap w:val="0"/>
            <w:vAlign w:val="center"/>
          </w:tcPr>
          <w:p w14:paraId="2ADFBFCD">
            <w:pPr>
              <w:pStyle w:val="18"/>
              <w:widowControl/>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水业大厦租赁区域内物业清洁服务月度考核评分卡</w:t>
            </w:r>
          </w:p>
          <w:p w14:paraId="4F8AC4E2">
            <w:pPr>
              <w:pStyle w:val="18"/>
              <w:widowControl/>
              <w:jc w:val="left"/>
              <w:rPr>
                <w:rFonts w:hint="eastAsia" w:ascii="宋体" w:hAnsi="宋体" w:eastAsia="宋体" w:cs="宋体"/>
                <w:b w:val="0"/>
                <w:bCs w:val="0"/>
                <w:i w:val="0"/>
                <w:color w:val="auto"/>
                <w:sz w:val="21"/>
                <w:szCs w:val="21"/>
              </w:rPr>
            </w:pPr>
            <w:r>
              <w:rPr>
                <w:rFonts w:hint="eastAsia" w:ascii="宋体" w:hAnsi="宋体" w:eastAsia="宋体" w:cs="宋体"/>
                <w:b w:val="0"/>
                <w:bCs w:val="0"/>
                <w:i w:val="0"/>
                <w:color w:val="auto"/>
                <w:sz w:val="21"/>
                <w:szCs w:val="21"/>
              </w:rPr>
              <w:t>考核月份：________年____月</w:t>
            </w:r>
          </w:p>
          <w:p w14:paraId="0C08083D">
            <w:pPr>
              <w:pStyle w:val="18"/>
              <w:widowControl/>
              <w:jc w:val="left"/>
              <w:rPr>
                <w:rFonts w:hint="eastAsia" w:ascii="宋体" w:hAnsi="宋体" w:eastAsia="宋体" w:cs="宋体"/>
                <w:b w:val="0"/>
                <w:bCs w:val="0"/>
                <w:i w:val="0"/>
                <w:color w:val="auto"/>
                <w:sz w:val="21"/>
                <w:szCs w:val="21"/>
              </w:rPr>
            </w:pPr>
            <w:r>
              <w:rPr>
                <w:rFonts w:hint="eastAsia" w:ascii="宋体" w:hAnsi="宋体" w:eastAsia="宋体" w:cs="宋体"/>
                <w:b w:val="0"/>
                <w:bCs w:val="0"/>
                <w:i w:val="0"/>
                <w:color w:val="auto"/>
                <w:sz w:val="21"/>
                <w:szCs w:val="21"/>
              </w:rPr>
              <w:t>服务单位：</w:t>
            </w:r>
          </w:p>
          <w:p w14:paraId="76825D7E">
            <w:pPr>
              <w:pStyle w:val="18"/>
              <w:widowControl/>
              <w:jc w:val="left"/>
              <w:rPr>
                <w:rFonts w:hint="eastAsia" w:ascii="宋体" w:hAnsi="宋体" w:eastAsia="宋体" w:cs="宋体"/>
                <w:b w:val="0"/>
                <w:bCs w:val="0"/>
                <w:i w:val="0"/>
                <w:color w:val="auto"/>
                <w:sz w:val="21"/>
                <w:szCs w:val="21"/>
              </w:rPr>
            </w:pPr>
            <w:r>
              <w:rPr>
                <w:rFonts w:hint="eastAsia" w:ascii="宋体" w:hAnsi="宋体" w:eastAsia="宋体" w:cs="宋体"/>
                <w:b w:val="0"/>
                <w:bCs w:val="0"/>
                <w:i w:val="0"/>
                <w:color w:val="auto"/>
                <w:sz w:val="21"/>
                <w:szCs w:val="21"/>
              </w:rPr>
              <w:t>考核单位：</w:t>
            </w:r>
          </w:p>
          <w:p w14:paraId="694D50E2">
            <w:pPr>
              <w:pStyle w:val="18"/>
              <w:widowControl/>
              <w:jc w:val="left"/>
              <w:rPr>
                <w:rFonts w:hint="eastAsia" w:ascii="宋体" w:hAnsi="宋体" w:eastAsia="宋体" w:cs="宋体"/>
                <w:b w:val="0"/>
                <w:bCs w:val="0"/>
                <w:i w:val="0"/>
                <w:iCs w:val="0"/>
                <w:color w:val="auto"/>
                <w:sz w:val="21"/>
                <w:szCs w:val="21"/>
              </w:rPr>
            </w:pPr>
            <w:r>
              <w:rPr>
                <w:rFonts w:hint="eastAsia" w:ascii="宋体" w:hAnsi="宋体" w:eastAsia="宋体" w:cs="宋体"/>
                <w:b w:val="0"/>
                <w:bCs w:val="0"/>
                <w:i w:val="0"/>
                <w:color w:val="auto"/>
                <w:sz w:val="21"/>
                <w:szCs w:val="21"/>
              </w:rPr>
              <w:t>考核人：___________考核日期：___________</w:t>
            </w:r>
          </w:p>
        </w:tc>
      </w:tr>
      <w:tr w14:paraId="49E9C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W w:w="521" w:type="pct"/>
            <w:tcBorders>
              <w:tl2br w:val="nil"/>
              <w:tr2bl w:val="nil"/>
            </w:tcBorders>
            <w:noWrap w:val="0"/>
            <w:vAlign w:val="center"/>
          </w:tcPr>
          <w:p w14:paraId="688A09DA">
            <w:pPr>
              <w:jc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sz w:val="21"/>
                <w:szCs w:val="21"/>
              </w:rPr>
              <w:t>考核大项</w:t>
            </w:r>
          </w:p>
        </w:tc>
        <w:tc>
          <w:tcPr>
            <w:tcW w:w="350" w:type="pct"/>
            <w:tcBorders>
              <w:tl2br w:val="nil"/>
              <w:tr2bl w:val="nil"/>
            </w:tcBorders>
            <w:noWrap w:val="0"/>
            <w:vAlign w:val="center"/>
          </w:tcPr>
          <w:p w14:paraId="725AF3E4">
            <w:pPr>
              <w:jc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sz w:val="21"/>
                <w:szCs w:val="21"/>
              </w:rPr>
              <w:t>权重</w:t>
            </w:r>
          </w:p>
        </w:tc>
        <w:tc>
          <w:tcPr>
            <w:tcW w:w="3319" w:type="pct"/>
            <w:tcBorders>
              <w:tl2br w:val="nil"/>
              <w:tr2bl w:val="nil"/>
            </w:tcBorders>
            <w:noWrap w:val="0"/>
            <w:vAlign w:val="center"/>
          </w:tcPr>
          <w:p w14:paraId="0EF9F258">
            <w:pPr>
              <w:jc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sz w:val="21"/>
                <w:szCs w:val="21"/>
              </w:rPr>
              <w:t>考核内容及标准</w:t>
            </w:r>
          </w:p>
        </w:tc>
        <w:tc>
          <w:tcPr>
            <w:tcW w:w="263" w:type="pct"/>
            <w:tcBorders>
              <w:tl2br w:val="nil"/>
              <w:tr2bl w:val="nil"/>
            </w:tcBorders>
            <w:noWrap w:val="0"/>
            <w:vAlign w:val="center"/>
          </w:tcPr>
          <w:p w14:paraId="2FF3C1A2">
            <w:pPr>
              <w:jc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sz w:val="21"/>
                <w:szCs w:val="21"/>
              </w:rPr>
              <w:t>标准分</w:t>
            </w:r>
          </w:p>
        </w:tc>
        <w:tc>
          <w:tcPr>
            <w:tcW w:w="189" w:type="pct"/>
            <w:tcBorders>
              <w:tl2br w:val="nil"/>
              <w:tr2bl w:val="nil"/>
            </w:tcBorders>
            <w:noWrap w:val="0"/>
            <w:vAlign w:val="center"/>
          </w:tcPr>
          <w:p w14:paraId="4D4B0206">
            <w:pPr>
              <w:jc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sz w:val="21"/>
                <w:szCs w:val="21"/>
              </w:rPr>
              <w:t>实得分</w:t>
            </w:r>
          </w:p>
        </w:tc>
        <w:tc>
          <w:tcPr>
            <w:tcW w:w="356" w:type="pct"/>
            <w:tcBorders>
              <w:tl2br w:val="nil"/>
              <w:tr2bl w:val="nil"/>
            </w:tcBorders>
            <w:noWrap w:val="0"/>
            <w:vAlign w:val="center"/>
          </w:tcPr>
          <w:p w14:paraId="31DE0BF3">
            <w:pPr>
              <w:jc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sz w:val="21"/>
                <w:szCs w:val="21"/>
              </w:rPr>
              <w:t>扣分说明</w:t>
            </w:r>
          </w:p>
        </w:tc>
      </w:tr>
      <w:tr w14:paraId="5E29E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21" w:type="pct"/>
            <w:tcBorders>
              <w:tl2br w:val="nil"/>
              <w:tr2bl w:val="nil"/>
            </w:tcBorders>
            <w:noWrap w:val="0"/>
            <w:vAlign w:val="center"/>
          </w:tcPr>
          <w:p w14:paraId="52D1D027">
            <w:pPr>
              <w:jc w:val="center"/>
              <w:rPr>
                <w:rFonts w:hint="eastAsia" w:ascii="宋体" w:hAnsi="宋体" w:eastAsia="宋体" w:cs="宋体"/>
                <w:b w:val="0"/>
                <w:bCs w:val="0"/>
                <w:color w:val="auto"/>
                <w:sz w:val="21"/>
                <w:szCs w:val="21"/>
                <w:lang w:eastAsia="zh-CN"/>
              </w:rPr>
            </w:pPr>
            <w:r>
              <w:rPr>
                <w:rFonts w:hint="eastAsia" w:ascii="宋体" w:hAnsi="宋体" w:eastAsia="宋体" w:cs="宋体"/>
                <w:b w:val="0"/>
                <w:bCs w:val="0"/>
                <w:i w:val="0"/>
                <w:iCs w:val="0"/>
                <w:color w:val="auto"/>
                <w:sz w:val="21"/>
                <w:szCs w:val="21"/>
              </w:rPr>
              <w:t>A.公共区域</w:t>
            </w:r>
            <w:r>
              <w:rPr>
                <w:rFonts w:hint="eastAsia" w:ascii="宋体" w:hAnsi="宋体" w:eastAsia="宋体" w:cs="宋体"/>
                <w:b w:val="0"/>
                <w:bCs w:val="0"/>
                <w:i w:val="0"/>
                <w:iCs w:val="0"/>
                <w:color w:val="auto"/>
                <w:sz w:val="21"/>
                <w:szCs w:val="21"/>
                <w:lang w:eastAsia="zh-CN"/>
              </w:rPr>
              <w:t>（</w:t>
            </w:r>
            <w:r>
              <w:rPr>
                <w:rFonts w:hint="eastAsia" w:ascii="宋体" w:hAnsi="宋体" w:eastAsia="宋体" w:cs="宋体"/>
                <w:b w:val="0"/>
                <w:bCs w:val="0"/>
                <w:i w:val="0"/>
                <w:iCs w:val="0"/>
                <w:color w:val="auto"/>
                <w:sz w:val="21"/>
                <w:szCs w:val="21"/>
              </w:rPr>
              <w:t>30%</w:t>
            </w:r>
            <w:r>
              <w:rPr>
                <w:rFonts w:hint="eastAsia" w:ascii="宋体" w:hAnsi="宋体" w:eastAsia="宋体" w:cs="宋体"/>
                <w:b w:val="0"/>
                <w:bCs w:val="0"/>
                <w:i w:val="0"/>
                <w:iCs w:val="0"/>
                <w:color w:val="auto"/>
                <w:sz w:val="21"/>
                <w:szCs w:val="21"/>
                <w:lang w:eastAsia="zh-CN"/>
              </w:rPr>
              <w:t>）</w:t>
            </w:r>
          </w:p>
        </w:tc>
        <w:tc>
          <w:tcPr>
            <w:tcW w:w="350" w:type="pct"/>
            <w:tcBorders>
              <w:tl2br w:val="nil"/>
              <w:tr2bl w:val="nil"/>
            </w:tcBorders>
            <w:noWrap w:val="0"/>
            <w:vAlign w:val="center"/>
          </w:tcPr>
          <w:p w14:paraId="74FEAF10">
            <w:pPr>
              <w:jc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sz w:val="21"/>
                <w:szCs w:val="21"/>
              </w:rPr>
              <w:t>30%</w:t>
            </w:r>
          </w:p>
        </w:tc>
        <w:tc>
          <w:tcPr>
            <w:tcW w:w="3319" w:type="pct"/>
            <w:tcBorders>
              <w:tl2br w:val="nil"/>
              <w:tr2bl w:val="nil"/>
            </w:tcBorders>
            <w:noWrap w:val="0"/>
            <w:vAlign w:val="center"/>
          </w:tcPr>
          <w:p w14:paraId="06F697DD">
            <w:pPr>
              <w:jc w:val="left"/>
              <w:rPr>
                <w:rFonts w:hint="eastAsia" w:ascii="宋体" w:hAnsi="宋体" w:eastAsia="宋体" w:cs="宋体"/>
                <w:b w:val="0"/>
                <w:bCs w:val="0"/>
                <w:i w:val="0"/>
                <w:iCs w:val="0"/>
                <w:color w:val="auto"/>
                <w:sz w:val="21"/>
                <w:szCs w:val="21"/>
                <w:lang w:eastAsia="zh-CN"/>
              </w:rPr>
            </w:pPr>
            <w:r>
              <w:rPr>
                <w:rFonts w:hint="eastAsia" w:ascii="宋体" w:hAnsi="宋体" w:eastAsia="宋体" w:cs="宋体"/>
                <w:b w:val="0"/>
                <w:bCs w:val="0"/>
                <w:i w:val="0"/>
                <w:iCs w:val="0"/>
                <w:color w:val="auto"/>
                <w:sz w:val="21"/>
                <w:szCs w:val="21"/>
              </w:rPr>
              <w:t>A1.前台/大堂/接待区：地面光亮无脚印，台面无尘无杂物，玻璃门无手印，垃圾桶。</w:t>
            </w:r>
            <w:r>
              <w:rPr>
                <w:rFonts w:hint="eastAsia" w:ascii="宋体" w:hAnsi="宋体" w:eastAsia="宋体" w:cs="宋体"/>
                <w:b w:val="0"/>
                <w:bCs w:val="0"/>
                <w:i w:val="0"/>
                <w:iCs w:val="0"/>
                <w:color w:val="auto"/>
                <w:sz w:val="21"/>
                <w:szCs w:val="21"/>
                <w:lang w:eastAsia="zh-CN"/>
              </w:rPr>
              <w:t>（</w:t>
            </w:r>
            <w:r>
              <w:rPr>
                <w:rFonts w:hint="eastAsia" w:ascii="宋体" w:hAnsi="宋体" w:eastAsia="宋体" w:cs="宋体"/>
                <w:b w:val="0"/>
                <w:bCs w:val="0"/>
                <w:i w:val="0"/>
                <w:iCs w:val="0"/>
                <w:color w:val="auto"/>
                <w:sz w:val="21"/>
                <w:szCs w:val="21"/>
              </w:rPr>
              <w:t>10分</w:t>
            </w:r>
            <w:r>
              <w:rPr>
                <w:rFonts w:hint="eastAsia" w:ascii="宋体" w:hAnsi="宋体" w:eastAsia="宋体" w:cs="宋体"/>
                <w:b w:val="0"/>
                <w:bCs w:val="0"/>
                <w:i w:val="0"/>
                <w:iCs w:val="0"/>
                <w:color w:val="auto"/>
                <w:sz w:val="21"/>
                <w:szCs w:val="21"/>
                <w:lang w:eastAsia="zh-CN"/>
              </w:rPr>
              <w:t>）</w:t>
            </w:r>
          </w:p>
          <w:p w14:paraId="19F64101">
            <w:pPr>
              <w:jc w:val="left"/>
              <w:rPr>
                <w:rFonts w:hint="eastAsia" w:ascii="宋体" w:hAnsi="宋体" w:eastAsia="宋体" w:cs="宋体"/>
                <w:b w:val="0"/>
                <w:bCs w:val="0"/>
                <w:i w:val="0"/>
                <w:iCs w:val="0"/>
                <w:color w:val="auto"/>
                <w:sz w:val="21"/>
                <w:szCs w:val="21"/>
                <w:lang w:eastAsia="zh-CN"/>
              </w:rPr>
            </w:pPr>
            <w:r>
              <w:rPr>
                <w:rFonts w:hint="eastAsia" w:ascii="宋体" w:hAnsi="宋体" w:eastAsia="宋体" w:cs="宋体"/>
                <w:b w:val="0"/>
                <w:bCs w:val="0"/>
                <w:i w:val="0"/>
                <w:iCs w:val="0"/>
                <w:color w:val="auto"/>
                <w:sz w:val="21"/>
                <w:szCs w:val="21"/>
              </w:rPr>
              <w:t>A2.公共走廊/通道：地面干燥洁净，墙面/踢脚线无污渍，消防设施无尘。</w:t>
            </w:r>
            <w:r>
              <w:rPr>
                <w:rFonts w:hint="eastAsia" w:ascii="宋体" w:hAnsi="宋体" w:eastAsia="宋体" w:cs="宋体"/>
                <w:b w:val="0"/>
                <w:bCs w:val="0"/>
                <w:i w:val="0"/>
                <w:iCs w:val="0"/>
                <w:color w:val="auto"/>
                <w:sz w:val="21"/>
                <w:szCs w:val="21"/>
                <w:lang w:eastAsia="zh-CN"/>
              </w:rPr>
              <w:t>（</w:t>
            </w:r>
            <w:r>
              <w:rPr>
                <w:rFonts w:hint="eastAsia" w:ascii="宋体" w:hAnsi="宋体" w:eastAsia="宋体" w:cs="宋体"/>
                <w:b w:val="0"/>
                <w:bCs w:val="0"/>
                <w:i w:val="0"/>
                <w:iCs w:val="0"/>
                <w:color w:val="auto"/>
                <w:sz w:val="21"/>
                <w:szCs w:val="21"/>
              </w:rPr>
              <w:t>10分</w:t>
            </w:r>
            <w:r>
              <w:rPr>
                <w:rFonts w:hint="eastAsia" w:ascii="宋体" w:hAnsi="宋体" w:eastAsia="宋体" w:cs="宋体"/>
                <w:b w:val="0"/>
                <w:bCs w:val="0"/>
                <w:i w:val="0"/>
                <w:iCs w:val="0"/>
                <w:color w:val="auto"/>
                <w:sz w:val="21"/>
                <w:szCs w:val="21"/>
                <w:lang w:eastAsia="zh-CN"/>
              </w:rPr>
              <w:t>）</w:t>
            </w:r>
          </w:p>
          <w:p w14:paraId="7DEC7884">
            <w:pPr>
              <w:jc w:val="left"/>
              <w:rPr>
                <w:rFonts w:hint="eastAsia" w:ascii="宋体" w:hAnsi="宋体" w:eastAsia="宋体" w:cs="宋体"/>
                <w:b w:val="0"/>
                <w:bCs w:val="0"/>
                <w:i w:val="0"/>
                <w:iCs w:val="0"/>
                <w:color w:val="auto"/>
                <w:sz w:val="21"/>
                <w:szCs w:val="21"/>
                <w:lang w:eastAsia="zh-CN"/>
              </w:rPr>
            </w:pPr>
            <w:r>
              <w:rPr>
                <w:rFonts w:hint="eastAsia" w:ascii="宋体" w:hAnsi="宋体" w:eastAsia="宋体" w:cs="宋体"/>
                <w:b w:val="0"/>
                <w:bCs w:val="0"/>
                <w:i w:val="0"/>
                <w:iCs w:val="0"/>
                <w:color w:val="auto"/>
                <w:sz w:val="21"/>
                <w:szCs w:val="21"/>
              </w:rPr>
              <w:t>A3.天花/灯具/风口：无灰尘、无蛛网，灯光明亮。</w:t>
            </w:r>
            <w:r>
              <w:rPr>
                <w:rFonts w:hint="eastAsia" w:ascii="宋体" w:hAnsi="宋体" w:eastAsia="宋体" w:cs="宋体"/>
                <w:b w:val="0"/>
                <w:bCs w:val="0"/>
                <w:i w:val="0"/>
                <w:iCs w:val="0"/>
                <w:color w:val="auto"/>
                <w:sz w:val="21"/>
                <w:szCs w:val="21"/>
                <w:lang w:eastAsia="zh-CN"/>
              </w:rPr>
              <w:t>（</w:t>
            </w:r>
            <w:r>
              <w:rPr>
                <w:rFonts w:hint="eastAsia" w:ascii="宋体" w:hAnsi="宋体" w:eastAsia="宋体" w:cs="宋体"/>
                <w:b w:val="0"/>
                <w:bCs w:val="0"/>
                <w:i w:val="0"/>
                <w:iCs w:val="0"/>
                <w:color w:val="auto"/>
                <w:sz w:val="21"/>
                <w:szCs w:val="21"/>
              </w:rPr>
              <w:t>5分</w:t>
            </w:r>
            <w:r>
              <w:rPr>
                <w:rFonts w:hint="eastAsia" w:ascii="宋体" w:hAnsi="宋体" w:eastAsia="宋体" w:cs="宋体"/>
                <w:b w:val="0"/>
                <w:bCs w:val="0"/>
                <w:i w:val="0"/>
                <w:iCs w:val="0"/>
                <w:color w:val="auto"/>
                <w:sz w:val="21"/>
                <w:szCs w:val="21"/>
                <w:lang w:eastAsia="zh-CN"/>
              </w:rPr>
              <w:t>）</w:t>
            </w:r>
          </w:p>
          <w:p w14:paraId="598339FC">
            <w:pPr>
              <w:jc w:val="left"/>
              <w:rPr>
                <w:rFonts w:hint="eastAsia" w:ascii="宋体" w:hAnsi="宋体" w:eastAsia="宋体" w:cs="宋体"/>
                <w:b w:val="0"/>
                <w:bCs w:val="0"/>
                <w:color w:val="auto"/>
                <w:sz w:val="21"/>
                <w:szCs w:val="21"/>
                <w:lang w:eastAsia="zh-CN"/>
              </w:rPr>
            </w:pPr>
            <w:r>
              <w:rPr>
                <w:rFonts w:hint="eastAsia" w:ascii="宋体" w:hAnsi="宋体" w:eastAsia="宋体" w:cs="宋体"/>
                <w:b w:val="0"/>
                <w:bCs w:val="0"/>
                <w:i w:val="0"/>
                <w:iCs w:val="0"/>
                <w:color w:val="auto"/>
                <w:sz w:val="21"/>
                <w:szCs w:val="21"/>
              </w:rPr>
              <w:t>A4.空气质量：空气清新无异味，符合约定标准。</w:t>
            </w:r>
            <w:r>
              <w:rPr>
                <w:rFonts w:hint="eastAsia" w:ascii="宋体" w:hAnsi="宋体" w:eastAsia="宋体" w:cs="宋体"/>
                <w:b w:val="0"/>
                <w:bCs w:val="0"/>
                <w:i w:val="0"/>
                <w:iCs w:val="0"/>
                <w:color w:val="auto"/>
                <w:sz w:val="21"/>
                <w:szCs w:val="21"/>
                <w:lang w:eastAsia="zh-CN"/>
              </w:rPr>
              <w:t>（</w:t>
            </w:r>
            <w:r>
              <w:rPr>
                <w:rFonts w:hint="eastAsia" w:ascii="宋体" w:hAnsi="宋体" w:eastAsia="宋体" w:cs="宋体"/>
                <w:b w:val="0"/>
                <w:bCs w:val="0"/>
                <w:i w:val="0"/>
                <w:iCs w:val="0"/>
                <w:color w:val="auto"/>
                <w:sz w:val="21"/>
                <w:szCs w:val="21"/>
              </w:rPr>
              <w:t>5分</w:t>
            </w:r>
            <w:r>
              <w:rPr>
                <w:rFonts w:hint="eastAsia" w:ascii="宋体" w:hAnsi="宋体" w:eastAsia="宋体" w:cs="宋体"/>
                <w:b w:val="0"/>
                <w:bCs w:val="0"/>
                <w:i w:val="0"/>
                <w:iCs w:val="0"/>
                <w:color w:val="auto"/>
                <w:sz w:val="21"/>
                <w:szCs w:val="21"/>
                <w:lang w:eastAsia="zh-CN"/>
              </w:rPr>
              <w:t>）</w:t>
            </w:r>
          </w:p>
        </w:tc>
        <w:tc>
          <w:tcPr>
            <w:tcW w:w="263" w:type="pct"/>
            <w:tcBorders>
              <w:tl2br w:val="nil"/>
              <w:tr2bl w:val="nil"/>
            </w:tcBorders>
            <w:noWrap w:val="0"/>
            <w:vAlign w:val="center"/>
          </w:tcPr>
          <w:p w14:paraId="5E4EDA54">
            <w:pPr>
              <w:jc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sz w:val="21"/>
                <w:szCs w:val="21"/>
              </w:rPr>
              <w:t>30</w:t>
            </w:r>
          </w:p>
        </w:tc>
        <w:tc>
          <w:tcPr>
            <w:tcW w:w="189" w:type="pct"/>
            <w:tcBorders>
              <w:tl2br w:val="nil"/>
              <w:tr2bl w:val="nil"/>
            </w:tcBorders>
            <w:noWrap w:val="0"/>
            <w:vAlign w:val="center"/>
          </w:tcPr>
          <w:p w14:paraId="33EDAD67">
            <w:pPr>
              <w:jc w:val="center"/>
              <w:rPr>
                <w:rFonts w:hint="eastAsia" w:ascii="宋体" w:hAnsi="宋体" w:eastAsia="宋体" w:cs="宋体"/>
                <w:b w:val="0"/>
                <w:bCs w:val="0"/>
                <w:color w:val="auto"/>
                <w:sz w:val="21"/>
                <w:szCs w:val="21"/>
              </w:rPr>
            </w:pPr>
          </w:p>
        </w:tc>
        <w:tc>
          <w:tcPr>
            <w:tcW w:w="356" w:type="pct"/>
            <w:tcBorders>
              <w:tl2br w:val="nil"/>
              <w:tr2bl w:val="nil"/>
            </w:tcBorders>
            <w:noWrap w:val="0"/>
            <w:vAlign w:val="center"/>
          </w:tcPr>
          <w:p w14:paraId="323722E5">
            <w:pPr>
              <w:jc w:val="center"/>
              <w:rPr>
                <w:rFonts w:hint="eastAsia" w:ascii="宋体" w:hAnsi="宋体" w:eastAsia="宋体" w:cs="宋体"/>
                <w:b w:val="0"/>
                <w:bCs w:val="0"/>
                <w:color w:val="auto"/>
                <w:sz w:val="21"/>
                <w:szCs w:val="21"/>
              </w:rPr>
            </w:pPr>
          </w:p>
        </w:tc>
      </w:tr>
      <w:tr w14:paraId="1194B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21" w:type="pct"/>
            <w:tcBorders>
              <w:tl2br w:val="nil"/>
              <w:tr2bl w:val="nil"/>
            </w:tcBorders>
            <w:noWrap w:val="0"/>
            <w:vAlign w:val="center"/>
          </w:tcPr>
          <w:p w14:paraId="56FA8212">
            <w:pPr>
              <w:jc w:val="center"/>
              <w:rPr>
                <w:rFonts w:hint="eastAsia" w:ascii="宋体" w:hAnsi="宋体" w:eastAsia="宋体" w:cs="宋体"/>
                <w:b w:val="0"/>
                <w:bCs w:val="0"/>
                <w:color w:val="auto"/>
                <w:sz w:val="21"/>
                <w:szCs w:val="21"/>
                <w:lang w:eastAsia="zh-CN"/>
              </w:rPr>
            </w:pPr>
            <w:r>
              <w:rPr>
                <w:rFonts w:hint="eastAsia" w:ascii="宋体" w:hAnsi="宋体" w:eastAsia="宋体" w:cs="宋体"/>
                <w:b w:val="0"/>
                <w:bCs w:val="0"/>
                <w:i w:val="0"/>
                <w:iCs w:val="0"/>
                <w:color w:val="auto"/>
                <w:sz w:val="21"/>
                <w:szCs w:val="21"/>
              </w:rPr>
              <w:t>B.办公区域</w:t>
            </w:r>
            <w:r>
              <w:rPr>
                <w:rFonts w:hint="eastAsia" w:ascii="宋体" w:hAnsi="宋体" w:eastAsia="宋体" w:cs="宋体"/>
                <w:b w:val="0"/>
                <w:bCs w:val="0"/>
                <w:i w:val="0"/>
                <w:iCs w:val="0"/>
                <w:color w:val="auto"/>
                <w:sz w:val="21"/>
                <w:szCs w:val="21"/>
                <w:lang w:eastAsia="zh-CN"/>
              </w:rPr>
              <w:t>（</w:t>
            </w:r>
            <w:r>
              <w:rPr>
                <w:rFonts w:hint="eastAsia" w:ascii="宋体" w:hAnsi="宋体" w:eastAsia="宋体" w:cs="宋体"/>
                <w:b w:val="0"/>
                <w:bCs w:val="0"/>
                <w:i w:val="0"/>
                <w:iCs w:val="0"/>
                <w:color w:val="auto"/>
                <w:sz w:val="21"/>
                <w:szCs w:val="21"/>
              </w:rPr>
              <w:t>25%</w:t>
            </w:r>
            <w:r>
              <w:rPr>
                <w:rFonts w:hint="eastAsia" w:ascii="宋体" w:hAnsi="宋体" w:eastAsia="宋体" w:cs="宋体"/>
                <w:b w:val="0"/>
                <w:bCs w:val="0"/>
                <w:i w:val="0"/>
                <w:iCs w:val="0"/>
                <w:color w:val="auto"/>
                <w:sz w:val="21"/>
                <w:szCs w:val="21"/>
                <w:lang w:eastAsia="zh-CN"/>
              </w:rPr>
              <w:t>）</w:t>
            </w:r>
          </w:p>
        </w:tc>
        <w:tc>
          <w:tcPr>
            <w:tcW w:w="350" w:type="pct"/>
            <w:tcBorders>
              <w:tl2br w:val="nil"/>
              <w:tr2bl w:val="nil"/>
            </w:tcBorders>
            <w:noWrap w:val="0"/>
            <w:vAlign w:val="center"/>
          </w:tcPr>
          <w:p w14:paraId="6F617356">
            <w:pPr>
              <w:jc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sz w:val="21"/>
                <w:szCs w:val="21"/>
              </w:rPr>
              <w:t>25%</w:t>
            </w:r>
          </w:p>
        </w:tc>
        <w:tc>
          <w:tcPr>
            <w:tcW w:w="3319" w:type="pct"/>
            <w:tcBorders>
              <w:tl2br w:val="nil"/>
              <w:tr2bl w:val="nil"/>
            </w:tcBorders>
            <w:noWrap w:val="0"/>
            <w:vAlign w:val="center"/>
          </w:tcPr>
          <w:p w14:paraId="642D7186">
            <w:pPr>
              <w:jc w:val="left"/>
              <w:rPr>
                <w:rFonts w:hint="eastAsia" w:ascii="宋体" w:hAnsi="宋体" w:eastAsia="宋体" w:cs="宋体"/>
                <w:b w:val="0"/>
                <w:bCs w:val="0"/>
                <w:i w:val="0"/>
                <w:iCs w:val="0"/>
                <w:color w:val="auto"/>
                <w:sz w:val="21"/>
                <w:szCs w:val="21"/>
                <w:lang w:eastAsia="zh-CN"/>
              </w:rPr>
            </w:pPr>
            <w:r>
              <w:rPr>
                <w:rFonts w:hint="eastAsia" w:ascii="宋体" w:hAnsi="宋体" w:eastAsia="宋体" w:cs="宋体"/>
                <w:b w:val="0"/>
                <w:bCs w:val="0"/>
                <w:i w:val="0"/>
                <w:iCs w:val="0"/>
                <w:color w:val="auto"/>
                <w:sz w:val="21"/>
                <w:szCs w:val="21"/>
              </w:rPr>
              <w:t>B1.开放办公区：地面/地毯洁净，垃圾桶清空，隔断无手印，电话消毒记录可查。</w:t>
            </w:r>
            <w:r>
              <w:rPr>
                <w:rFonts w:hint="eastAsia" w:ascii="宋体" w:hAnsi="宋体" w:eastAsia="宋体" w:cs="宋体"/>
                <w:b w:val="0"/>
                <w:bCs w:val="0"/>
                <w:i w:val="0"/>
                <w:iCs w:val="0"/>
                <w:color w:val="auto"/>
                <w:sz w:val="21"/>
                <w:szCs w:val="21"/>
                <w:lang w:eastAsia="zh-CN"/>
              </w:rPr>
              <w:t>（</w:t>
            </w:r>
            <w:r>
              <w:rPr>
                <w:rFonts w:hint="eastAsia" w:ascii="宋体" w:hAnsi="宋体" w:eastAsia="宋体" w:cs="宋体"/>
                <w:b w:val="0"/>
                <w:bCs w:val="0"/>
                <w:i w:val="0"/>
                <w:iCs w:val="0"/>
                <w:color w:val="auto"/>
                <w:sz w:val="21"/>
                <w:szCs w:val="21"/>
              </w:rPr>
              <w:t>10分</w:t>
            </w:r>
            <w:r>
              <w:rPr>
                <w:rFonts w:hint="eastAsia" w:ascii="宋体" w:hAnsi="宋体" w:eastAsia="宋体" w:cs="宋体"/>
                <w:b w:val="0"/>
                <w:bCs w:val="0"/>
                <w:i w:val="0"/>
                <w:iCs w:val="0"/>
                <w:color w:val="auto"/>
                <w:sz w:val="21"/>
                <w:szCs w:val="21"/>
                <w:lang w:eastAsia="zh-CN"/>
              </w:rPr>
              <w:t>）</w:t>
            </w:r>
          </w:p>
          <w:p w14:paraId="2E43A949">
            <w:pPr>
              <w:jc w:val="left"/>
              <w:rPr>
                <w:rFonts w:hint="eastAsia" w:ascii="宋体" w:hAnsi="宋体" w:eastAsia="宋体" w:cs="宋体"/>
                <w:b w:val="0"/>
                <w:bCs w:val="0"/>
                <w:i w:val="0"/>
                <w:iCs w:val="0"/>
                <w:color w:val="auto"/>
                <w:sz w:val="21"/>
                <w:szCs w:val="21"/>
                <w:lang w:eastAsia="zh-CN"/>
              </w:rPr>
            </w:pPr>
            <w:r>
              <w:rPr>
                <w:rFonts w:hint="eastAsia" w:ascii="宋体" w:hAnsi="宋体" w:eastAsia="宋体" w:cs="宋体"/>
                <w:b w:val="0"/>
                <w:bCs w:val="0"/>
                <w:i w:val="0"/>
                <w:iCs w:val="0"/>
                <w:color w:val="auto"/>
                <w:sz w:val="21"/>
                <w:szCs w:val="21"/>
              </w:rPr>
              <w:t>B2.独立办公室/会议室：符合所有办公区标准，会后及时复位，设备无尘，白板洁净。</w:t>
            </w:r>
            <w:r>
              <w:rPr>
                <w:rFonts w:hint="eastAsia" w:ascii="宋体" w:hAnsi="宋体" w:eastAsia="宋体" w:cs="宋体"/>
                <w:b w:val="0"/>
                <w:bCs w:val="0"/>
                <w:i w:val="0"/>
                <w:iCs w:val="0"/>
                <w:color w:val="auto"/>
                <w:sz w:val="21"/>
                <w:szCs w:val="21"/>
                <w:lang w:eastAsia="zh-CN"/>
              </w:rPr>
              <w:t>（</w:t>
            </w:r>
            <w:r>
              <w:rPr>
                <w:rFonts w:hint="eastAsia" w:ascii="宋体" w:hAnsi="宋体" w:eastAsia="宋体" w:cs="宋体"/>
                <w:b w:val="0"/>
                <w:bCs w:val="0"/>
                <w:i w:val="0"/>
                <w:iCs w:val="0"/>
                <w:color w:val="auto"/>
                <w:sz w:val="21"/>
                <w:szCs w:val="21"/>
              </w:rPr>
              <w:t>10分</w:t>
            </w:r>
            <w:r>
              <w:rPr>
                <w:rFonts w:hint="eastAsia" w:ascii="宋体" w:hAnsi="宋体" w:eastAsia="宋体" w:cs="宋体"/>
                <w:b w:val="0"/>
                <w:bCs w:val="0"/>
                <w:i w:val="0"/>
                <w:iCs w:val="0"/>
                <w:color w:val="auto"/>
                <w:sz w:val="21"/>
                <w:szCs w:val="21"/>
                <w:lang w:eastAsia="zh-CN"/>
              </w:rPr>
              <w:t>）</w:t>
            </w:r>
          </w:p>
          <w:p w14:paraId="66A459E6">
            <w:pPr>
              <w:jc w:val="left"/>
              <w:rPr>
                <w:rFonts w:hint="eastAsia" w:ascii="宋体" w:hAnsi="宋体" w:eastAsia="宋体" w:cs="宋体"/>
                <w:b w:val="0"/>
                <w:bCs w:val="0"/>
                <w:color w:val="auto"/>
                <w:sz w:val="21"/>
                <w:szCs w:val="21"/>
                <w:lang w:eastAsia="zh-CN"/>
              </w:rPr>
            </w:pPr>
            <w:r>
              <w:rPr>
                <w:rFonts w:hint="eastAsia" w:ascii="宋体" w:hAnsi="宋体" w:eastAsia="宋体" w:cs="宋体"/>
                <w:b w:val="0"/>
                <w:bCs w:val="0"/>
                <w:i w:val="0"/>
                <w:iCs w:val="0"/>
                <w:color w:val="auto"/>
                <w:sz w:val="21"/>
                <w:szCs w:val="21"/>
              </w:rPr>
              <w:t>B3.保密与规范：清洁过程未移动/触碰文件，作业时间符合规定，无干扰办公现象。</w:t>
            </w:r>
            <w:r>
              <w:rPr>
                <w:rFonts w:hint="eastAsia" w:ascii="宋体" w:hAnsi="宋体" w:eastAsia="宋体" w:cs="宋体"/>
                <w:b w:val="0"/>
                <w:bCs w:val="0"/>
                <w:i w:val="0"/>
                <w:iCs w:val="0"/>
                <w:color w:val="auto"/>
                <w:sz w:val="21"/>
                <w:szCs w:val="21"/>
                <w:lang w:eastAsia="zh-CN"/>
              </w:rPr>
              <w:t>（</w:t>
            </w:r>
            <w:r>
              <w:rPr>
                <w:rFonts w:hint="eastAsia" w:ascii="宋体" w:hAnsi="宋体" w:eastAsia="宋体" w:cs="宋体"/>
                <w:b w:val="0"/>
                <w:bCs w:val="0"/>
                <w:i w:val="0"/>
                <w:iCs w:val="0"/>
                <w:color w:val="auto"/>
                <w:sz w:val="21"/>
                <w:szCs w:val="21"/>
              </w:rPr>
              <w:t>5分</w:t>
            </w:r>
            <w:r>
              <w:rPr>
                <w:rFonts w:hint="eastAsia" w:ascii="宋体" w:hAnsi="宋体" w:eastAsia="宋体" w:cs="宋体"/>
                <w:b w:val="0"/>
                <w:bCs w:val="0"/>
                <w:i w:val="0"/>
                <w:iCs w:val="0"/>
                <w:color w:val="auto"/>
                <w:sz w:val="21"/>
                <w:szCs w:val="21"/>
                <w:lang w:eastAsia="zh-CN"/>
              </w:rPr>
              <w:t>）</w:t>
            </w:r>
          </w:p>
        </w:tc>
        <w:tc>
          <w:tcPr>
            <w:tcW w:w="263" w:type="pct"/>
            <w:tcBorders>
              <w:tl2br w:val="nil"/>
              <w:tr2bl w:val="nil"/>
            </w:tcBorders>
            <w:noWrap w:val="0"/>
            <w:vAlign w:val="center"/>
          </w:tcPr>
          <w:p w14:paraId="29F4CD1A">
            <w:pPr>
              <w:jc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sz w:val="21"/>
                <w:szCs w:val="21"/>
              </w:rPr>
              <w:t>25</w:t>
            </w:r>
          </w:p>
        </w:tc>
        <w:tc>
          <w:tcPr>
            <w:tcW w:w="189" w:type="pct"/>
            <w:tcBorders>
              <w:tl2br w:val="nil"/>
              <w:tr2bl w:val="nil"/>
            </w:tcBorders>
            <w:noWrap w:val="0"/>
            <w:vAlign w:val="center"/>
          </w:tcPr>
          <w:p w14:paraId="20521E14">
            <w:pPr>
              <w:jc w:val="center"/>
              <w:rPr>
                <w:rFonts w:hint="eastAsia" w:ascii="宋体" w:hAnsi="宋体" w:eastAsia="宋体" w:cs="宋体"/>
                <w:b w:val="0"/>
                <w:bCs w:val="0"/>
                <w:color w:val="auto"/>
                <w:sz w:val="21"/>
                <w:szCs w:val="21"/>
              </w:rPr>
            </w:pPr>
          </w:p>
        </w:tc>
        <w:tc>
          <w:tcPr>
            <w:tcW w:w="356" w:type="pct"/>
            <w:tcBorders>
              <w:tl2br w:val="nil"/>
              <w:tr2bl w:val="nil"/>
            </w:tcBorders>
            <w:noWrap w:val="0"/>
            <w:vAlign w:val="center"/>
          </w:tcPr>
          <w:p w14:paraId="4AEE4FAA">
            <w:pPr>
              <w:jc w:val="center"/>
              <w:rPr>
                <w:rFonts w:hint="eastAsia" w:ascii="宋体" w:hAnsi="宋体" w:eastAsia="宋体" w:cs="宋体"/>
                <w:b w:val="0"/>
                <w:bCs w:val="0"/>
                <w:color w:val="auto"/>
                <w:sz w:val="21"/>
                <w:szCs w:val="21"/>
              </w:rPr>
            </w:pPr>
          </w:p>
        </w:tc>
      </w:tr>
      <w:tr w14:paraId="5A806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21" w:type="pct"/>
            <w:tcBorders>
              <w:tl2br w:val="nil"/>
              <w:tr2bl w:val="nil"/>
            </w:tcBorders>
            <w:noWrap w:val="0"/>
            <w:vAlign w:val="center"/>
          </w:tcPr>
          <w:p w14:paraId="27465A42">
            <w:pPr>
              <w:jc w:val="center"/>
              <w:rPr>
                <w:rFonts w:hint="eastAsia" w:ascii="宋体" w:hAnsi="宋体" w:eastAsia="宋体" w:cs="宋体"/>
                <w:b w:val="0"/>
                <w:bCs w:val="0"/>
                <w:color w:val="auto"/>
                <w:sz w:val="21"/>
                <w:szCs w:val="21"/>
                <w:lang w:eastAsia="zh-CN"/>
              </w:rPr>
            </w:pPr>
            <w:r>
              <w:rPr>
                <w:rFonts w:hint="eastAsia" w:ascii="宋体" w:hAnsi="宋体" w:eastAsia="宋体" w:cs="宋体"/>
                <w:b w:val="0"/>
                <w:bCs w:val="0"/>
                <w:i w:val="0"/>
                <w:iCs w:val="0"/>
                <w:color w:val="auto"/>
                <w:sz w:val="21"/>
                <w:szCs w:val="21"/>
              </w:rPr>
              <w:t>C.卫生间</w:t>
            </w:r>
            <w:r>
              <w:rPr>
                <w:rFonts w:hint="eastAsia" w:ascii="宋体" w:hAnsi="宋体" w:eastAsia="宋体" w:cs="宋体"/>
                <w:b w:val="0"/>
                <w:bCs w:val="0"/>
                <w:i w:val="0"/>
                <w:iCs w:val="0"/>
                <w:color w:val="auto"/>
                <w:sz w:val="21"/>
                <w:szCs w:val="21"/>
                <w:lang w:eastAsia="zh-CN"/>
              </w:rPr>
              <w:t>（</w:t>
            </w:r>
            <w:r>
              <w:rPr>
                <w:rFonts w:hint="eastAsia" w:ascii="宋体" w:hAnsi="宋体" w:eastAsia="宋体" w:cs="宋体"/>
                <w:b w:val="0"/>
                <w:bCs w:val="0"/>
                <w:i w:val="0"/>
                <w:iCs w:val="0"/>
                <w:color w:val="auto"/>
                <w:sz w:val="21"/>
                <w:szCs w:val="21"/>
              </w:rPr>
              <w:t>25%</w:t>
            </w:r>
            <w:r>
              <w:rPr>
                <w:rFonts w:hint="eastAsia" w:ascii="宋体" w:hAnsi="宋体" w:eastAsia="宋体" w:cs="宋体"/>
                <w:b w:val="0"/>
                <w:bCs w:val="0"/>
                <w:i w:val="0"/>
                <w:iCs w:val="0"/>
                <w:color w:val="auto"/>
                <w:sz w:val="21"/>
                <w:szCs w:val="21"/>
                <w:lang w:eastAsia="zh-CN"/>
              </w:rPr>
              <w:t>）</w:t>
            </w:r>
          </w:p>
        </w:tc>
        <w:tc>
          <w:tcPr>
            <w:tcW w:w="350" w:type="pct"/>
            <w:tcBorders>
              <w:tl2br w:val="nil"/>
              <w:tr2bl w:val="nil"/>
            </w:tcBorders>
            <w:noWrap w:val="0"/>
            <w:vAlign w:val="center"/>
          </w:tcPr>
          <w:p w14:paraId="3BFAE217">
            <w:pPr>
              <w:jc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sz w:val="21"/>
                <w:szCs w:val="21"/>
              </w:rPr>
              <w:t>25%</w:t>
            </w:r>
          </w:p>
        </w:tc>
        <w:tc>
          <w:tcPr>
            <w:tcW w:w="3319" w:type="pct"/>
            <w:tcBorders>
              <w:tl2br w:val="nil"/>
              <w:tr2bl w:val="nil"/>
            </w:tcBorders>
            <w:noWrap w:val="0"/>
            <w:vAlign w:val="center"/>
          </w:tcPr>
          <w:p w14:paraId="79B9131E">
            <w:pPr>
              <w:jc w:val="left"/>
              <w:rPr>
                <w:rFonts w:hint="eastAsia" w:ascii="宋体" w:hAnsi="宋体" w:eastAsia="宋体" w:cs="宋体"/>
                <w:b w:val="0"/>
                <w:bCs w:val="0"/>
                <w:i w:val="0"/>
                <w:iCs w:val="0"/>
                <w:color w:val="auto"/>
                <w:sz w:val="21"/>
                <w:szCs w:val="21"/>
                <w:lang w:eastAsia="zh-CN"/>
              </w:rPr>
            </w:pPr>
            <w:r>
              <w:rPr>
                <w:rFonts w:hint="eastAsia" w:ascii="宋体" w:hAnsi="宋体" w:eastAsia="宋体" w:cs="宋体"/>
                <w:b w:val="0"/>
                <w:bCs w:val="0"/>
                <w:i w:val="0"/>
                <w:iCs w:val="0"/>
                <w:color w:val="auto"/>
                <w:sz w:val="21"/>
                <w:szCs w:val="21"/>
              </w:rPr>
              <w:t>C1.整体环境：空气清新无异味，巡检记录规范填写（每小时一次）。</w:t>
            </w:r>
            <w:r>
              <w:rPr>
                <w:rFonts w:hint="eastAsia" w:ascii="宋体" w:hAnsi="宋体" w:eastAsia="宋体" w:cs="宋体"/>
                <w:b w:val="0"/>
                <w:bCs w:val="0"/>
                <w:i w:val="0"/>
                <w:iCs w:val="0"/>
                <w:color w:val="auto"/>
                <w:sz w:val="21"/>
                <w:szCs w:val="21"/>
                <w:lang w:eastAsia="zh-CN"/>
              </w:rPr>
              <w:t>（</w:t>
            </w:r>
            <w:r>
              <w:rPr>
                <w:rFonts w:hint="eastAsia" w:ascii="宋体" w:hAnsi="宋体" w:eastAsia="宋体" w:cs="宋体"/>
                <w:b w:val="0"/>
                <w:bCs w:val="0"/>
                <w:i w:val="0"/>
                <w:iCs w:val="0"/>
                <w:color w:val="auto"/>
                <w:sz w:val="21"/>
                <w:szCs w:val="21"/>
              </w:rPr>
              <w:t>5分</w:t>
            </w:r>
            <w:r>
              <w:rPr>
                <w:rFonts w:hint="eastAsia" w:ascii="宋体" w:hAnsi="宋体" w:eastAsia="宋体" w:cs="宋体"/>
                <w:b w:val="0"/>
                <w:bCs w:val="0"/>
                <w:i w:val="0"/>
                <w:iCs w:val="0"/>
                <w:color w:val="auto"/>
                <w:sz w:val="21"/>
                <w:szCs w:val="21"/>
                <w:lang w:eastAsia="zh-CN"/>
              </w:rPr>
              <w:t>）</w:t>
            </w:r>
          </w:p>
          <w:p w14:paraId="07D6F86A">
            <w:pPr>
              <w:jc w:val="left"/>
              <w:rPr>
                <w:rFonts w:hint="eastAsia" w:ascii="宋体" w:hAnsi="宋体" w:eastAsia="宋体" w:cs="宋体"/>
                <w:b w:val="0"/>
                <w:bCs w:val="0"/>
                <w:i w:val="0"/>
                <w:iCs w:val="0"/>
                <w:color w:val="auto"/>
                <w:sz w:val="21"/>
                <w:szCs w:val="21"/>
                <w:lang w:eastAsia="zh-CN"/>
              </w:rPr>
            </w:pPr>
            <w:r>
              <w:rPr>
                <w:rFonts w:hint="eastAsia" w:ascii="宋体" w:hAnsi="宋体" w:eastAsia="宋体" w:cs="宋体"/>
                <w:b w:val="0"/>
                <w:bCs w:val="0"/>
                <w:i w:val="0"/>
                <w:iCs w:val="0"/>
                <w:color w:val="auto"/>
                <w:sz w:val="21"/>
                <w:szCs w:val="21"/>
              </w:rPr>
              <w:t>C2.设施设备：厕具、台盆、镜面、龙头光洁无水渍污垢。</w:t>
            </w:r>
            <w:r>
              <w:rPr>
                <w:rFonts w:hint="eastAsia" w:ascii="宋体" w:hAnsi="宋体" w:eastAsia="宋体" w:cs="宋体"/>
                <w:b w:val="0"/>
                <w:bCs w:val="0"/>
                <w:i w:val="0"/>
                <w:iCs w:val="0"/>
                <w:color w:val="auto"/>
                <w:sz w:val="21"/>
                <w:szCs w:val="21"/>
                <w:lang w:eastAsia="zh-CN"/>
              </w:rPr>
              <w:t>（</w:t>
            </w:r>
            <w:r>
              <w:rPr>
                <w:rFonts w:hint="eastAsia" w:ascii="宋体" w:hAnsi="宋体" w:eastAsia="宋体" w:cs="宋体"/>
                <w:b w:val="0"/>
                <w:bCs w:val="0"/>
                <w:i w:val="0"/>
                <w:iCs w:val="0"/>
                <w:color w:val="auto"/>
                <w:sz w:val="21"/>
                <w:szCs w:val="21"/>
              </w:rPr>
              <w:t>10分</w:t>
            </w:r>
            <w:r>
              <w:rPr>
                <w:rFonts w:hint="eastAsia" w:ascii="宋体" w:hAnsi="宋体" w:eastAsia="宋体" w:cs="宋体"/>
                <w:b w:val="0"/>
                <w:bCs w:val="0"/>
                <w:i w:val="0"/>
                <w:iCs w:val="0"/>
                <w:color w:val="auto"/>
                <w:sz w:val="21"/>
                <w:szCs w:val="21"/>
                <w:lang w:eastAsia="zh-CN"/>
              </w:rPr>
              <w:t>）</w:t>
            </w:r>
          </w:p>
          <w:p w14:paraId="2EADF43F">
            <w:pPr>
              <w:jc w:val="left"/>
              <w:rPr>
                <w:rFonts w:hint="eastAsia" w:ascii="宋体" w:hAnsi="宋体" w:eastAsia="宋体" w:cs="宋体"/>
                <w:b w:val="0"/>
                <w:bCs w:val="0"/>
                <w:i w:val="0"/>
                <w:iCs w:val="0"/>
                <w:color w:val="auto"/>
                <w:sz w:val="21"/>
                <w:szCs w:val="21"/>
                <w:lang w:eastAsia="zh-CN"/>
              </w:rPr>
            </w:pPr>
            <w:r>
              <w:rPr>
                <w:rFonts w:hint="eastAsia" w:ascii="宋体" w:hAnsi="宋体" w:eastAsia="宋体" w:cs="宋体"/>
                <w:b w:val="0"/>
                <w:bCs w:val="0"/>
                <w:i w:val="0"/>
                <w:iCs w:val="0"/>
                <w:color w:val="auto"/>
                <w:sz w:val="21"/>
                <w:szCs w:val="21"/>
              </w:rPr>
              <w:t>C3.地面墙面：保持干燥洁净，无积水。</w:t>
            </w:r>
            <w:r>
              <w:rPr>
                <w:rFonts w:hint="eastAsia" w:ascii="宋体" w:hAnsi="宋体" w:eastAsia="宋体" w:cs="宋体"/>
                <w:b w:val="0"/>
                <w:bCs w:val="0"/>
                <w:i w:val="0"/>
                <w:iCs w:val="0"/>
                <w:color w:val="auto"/>
                <w:sz w:val="21"/>
                <w:szCs w:val="21"/>
                <w:lang w:eastAsia="zh-CN"/>
              </w:rPr>
              <w:t>（</w:t>
            </w:r>
            <w:r>
              <w:rPr>
                <w:rFonts w:hint="eastAsia" w:ascii="宋体" w:hAnsi="宋体" w:eastAsia="宋体" w:cs="宋体"/>
                <w:b w:val="0"/>
                <w:bCs w:val="0"/>
                <w:i w:val="0"/>
                <w:iCs w:val="0"/>
                <w:color w:val="auto"/>
                <w:sz w:val="21"/>
                <w:szCs w:val="21"/>
              </w:rPr>
              <w:t>5分</w:t>
            </w:r>
            <w:r>
              <w:rPr>
                <w:rFonts w:hint="eastAsia" w:ascii="宋体" w:hAnsi="宋体" w:eastAsia="宋体" w:cs="宋体"/>
                <w:b w:val="0"/>
                <w:bCs w:val="0"/>
                <w:i w:val="0"/>
                <w:iCs w:val="0"/>
                <w:color w:val="auto"/>
                <w:sz w:val="21"/>
                <w:szCs w:val="21"/>
                <w:lang w:eastAsia="zh-CN"/>
              </w:rPr>
              <w:t>）</w:t>
            </w:r>
          </w:p>
          <w:p w14:paraId="5CF7EB32">
            <w:pPr>
              <w:jc w:val="left"/>
              <w:rPr>
                <w:rFonts w:hint="eastAsia" w:ascii="宋体" w:hAnsi="宋体" w:eastAsia="宋体" w:cs="宋体"/>
                <w:b w:val="0"/>
                <w:bCs w:val="0"/>
                <w:color w:val="auto"/>
                <w:sz w:val="21"/>
                <w:szCs w:val="21"/>
                <w:lang w:eastAsia="zh-CN"/>
              </w:rPr>
            </w:pPr>
            <w:r>
              <w:rPr>
                <w:rFonts w:hint="eastAsia" w:ascii="宋体" w:hAnsi="宋体" w:eastAsia="宋体" w:cs="宋体"/>
                <w:b w:val="0"/>
                <w:bCs w:val="0"/>
                <w:i w:val="0"/>
                <w:iCs w:val="0"/>
                <w:color w:val="auto"/>
                <w:sz w:val="21"/>
                <w:szCs w:val="21"/>
              </w:rPr>
              <w:t>C4.耗材与垃圾：耗材及时补充，垃圾桶2，及时清倒。</w:t>
            </w:r>
            <w:r>
              <w:rPr>
                <w:rFonts w:hint="eastAsia" w:ascii="宋体" w:hAnsi="宋体" w:eastAsia="宋体" w:cs="宋体"/>
                <w:b w:val="0"/>
                <w:bCs w:val="0"/>
                <w:i w:val="0"/>
                <w:iCs w:val="0"/>
                <w:color w:val="auto"/>
                <w:sz w:val="21"/>
                <w:szCs w:val="21"/>
                <w:lang w:eastAsia="zh-CN"/>
              </w:rPr>
              <w:t>（</w:t>
            </w:r>
            <w:r>
              <w:rPr>
                <w:rFonts w:hint="eastAsia" w:ascii="宋体" w:hAnsi="宋体" w:eastAsia="宋体" w:cs="宋体"/>
                <w:b w:val="0"/>
                <w:bCs w:val="0"/>
                <w:i w:val="0"/>
                <w:iCs w:val="0"/>
                <w:color w:val="auto"/>
                <w:sz w:val="21"/>
                <w:szCs w:val="21"/>
              </w:rPr>
              <w:t>5分</w:t>
            </w:r>
            <w:r>
              <w:rPr>
                <w:rFonts w:hint="eastAsia" w:ascii="宋体" w:hAnsi="宋体" w:eastAsia="宋体" w:cs="宋体"/>
                <w:b w:val="0"/>
                <w:bCs w:val="0"/>
                <w:i w:val="0"/>
                <w:iCs w:val="0"/>
                <w:color w:val="auto"/>
                <w:sz w:val="21"/>
                <w:szCs w:val="21"/>
                <w:lang w:eastAsia="zh-CN"/>
              </w:rPr>
              <w:t>）</w:t>
            </w:r>
          </w:p>
        </w:tc>
        <w:tc>
          <w:tcPr>
            <w:tcW w:w="263" w:type="pct"/>
            <w:tcBorders>
              <w:tl2br w:val="nil"/>
              <w:tr2bl w:val="nil"/>
            </w:tcBorders>
            <w:noWrap w:val="0"/>
            <w:vAlign w:val="center"/>
          </w:tcPr>
          <w:p w14:paraId="5E52F2AD">
            <w:pPr>
              <w:jc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sz w:val="21"/>
                <w:szCs w:val="21"/>
              </w:rPr>
              <w:t>25</w:t>
            </w:r>
          </w:p>
        </w:tc>
        <w:tc>
          <w:tcPr>
            <w:tcW w:w="189" w:type="pct"/>
            <w:tcBorders>
              <w:tl2br w:val="nil"/>
              <w:tr2bl w:val="nil"/>
            </w:tcBorders>
            <w:noWrap w:val="0"/>
            <w:vAlign w:val="center"/>
          </w:tcPr>
          <w:p w14:paraId="78493D6F">
            <w:pPr>
              <w:jc w:val="center"/>
              <w:rPr>
                <w:rFonts w:hint="eastAsia" w:ascii="宋体" w:hAnsi="宋体" w:eastAsia="宋体" w:cs="宋体"/>
                <w:b w:val="0"/>
                <w:bCs w:val="0"/>
                <w:color w:val="auto"/>
                <w:sz w:val="21"/>
                <w:szCs w:val="21"/>
              </w:rPr>
            </w:pPr>
          </w:p>
        </w:tc>
        <w:tc>
          <w:tcPr>
            <w:tcW w:w="356" w:type="pct"/>
            <w:tcBorders>
              <w:tl2br w:val="nil"/>
              <w:tr2bl w:val="nil"/>
            </w:tcBorders>
            <w:noWrap w:val="0"/>
            <w:vAlign w:val="center"/>
          </w:tcPr>
          <w:p w14:paraId="2B5035C1">
            <w:pPr>
              <w:jc w:val="center"/>
              <w:rPr>
                <w:rFonts w:hint="eastAsia" w:ascii="宋体" w:hAnsi="宋体" w:eastAsia="宋体" w:cs="宋体"/>
                <w:b w:val="0"/>
                <w:bCs w:val="0"/>
                <w:color w:val="auto"/>
                <w:sz w:val="21"/>
                <w:szCs w:val="21"/>
              </w:rPr>
            </w:pPr>
          </w:p>
        </w:tc>
      </w:tr>
      <w:tr w14:paraId="3B38E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21" w:type="pct"/>
            <w:tcBorders>
              <w:tl2br w:val="nil"/>
              <w:tr2bl w:val="nil"/>
            </w:tcBorders>
            <w:noWrap w:val="0"/>
            <w:vAlign w:val="center"/>
          </w:tcPr>
          <w:p w14:paraId="6F3CB456">
            <w:pPr>
              <w:jc w:val="center"/>
              <w:rPr>
                <w:rFonts w:hint="eastAsia" w:ascii="宋体" w:hAnsi="宋体" w:eastAsia="宋体" w:cs="宋体"/>
                <w:b w:val="0"/>
                <w:bCs w:val="0"/>
                <w:color w:val="auto"/>
                <w:sz w:val="21"/>
                <w:szCs w:val="21"/>
                <w:lang w:eastAsia="zh-CN"/>
              </w:rPr>
            </w:pPr>
            <w:r>
              <w:rPr>
                <w:rFonts w:hint="eastAsia" w:ascii="宋体" w:hAnsi="宋体" w:eastAsia="宋体" w:cs="宋体"/>
                <w:b w:val="0"/>
                <w:bCs w:val="0"/>
                <w:i w:val="0"/>
                <w:iCs w:val="0"/>
                <w:color w:val="auto"/>
                <w:sz w:val="21"/>
                <w:szCs w:val="21"/>
              </w:rPr>
              <w:t>D.茶水间及其他</w:t>
            </w:r>
            <w:r>
              <w:rPr>
                <w:rFonts w:hint="eastAsia" w:ascii="宋体" w:hAnsi="宋体" w:eastAsia="宋体" w:cs="宋体"/>
                <w:b w:val="0"/>
                <w:bCs w:val="0"/>
                <w:i w:val="0"/>
                <w:iCs w:val="0"/>
                <w:color w:val="auto"/>
                <w:sz w:val="21"/>
                <w:szCs w:val="21"/>
                <w:lang w:eastAsia="zh-CN"/>
              </w:rPr>
              <w:t>（</w:t>
            </w:r>
            <w:r>
              <w:rPr>
                <w:rFonts w:hint="eastAsia" w:ascii="宋体" w:hAnsi="宋体" w:eastAsia="宋体" w:cs="宋体"/>
                <w:b w:val="0"/>
                <w:bCs w:val="0"/>
                <w:i w:val="0"/>
                <w:iCs w:val="0"/>
                <w:color w:val="auto"/>
                <w:sz w:val="21"/>
                <w:szCs w:val="21"/>
              </w:rPr>
              <w:t>5%</w:t>
            </w:r>
            <w:r>
              <w:rPr>
                <w:rFonts w:hint="eastAsia" w:ascii="宋体" w:hAnsi="宋体" w:eastAsia="宋体" w:cs="宋体"/>
                <w:b w:val="0"/>
                <w:bCs w:val="0"/>
                <w:i w:val="0"/>
                <w:iCs w:val="0"/>
                <w:color w:val="auto"/>
                <w:sz w:val="21"/>
                <w:szCs w:val="21"/>
                <w:lang w:eastAsia="zh-CN"/>
              </w:rPr>
              <w:t>）</w:t>
            </w:r>
          </w:p>
        </w:tc>
        <w:tc>
          <w:tcPr>
            <w:tcW w:w="350" w:type="pct"/>
            <w:tcBorders>
              <w:tl2br w:val="nil"/>
              <w:tr2bl w:val="nil"/>
            </w:tcBorders>
            <w:noWrap w:val="0"/>
            <w:vAlign w:val="center"/>
          </w:tcPr>
          <w:p w14:paraId="50DA8CA0">
            <w:pPr>
              <w:jc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sz w:val="21"/>
                <w:szCs w:val="21"/>
              </w:rPr>
              <w:t>5%</w:t>
            </w:r>
          </w:p>
        </w:tc>
        <w:tc>
          <w:tcPr>
            <w:tcW w:w="3319" w:type="pct"/>
            <w:tcBorders>
              <w:tl2br w:val="nil"/>
              <w:tr2bl w:val="nil"/>
            </w:tcBorders>
            <w:noWrap w:val="0"/>
            <w:vAlign w:val="center"/>
          </w:tcPr>
          <w:p w14:paraId="157846E7">
            <w:pPr>
              <w:jc w:val="left"/>
              <w:rPr>
                <w:rFonts w:hint="eastAsia" w:ascii="宋体" w:hAnsi="宋体" w:eastAsia="宋体" w:cs="宋体"/>
                <w:b w:val="0"/>
                <w:bCs w:val="0"/>
                <w:color w:val="auto"/>
                <w:sz w:val="21"/>
                <w:szCs w:val="21"/>
                <w:lang w:eastAsia="zh-CN"/>
              </w:rPr>
            </w:pPr>
            <w:r>
              <w:rPr>
                <w:rFonts w:hint="eastAsia" w:ascii="宋体" w:hAnsi="宋体" w:eastAsia="宋体" w:cs="宋体"/>
                <w:b w:val="0"/>
                <w:bCs w:val="0"/>
                <w:i w:val="0"/>
                <w:iCs w:val="0"/>
                <w:color w:val="auto"/>
                <w:sz w:val="21"/>
                <w:szCs w:val="21"/>
              </w:rPr>
              <w:t>D1.茶水间：台面、水槽、微波炉、冰箱内外洁净无异味，地面干燥。</w:t>
            </w:r>
            <w:r>
              <w:rPr>
                <w:rFonts w:hint="eastAsia" w:ascii="宋体" w:hAnsi="宋体" w:eastAsia="宋体" w:cs="宋体"/>
                <w:b w:val="0"/>
                <w:bCs w:val="0"/>
                <w:i w:val="0"/>
                <w:iCs w:val="0"/>
                <w:color w:val="auto"/>
                <w:sz w:val="21"/>
                <w:szCs w:val="21"/>
                <w:lang w:eastAsia="zh-CN"/>
              </w:rPr>
              <w:t>（</w:t>
            </w:r>
            <w:r>
              <w:rPr>
                <w:rFonts w:hint="eastAsia" w:ascii="宋体" w:hAnsi="宋体" w:eastAsia="宋体" w:cs="宋体"/>
                <w:b w:val="0"/>
                <w:bCs w:val="0"/>
                <w:i w:val="0"/>
                <w:iCs w:val="0"/>
                <w:color w:val="auto"/>
                <w:sz w:val="21"/>
                <w:szCs w:val="21"/>
              </w:rPr>
              <w:t>5分</w:t>
            </w:r>
            <w:r>
              <w:rPr>
                <w:rFonts w:hint="eastAsia" w:ascii="宋体" w:hAnsi="宋体" w:eastAsia="宋体" w:cs="宋体"/>
                <w:b w:val="0"/>
                <w:bCs w:val="0"/>
                <w:i w:val="0"/>
                <w:iCs w:val="0"/>
                <w:color w:val="auto"/>
                <w:sz w:val="21"/>
                <w:szCs w:val="21"/>
                <w:lang w:eastAsia="zh-CN"/>
              </w:rPr>
              <w:t>）</w:t>
            </w:r>
          </w:p>
        </w:tc>
        <w:tc>
          <w:tcPr>
            <w:tcW w:w="263" w:type="pct"/>
            <w:tcBorders>
              <w:tl2br w:val="nil"/>
              <w:tr2bl w:val="nil"/>
            </w:tcBorders>
            <w:noWrap w:val="0"/>
            <w:vAlign w:val="center"/>
          </w:tcPr>
          <w:p w14:paraId="3D6FB597">
            <w:pPr>
              <w:jc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sz w:val="21"/>
                <w:szCs w:val="21"/>
              </w:rPr>
              <w:t>5</w:t>
            </w:r>
          </w:p>
        </w:tc>
        <w:tc>
          <w:tcPr>
            <w:tcW w:w="189" w:type="pct"/>
            <w:tcBorders>
              <w:tl2br w:val="nil"/>
              <w:tr2bl w:val="nil"/>
            </w:tcBorders>
            <w:noWrap w:val="0"/>
            <w:vAlign w:val="center"/>
          </w:tcPr>
          <w:p w14:paraId="0CF18EA4">
            <w:pPr>
              <w:jc w:val="center"/>
              <w:rPr>
                <w:rFonts w:hint="eastAsia" w:ascii="宋体" w:hAnsi="宋体" w:eastAsia="宋体" w:cs="宋体"/>
                <w:b w:val="0"/>
                <w:bCs w:val="0"/>
                <w:color w:val="auto"/>
                <w:sz w:val="21"/>
                <w:szCs w:val="21"/>
              </w:rPr>
            </w:pPr>
          </w:p>
        </w:tc>
        <w:tc>
          <w:tcPr>
            <w:tcW w:w="356" w:type="pct"/>
            <w:tcBorders>
              <w:tl2br w:val="nil"/>
              <w:tr2bl w:val="nil"/>
            </w:tcBorders>
            <w:noWrap w:val="0"/>
            <w:vAlign w:val="center"/>
          </w:tcPr>
          <w:p w14:paraId="75FEA041">
            <w:pPr>
              <w:jc w:val="center"/>
              <w:rPr>
                <w:rFonts w:hint="eastAsia" w:ascii="宋体" w:hAnsi="宋体" w:eastAsia="宋体" w:cs="宋体"/>
                <w:b w:val="0"/>
                <w:bCs w:val="0"/>
                <w:color w:val="auto"/>
                <w:sz w:val="21"/>
                <w:szCs w:val="21"/>
              </w:rPr>
            </w:pPr>
          </w:p>
        </w:tc>
      </w:tr>
      <w:tr w14:paraId="677F2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21" w:type="pct"/>
            <w:tcBorders>
              <w:tl2br w:val="nil"/>
              <w:tr2bl w:val="nil"/>
            </w:tcBorders>
            <w:noWrap w:val="0"/>
            <w:vAlign w:val="center"/>
          </w:tcPr>
          <w:p w14:paraId="2E384008">
            <w:pPr>
              <w:jc w:val="center"/>
              <w:rPr>
                <w:rFonts w:hint="eastAsia" w:ascii="宋体" w:hAnsi="宋体" w:eastAsia="宋体" w:cs="宋体"/>
                <w:b w:val="0"/>
                <w:bCs w:val="0"/>
                <w:color w:val="auto"/>
                <w:sz w:val="21"/>
                <w:szCs w:val="21"/>
                <w:lang w:eastAsia="zh-CN"/>
              </w:rPr>
            </w:pPr>
            <w:r>
              <w:rPr>
                <w:rFonts w:hint="eastAsia" w:ascii="宋体" w:hAnsi="宋体" w:eastAsia="宋体" w:cs="宋体"/>
                <w:b w:val="0"/>
                <w:bCs w:val="0"/>
                <w:i w:val="0"/>
                <w:iCs w:val="0"/>
                <w:color w:val="auto"/>
                <w:sz w:val="21"/>
                <w:szCs w:val="21"/>
              </w:rPr>
              <w:t>E.服务管理</w:t>
            </w:r>
            <w:r>
              <w:rPr>
                <w:rFonts w:hint="eastAsia" w:ascii="宋体" w:hAnsi="宋体" w:eastAsia="宋体" w:cs="宋体"/>
                <w:b w:val="0"/>
                <w:bCs w:val="0"/>
                <w:i w:val="0"/>
                <w:iCs w:val="0"/>
                <w:color w:val="auto"/>
                <w:sz w:val="21"/>
                <w:szCs w:val="21"/>
                <w:lang w:eastAsia="zh-CN"/>
              </w:rPr>
              <w:t>（</w:t>
            </w:r>
            <w:r>
              <w:rPr>
                <w:rFonts w:hint="eastAsia" w:ascii="宋体" w:hAnsi="宋体" w:eastAsia="宋体" w:cs="宋体"/>
                <w:b w:val="0"/>
                <w:bCs w:val="0"/>
                <w:i w:val="0"/>
                <w:iCs w:val="0"/>
                <w:color w:val="auto"/>
                <w:sz w:val="21"/>
                <w:szCs w:val="21"/>
              </w:rPr>
              <w:t>15%</w:t>
            </w:r>
            <w:r>
              <w:rPr>
                <w:rFonts w:hint="eastAsia" w:ascii="宋体" w:hAnsi="宋体" w:eastAsia="宋体" w:cs="宋体"/>
                <w:b w:val="0"/>
                <w:bCs w:val="0"/>
                <w:i w:val="0"/>
                <w:iCs w:val="0"/>
                <w:color w:val="auto"/>
                <w:sz w:val="21"/>
                <w:szCs w:val="21"/>
                <w:lang w:eastAsia="zh-CN"/>
              </w:rPr>
              <w:t>）</w:t>
            </w:r>
          </w:p>
        </w:tc>
        <w:tc>
          <w:tcPr>
            <w:tcW w:w="350" w:type="pct"/>
            <w:tcBorders>
              <w:tl2br w:val="nil"/>
              <w:tr2bl w:val="nil"/>
            </w:tcBorders>
            <w:noWrap w:val="0"/>
            <w:vAlign w:val="center"/>
          </w:tcPr>
          <w:p w14:paraId="3B87073C">
            <w:pPr>
              <w:jc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sz w:val="21"/>
                <w:szCs w:val="21"/>
              </w:rPr>
              <w:t>15%</w:t>
            </w:r>
          </w:p>
        </w:tc>
        <w:tc>
          <w:tcPr>
            <w:tcW w:w="3319" w:type="pct"/>
            <w:tcBorders>
              <w:tl2br w:val="nil"/>
              <w:tr2bl w:val="nil"/>
            </w:tcBorders>
            <w:noWrap w:val="0"/>
            <w:vAlign w:val="center"/>
          </w:tcPr>
          <w:p w14:paraId="6CAB7CE7">
            <w:pPr>
              <w:jc w:val="left"/>
              <w:rPr>
                <w:rFonts w:hint="eastAsia" w:ascii="宋体" w:hAnsi="宋体" w:eastAsia="宋体" w:cs="宋体"/>
                <w:b w:val="0"/>
                <w:bCs w:val="0"/>
                <w:i w:val="0"/>
                <w:iCs w:val="0"/>
                <w:color w:val="auto"/>
                <w:sz w:val="21"/>
                <w:szCs w:val="21"/>
                <w:lang w:eastAsia="zh-CN"/>
              </w:rPr>
            </w:pPr>
            <w:r>
              <w:rPr>
                <w:rFonts w:hint="eastAsia" w:ascii="宋体" w:hAnsi="宋体" w:eastAsia="宋体" w:cs="宋体"/>
                <w:b w:val="0"/>
                <w:bCs w:val="0"/>
                <w:i w:val="0"/>
                <w:iCs w:val="0"/>
                <w:color w:val="auto"/>
                <w:sz w:val="21"/>
                <w:szCs w:val="21"/>
              </w:rPr>
              <w:t>E1.员工形象与礼仪：统一着装佩戴工牌，行为规范，礼貌待人。</w:t>
            </w:r>
            <w:r>
              <w:rPr>
                <w:rFonts w:hint="eastAsia" w:ascii="宋体" w:hAnsi="宋体" w:eastAsia="宋体" w:cs="宋体"/>
                <w:b w:val="0"/>
                <w:bCs w:val="0"/>
                <w:i w:val="0"/>
                <w:iCs w:val="0"/>
                <w:color w:val="auto"/>
                <w:sz w:val="21"/>
                <w:szCs w:val="21"/>
                <w:lang w:eastAsia="zh-CN"/>
              </w:rPr>
              <w:t>（</w:t>
            </w:r>
            <w:r>
              <w:rPr>
                <w:rFonts w:hint="eastAsia" w:ascii="宋体" w:hAnsi="宋体" w:eastAsia="宋体" w:cs="宋体"/>
                <w:b w:val="0"/>
                <w:bCs w:val="0"/>
                <w:i w:val="0"/>
                <w:iCs w:val="0"/>
                <w:color w:val="auto"/>
                <w:sz w:val="21"/>
                <w:szCs w:val="21"/>
              </w:rPr>
              <w:t>5分</w:t>
            </w:r>
            <w:r>
              <w:rPr>
                <w:rFonts w:hint="eastAsia" w:ascii="宋体" w:hAnsi="宋体" w:eastAsia="宋体" w:cs="宋体"/>
                <w:b w:val="0"/>
                <w:bCs w:val="0"/>
                <w:i w:val="0"/>
                <w:iCs w:val="0"/>
                <w:color w:val="auto"/>
                <w:sz w:val="21"/>
                <w:szCs w:val="21"/>
                <w:lang w:eastAsia="zh-CN"/>
              </w:rPr>
              <w:t>）</w:t>
            </w:r>
          </w:p>
          <w:p w14:paraId="668FE2D7">
            <w:pPr>
              <w:jc w:val="left"/>
              <w:rPr>
                <w:rFonts w:hint="eastAsia" w:ascii="宋体" w:hAnsi="宋体" w:eastAsia="宋体" w:cs="宋体"/>
                <w:b w:val="0"/>
                <w:bCs w:val="0"/>
                <w:i w:val="0"/>
                <w:iCs w:val="0"/>
                <w:color w:val="auto"/>
                <w:sz w:val="21"/>
                <w:szCs w:val="21"/>
                <w:lang w:eastAsia="zh-CN"/>
              </w:rPr>
            </w:pPr>
            <w:r>
              <w:rPr>
                <w:rFonts w:hint="eastAsia" w:ascii="宋体" w:hAnsi="宋体" w:eastAsia="宋体" w:cs="宋体"/>
                <w:b w:val="0"/>
                <w:bCs w:val="0"/>
                <w:i w:val="0"/>
                <w:iCs w:val="0"/>
                <w:color w:val="auto"/>
                <w:sz w:val="21"/>
                <w:szCs w:val="21"/>
              </w:rPr>
              <w:t>E2.响应及时性：对突发清洁需求（如污渍处理）及投诉，响应和处理速度符合约定。</w:t>
            </w:r>
            <w:r>
              <w:rPr>
                <w:rFonts w:hint="eastAsia" w:ascii="宋体" w:hAnsi="宋体" w:eastAsia="宋体" w:cs="宋体"/>
                <w:b w:val="0"/>
                <w:bCs w:val="0"/>
                <w:i w:val="0"/>
                <w:iCs w:val="0"/>
                <w:color w:val="auto"/>
                <w:sz w:val="21"/>
                <w:szCs w:val="21"/>
                <w:lang w:eastAsia="zh-CN"/>
              </w:rPr>
              <w:t>（</w:t>
            </w:r>
            <w:r>
              <w:rPr>
                <w:rFonts w:hint="eastAsia" w:ascii="宋体" w:hAnsi="宋体" w:eastAsia="宋体" w:cs="宋体"/>
                <w:b w:val="0"/>
                <w:bCs w:val="0"/>
                <w:i w:val="0"/>
                <w:iCs w:val="0"/>
                <w:color w:val="auto"/>
                <w:sz w:val="21"/>
                <w:szCs w:val="21"/>
              </w:rPr>
              <w:t>5分</w:t>
            </w:r>
            <w:r>
              <w:rPr>
                <w:rFonts w:hint="eastAsia" w:ascii="宋体" w:hAnsi="宋体" w:eastAsia="宋体" w:cs="宋体"/>
                <w:b w:val="0"/>
                <w:bCs w:val="0"/>
                <w:i w:val="0"/>
                <w:iCs w:val="0"/>
                <w:color w:val="auto"/>
                <w:sz w:val="21"/>
                <w:szCs w:val="21"/>
                <w:lang w:eastAsia="zh-CN"/>
              </w:rPr>
              <w:t>）</w:t>
            </w:r>
          </w:p>
          <w:p w14:paraId="5150692C">
            <w:pPr>
              <w:jc w:val="left"/>
              <w:rPr>
                <w:rFonts w:hint="eastAsia" w:ascii="宋体" w:hAnsi="宋体" w:eastAsia="宋体" w:cs="宋体"/>
                <w:b w:val="0"/>
                <w:bCs w:val="0"/>
                <w:color w:val="auto"/>
                <w:sz w:val="21"/>
                <w:szCs w:val="21"/>
                <w:lang w:eastAsia="zh-CN"/>
              </w:rPr>
            </w:pPr>
            <w:r>
              <w:rPr>
                <w:rFonts w:hint="eastAsia" w:ascii="宋体" w:hAnsi="宋体" w:eastAsia="宋体" w:cs="宋体"/>
                <w:b w:val="0"/>
                <w:bCs w:val="0"/>
                <w:i w:val="0"/>
                <w:iCs w:val="0"/>
                <w:color w:val="auto"/>
                <w:sz w:val="21"/>
                <w:szCs w:val="21"/>
              </w:rPr>
              <w:t>E3.流程与记录：垃圾分类、消杀、巡检等记录完整规范，存档备查。</w:t>
            </w:r>
            <w:r>
              <w:rPr>
                <w:rFonts w:hint="eastAsia" w:ascii="宋体" w:hAnsi="宋体" w:eastAsia="宋体" w:cs="宋体"/>
                <w:b w:val="0"/>
                <w:bCs w:val="0"/>
                <w:i w:val="0"/>
                <w:iCs w:val="0"/>
                <w:color w:val="auto"/>
                <w:sz w:val="21"/>
                <w:szCs w:val="21"/>
                <w:lang w:eastAsia="zh-CN"/>
              </w:rPr>
              <w:t>（</w:t>
            </w:r>
            <w:r>
              <w:rPr>
                <w:rFonts w:hint="eastAsia" w:ascii="宋体" w:hAnsi="宋体" w:eastAsia="宋体" w:cs="宋体"/>
                <w:b w:val="0"/>
                <w:bCs w:val="0"/>
                <w:i w:val="0"/>
                <w:iCs w:val="0"/>
                <w:color w:val="auto"/>
                <w:sz w:val="21"/>
                <w:szCs w:val="21"/>
              </w:rPr>
              <w:t>5分</w:t>
            </w:r>
            <w:r>
              <w:rPr>
                <w:rFonts w:hint="eastAsia" w:ascii="宋体" w:hAnsi="宋体" w:eastAsia="宋体" w:cs="宋体"/>
                <w:b w:val="0"/>
                <w:bCs w:val="0"/>
                <w:i w:val="0"/>
                <w:iCs w:val="0"/>
                <w:color w:val="auto"/>
                <w:sz w:val="21"/>
                <w:szCs w:val="21"/>
                <w:lang w:eastAsia="zh-CN"/>
              </w:rPr>
              <w:t>）</w:t>
            </w:r>
          </w:p>
        </w:tc>
        <w:tc>
          <w:tcPr>
            <w:tcW w:w="263" w:type="pct"/>
            <w:tcBorders>
              <w:tl2br w:val="nil"/>
              <w:tr2bl w:val="nil"/>
            </w:tcBorders>
            <w:noWrap w:val="0"/>
            <w:vAlign w:val="center"/>
          </w:tcPr>
          <w:p w14:paraId="64295B0A">
            <w:pPr>
              <w:jc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sz w:val="21"/>
                <w:szCs w:val="21"/>
              </w:rPr>
              <w:t>15</w:t>
            </w:r>
          </w:p>
        </w:tc>
        <w:tc>
          <w:tcPr>
            <w:tcW w:w="189" w:type="pct"/>
            <w:tcBorders>
              <w:tl2br w:val="nil"/>
              <w:tr2bl w:val="nil"/>
            </w:tcBorders>
            <w:noWrap w:val="0"/>
            <w:vAlign w:val="center"/>
          </w:tcPr>
          <w:p w14:paraId="337D9454">
            <w:pPr>
              <w:jc w:val="center"/>
              <w:rPr>
                <w:rFonts w:hint="eastAsia" w:ascii="宋体" w:hAnsi="宋体" w:eastAsia="宋体" w:cs="宋体"/>
                <w:b w:val="0"/>
                <w:bCs w:val="0"/>
                <w:color w:val="auto"/>
                <w:sz w:val="21"/>
                <w:szCs w:val="21"/>
              </w:rPr>
            </w:pPr>
          </w:p>
        </w:tc>
        <w:tc>
          <w:tcPr>
            <w:tcW w:w="356" w:type="pct"/>
            <w:tcBorders>
              <w:tl2br w:val="nil"/>
              <w:tr2bl w:val="nil"/>
            </w:tcBorders>
            <w:noWrap w:val="0"/>
            <w:vAlign w:val="center"/>
          </w:tcPr>
          <w:p w14:paraId="6BC74382">
            <w:pPr>
              <w:jc w:val="center"/>
              <w:rPr>
                <w:rFonts w:hint="eastAsia" w:ascii="宋体" w:hAnsi="宋体" w:eastAsia="宋体" w:cs="宋体"/>
                <w:b w:val="0"/>
                <w:bCs w:val="0"/>
                <w:color w:val="auto"/>
                <w:sz w:val="21"/>
                <w:szCs w:val="21"/>
              </w:rPr>
            </w:pPr>
          </w:p>
        </w:tc>
      </w:tr>
      <w:tr w14:paraId="767EA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21" w:type="pct"/>
            <w:tcBorders>
              <w:tl2br w:val="nil"/>
              <w:tr2bl w:val="nil"/>
            </w:tcBorders>
            <w:noWrap w:val="0"/>
            <w:vAlign w:val="center"/>
          </w:tcPr>
          <w:p w14:paraId="41C4B175">
            <w:pPr>
              <w:jc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sz w:val="21"/>
                <w:szCs w:val="21"/>
              </w:rPr>
              <w:t>总计</w:t>
            </w:r>
          </w:p>
        </w:tc>
        <w:tc>
          <w:tcPr>
            <w:tcW w:w="350" w:type="pct"/>
            <w:tcBorders>
              <w:tl2br w:val="nil"/>
              <w:tr2bl w:val="nil"/>
            </w:tcBorders>
            <w:noWrap w:val="0"/>
            <w:vAlign w:val="center"/>
          </w:tcPr>
          <w:p w14:paraId="2522EB6C">
            <w:pPr>
              <w:jc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sz w:val="21"/>
                <w:szCs w:val="21"/>
              </w:rPr>
              <w:t>100%</w:t>
            </w:r>
          </w:p>
        </w:tc>
        <w:tc>
          <w:tcPr>
            <w:tcW w:w="3319" w:type="pct"/>
            <w:tcBorders>
              <w:tl2br w:val="nil"/>
              <w:tr2bl w:val="nil"/>
            </w:tcBorders>
            <w:noWrap w:val="0"/>
            <w:vAlign w:val="center"/>
          </w:tcPr>
          <w:p w14:paraId="3776570A">
            <w:pPr>
              <w:jc w:val="center"/>
              <w:rPr>
                <w:rFonts w:hint="eastAsia" w:ascii="宋体" w:hAnsi="宋体" w:eastAsia="宋体" w:cs="宋体"/>
                <w:b w:val="0"/>
                <w:bCs w:val="0"/>
                <w:color w:val="auto"/>
                <w:sz w:val="21"/>
                <w:szCs w:val="21"/>
              </w:rPr>
            </w:pPr>
          </w:p>
        </w:tc>
        <w:tc>
          <w:tcPr>
            <w:tcW w:w="263" w:type="pct"/>
            <w:tcBorders>
              <w:tl2br w:val="nil"/>
              <w:tr2bl w:val="nil"/>
            </w:tcBorders>
            <w:noWrap w:val="0"/>
            <w:vAlign w:val="center"/>
          </w:tcPr>
          <w:p w14:paraId="7A5AFDA4">
            <w:pPr>
              <w:jc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sz w:val="21"/>
                <w:szCs w:val="21"/>
              </w:rPr>
              <w:t>100</w:t>
            </w:r>
          </w:p>
        </w:tc>
        <w:tc>
          <w:tcPr>
            <w:tcW w:w="189" w:type="pct"/>
            <w:tcBorders>
              <w:tl2br w:val="nil"/>
              <w:tr2bl w:val="nil"/>
            </w:tcBorders>
            <w:noWrap w:val="0"/>
            <w:vAlign w:val="center"/>
          </w:tcPr>
          <w:p w14:paraId="343AB16F">
            <w:pPr>
              <w:jc w:val="center"/>
              <w:rPr>
                <w:rFonts w:hint="eastAsia" w:ascii="宋体" w:hAnsi="宋体" w:eastAsia="宋体" w:cs="宋体"/>
                <w:b w:val="0"/>
                <w:bCs w:val="0"/>
                <w:color w:val="auto"/>
                <w:sz w:val="21"/>
                <w:szCs w:val="21"/>
              </w:rPr>
            </w:pPr>
          </w:p>
        </w:tc>
        <w:tc>
          <w:tcPr>
            <w:tcW w:w="356" w:type="pct"/>
            <w:tcBorders>
              <w:tl2br w:val="nil"/>
              <w:tr2bl w:val="nil"/>
            </w:tcBorders>
            <w:noWrap w:val="0"/>
            <w:vAlign w:val="center"/>
          </w:tcPr>
          <w:p w14:paraId="7EEF565D">
            <w:pPr>
              <w:jc w:val="center"/>
              <w:rPr>
                <w:rFonts w:hint="eastAsia" w:ascii="宋体" w:hAnsi="宋体" w:eastAsia="宋体" w:cs="宋体"/>
                <w:b w:val="0"/>
                <w:bCs w:val="0"/>
                <w:color w:val="auto"/>
                <w:sz w:val="21"/>
                <w:szCs w:val="21"/>
              </w:rPr>
            </w:pPr>
          </w:p>
        </w:tc>
      </w:tr>
      <w:tr w14:paraId="635F7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000" w:type="pct"/>
            <w:gridSpan w:val="6"/>
            <w:tcBorders>
              <w:tl2br w:val="nil"/>
              <w:tr2bl w:val="nil"/>
            </w:tcBorders>
            <w:noWrap w:val="0"/>
            <w:vAlign w:val="center"/>
          </w:tcPr>
          <w:p w14:paraId="5E467F8A">
            <w:pPr>
              <w:pStyle w:val="18"/>
              <w:widowControl/>
              <w:jc w:val="both"/>
              <w:rPr>
                <w:rFonts w:hint="eastAsia" w:ascii="宋体" w:hAnsi="宋体" w:eastAsia="宋体" w:cs="宋体"/>
                <w:b w:val="0"/>
                <w:bCs w:val="0"/>
                <w:color w:val="auto"/>
                <w:sz w:val="21"/>
                <w:szCs w:val="21"/>
                <w:lang w:eastAsia="zh-CN"/>
              </w:rPr>
            </w:pPr>
            <w:r>
              <w:rPr>
                <w:rFonts w:hint="eastAsia" w:ascii="宋体" w:hAnsi="宋体" w:eastAsia="宋体" w:cs="宋体"/>
                <w:b w:val="0"/>
                <w:bCs w:val="0"/>
                <w:i w:val="0"/>
                <w:color w:val="auto"/>
                <w:sz w:val="21"/>
                <w:szCs w:val="21"/>
              </w:rPr>
              <w:t>计算公式：最终得分</w:t>
            </w:r>
            <w:r>
              <w:rPr>
                <w:rFonts w:hint="eastAsia" w:ascii="宋体" w:hAnsi="宋体" w:eastAsia="宋体" w:cs="宋体"/>
                <w:b w:val="0"/>
                <w:bCs w:val="0"/>
                <w:i w:val="0"/>
                <w:color w:val="auto"/>
                <w:sz w:val="21"/>
                <w:szCs w:val="21"/>
                <w:lang w:eastAsia="zh-CN"/>
              </w:rPr>
              <w:t>（</w:t>
            </w:r>
            <w:r>
              <w:rPr>
                <w:rFonts w:hint="eastAsia" w:ascii="宋体" w:hAnsi="宋体" w:eastAsia="宋体" w:cs="宋体"/>
                <w:b w:val="0"/>
                <w:bCs w:val="0"/>
                <w:i w:val="0"/>
                <w:color w:val="auto"/>
                <w:sz w:val="21"/>
                <w:szCs w:val="21"/>
              </w:rPr>
              <w:t>S</w:t>
            </w:r>
            <w:r>
              <w:rPr>
                <w:rFonts w:hint="eastAsia" w:ascii="宋体" w:hAnsi="宋体" w:eastAsia="宋体" w:cs="宋体"/>
                <w:b w:val="0"/>
                <w:bCs w:val="0"/>
                <w:i w:val="0"/>
                <w:color w:val="auto"/>
                <w:sz w:val="21"/>
                <w:szCs w:val="21"/>
                <w:lang w:eastAsia="zh-CN"/>
              </w:rPr>
              <w:t>）</w:t>
            </w:r>
            <w:r>
              <w:rPr>
                <w:rFonts w:hint="eastAsia" w:ascii="宋体" w:hAnsi="宋体" w:eastAsia="宋体" w:cs="宋体"/>
                <w:b w:val="0"/>
                <w:bCs w:val="0"/>
                <w:i w:val="0"/>
                <w:color w:val="auto"/>
                <w:sz w:val="21"/>
                <w:szCs w:val="21"/>
              </w:rPr>
              <w:t>=</w:t>
            </w:r>
            <w:r>
              <w:rPr>
                <w:rFonts w:hint="eastAsia" w:ascii="宋体" w:hAnsi="宋体" w:eastAsia="宋体" w:cs="宋体"/>
                <w:b w:val="0"/>
                <w:bCs w:val="0"/>
                <w:i w:val="0"/>
                <w:color w:val="auto"/>
                <w:sz w:val="21"/>
                <w:szCs w:val="21"/>
                <w:lang w:eastAsia="zh-CN"/>
              </w:rPr>
              <w:t>（</w:t>
            </w:r>
            <w:r>
              <w:rPr>
                <w:rFonts w:hint="eastAsia" w:ascii="宋体" w:hAnsi="宋体" w:eastAsia="宋体" w:cs="宋体"/>
                <w:b w:val="0"/>
                <w:bCs w:val="0"/>
                <w:i w:val="0"/>
                <w:color w:val="auto"/>
                <w:sz w:val="21"/>
                <w:szCs w:val="21"/>
              </w:rPr>
              <w:t>A项得分+B项得分+C项得分+D项得分+E项得分</w:t>
            </w:r>
            <w:r>
              <w:rPr>
                <w:rFonts w:hint="eastAsia" w:ascii="宋体" w:hAnsi="宋体" w:eastAsia="宋体" w:cs="宋体"/>
                <w:b w:val="0"/>
                <w:bCs w:val="0"/>
                <w:i w:val="0"/>
                <w:color w:val="auto"/>
                <w:sz w:val="21"/>
                <w:szCs w:val="21"/>
                <w:lang w:eastAsia="zh-CN"/>
              </w:rPr>
              <w:t>）</w:t>
            </w:r>
          </w:p>
          <w:p w14:paraId="24E50D61">
            <w:pPr>
              <w:pStyle w:val="18"/>
              <w:widowControl/>
              <w:ind w:left="0" w:leftChars="0" w:firstLine="0" w:firstLineChars="0"/>
              <w:jc w:val="both"/>
              <w:rPr>
                <w:rFonts w:hint="eastAsia" w:ascii="宋体" w:hAnsi="宋体" w:eastAsia="宋体" w:cs="宋体"/>
                <w:b w:val="0"/>
                <w:bCs w:val="0"/>
                <w:i w:val="0"/>
                <w:color w:val="auto"/>
                <w:sz w:val="21"/>
                <w:szCs w:val="21"/>
              </w:rPr>
            </w:pPr>
          </w:p>
          <w:p w14:paraId="46DBAEED">
            <w:pPr>
              <w:pStyle w:val="18"/>
              <w:widowControl/>
              <w:ind w:left="0" w:leftChars="0" w:firstLine="0" w:firstLineChars="0"/>
              <w:jc w:val="both"/>
              <w:rPr>
                <w:rFonts w:hint="eastAsia" w:ascii="宋体" w:hAnsi="宋体" w:eastAsia="宋体" w:cs="宋体"/>
                <w:b w:val="0"/>
                <w:bCs w:val="0"/>
                <w:i w:val="0"/>
                <w:color w:val="auto"/>
                <w:sz w:val="21"/>
                <w:szCs w:val="21"/>
              </w:rPr>
            </w:pPr>
          </w:p>
          <w:p w14:paraId="7EEF75C7">
            <w:pPr>
              <w:pStyle w:val="18"/>
              <w:widowControl/>
              <w:ind w:left="0" w:leftChars="0" w:firstLine="0" w:firstLineChars="0"/>
              <w:jc w:val="both"/>
              <w:rPr>
                <w:rFonts w:hint="eastAsia" w:ascii="宋体" w:hAnsi="宋体" w:eastAsia="宋体" w:cs="宋体"/>
                <w:b w:val="0"/>
                <w:bCs w:val="0"/>
                <w:color w:val="auto"/>
                <w:sz w:val="21"/>
                <w:szCs w:val="21"/>
              </w:rPr>
            </w:pPr>
            <w:r>
              <w:rPr>
                <w:rFonts w:hint="eastAsia" w:ascii="宋体" w:hAnsi="宋体" w:eastAsia="宋体" w:cs="宋体"/>
                <w:b w:val="0"/>
                <w:bCs w:val="0"/>
                <w:i w:val="0"/>
                <w:color w:val="auto"/>
                <w:sz w:val="21"/>
                <w:szCs w:val="21"/>
              </w:rPr>
              <w:t>考核方（</w:t>
            </w:r>
            <w:r>
              <w:rPr>
                <w:rFonts w:hint="eastAsia" w:ascii="宋体" w:hAnsi="宋体" w:eastAsia="宋体" w:cs="宋体"/>
                <w:b w:val="0"/>
                <w:bCs w:val="0"/>
                <w:i w:val="0"/>
                <w:color w:val="auto"/>
                <w:sz w:val="21"/>
                <w:szCs w:val="21"/>
                <w:lang w:val="en-US" w:eastAsia="zh-CN"/>
              </w:rPr>
              <w:t>甲方</w:t>
            </w:r>
            <w:r>
              <w:rPr>
                <w:rFonts w:hint="eastAsia" w:ascii="宋体" w:hAnsi="宋体" w:eastAsia="宋体" w:cs="宋体"/>
                <w:b w:val="0"/>
                <w:bCs w:val="0"/>
                <w:i w:val="0"/>
                <w:color w:val="auto"/>
                <w:sz w:val="21"/>
                <w:szCs w:val="21"/>
              </w:rPr>
              <w:t>代表）签字：_______________</w:t>
            </w:r>
          </w:p>
          <w:p w14:paraId="1C0D5081">
            <w:pPr>
              <w:pStyle w:val="18"/>
              <w:widowControl/>
              <w:ind w:left="0" w:leftChars="0" w:firstLine="0" w:firstLineChars="0"/>
              <w:jc w:val="both"/>
              <w:rPr>
                <w:rFonts w:hint="eastAsia" w:ascii="宋体" w:hAnsi="宋体" w:eastAsia="宋体" w:cs="宋体"/>
                <w:b w:val="0"/>
                <w:bCs w:val="0"/>
                <w:i w:val="0"/>
                <w:color w:val="auto"/>
                <w:sz w:val="21"/>
                <w:szCs w:val="21"/>
              </w:rPr>
            </w:pPr>
          </w:p>
          <w:p w14:paraId="2FA88251">
            <w:pPr>
              <w:pStyle w:val="18"/>
              <w:widowControl/>
              <w:ind w:left="0" w:leftChars="0" w:firstLine="0" w:firstLineChars="0"/>
              <w:jc w:val="both"/>
              <w:rPr>
                <w:rFonts w:hint="eastAsia" w:ascii="宋体" w:hAnsi="宋体" w:eastAsia="宋体" w:cs="宋体"/>
                <w:b w:val="0"/>
                <w:bCs w:val="0"/>
                <w:color w:val="auto"/>
                <w:sz w:val="21"/>
                <w:szCs w:val="21"/>
              </w:rPr>
            </w:pPr>
            <w:r>
              <w:rPr>
                <w:rFonts w:hint="eastAsia" w:ascii="宋体" w:hAnsi="宋体" w:eastAsia="宋体" w:cs="宋体"/>
                <w:b w:val="0"/>
                <w:bCs w:val="0"/>
                <w:i w:val="0"/>
                <w:color w:val="auto"/>
                <w:sz w:val="21"/>
                <w:szCs w:val="21"/>
              </w:rPr>
              <w:t>被考核方（</w:t>
            </w:r>
            <w:r>
              <w:rPr>
                <w:rFonts w:hint="eastAsia" w:ascii="宋体" w:hAnsi="宋体" w:eastAsia="宋体" w:cs="宋体"/>
                <w:b w:val="0"/>
                <w:bCs w:val="0"/>
                <w:i w:val="0"/>
                <w:color w:val="auto"/>
                <w:sz w:val="21"/>
                <w:szCs w:val="21"/>
                <w:lang w:val="en-US" w:eastAsia="zh-CN"/>
              </w:rPr>
              <w:t>乙方代表</w:t>
            </w:r>
            <w:r>
              <w:rPr>
                <w:rFonts w:hint="eastAsia" w:ascii="宋体" w:hAnsi="宋体" w:eastAsia="宋体" w:cs="宋体"/>
                <w:b w:val="0"/>
                <w:bCs w:val="0"/>
                <w:i w:val="0"/>
                <w:color w:val="auto"/>
                <w:sz w:val="21"/>
                <w:szCs w:val="21"/>
              </w:rPr>
              <w:t>）签字：_______________</w:t>
            </w:r>
          </w:p>
          <w:p w14:paraId="3B8270C1">
            <w:pPr>
              <w:spacing w:before="120" w:after="120"/>
              <w:rPr>
                <w:rFonts w:hint="eastAsia" w:ascii="宋体" w:hAnsi="宋体" w:eastAsia="宋体" w:cs="宋体"/>
                <w:b w:val="0"/>
                <w:bCs w:val="0"/>
                <w:i w:val="0"/>
                <w:iCs w:val="0"/>
                <w:color w:val="auto"/>
                <w:sz w:val="21"/>
                <w:szCs w:val="21"/>
              </w:rPr>
            </w:pPr>
          </w:p>
          <w:p w14:paraId="0C5420B2">
            <w:pPr>
              <w:jc w:val="both"/>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sz w:val="21"/>
                <w:szCs w:val="21"/>
              </w:rPr>
              <w:t>确认日期：_______年____月____日</w:t>
            </w:r>
          </w:p>
        </w:tc>
      </w:tr>
    </w:tbl>
    <w:p w14:paraId="745E2B29">
      <w:pPr>
        <w:bidi w:val="0"/>
        <w:spacing w:line="360" w:lineRule="auto"/>
        <w:ind w:firstLine="422" w:firstLineChars="200"/>
        <w:outlineLvl w:val="3"/>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2.2.4园林绿化养护和管理</w:t>
      </w:r>
      <w:bookmarkEnd w:id="600"/>
      <w:bookmarkEnd w:id="601"/>
      <w:bookmarkEnd w:id="602"/>
      <w:bookmarkEnd w:id="603"/>
      <w:bookmarkEnd w:id="604"/>
    </w:p>
    <w:p w14:paraId="02B24567">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常花卉栽培养护管理要求每天巡查2次，发现问题及时处理。每天1次在责任区内除杂草、落叶，观察植物生长情况，每月一次松土、施肥，绿化地无明显黄土裸露；绿化植被应叶片茂盛，枝条均匀，花朵鲜艳，成活率达95%以上，绿化完好率达99%以上，大树、名木成活率达100％。</w:t>
      </w:r>
    </w:p>
    <w:p w14:paraId="37738A57">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施肥：乔木、灌木每年12月15日前施基肥，3月15日前施追肥各一次；草坪在每年3月15日前和9月15日前各施肥一次，根据实际情况需要可进行追补施肥；花卉每月施肥二次，酌情补追。</w:t>
      </w:r>
    </w:p>
    <w:p w14:paraId="25BA726A">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浇水：花卉类植物每天早或晚浇水一次，干旱时可适当多浇水；树木草坪在旱季时应适时补浇水。</w:t>
      </w:r>
    </w:p>
    <w:p w14:paraId="195C7AA5">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防病虫害：树木类绿化物每季度喷打一次药，早发现虫害早喷打药物；草坪夏、秋季各打药一次，早发现早喷打药物；花卉类绿化物每月喷药一次，早发现早喷打药；做好病虫害的防治，随时发现随时治理，虫害高发期，酌情增打药物次数。</w:t>
      </w:r>
    </w:p>
    <w:p w14:paraId="4C04BBF7">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行道树下缘线整齐，修剪适度，干直冠美，无死树缺枝，无枯枝残叶，景观效果优良。</w:t>
      </w:r>
    </w:p>
    <w:p w14:paraId="213A896E">
      <w:pPr>
        <w:bidi w:val="0"/>
        <w:spacing w:line="360" w:lineRule="auto"/>
        <w:ind w:firstLine="422" w:firstLineChars="200"/>
        <w:outlineLvl w:val="3"/>
        <w:rPr>
          <w:rFonts w:hint="eastAsia" w:ascii="宋体" w:hAnsi="宋体" w:eastAsia="宋体" w:cs="宋体"/>
          <w:b/>
          <w:bCs/>
          <w:color w:val="auto"/>
          <w:sz w:val="21"/>
          <w:szCs w:val="21"/>
          <w:lang w:val="en-US" w:eastAsia="zh-CN"/>
        </w:rPr>
      </w:pPr>
      <w:bookmarkStart w:id="613" w:name="_Toc19165"/>
      <w:bookmarkStart w:id="614" w:name="_Toc12050"/>
      <w:bookmarkStart w:id="615" w:name="_Toc19283"/>
      <w:bookmarkStart w:id="616" w:name="_Toc3545"/>
      <w:bookmarkStart w:id="617" w:name="_Toc22921"/>
      <w:r>
        <w:rPr>
          <w:rFonts w:hint="eastAsia" w:ascii="宋体" w:hAnsi="宋体" w:eastAsia="宋体" w:cs="宋体"/>
          <w:b/>
          <w:bCs/>
          <w:color w:val="auto"/>
          <w:sz w:val="21"/>
          <w:szCs w:val="21"/>
          <w:lang w:val="en-US" w:eastAsia="zh-CN"/>
        </w:rPr>
        <w:t>2.2.5空调系统维护保养管理</w:t>
      </w:r>
      <w:bookmarkEnd w:id="613"/>
      <w:bookmarkEnd w:id="614"/>
      <w:bookmarkEnd w:id="615"/>
      <w:bookmarkEnd w:id="616"/>
      <w:bookmarkEnd w:id="617"/>
    </w:p>
    <w:p w14:paraId="2506A3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立规范完善的空调运行制度和维修保养制度并严格执行；空调系统安全、正常，保持状况良好。设备及环境整洁，无异常噪声及滴漏水现象；有准确完整的空调系统档案资料，各项运行记录和维修保养记录齐全，并归档保存。制定切实可行节能运行制度，有明显节能降耗成果。保养要求</w:t>
      </w:r>
      <w:r>
        <w:rPr>
          <w:rFonts w:hint="eastAsia" w:ascii="宋体" w:hAnsi="宋体" w:eastAsia="宋体" w:cs="宋体"/>
          <w:color w:val="auto"/>
          <w:sz w:val="21"/>
          <w:szCs w:val="21"/>
          <w:highlight w:val="none"/>
          <w:lang w:val="en-US" w:eastAsia="zh-CN"/>
        </w:rPr>
        <w:t>如下</w:t>
      </w:r>
      <w:r>
        <w:rPr>
          <w:rFonts w:hint="eastAsia" w:ascii="宋体" w:hAnsi="宋体" w:eastAsia="宋体" w:cs="宋体"/>
          <w:color w:val="auto"/>
          <w:sz w:val="21"/>
          <w:szCs w:val="21"/>
          <w:highlight w:val="none"/>
        </w:rPr>
        <w:t>：</w:t>
      </w:r>
    </w:p>
    <w:tbl>
      <w:tblPr>
        <w:tblStyle w:val="41"/>
        <w:tblW w:w="496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6"/>
        <w:gridCol w:w="1576"/>
        <w:gridCol w:w="3280"/>
        <w:gridCol w:w="2683"/>
        <w:gridCol w:w="1838"/>
      </w:tblGrid>
      <w:tr w14:paraId="3B711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54" w:type="pct"/>
            <w:noWrap/>
            <w:vAlign w:val="center"/>
          </w:tcPr>
          <w:p w14:paraId="74B10CC5">
            <w:pPr>
              <w:snapToGrid w:val="0"/>
              <w:spacing w:line="240" w:lineRule="auto"/>
              <w:ind w:firstLine="0" w:firstLineChars="0"/>
              <w:jc w:val="center"/>
              <w:rPr>
                <w:rFonts w:hint="eastAsia" w:ascii="宋体" w:hAnsi="宋体" w:eastAsia="宋体" w:cs="宋体"/>
                <w:b/>
                <w:bCs/>
                <w:color w:val="auto"/>
                <w:kern w:val="11"/>
                <w:sz w:val="21"/>
                <w:szCs w:val="21"/>
              </w:rPr>
            </w:pPr>
            <w:r>
              <w:rPr>
                <w:rFonts w:hint="eastAsia" w:ascii="宋体" w:hAnsi="宋体" w:eastAsia="宋体" w:cs="宋体"/>
                <w:b/>
                <w:bCs/>
                <w:color w:val="auto"/>
                <w:kern w:val="11"/>
                <w:sz w:val="21"/>
                <w:szCs w:val="21"/>
              </w:rPr>
              <w:t>序号</w:t>
            </w:r>
          </w:p>
        </w:tc>
        <w:tc>
          <w:tcPr>
            <w:tcW w:w="780" w:type="pct"/>
            <w:noWrap/>
            <w:vAlign w:val="center"/>
          </w:tcPr>
          <w:p w14:paraId="2F01F16C">
            <w:pPr>
              <w:snapToGrid w:val="0"/>
              <w:spacing w:line="240" w:lineRule="auto"/>
              <w:ind w:firstLine="0" w:firstLineChars="0"/>
              <w:jc w:val="center"/>
              <w:rPr>
                <w:rFonts w:hint="eastAsia" w:ascii="宋体" w:hAnsi="宋体" w:eastAsia="宋体" w:cs="宋体"/>
                <w:b/>
                <w:bCs/>
                <w:color w:val="auto"/>
                <w:kern w:val="11"/>
                <w:sz w:val="21"/>
                <w:szCs w:val="21"/>
              </w:rPr>
            </w:pPr>
            <w:r>
              <w:rPr>
                <w:rFonts w:hint="eastAsia" w:ascii="宋体" w:hAnsi="宋体" w:eastAsia="宋体" w:cs="宋体"/>
                <w:b/>
                <w:bCs/>
                <w:color w:val="auto"/>
                <w:kern w:val="11"/>
                <w:sz w:val="21"/>
                <w:szCs w:val="21"/>
              </w:rPr>
              <w:t>保养检查项目</w:t>
            </w:r>
          </w:p>
        </w:tc>
        <w:tc>
          <w:tcPr>
            <w:tcW w:w="1624" w:type="pct"/>
            <w:noWrap/>
            <w:vAlign w:val="center"/>
          </w:tcPr>
          <w:p w14:paraId="7808516D">
            <w:pPr>
              <w:snapToGrid w:val="0"/>
              <w:spacing w:line="240" w:lineRule="auto"/>
              <w:ind w:firstLine="0" w:firstLineChars="0"/>
              <w:jc w:val="center"/>
              <w:rPr>
                <w:rFonts w:hint="eastAsia" w:ascii="宋体" w:hAnsi="宋体" w:eastAsia="宋体" w:cs="宋体"/>
                <w:b/>
                <w:bCs/>
                <w:color w:val="auto"/>
                <w:kern w:val="11"/>
                <w:sz w:val="21"/>
                <w:szCs w:val="21"/>
              </w:rPr>
            </w:pPr>
            <w:r>
              <w:rPr>
                <w:rFonts w:hint="eastAsia" w:ascii="宋体" w:hAnsi="宋体" w:eastAsia="宋体" w:cs="宋体"/>
                <w:b/>
                <w:bCs/>
                <w:color w:val="auto"/>
                <w:kern w:val="11"/>
                <w:sz w:val="21"/>
                <w:szCs w:val="21"/>
              </w:rPr>
              <w:t>保养内容</w:t>
            </w:r>
          </w:p>
        </w:tc>
        <w:tc>
          <w:tcPr>
            <w:tcW w:w="1329" w:type="pct"/>
            <w:noWrap/>
            <w:vAlign w:val="center"/>
          </w:tcPr>
          <w:p w14:paraId="07CFB4ED">
            <w:pPr>
              <w:spacing w:line="240" w:lineRule="auto"/>
              <w:ind w:firstLine="0" w:firstLineChars="0"/>
              <w:jc w:val="center"/>
              <w:rPr>
                <w:rFonts w:hint="eastAsia" w:ascii="宋体" w:hAnsi="宋体" w:eastAsia="宋体" w:cs="宋体"/>
                <w:b/>
                <w:bCs/>
                <w:color w:val="auto"/>
                <w:kern w:val="11"/>
                <w:sz w:val="21"/>
                <w:szCs w:val="21"/>
              </w:rPr>
            </w:pPr>
            <w:r>
              <w:rPr>
                <w:rFonts w:hint="eastAsia" w:ascii="宋体" w:hAnsi="宋体" w:eastAsia="宋体" w:cs="宋体"/>
                <w:b/>
                <w:bCs/>
                <w:color w:val="auto"/>
                <w:kern w:val="11"/>
                <w:sz w:val="21"/>
                <w:szCs w:val="21"/>
              </w:rPr>
              <w:t>保养要求</w:t>
            </w:r>
          </w:p>
        </w:tc>
        <w:tc>
          <w:tcPr>
            <w:tcW w:w="910" w:type="pct"/>
            <w:noWrap/>
            <w:vAlign w:val="center"/>
          </w:tcPr>
          <w:p w14:paraId="760441C7">
            <w:pPr>
              <w:spacing w:line="240" w:lineRule="auto"/>
              <w:ind w:firstLine="0" w:firstLineChars="0"/>
              <w:jc w:val="center"/>
              <w:rPr>
                <w:rFonts w:hint="eastAsia" w:ascii="宋体" w:hAnsi="宋体" w:eastAsia="宋体" w:cs="宋体"/>
                <w:b/>
                <w:bCs/>
                <w:color w:val="auto"/>
                <w:kern w:val="11"/>
                <w:sz w:val="21"/>
                <w:szCs w:val="21"/>
              </w:rPr>
            </w:pPr>
            <w:r>
              <w:rPr>
                <w:rFonts w:hint="eastAsia" w:ascii="宋体" w:hAnsi="宋体" w:eastAsia="宋体" w:cs="宋体"/>
                <w:b/>
                <w:bCs/>
                <w:color w:val="auto"/>
                <w:kern w:val="11"/>
                <w:sz w:val="21"/>
                <w:szCs w:val="21"/>
              </w:rPr>
              <w:t>备注</w:t>
            </w:r>
          </w:p>
        </w:tc>
      </w:tr>
      <w:tr w14:paraId="62F20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5000" w:type="pct"/>
            <w:gridSpan w:val="5"/>
            <w:noWrap/>
            <w:vAlign w:val="center"/>
          </w:tcPr>
          <w:p w14:paraId="1DDD1434">
            <w:pPr>
              <w:spacing w:line="240" w:lineRule="auto"/>
              <w:ind w:firstLine="0" w:firstLineChars="0"/>
              <w:rPr>
                <w:rFonts w:hint="eastAsia" w:ascii="宋体" w:hAnsi="宋体" w:eastAsia="宋体" w:cs="宋体"/>
                <w:b/>
                <w:bCs/>
                <w:color w:val="auto"/>
                <w:kern w:val="13"/>
                <w:sz w:val="21"/>
                <w:szCs w:val="21"/>
              </w:rPr>
            </w:pPr>
            <w:r>
              <w:rPr>
                <w:rFonts w:hint="eastAsia" w:ascii="宋体" w:hAnsi="宋体" w:eastAsia="宋体" w:cs="宋体"/>
                <w:color w:val="auto"/>
                <w:kern w:val="13"/>
                <w:sz w:val="21"/>
                <w:szCs w:val="21"/>
              </w:rPr>
              <w:t>一、室外机部分</w:t>
            </w:r>
          </w:p>
        </w:tc>
      </w:tr>
      <w:tr w14:paraId="5B7C5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9" w:hRule="atLeast"/>
          <w:jc w:val="center"/>
        </w:trPr>
        <w:tc>
          <w:tcPr>
            <w:tcW w:w="354" w:type="pct"/>
            <w:noWrap/>
            <w:vAlign w:val="center"/>
          </w:tcPr>
          <w:p w14:paraId="1CEC6F3A">
            <w:pPr>
              <w:snapToGrid w:val="0"/>
              <w:spacing w:line="240" w:lineRule="auto"/>
              <w:ind w:firstLine="0" w:firstLineChars="0"/>
              <w:jc w:val="center"/>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1</w:t>
            </w:r>
          </w:p>
        </w:tc>
        <w:tc>
          <w:tcPr>
            <w:tcW w:w="780" w:type="pct"/>
            <w:noWrap/>
            <w:vAlign w:val="center"/>
          </w:tcPr>
          <w:p w14:paraId="09987BD2">
            <w:pPr>
              <w:tabs>
                <w:tab w:val="left" w:pos="-51"/>
                <w:tab w:val="left" w:pos="878"/>
              </w:tabs>
              <w:snapToGrid w:val="0"/>
              <w:spacing w:line="240" w:lineRule="auto"/>
              <w:ind w:firstLine="0" w:firstLineChars="0"/>
              <w:jc w:val="center"/>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热交换器的清扫</w:t>
            </w:r>
          </w:p>
        </w:tc>
        <w:tc>
          <w:tcPr>
            <w:tcW w:w="1624" w:type="pct"/>
            <w:noWrap/>
            <w:vAlign w:val="center"/>
          </w:tcPr>
          <w:p w14:paraId="16300EBB">
            <w:pPr>
              <w:tabs>
                <w:tab w:val="left" w:pos="502"/>
                <w:tab w:val="left" w:pos="734"/>
              </w:tabs>
              <w:snapToGrid w:val="0"/>
              <w:spacing w:line="240" w:lineRule="auto"/>
              <w:ind w:firstLine="0" w:firstLineChars="0"/>
              <w:jc w:val="both"/>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清除通风口的杂物，清洁室外通风网罩内的异物，清除室外机冷凝器上的堵塞杂物，视清洁程度可用清水冲洗室外机冷凝器翅片冲洗水压不要超过0.5Mpa，避免损伤翅片。</w:t>
            </w:r>
          </w:p>
        </w:tc>
        <w:tc>
          <w:tcPr>
            <w:tcW w:w="1329" w:type="pct"/>
            <w:noWrap/>
            <w:vAlign w:val="center"/>
          </w:tcPr>
          <w:p w14:paraId="0D441154">
            <w:pPr>
              <w:tabs>
                <w:tab w:val="left" w:pos="502"/>
                <w:tab w:val="left" w:pos="734"/>
              </w:tabs>
              <w:snapToGrid w:val="0"/>
              <w:spacing w:line="240" w:lineRule="auto"/>
              <w:ind w:firstLine="0" w:firstLineChars="0"/>
              <w:jc w:val="both"/>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冷凝器表面清洁无灰尘油污等堆积、翅片无倒伏、通风网罩内无异物、通风口畅通无阻。</w:t>
            </w:r>
          </w:p>
        </w:tc>
        <w:tc>
          <w:tcPr>
            <w:tcW w:w="910" w:type="pct"/>
            <w:noWrap/>
            <w:vAlign w:val="center"/>
          </w:tcPr>
          <w:p w14:paraId="61F6FAB2">
            <w:pPr>
              <w:tabs>
                <w:tab w:val="left" w:pos="502"/>
                <w:tab w:val="left" w:pos="734"/>
              </w:tabs>
              <w:snapToGrid w:val="0"/>
              <w:spacing w:line="240" w:lineRule="auto"/>
              <w:ind w:firstLine="0" w:firstLineChars="0"/>
              <w:jc w:val="both"/>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防止喷溅浸湿电气部件。</w:t>
            </w:r>
          </w:p>
        </w:tc>
      </w:tr>
      <w:tr w14:paraId="3C64E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8" w:hRule="atLeast"/>
          <w:jc w:val="center"/>
        </w:trPr>
        <w:tc>
          <w:tcPr>
            <w:tcW w:w="354" w:type="pct"/>
            <w:noWrap/>
            <w:vAlign w:val="center"/>
          </w:tcPr>
          <w:p w14:paraId="58E98D5C">
            <w:pPr>
              <w:snapToGrid w:val="0"/>
              <w:spacing w:line="240" w:lineRule="auto"/>
              <w:ind w:firstLine="0" w:firstLineChars="0"/>
              <w:jc w:val="center"/>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2</w:t>
            </w:r>
          </w:p>
        </w:tc>
        <w:tc>
          <w:tcPr>
            <w:tcW w:w="780" w:type="pct"/>
            <w:noWrap/>
            <w:vAlign w:val="center"/>
          </w:tcPr>
          <w:p w14:paraId="004CC65E">
            <w:pPr>
              <w:tabs>
                <w:tab w:val="left" w:pos="-51"/>
                <w:tab w:val="left" w:pos="878"/>
              </w:tabs>
              <w:snapToGrid w:val="0"/>
              <w:spacing w:line="240" w:lineRule="auto"/>
              <w:ind w:firstLine="0" w:firstLineChars="0"/>
              <w:jc w:val="center"/>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电气盒内的清洁</w:t>
            </w:r>
          </w:p>
        </w:tc>
        <w:tc>
          <w:tcPr>
            <w:tcW w:w="1624" w:type="pct"/>
            <w:noWrap/>
            <w:vAlign w:val="center"/>
          </w:tcPr>
          <w:p w14:paraId="58450DF5">
            <w:pPr>
              <w:tabs>
                <w:tab w:val="left" w:pos="502"/>
                <w:tab w:val="left" w:pos="734"/>
              </w:tabs>
              <w:snapToGrid w:val="0"/>
              <w:spacing w:line="240" w:lineRule="auto"/>
              <w:ind w:firstLine="0" w:firstLineChars="0"/>
              <w:jc w:val="both"/>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用干净软毛刷清扫，用吸尘器清除积尘；或用干燥压缩空气、干燥氮气吹扫。</w:t>
            </w:r>
          </w:p>
        </w:tc>
        <w:tc>
          <w:tcPr>
            <w:tcW w:w="1329" w:type="pct"/>
            <w:noWrap/>
            <w:vAlign w:val="center"/>
          </w:tcPr>
          <w:p w14:paraId="243C69E7">
            <w:pPr>
              <w:tabs>
                <w:tab w:val="left" w:pos="502"/>
                <w:tab w:val="left" w:pos="734"/>
              </w:tabs>
              <w:snapToGrid w:val="0"/>
              <w:spacing w:line="240" w:lineRule="auto"/>
              <w:ind w:firstLine="0" w:firstLineChars="0"/>
              <w:jc w:val="both"/>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电气盒内无积尘、每个电气部件表面无灰尘。</w:t>
            </w:r>
          </w:p>
        </w:tc>
        <w:tc>
          <w:tcPr>
            <w:tcW w:w="910" w:type="pct"/>
            <w:noWrap/>
            <w:vAlign w:val="center"/>
          </w:tcPr>
          <w:p w14:paraId="18106FCB">
            <w:pPr>
              <w:tabs>
                <w:tab w:val="left" w:pos="502"/>
                <w:tab w:val="left" w:pos="734"/>
              </w:tabs>
              <w:snapToGrid w:val="0"/>
              <w:spacing w:line="240" w:lineRule="auto"/>
              <w:ind w:firstLine="0" w:firstLineChars="0"/>
              <w:jc w:val="both"/>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操作时要断开外机电源(氮气由物业服务中心提供)。</w:t>
            </w:r>
          </w:p>
        </w:tc>
      </w:tr>
      <w:tr w14:paraId="25597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54" w:type="pct"/>
            <w:tcBorders>
              <w:left w:val="single" w:color="auto" w:sz="4" w:space="0"/>
            </w:tcBorders>
            <w:noWrap/>
            <w:vAlign w:val="center"/>
          </w:tcPr>
          <w:p w14:paraId="4B56EBAA">
            <w:pPr>
              <w:snapToGrid w:val="0"/>
              <w:spacing w:line="240" w:lineRule="auto"/>
              <w:ind w:firstLine="0" w:firstLineChars="0"/>
              <w:jc w:val="center"/>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3</w:t>
            </w:r>
          </w:p>
        </w:tc>
        <w:tc>
          <w:tcPr>
            <w:tcW w:w="780" w:type="pct"/>
            <w:noWrap/>
            <w:vAlign w:val="center"/>
          </w:tcPr>
          <w:p w14:paraId="550A498D">
            <w:pPr>
              <w:tabs>
                <w:tab w:val="left" w:pos="-51"/>
                <w:tab w:val="left" w:pos="878"/>
              </w:tabs>
              <w:snapToGrid w:val="0"/>
              <w:spacing w:line="240" w:lineRule="auto"/>
              <w:ind w:firstLine="0" w:firstLineChars="0"/>
              <w:jc w:val="center"/>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电气系统的检查</w:t>
            </w:r>
          </w:p>
        </w:tc>
        <w:tc>
          <w:tcPr>
            <w:tcW w:w="1624" w:type="pct"/>
            <w:noWrap/>
            <w:vAlign w:val="center"/>
          </w:tcPr>
          <w:p w14:paraId="3D73E4F7">
            <w:pPr>
              <w:tabs>
                <w:tab w:val="left" w:pos="502"/>
                <w:tab w:val="left" w:pos="734"/>
              </w:tabs>
              <w:snapToGrid w:val="0"/>
              <w:spacing w:line="240" w:lineRule="auto"/>
              <w:ind w:firstLine="0" w:firstLineChars="0"/>
              <w:jc w:val="both"/>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1）检查、紧固空调室外机接线端子检查空调室外机电气绝缘。</w:t>
            </w:r>
          </w:p>
          <w:p w14:paraId="2041F9AB">
            <w:pPr>
              <w:tabs>
                <w:tab w:val="left" w:pos="502"/>
                <w:tab w:val="left" w:pos="734"/>
              </w:tabs>
              <w:snapToGrid w:val="0"/>
              <w:spacing w:line="240" w:lineRule="auto"/>
              <w:ind w:firstLine="0" w:firstLineChars="0"/>
              <w:jc w:val="both"/>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2）检查室外机拨码设置，清理拨码上的灰尘，保持清洁，避免因拨码上积灰导致导通不良出现故障。</w:t>
            </w:r>
          </w:p>
        </w:tc>
        <w:tc>
          <w:tcPr>
            <w:tcW w:w="1329" w:type="pct"/>
            <w:noWrap/>
            <w:vAlign w:val="center"/>
          </w:tcPr>
          <w:p w14:paraId="79314F0F">
            <w:pPr>
              <w:tabs>
                <w:tab w:val="left" w:pos="502"/>
                <w:tab w:val="left" w:pos="734"/>
              </w:tabs>
              <w:snapToGrid w:val="0"/>
              <w:spacing w:line="240" w:lineRule="auto"/>
              <w:ind w:firstLine="0" w:firstLineChars="0"/>
              <w:jc w:val="both"/>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接线端子无松动，各电源的火线、零线对地电阻1MΩ以上</w:t>
            </w:r>
          </w:p>
          <w:p w14:paraId="21818B78">
            <w:pPr>
              <w:tabs>
                <w:tab w:val="left" w:pos="502"/>
                <w:tab w:val="left" w:pos="734"/>
              </w:tabs>
              <w:snapToGrid w:val="0"/>
              <w:spacing w:line="240" w:lineRule="auto"/>
              <w:ind w:firstLine="0" w:firstLineChars="0"/>
              <w:jc w:val="both"/>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各种拨码设置正确，不存在导通不良的问题。</w:t>
            </w:r>
          </w:p>
        </w:tc>
        <w:tc>
          <w:tcPr>
            <w:tcW w:w="910" w:type="pct"/>
            <w:noWrap/>
            <w:vAlign w:val="center"/>
          </w:tcPr>
          <w:p w14:paraId="7E438B64">
            <w:pPr>
              <w:tabs>
                <w:tab w:val="left" w:pos="502"/>
                <w:tab w:val="left" w:pos="734"/>
              </w:tabs>
              <w:snapToGrid w:val="0"/>
              <w:spacing w:line="240" w:lineRule="auto"/>
              <w:ind w:firstLine="0" w:firstLineChars="0"/>
              <w:jc w:val="both"/>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操作时要断开外机电源。</w:t>
            </w:r>
          </w:p>
        </w:tc>
      </w:tr>
      <w:tr w14:paraId="5B60D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jc w:val="center"/>
        </w:trPr>
        <w:tc>
          <w:tcPr>
            <w:tcW w:w="354" w:type="pct"/>
            <w:tcBorders>
              <w:left w:val="single" w:color="auto" w:sz="4" w:space="0"/>
            </w:tcBorders>
            <w:noWrap/>
            <w:vAlign w:val="center"/>
          </w:tcPr>
          <w:p w14:paraId="6CE38B68">
            <w:pPr>
              <w:snapToGrid w:val="0"/>
              <w:spacing w:line="240" w:lineRule="auto"/>
              <w:ind w:firstLine="0" w:firstLineChars="0"/>
              <w:jc w:val="center"/>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4</w:t>
            </w:r>
          </w:p>
        </w:tc>
        <w:tc>
          <w:tcPr>
            <w:tcW w:w="780" w:type="pct"/>
            <w:noWrap/>
            <w:vAlign w:val="center"/>
          </w:tcPr>
          <w:p w14:paraId="21914B4F">
            <w:pPr>
              <w:tabs>
                <w:tab w:val="left" w:pos="-51"/>
                <w:tab w:val="left" w:pos="878"/>
              </w:tabs>
              <w:snapToGrid w:val="0"/>
              <w:spacing w:line="240" w:lineRule="auto"/>
              <w:ind w:firstLine="0" w:firstLineChars="0"/>
              <w:jc w:val="center"/>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机内底部的清洁</w:t>
            </w:r>
          </w:p>
        </w:tc>
        <w:tc>
          <w:tcPr>
            <w:tcW w:w="1624" w:type="pct"/>
            <w:noWrap/>
            <w:vAlign w:val="center"/>
          </w:tcPr>
          <w:p w14:paraId="6952474D">
            <w:pPr>
              <w:tabs>
                <w:tab w:val="left" w:pos="502"/>
                <w:tab w:val="left" w:pos="734"/>
              </w:tabs>
              <w:snapToGrid w:val="0"/>
              <w:spacing w:line="240" w:lineRule="auto"/>
              <w:ind w:firstLine="0" w:firstLineChars="0"/>
              <w:jc w:val="both"/>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清扫机壳内底部的杂物，用抹布擦洗底壳的油污。</w:t>
            </w:r>
          </w:p>
        </w:tc>
        <w:tc>
          <w:tcPr>
            <w:tcW w:w="1329" w:type="pct"/>
            <w:noWrap/>
            <w:vAlign w:val="center"/>
          </w:tcPr>
          <w:p w14:paraId="5BEAA2C0">
            <w:pPr>
              <w:tabs>
                <w:tab w:val="left" w:pos="502"/>
                <w:tab w:val="left" w:pos="734"/>
              </w:tabs>
              <w:snapToGrid w:val="0"/>
              <w:spacing w:line="240" w:lineRule="auto"/>
              <w:ind w:firstLine="0" w:firstLineChars="0"/>
              <w:jc w:val="both"/>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干净，无杂物。</w:t>
            </w:r>
          </w:p>
        </w:tc>
        <w:tc>
          <w:tcPr>
            <w:tcW w:w="910" w:type="pct"/>
            <w:noWrap/>
            <w:vAlign w:val="center"/>
          </w:tcPr>
          <w:p w14:paraId="1F729CA8">
            <w:pPr>
              <w:tabs>
                <w:tab w:val="left" w:pos="502"/>
                <w:tab w:val="left" w:pos="734"/>
              </w:tabs>
              <w:snapToGrid w:val="0"/>
              <w:spacing w:line="240" w:lineRule="auto"/>
              <w:ind w:firstLine="0" w:firstLineChars="0"/>
              <w:jc w:val="both"/>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操作时要断开外机电源。</w:t>
            </w:r>
          </w:p>
        </w:tc>
      </w:tr>
      <w:tr w14:paraId="474C5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9" w:hRule="atLeast"/>
          <w:jc w:val="center"/>
        </w:trPr>
        <w:tc>
          <w:tcPr>
            <w:tcW w:w="354" w:type="pct"/>
            <w:tcBorders>
              <w:left w:val="single" w:color="auto" w:sz="4" w:space="0"/>
            </w:tcBorders>
            <w:noWrap/>
            <w:vAlign w:val="center"/>
          </w:tcPr>
          <w:p w14:paraId="760ADD0A">
            <w:pPr>
              <w:snapToGrid w:val="0"/>
              <w:spacing w:line="240" w:lineRule="auto"/>
              <w:ind w:firstLine="0" w:firstLineChars="0"/>
              <w:jc w:val="center"/>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5</w:t>
            </w:r>
          </w:p>
        </w:tc>
        <w:tc>
          <w:tcPr>
            <w:tcW w:w="780" w:type="pct"/>
            <w:noWrap/>
            <w:vAlign w:val="center"/>
          </w:tcPr>
          <w:p w14:paraId="629D4F5C">
            <w:pPr>
              <w:tabs>
                <w:tab w:val="left" w:pos="-51"/>
                <w:tab w:val="left" w:pos="878"/>
              </w:tabs>
              <w:snapToGrid w:val="0"/>
              <w:spacing w:line="240" w:lineRule="auto"/>
              <w:ind w:firstLine="0" w:firstLineChars="0"/>
              <w:jc w:val="center"/>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外壳的清洁</w:t>
            </w:r>
          </w:p>
        </w:tc>
        <w:tc>
          <w:tcPr>
            <w:tcW w:w="1624" w:type="pct"/>
            <w:noWrap/>
            <w:vAlign w:val="center"/>
          </w:tcPr>
          <w:p w14:paraId="375A5061">
            <w:pPr>
              <w:tabs>
                <w:tab w:val="left" w:pos="502"/>
                <w:tab w:val="left" w:pos="734"/>
              </w:tabs>
              <w:snapToGrid w:val="0"/>
              <w:spacing w:line="240" w:lineRule="auto"/>
              <w:ind w:firstLine="0" w:firstLineChars="0"/>
              <w:jc w:val="both"/>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用抹布擦洗外壳的灰尘，视肮脏程度可用洗洁净，最后用清水冲洗干净。</w:t>
            </w:r>
          </w:p>
        </w:tc>
        <w:tc>
          <w:tcPr>
            <w:tcW w:w="1329" w:type="pct"/>
            <w:noWrap/>
            <w:vAlign w:val="center"/>
          </w:tcPr>
          <w:p w14:paraId="4F6FAFA1">
            <w:pPr>
              <w:tabs>
                <w:tab w:val="left" w:pos="502"/>
                <w:tab w:val="left" w:pos="734"/>
              </w:tabs>
              <w:snapToGrid w:val="0"/>
              <w:spacing w:line="240" w:lineRule="auto"/>
              <w:ind w:firstLine="0" w:firstLineChars="0"/>
              <w:jc w:val="both"/>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表面干净无积尘无油污。</w:t>
            </w:r>
          </w:p>
        </w:tc>
        <w:tc>
          <w:tcPr>
            <w:tcW w:w="910" w:type="pct"/>
            <w:noWrap/>
            <w:vAlign w:val="center"/>
          </w:tcPr>
          <w:p w14:paraId="2041FC30">
            <w:pPr>
              <w:tabs>
                <w:tab w:val="left" w:pos="502"/>
                <w:tab w:val="left" w:pos="734"/>
              </w:tabs>
              <w:snapToGrid w:val="0"/>
              <w:spacing w:line="240" w:lineRule="auto"/>
              <w:ind w:firstLine="0" w:firstLineChars="0"/>
              <w:jc w:val="both"/>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操作时要断开外机电源。</w:t>
            </w:r>
          </w:p>
        </w:tc>
      </w:tr>
      <w:tr w14:paraId="6237E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54" w:type="pct"/>
            <w:tcBorders>
              <w:left w:val="single" w:color="auto" w:sz="4" w:space="0"/>
            </w:tcBorders>
            <w:noWrap/>
            <w:vAlign w:val="center"/>
          </w:tcPr>
          <w:p w14:paraId="076D195E">
            <w:pPr>
              <w:snapToGrid w:val="0"/>
              <w:spacing w:line="240" w:lineRule="auto"/>
              <w:ind w:firstLine="0" w:firstLineChars="0"/>
              <w:jc w:val="center"/>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6</w:t>
            </w:r>
          </w:p>
        </w:tc>
        <w:tc>
          <w:tcPr>
            <w:tcW w:w="780" w:type="pct"/>
            <w:noWrap/>
            <w:vAlign w:val="center"/>
          </w:tcPr>
          <w:p w14:paraId="1E84F455">
            <w:pPr>
              <w:tabs>
                <w:tab w:val="left" w:pos="-51"/>
                <w:tab w:val="left" w:pos="878"/>
              </w:tabs>
              <w:snapToGrid w:val="0"/>
              <w:spacing w:line="240" w:lineRule="auto"/>
              <w:ind w:firstLine="0" w:firstLineChars="0"/>
              <w:jc w:val="center"/>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风扇运行声音</w:t>
            </w:r>
          </w:p>
        </w:tc>
        <w:tc>
          <w:tcPr>
            <w:tcW w:w="1624" w:type="pct"/>
            <w:noWrap/>
            <w:vAlign w:val="center"/>
          </w:tcPr>
          <w:p w14:paraId="45EFFF4A">
            <w:pPr>
              <w:tabs>
                <w:tab w:val="left" w:pos="502"/>
                <w:tab w:val="left" w:pos="734"/>
              </w:tabs>
              <w:snapToGrid w:val="0"/>
              <w:spacing w:line="240" w:lineRule="auto"/>
              <w:ind w:firstLine="0" w:firstLineChars="0"/>
              <w:jc w:val="both"/>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开机运行时听风扇和电机是否有异音，风扇是否有抖动现象。</w:t>
            </w:r>
          </w:p>
        </w:tc>
        <w:tc>
          <w:tcPr>
            <w:tcW w:w="1329" w:type="pct"/>
            <w:noWrap/>
            <w:vAlign w:val="center"/>
          </w:tcPr>
          <w:p w14:paraId="07304EE7">
            <w:pPr>
              <w:tabs>
                <w:tab w:val="left" w:pos="502"/>
                <w:tab w:val="left" w:pos="734"/>
              </w:tabs>
              <w:snapToGrid w:val="0"/>
              <w:spacing w:line="240" w:lineRule="auto"/>
              <w:ind w:firstLine="0" w:firstLineChars="0"/>
              <w:jc w:val="both"/>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风扇和电机运行声音无异常。</w:t>
            </w:r>
          </w:p>
        </w:tc>
        <w:tc>
          <w:tcPr>
            <w:tcW w:w="910" w:type="pct"/>
            <w:noWrap/>
            <w:vAlign w:val="center"/>
          </w:tcPr>
          <w:p w14:paraId="719CAADE">
            <w:pPr>
              <w:tabs>
                <w:tab w:val="left" w:pos="502"/>
                <w:tab w:val="left" w:pos="734"/>
              </w:tabs>
              <w:snapToGrid w:val="0"/>
              <w:spacing w:line="240" w:lineRule="auto"/>
              <w:ind w:firstLine="0" w:firstLineChars="0"/>
              <w:jc w:val="both"/>
              <w:rPr>
                <w:rFonts w:hint="eastAsia" w:ascii="宋体" w:hAnsi="宋体" w:eastAsia="宋体" w:cs="宋体"/>
                <w:color w:val="auto"/>
                <w:kern w:val="13"/>
                <w:sz w:val="21"/>
                <w:szCs w:val="21"/>
              </w:rPr>
            </w:pPr>
          </w:p>
        </w:tc>
      </w:tr>
      <w:tr w14:paraId="6EA28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6" w:hRule="atLeast"/>
          <w:jc w:val="center"/>
        </w:trPr>
        <w:tc>
          <w:tcPr>
            <w:tcW w:w="354" w:type="pct"/>
            <w:tcBorders>
              <w:left w:val="single" w:color="auto" w:sz="4" w:space="0"/>
            </w:tcBorders>
            <w:noWrap/>
            <w:vAlign w:val="center"/>
          </w:tcPr>
          <w:p w14:paraId="3895735D">
            <w:pPr>
              <w:snapToGrid w:val="0"/>
              <w:spacing w:line="240" w:lineRule="auto"/>
              <w:ind w:firstLine="0" w:firstLineChars="0"/>
              <w:jc w:val="center"/>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7</w:t>
            </w:r>
          </w:p>
        </w:tc>
        <w:tc>
          <w:tcPr>
            <w:tcW w:w="780" w:type="pct"/>
            <w:noWrap/>
            <w:vAlign w:val="center"/>
          </w:tcPr>
          <w:p w14:paraId="2883FFE3">
            <w:pPr>
              <w:tabs>
                <w:tab w:val="left" w:pos="-51"/>
                <w:tab w:val="left" w:pos="878"/>
              </w:tabs>
              <w:snapToGrid w:val="0"/>
              <w:spacing w:line="240" w:lineRule="auto"/>
              <w:ind w:firstLine="0" w:firstLineChars="0"/>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1）检查系统的油的色度</w:t>
            </w:r>
          </w:p>
          <w:p w14:paraId="374A7EBF">
            <w:pPr>
              <w:tabs>
                <w:tab w:val="left" w:pos="-51"/>
                <w:tab w:val="left" w:pos="878"/>
              </w:tabs>
              <w:snapToGrid w:val="0"/>
              <w:spacing w:line="240" w:lineRule="auto"/>
              <w:ind w:firstLine="0" w:firstLineChars="0"/>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2）检查空压机运行声音</w:t>
            </w:r>
          </w:p>
        </w:tc>
        <w:tc>
          <w:tcPr>
            <w:tcW w:w="1624" w:type="pct"/>
            <w:noWrap/>
            <w:vAlign w:val="center"/>
          </w:tcPr>
          <w:p w14:paraId="79EB887E">
            <w:pPr>
              <w:tabs>
                <w:tab w:val="left" w:pos="502"/>
                <w:tab w:val="left" w:pos="734"/>
              </w:tabs>
              <w:snapToGrid w:val="0"/>
              <w:spacing w:line="240" w:lineRule="auto"/>
              <w:ind w:firstLine="0" w:firstLineChars="0"/>
              <w:jc w:val="both"/>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1）停机状态下，从油分的加油管 放出一点油，使用透明容器接住，然后查看润滑油是否变色或受污染。如已变质就需要更换新的冷冻油，以更好的为压缩机提供润滑。</w:t>
            </w:r>
          </w:p>
          <w:p w14:paraId="1AC187B9">
            <w:pPr>
              <w:tabs>
                <w:tab w:val="left" w:pos="502"/>
                <w:tab w:val="left" w:pos="734"/>
              </w:tabs>
              <w:snapToGrid w:val="0"/>
              <w:spacing w:line="240" w:lineRule="auto"/>
              <w:ind w:firstLine="0" w:firstLineChars="0"/>
              <w:jc w:val="both"/>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2）开机运行时听每个压缩机是否有异音，如有异常噪音须向用户提前告知。</w:t>
            </w:r>
          </w:p>
        </w:tc>
        <w:tc>
          <w:tcPr>
            <w:tcW w:w="1329" w:type="pct"/>
            <w:noWrap/>
            <w:vAlign w:val="center"/>
          </w:tcPr>
          <w:p w14:paraId="510F07DC">
            <w:pPr>
              <w:tabs>
                <w:tab w:val="left" w:pos="502"/>
                <w:tab w:val="left" w:pos="734"/>
              </w:tabs>
              <w:snapToGrid w:val="0"/>
              <w:spacing w:line="240" w:lineRule="auto"/>
              <w:ind w:firstLine="0" w:firstLineChars="0"/>
              <w:jc w:val="both"/>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1）油的色度的正常。</w:t>
            </w:r>
          </w:p>
          <w:p w14:paraId="6668D28D">
            <w:pPr>
              <w:tabs>
                <w:tab w:val="left" w:pos="502"/>
                <w:tab w:val="left" w:pos="734"/>
              </w:tabs>
              <w:snapToGrid w:val="0"/>
              <w:spacing w:line="240" w:lineRule="auto"/>
              <w:ind w:firstLine="0" w:firstLineChars="0"/>
              <w:jc w:val="both"/>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2）压机运行时声音无异常。</w:t>
            </w:r>
          </w:p>
        </w:tc>
        <w:tc>
          <w:tcPr>
            <w:tcW w:w="910" w:type="pct"/>
            <w:noWrap/>
            <w:vAlign w:val="center"/>
          </w:tcPr>
          <w:p w14:paraId="76CF45A8">
            <w:pPr>
              <w:tabs>
                <w:tab w:val="left" w:pos="502"/>
                <w:tab w:val="left" w:pos="734"/>
              </w:tabs>
              <w:snapToGrid w:val="0"/>
              <w:spacing w:line="240" w:lineRule="auto"/>
              <w:ind w:firstLine="0" w:firstLineChars="0"/>
              <w:jc w:val="both"/>
              <w:rPr>
                <w:rFonts w:hint="eastAsia" w:ascii="宋体" w:hAnsi="宋体" w:eastAsia="宋体" w:cs="宋体"/>
                <w:color w:val="auto"/>
                <w:kern w:val="13"/>
                <w:sz w:val="21"/>
                <w:szCs w:val="21"/>
              </w:rPr>
            </w:pPr>
          </w:p>
        </w:tc>
      </w:tr>
      <w:tr w14:paraId="78676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2" w:hRule="atLeast"/>
          <w:jc w:val="center"/>
        </w:trPr>
        <w:tc>
          <w:tcPr>
            <w:tcW w:w="5000" w:type="pct"/>
            <w:gridSpan w:val="5"/>
            <w:tcBorders>
              <w:left w:val="single" w:color="auto" w:sz="4" w:space="0"/>
            </w:tcBorders>
            <w:noWrap/>
            <w:vAlign w:val="center"/>
          </w:tcPr>
          <w:p w14:paraId="5E9301D7">
            <w:pPr>
              <w:snapToGrid w:val="0"/>
              <w:spacing w:line="240" w:lineRule="auto"/>
              <w:ind w:firstLine="0" w:firstLineChars="0"/>
              <w:jc w:val="both"/>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二、室内机部分</w:t>
            </w:r>
          </w:p>
        </w:tc>
      </w:tr>
      <w:tr w14:paraId="3B93F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9" w:hRule="atLeast"/>
          <w:jc w:val="center"/>
        </w:trPr>
        <w:tc>
          <w:tcPr>
            <w:tcW w:w="354" w:type="pct"/>
            <w:tcBorders>
              <w:left w:val="single" w:color="auto" w:sz="4" w:space="0"/>
            </w:tcBorders>
            <w:noWrap/>
            <w:vAlign w:val="center"/>
          </w:tcPr>
          <w:p w14:paraId="251F0094">
            <w:pPr>
              <w:snapToGrid w:val="0"/>
              <w:spacing w:line="240" w:lineRule="auto"/>
              <w:ind w:firstLine="0" w:firstLineChars="0"/>
              <w:jc w:val="center"/>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1</w:t>
            </w:r>
          </w:p>
        </w:tc>
        <w:tc>
          <w:tcPr>
            <w:tcW w:w="780" w:type="pct"/>
            <w:noWrap/>
            <w:vAlign w:val="center"/>
          </w:tcPr>
          <w:p w14:paraId="58CAC6AC">
            <w:pPr>
              <w:tabs>
                <w:tab w:val="left" w:pos="-51"/>
                <w:tab w:val="left" w:pos="878"/>
              </w:tabs>
              <w:snapToGrid w:val="0"/>
              <w:spacing w:line="240" w:lineRule="auto"/>
              <w:ind w:firstLine="0" w:firstLineChars="0"/>
              <w:jc w:val="both"/>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回风过滤网的清洗</w:t>
            </w:r>
          </w:p>
        </w:tc>
        <w:tc>
          <w:tcPr>
            <w:tcW w:w="1624" w:type="pct"/>
            <w:noWrap/>
            <w:vAlign w:val="center"/>
          </w:tcPr>
          <w:p w14:paraId="2C8DD04C">
            <w:pPr>
              <w:tabs>
                <w:tab w:val="left" w:pos="502"/>
                <w:tab w:val="left" w:pos="734"/>
              </w:tabs>
              <w:snapToGrid w:val="0"/>
              <w:spacing w:line="240" w:lineRule="auto"/>
              <w:ind w:firstLine="0" w:firstLineChars="0"/>
              <w:jc w:val="both"/>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取下过滤网，(室内机可将回风格栅拆卸，一起清洗)用干净刷子，把附在过滤网上的绝大部分脏物刷干净，可用水或吸尘器清洗过滤网，水温不要超过40度，用热的湿布或中性洗涤剂清洗，如果过滤网很脏，可浸泡在含有特效空调机清洗液或洗洁精和肥皂粉的中性混合液中，浸泡时间10—20分钟，浸泡完用平刷轻轻刷过滤网，再用清水冲洗干净后，用净抹布擦干或风干。</w:t>
            </w:r>
          </w:p>
        </w:tc>
        <w:tc>
          <w:tcPr>
            <w:tcW w:w="1329" w:type="pct"/>
            <w:noWrap/>
            <w:vAlign w:val="center"/>
          </w:tcPr>
          <w:p w14:paraId="7EEA561C">
            <w:pPr>
              <w:tabs>
                <w:tab w:val="left" w:pos="502"/>
                <w:tab w:val="left" w:pos="734"/>
              </w:tabs>
              <w:snapToGrid w:val="0"/>
              <w:spacing w:line="240" w:lineRule="auto"/>
              <w:ind w:firstLine="0" w:firstLineChars="0"/>
              <w:jc w:val="both"/>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让每个滤孔清澈透 明，无脏堵痕迹，检 查完好无损，把过滤 网安装原位。</w:t>
            </w:r>
          </w:p>
        </w:tc>
        <w:tc>
          <w:tcPr>
            <w:tcW w:w="910" w:type="pct"/>
            <w:noWrap/>
            <w:vAlign w:val="center"/>
          </w:tcPr>
          <w:p w14:paraId="76589A62">
            <w:pPr>
              <w:tabs>
                <w:tab w:val="left" w:pos="502"/>
                <w:tab w:val="left" w:pos="734"/>
              </w:tabs>
              <w:snapToGrid w:val="0"/>
              <w:spacing w:line="240" w:lineRule="auto"/>
              <w:ind w:firstLine="0" w:firstLineChars="0"/>
              <w:jc w:val="both"/>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不能用杀虫剂或其他化学洗涤剂清洗过滤网。 每年两次清洗。</w:t>
            </w:r>
          </w:p>
        </w:tc>
      </w:tr>
      <w:tr w14:paraId="6C0DE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4" w:hRule="atLeast"/>
          <w:jc w:val="center"/>
        </w:trPr>
        <w:tc>
          <w:tcPr>
            <w:tcW w:w="354" w:type="pct"/>
            <w:noWrap/>
            <w:vAlign w:val="center"/>
          </w:tcPr>
          <w:p w14:paraId="4D2245F8">
            <w:pPr>
              <w:snapToGrid w:val="0"/>
              <w:spacing w:line="240" w:lineRule="auto"/>
              <w:ind w:firstLine="0" w:firstLineChars="0"/>
              <w:jc w:val="center"/>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2</w:t>
            </w:r>
          </w:p>
        </w:tc>
        <w:tc>
          <w:tcPr>
            <w:tcW w:w="780" w:type="pct"/>
            <w:noWrap/>
            <w:vAlign w:val="center"/>
          </w:tcPr>
          <w:p w14:paraId="4A7527D9">
            <w:pPr>
              <w:tabs>
                <w:tab w:val="left" w:pos="-51"/>
                <w:tab w:val="left" w:pos="878"/>
              </w:tabs>
              <w:snapToGrid w:val="0"/>
              <w:spacing w:line="240" w:lineRule="auto"/>
              <w:ind w:firstLine="0" w:firstLineChars="0"/>
              <w:jc w:val="center"/>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检查室内机的声音</w:t>
            </w:r>
          </w:p>
        </w:tc>
        <w:tc>
          <w:tcPr>
            <w:tcW w:w="1624" w:type="pct"/>
            <w:noWrap/>
            <w:vAlign w:val="center"/>
          </w:tcPr>
          <w:p w14:paraId="34810B45">
            <w:pPr>
              <w:tabs>
                <w:tab w:val="left" w:pos="502"/>
                <w:tab w:val="left" w:pos="734"/>
              </w:tabs>
              <w:snapToGrid w:val="0"/>
              <w:spacing w:line="240" w:lineRule="auto"/>
              <w:ind w:firstLine="0" w:firstLineChars="0"/>
              <w:jc w:val="both"/>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回风过滤网清洗回装后，室内机开送风模式分别实验1-2-3档风量，检查风扇电机运转时有无机械异常杂音。</w:t>
            </w:r>
          </w:p>
        </w:tc>
        <w:tc>
          <w:tcPr>
            <w:tcW w:w="1329" w:type="pct"/>
            <w:noWrap/>
            <w:vAlign w:val="center"/>
          </w:tcPr>
          <w:p w14:paraId="320DD94B">
            <w:pPr>
              <w:tabs>
                <w:tab w:val="left" w:pos="502"/>
                <w:tab w:val="left" w:pos="734"/>
              </w:tabs>
              <w:snapToGrid w:val="0"/>
              <w:spacing w:line="240" w:lineRule="auto"/>
              <w:ind w:firstLine="0" w:firstLineChars="0"/>
              <w:jc w:val="both"/>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无过滤网安装不良产生的振动噪音、风扇的异常摩擦噪音等。</w:t>
            </w:r>
          </w:p>
        </w:tc>
        <w:tc>
          <w:tcPr>
            <w:tcW w:w="910" w:type="pct"/>
            <w:noWrap/>
            <w:vAlign w:val="center"/>
          </w:tcPr>
          <w:p w14:paraId="4E84CD7A">
            <w:pPr>
              <w:tabs>
                <w:tab w:val="left" w:pos="502"/>
                <w:tab w:val="left" w:pos="734"/>
              </w:tabs>
              <w:snapToGrid w:val="0"/>
              <w:spacing w:line="240" w:lineRule="auto"/>
              <w:ind w:firstLine="0" w:firstLineChars="0"/>
              <w:jc w:val="both"/>
              <w:rPr>
                <w:rFonts w:hint="eastAsia" w:ascii="宋体" w:hAnsi="宋体" w:eastAsia="宋体" w:cs="宋体"/>
                <w:color w:val="auto"/>
                <w:kern w:val="13"/>
                <w:sz w:val="21"/>
                <w:szCs w:val="21"/>
              </w:rPr>
            </w:pPr>
          </w:p>
        </w:tc>
      </w:tr>
      <w:tr w14:paraId="69B2E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 w:hRule="atLeast"/>
          <w:jc w:val="center"/>
        </w:trPr>
        <w:tc>
          <w:tcPr>
            <w:tcW w:w="5000" w:type="pct"/>
            <w:gridSpan w:val="5"/>
            <w:noWrap/>
            <w:vAlign w:val="center"/>
          </w:tcPr>
          <w:p w14:paraId="6410BD23">
            <w:pPr>
              <w:snapToGrid w:val="0"/>
              <w:spacing w:line="240" w:lineRule="auto"/>
              <w:ind w:firstLine="0" w:firstLineChars="0"/>
              <w:jc w:val="both"/>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三、系统运行状态检查</w:t>
            </w:r>
          </w:p>
        </w:tc>
      </w:tr>
      <w:tr w14:paraId="54ECB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atLeast"/>
          <w:jc w:val="center"/>
        </w:trPr>
        <w:tc>
          <w:tcPr>
            <w:tcW w:w="354" w:type="pct"/>
            <w:noWrap/>
            <w:vAlign w:val="center"/>
          </w:tcPr>
          <w:p w14:paraId="4ED8D5E8">
            <w:pPr>
              <w:snapToGrid w:val="0"/>
              <w:spacing w:line="240" w:lineRule="auto"/>
              <w:ind w:firstLine="0" w:firstLineChars="0"/>
              <w:jc w:val="center"/>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1</w:t>
            </w:r>
          </w:p>
        </w:tc>
        <w:tc>
          <w:tcPr>
            <w:tcW w:w="780" w:type="pct"/>
            <w:noWrap/>
            <w:vAlign w:val="center"/>
          </w:tcPr>
          <w:p w14:paraId="5B5956E3">
            <w:pPr>
              <w:tabs>
                <w:tab w:val="left" w:pos="-51"/>
                <w:tab w:val="left" w:pos="878"/>
              </w:tabs>
              <w:snapToGrid w:val="0"/>
              <w:spacing w:line="240" w:lineRule="auto"/>
              <w:ind w:firstLine="0" w:firstLineChars="0"/>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开机试运转</w:t>
            </w:r>
          </w:p>
        </w:tc>
        <w:tc>
          <w:tcPr>
            <w:tcW w:w="1624" w:type="pct"/>
            <w:noWrap/>
            <w:vAlign w:val="center"/>
          </w:tcPr>
          <w:p w14:paraId="2CF8F115">
            <w:pPr>
              <w:tabs>
                <w:tab w:val="left" w:pos="502"/>
                <w:tab w:val="left" w:pos="734"/>
              </w:tabs>
              <w:snapToGrid w:val="0"/>
              <w:spacing w:line="240" w:lineRule="auto"/>
              <w:ind w:firstLine="0" w:firstLineChars="0"/>
              <w:jc w:val="both"/>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每个系统开机试运行至少两小时。</w:t>
            </w:r>
          </w:p>
        </w:tc>
        <w:tc>
          <w:tcPr>
            <w:tcW w:w="1329" w:type="pct"/>
            <w:noWrap/>
            <w:vAlign w:val="center"/>
          </w:tcPr>
          <w:p w14:paraId="557A358E">
            <w:pPr>
              <w:tabs>
                <w:tab w:val="left" w:pos="502"/>
                <w:tab w:val="left" w:pos="734"/>
              </w:tabs>
              <w:snapToGrid w:val="0"/>
              <w:spacing w:line="240" w:lineRule="auto"/>
              <w:ind w:firstLine="0" w:firstLineChars="0"/>
              <w:jc w:val="both"/>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在两小时内所有的室内机不停机连续开启。</w:t>
            </w:r>
          </w:p>
        </w:tc>
        <w:tc>
          <w:tcPr>
            <w:tcW w:w="910" w:type="pct"/>
            <w:noWrap/>
            <w:vAlign w:val="center"/>
          </w:tcPr>
          <w:p w14:paraId="68429384">
            <w:pPr>
              <w:tabs>
                <w:tab w:val="left" w:pos="502"/>
                <w:tab w:val="left" w:pos="734"/>
              </w:tabs>
              <w:snapToGrid w:val="0"/>
              <w:spacing w:line="240" w:lineRule="auto"/>
              <w:ind w:firstLine="0" w:firstLineChars="0"/>
              <w:jc w:val="both"/>
              <w:rPr>
                <w:rFonts w:hint="eastAsia" w:ascii="宋体" w:hAnsi="宋体" w:eastAsia="宋体" w:cs="宋体"/>
                <w:color w:val="auto"/>
                <w:kern w:val="13"/>
                <w:sz w:val="21"/>
                <w:szCs w:val="21"/>
              </w:rPr>
            </w:pPr>
          </w:p>
        </w:tc>
      </w:tr>
      <w:tr w14:paraId="5F38E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50" w:hRule="atLeast"/>
          <w:jc w:val="center"/>
        </w:trPr>
        <w:tc>
          <w:tcPr>
            <w:tcW w:w="354" w:type="pct"/>
            <w:noWrap/>
            <w:vAlign w:val="center"/>
          </w:tcPr>
          <w:p w14:paraId="13A15DAC">
            <w:pPr>
              <w:snapToGrid w:val="0"/>
              <w:spacing w:line="240" w:lineRule="auto"/>
              <w:ind w:firstLine="0" w:firstLineChars="0"/>
              <w:jc w:val="center"/>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2</w:t>
            </w:r>
          </w:p>
        </w:tc>
        <w:tc>
          <w:tcPr>
            <w:tcW w:w="780" w:type="pct"/>
            <w:noWrap/>
            <w:vAlign w:val="center"/>
          </w:tcPr>
          <w:p w14:paraId="76B503B8">
            <w:pPr>
              <w:tabs>
                <w:tab w:val="left" w:pos="-51"/>
                <w:tab w:val="left" w:pos="878"/>
              </w:tabs>
              <w:snapToGrid w:val="0"/>
              <w:spacing w:line="240" w:lineRule="auto"/>
              <w:ind w:firstLine="0" w:firstLineChars="0"/>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检查和记录系统运行的所有参数是否正常</w:t>
            </w:r>
          </w:p>
        </w:tc>
        <w:tc>
          <w:tcPr>
            <w:tcW w:w="1624" w:type="pct"/>
            <w:noWrap/>
            <w:vAlign w:val="center"/>
          </w:tcPr>
          <w:p w14:paraId="7E68E7F7">
            <w:pPr>
              <w:tabs>
                <w:tab w:val="left" w:pos="502"/>
                <w:tab w:val="left" w:pos="734"/>
              </w:tabs>
              <w:snapToGrid w:val="0"/>
              <w:spacing w:line="240" w:lineRule="auto"/>
              <w:ind w:firstLine="0" w:firstLineChars="0"/>
              <w:jc w:val="both"/>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1）系统正常运行30分钟后记录系统的室内机和室外机的所有的运行参数。</w:t>
            </w:r>
          </w:p>
          <w:p w14:paraId="54B9D942">
            <w:pPr>
              <w:tabs>
                <w:tab w:val="left" w:pos="502"/>
                <w:tab w:val="left" w:pos="734"/>
              </w:tabs>
              <w:snapToGrid w:val="0"/>
              <w:spacing w:line="240" w:lineRule="auto"/>
              <w:ind w:firstLine="0" w:firstLineChars="0"/>
              <w:jc w:val="both"/>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2）查看每个压缩机的运行时间。</w:t>
            </w:r>
          </w:p>
          <w:p w14:paraId="37BD59D1">
            <w:pPr>
              <w:tabs>
                <w:tab w:val="left" w:pos="502"/>
                <w:tab w:val="left" w:pos="734"/>
              </w:tabs>
              <w:snapToGrid w:val="0"/>
              <w:spacing w:line="240" w:lineRule="auto"/>
              <w:ind w:firstLine="0" w:firstLineChars="0"/>
              <w:jc w:val="both"/>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3）检查系统的效果，根据运行参数分析，如果是系统的泄露请查找系统泄露的原因。</w:t>
            </w:r>
          </w:p>
        </w:tc>
        <w:tc>
          <w:tcPr>
            <w:tcW w:w="1329" w:type="pct"/>
            <w:noWrap/>
            <w:vAlign w:val="center"/>
          </w:tcPr>
          <w:p w14:paraId="68068B92">
            <w:pPr>
              <w:tabs>
                <w:tab w:val="left" w:pos="502"/>
                <w:tab w:val="left" w:pos="734"/>
              </w:tabs>
              <w:snapToGrid w:val="0"/>
              <w:spacing w:line="240" w:lineRule="auto"/>
              <w:ind w:firstLine="0" w:firstLineChars="0"/>
              <w:jc w:val="both"/>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1）参数的获取可以是从室外机的七段显示码或有线遥控器或通过check电脑获取。</w:t>
            </w:r>
          </w:p>
          <w:p w14:paraId="658AF64C">
            <w:pPr>
              <w:tabs>
                <w:tab w:val="left" w:pos="502"/>
                <w:tab w:val="left" w:pos="734"/>
              </w:tabs>
              <w:snapToGrid w:val="0"/>
              <w:spacing w:line="240" w:lineRule="auto"/>
              <w:ind w:firstLine="0" w:firstLineChars="0"/>
              <w:jc w:val="both"/>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2）根据参数判断系统是否运行正常，以及运行的效果。</w:t>
            </w:r>
          </w:p>
        </w:tc>
        <w:tc>
          <w:tcPr>
            <w:tcW w:w="910" w:type="pct"/>
            <w:noWrap/>
            <w:vAlign w:val="center"/>
          </w:tcPr>
          <w:p w14:paraId="533543E1">
            <w:pPr>
              <w:tabs>
                <w:tab w:val="left" w:pos="502"/>
                <w:tab w:val="left" w:pos="734"/>
              </w:tabs>
              <w:snapToGrid w:val="0"/>
              <w:spacing w:line="240" w:lineRule="auto"/>
              <w:ind w:firstLine="0" w:firstLineChars="0"/>
              <w:jc w:val="both"/>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填写机组运行参数表，每个系统一 份。</w:t>
            </w:r>
          </w:p>
        </w:tc>
      </w:tr>
      <w:tr w14:paraId="461D8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jc w:val="center"/>
        </w:trPr>
        <w:tc>
          <w:tcPr>
            <w:tcW w:w="5000" w:type="pct"/>
            <w:gridSpan w:val="5"/>
            <w:noWrap/>
            <w:vAlign w:val="center"/>
          </w:tcPr>
          <w:p w14:paraId="2CD197B9">
            <w:pPr>
              <w:snapToGrid w:val="0"/>
              <w:spacing w:line="240" w:lineRule="auto"/>
              <w:ind w:firstLine="0" w:firstLineChars="0"/>
              <w:jc w:val="both"/>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四、计费系统运行状态检查</w:t>
            </w:r>
          </w:p>
        </w:tc>
      </w:tr>
      <w:tr w14:paraId="63B24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54" w:type="pct"/>
            <w:noWrap/>
            <w:vAlign w:val="center"/>
          </w:tcPr>
          <w:p w14:paraId="5E929597">
            <w:pPr>
              <w:snapToGrid w:val="0"/>
              <w:spacing w:line="240" w:lineRule="auto"/>
              <w:ind w:firstLine="0" w:firstLineChars="0"/>
              <w:jc w:val="center"/>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1</w:t>
            </w:r>
          </w:p>
        </w:tc>
        <w:tc>
          <w:tcPr>
            <w:tcW w:w="780" w:type="pct"/>
            <w:noWrap/>
            <w:vAlign w:val="center"/>
          </w:tcPr>
          <w:p w14:paraId="5CC0E59E">
            <w:pPr>
              <w:tabs>
                <w:tab w:val="left" w:pos="-51"/>
                <w:tab w:val="left" w:pos="878"/>
              </w:tabs>
              <w:snapToGrid w:val="0"/>
              <w:spacing w:line="240" w:lineRule="auto"/>
              <w:ind w:firstLine="0" w:firstLineChars="0"/>
              <w:jc w:val="center"/>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计费系统维护</w:t>
            </w:r>
          </w:p>
        </w:tc>
        <w:tc>
          <w:tcPr>
            <w:tcW w:w="1624" w:type="pct"/>
            <w:noWrap/>
            <w:vAlign w:val="center"/>
          </w:tcPr>
          <w:p w14:paraId="3491B674">
            <w:pPr>
              <w:tabs>
                <w:tab w:val="left" w:pos="502"/>
                <w:tab w:val="left" w:pos="734"/>
              </w:tabs>
              <w:snapToGrid w:val="0"/>
              <w:spacing w:line="240" w:lineRule="auto"/>
              <w:ind w:firstLine="0" w:firstLineChars="0"/>
              <w:jc w:val="both"/>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检查计费软件是否运行正常，检查抄表器，空调网关运行状态。</w:t>
            </w:r>
          </w:p>
        </w:tc>
        <w:tc>
          <w:tcPr>
            <w:tcW w:w="1329" w:type="pct"/>
            <w:noWrap/>
            <w:vAlign w:val="center"/>
          </w:tcPr>
          <w:p w14:paraId="1DF9F18D">
            <w:pPr>
              <w:tabs>
                <w:tab w:val="left" w:pos="502"/>
                <w:tab w:val="left" w:pos="734"/>
              </w:tabs>
              <w:snapToGrid w:val="0"/>
              <w:spacing w:line="240" w:lineRule="auto"/>
              <w:ind w:firstLine="0" w:firstLineChars="0"/>
              <w:jc w:val="both"/>
              <w:rPr>
                <w:rFonts w:hint="eastAsia" w:ascii="宋体" w:hAnsi="宋体" w:eastAsia="宋体" w:cs="宋体"/>
                <w:color w:val="auto"/>
                <w:kern w:val="13"/>
                <w:sz w:val="21"/>
                <w:szCs w:val="21"/>
              </w:rPr>
            </w:pPr>
            <w:r>
              <w:rPr>
                <w:rFonts w:hint="eastAsia" w:ascii="宋体" w:hAnsi="宋体" w:eastAsia="宋体" w:cs="宋体"/>
                <w:color w:val="auto"/>
                <w:kern w:val="13"/>
                <w:sz w:val="21"/>
                <w:szCs w:val="21"/>
              </w:rPr>
              <w:t>确保计费系统运行正常，计费正常。</w:t>
            </w:r>
          </w:p>
        </w:tc>
        <w:tc>
          <w:tcPr>
            <w:tcW w:w="910" w:type="pct"/>
            <w:noWrap/>
            <w:vAlign w:val="center"/>
          </w:tcPr>
          <w:p w14:paraId="071284E9">
            <w:pPr>
              <w:tabs>
                <w:tab w:val="left" w:pos="502"/>
                <w:tab w:val="left" w:pos="734"/>
              </w:tabs>
              <w:snapToGrid w:val="0"/>
              <w:spacing w:line="240" w:lineRule="auto"/>
              <w:ind w:firstLine="0" w:firstLineChars="0"/>
              <w:jc w:val="both"/>
              <w:rPr>
                <w:rFonts w:hint="eastAsia" w:ascii="宋体" w:hAnsi="宋体" w:eastAsia="宋体" w:cs="宋体"/>
                <w:color w:val="auto"/>
                <w:kern w:val="13"/>
                <w:sz w:val="21"/>
                <w:szCs w:val="21"/>
              </w:rPr>
            </w:pPr>
          </w:p>
        </w:tc>
      </w:tr>
    </w:tbl>
    <w:p w14:paraId="580D0CEA">
      <w:pPr>
        <w:bidi w:val="0"/>
        <w:spacing w:line="360" w:lineRule="auto"/>
        <w:ind w:firstLine="422" w:firstLineChars="200"/>
        <w:outlineLvl w:val="3"/>
        <w:rPr>
          <w:rFonts w:hint="eastAsia" w:ascii="宋体" w:hAnsi="宋体" w:eastAsia="宋体" w:cs="宋体"/>
          <w:b/>
          <w:bCs/>
          <w:color w:val="auto"/>
          <w:sz w:val="21"/>
          <w:szCs w:val="21"/>
          <w:lang w:val="en-US" w:eastAsia="zh-CN"/>
        </w:rPr>
      </w:pPr>
      <w:bookmarkStart w:id="618" w:name="_Toc15294"/>
      <w:bookmarkStart w:id="619" w:name="_Toc25443"/>
      <w:bookmarkStart w:id="620" w:name="_Toc23434"/>
      <w:bookmarkStart w:id="621" w:name="_Toc26534"/>
      <w:bookmarkStart w:id="622" w:name="_Toc17978"/>
      <w:r>
        <w:rPr>
          <w:rFonts w:hint="eastAsia" w:ascii="宋体" w:hAnsi="宋体" w:eastAsia="宋体" w:cs="宋体"/>
          <w:b/>
          <w:bCs/>
          <w:color w:val="auto"/>
          <w:sz w:val="21"/>
          <w:szCs w:val="21"/>
          <w:lang w:val="en-US" w:eastAsia="zh-CN"/>
        </w:rPr>
        <w:t>2.2.6消防系统维护保养管理</w:t>
      </w:r>
      <w:bookmarkEnd w:id="618"/>
      <w:bookmarkEnd w:id="619"/>
      <w:bookmarkEnd w:id="620"/>
      <w:bookmarkEnd w:id="621"/>
      <w:bookmarkEnd w:id="622"/>
    </w:p>
    <w:p w14:paraId="69FB1BF1">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本项目设置一间消防控制室，要求</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全天24小时消防中心值班，24小时消防主机监管，消防中心值班人员每班不得少于2人（消防值班人员必须满足相关职业资格要求，并取得相关证书）。</w:t>
      </w:r>
    </w:p>
    <w:p w14:paraId="4CD64296">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消防控制中心及消防系统设施配备齐全，完好无损，待机状态良好；落实区域消防安全责任人、义务消防人员，定期进行演练，开展消防知识及法规的宣传教育，保证火灾发生率为“0”；落实消防部门关于1分钟响应到达、3分钟处理的消防流程；制定火灾应急方案，设立消防疏散示意图，紧急疏散通道畅通，照明设备、引路标志完好；消防设备完好率100%，零修合格率100%。保养要求如下：</w:t>
      </w:r>
    </w:p>
    <w:tbl>
      <w:tblPr>
        <w:tblStyle w:val="41"/>
        <w:tblW w:w="9967" w:type="dxa"/>
        <w:jc w:val="center"/>
        <w:tblLayout w:type="fixed"/>
        <w:tblCellMar>
          <w:top w:w="0" w:type="dxa"/>
          <w:left w:w="108" w:type="dxa"/>
          <w:bottom w:w="0" w:type="dxa"/>
          <w:right w:w="108" w:type="dxa"/>
        </w:tblCellMar>
      </w:tblPr>
      <w:tblGrid>
        <w:gridCol w:w="1481"/>
        <w:gridCol w:w="987"/>
        <w:gridCol w:w="6159"/>
        <w:gridCol w:w="1340"/>
      </w:tblGrid>
      <w:tr w14:paraId="485A1D6C">
        <w:tblPrEx>
          <w:tblCellMar>
            <w:top w:w="0" w:type="dxa"/>
            <w:left w:w="108" w:type="dxa"/>
            <w:bottom w:w="0" w:type="dxa"/>
            <w:right w:w="108" w:type="dxa"/>
          </w:tblCellMar>
        </w:tblPrEx>
        <w:trPr>
          <w:trHeight w:val="337" w:hRule="atLeast"/>
          <w:jc w:val="center"/>
        </w:trPr>
        <w:tc>
          <w:tcPr>
            <w:tcW w:w="1481" w:type="dxa"/>
            <w:tcBorders>
              <w:top w:val="single" w:color="000000" w:sz="6" w:space="0"/>
              <w:left w:val="single" w:color="000000" w:sz="6" w:space="0"/>
              <w:bottom w:val="single" w:color="000000" w:sz="6" w:space="0"/>
              <w:right w:val="single" w:color="000000" w:sz="6" w:space="0"/>
            </w:tcBorders>
            <w:noWrap/>
            <w:vAlign w:val="center"/>
          </w:tcPr>
          <w:p w14:paraId="196F19FF">
            <w:pPr>
              <w:snapToGrid w:val="0"/>
              <w:spacing w:line="240" w:lineRule="auto"/>
              <w:ind w:firstLine="0" w:firstLineChars="0"/>
              <w:jc w:val="center"/>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rPr>
              <w:t>项目</w:t>
            </w:r>
          </w:p>
        </w:tc>
        <w:tc>
          <w:tcPr>
            <w:tcW w:w="987" w:type="dxa"/>
            <w:tcBorders>
              <w:top w:val="single" w:color="000000" w:sz="6" w:space="0"/>
              <w:left w:val="single" w:color="000000" w:sz="6" w:space="0"/>
              <w:bottom w:val="single" w:color="000000" w:sz="6" w:space="0"/>
              <w:right w:val="single" w:color="000000" w:sz="6" w:space="0"/>
            </w:tcBorders>
            <w:noWrap/>
            <w:vAlign w:val="center"/>
          </w:tcPr>
          <w:p w14:paraId="524ED4B3">
            <w:pPr>
              <w:snapToGrid w:val="0"/>
              <w:spacing w:line="240" w:lineRule="auto"/>
              <w:ind w:firstLine="0" w:firstLineChars="0"/>
              <w:jc w:val="center"/>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rPr>
              <w:t>频次</w:t>
            </w:r>
          </w:p>
        </w:tc>
        <w:tc>
          <w:tcPr>
            <w:tcW w:w="6159" w:type="dxa"/>
            <w:tcBorders>
              <w:top w:val="single" w:color="000000" w:sz="6" w:space="0"/>
              <w:left w:val="single" w:color="000000" w:sz="6" w:space="0"/>
              <w:bottom w:val="single" w:color="000000" w:sz="6" w:space="0"/>
              <w:right w:val="single" w:color="000000" w:sz="6" w:space="0"/>
            </w:tcBorders>
            <w:noWrap/>
            <w:vAlign w:val="center"/>
          </w:tcPr>
          <w:p w14:paraId="379C3B17">
            <w:pPr>
              <w:snapToGrid w:val="0"/>
              <w:spacing w:line="240" w:lineRule="auto"/>
              <w:ind w:firstLine="0" w:firstLineChars="0"/>
              <w:jc w:val="center"/>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rPr>
              <w:t>保养内容</w:t>
            </w:r>
          </w:p>
        </w:tc>
        <w:tc>
          <w:tcPr>
            <w:tcW w:w="1340" w:type="dxa"/>
            <w:tcBorders>
              <w:top w:val="single" w:color="000000" w:sz="6" w:space="0"/>
              <w:left w:val="single" w:color="000000" w:sz="6" w:space="0"/>
              <w:bottom w:val="single" w:color="000000" w:sz="6" w:space="0"/>
              <w:right w:val="single" w:color="000000" w:sz="6" w:space="0"/>
            </w:tcBorders>
            <w:noWrap/>
            <w:vAlign w:val="center"/>
          </w:tcPr>
          <w:p w14:paraId="322A231C">
            <w:pPr>
              <w:snapToGrid w:val="0"/>
              <w:spacing w:line="240" w:lineRule="auto"/>
              <w:ind w:firstLine="0" w:firstLineChars="0"/>
              <w:jc w:val="center"/>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rPr>
              <w:t>保养要求</w:t>
            </w:r>
          </w:p>
        </w:tc>
      </w:tr>
      <w:tr w14:paraId="3CB16FA5">
        <w:tblPrEx>
          <w:tblCellMar>
            <w:top w:w="0" w:type="dxa"/>
            <w:left w:w="108" w:type="dxa"/>
            <w:bottom w:w="0" w:type="dxa"/>
            <w:right w:w="108" w:type="dxa"/>
          </w:tblCellMar>
        </w:tblPrEx>
        <w:trPr>
          <w:trHeight w:val="1076" w:hRule="atLeast"/>
          <w:jc w:val="center"/>
        </w:trPr>
        <w:tc>
          <w:tcPr>
            <w:tcW w:w="1481" w:type="dxa"/>
            <w:vMerge w:val="restart"/>
            <w:tcBorders>
              <w:top w:val="single" w:color="000000" w:sz="6" w:space="0"/>
              <w:left w:val="single" w:color="000000" w:sz="6" w:space="0"/>
              <w:bottom w:val="single" w:color="000000" w:sz="6" w:space="0"/>
              <w:right w:val="single" w:color="000000" w:sz="6" w:space="0"/>
            </w:tcBorders>
            <w:noWrap/>
            <w:vAlign w:val="center"/>
          </w:tcPr>
          <w:p w14:paraId="403D07A4">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火灾自动报警系统</w:t>
            </w:r>
          </w:p>
          <w:p w14:paraId="097FF767">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（FAS）</w:t>
            </w:r>
          </w:p>
        </w:tc>
        <w:tc>
          <w:tcPr>
            <w:tcW w:w="987" w:type="dxa"/>
            <w:tcBorders>
              <w:top w:val="single" w:color="000000" w:sz="6" w:space="0"/>
              <w:left w:val="single" w:color="000000" w:sz="6" w:space="0"/>
              <w:bottom w:val="single" w:color="000000" w:sz="6" w:space="0"/>
              <w:right w:val="single" w:color="000000" w:sz="6" w:space="0"/>
            </w:tcBorders>
            <w:noWrap/>
            <w:vAlign w:val="center"/>
          </w:tcPr>
          <w:p w14:paraId="5F9FB859">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每天</w:t>
            </w:r>
          </w:p>
          <w:p w14:paraId="08DC2872">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一次</w:t>
            </w:r>
          </w:p>
        </w:tc>
        <w:tc>
          <w:tcPr>
            <w:tcW w:w="6159" w:type="dxa"/>
            <w:tcBorders>
              <w:top w:val="single" w:color="000000" w:sz="6" w:space="0"/>
              <w:left w:val="single" w:color="000000" w:sz="6" w:space="0"/>
              <w:bottom w:val="single" w:color="000000" w:sz="6" w:space="0"/>
              <w:right w:val="single" w:color="000000" w:sz="6" w:space="0"/>
            </w:tcBorders>
            <w:noWrap/>
            <w:vAlign w:val="top"/>
          </w:tcPr>
          <w:p w14:paraId="225BBE3C">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1.每天对火灾自动报警系统控制器的运行状态进行检查，着重检查火警功能及故障监视状态及动作监视状态，一有故障，及时处理，并进行主、备电源切换试验。</w:t>
            </w:r>
          </w:p>
          <w:p w14:paraId="3003EF18">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2.对主机及联运柜外表进行清洁。</w:t>
            </w:r>
          </w:p>
        </w:tc>
        <w:tc>
          <w:tcPr>
            <w:tcW w:w="1340" w:type="dxa"/>
            <w:tcBorders>
              <w:top w:val="single" w:color="000000" w:sz="6" w:space="0"/>
              <w:left w:val="single" w:color="000000" w:sz="6" w:space="0"/>
              <w:bottom w:val="single" w:color="000000" w:sz="6" w:space="0"/>
              <w:right w:val="single" w:color="000000" w:sz="6" w:space="0"/>
            </w:tcBorders>
            <w:noWrap/>
            <w:vAlign w:val="center"/>
          </w:tcPr>
          <w:p w14:paraId="7A38EA4E">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外观良好，功能正常。</w:t>
            </w:r>
          </w:p>
        </w:tc>
      </w:tr>
      <w:tr w14:paraId="5783A6A8">
        <w:tblPrEx>
          <w:tblCellMar>
            <w:top w:w="0" w:type="dxa"/>
            <w:left w:w="108" w:type="dxa"/>
            <w:bottom w:w="0" w:type="dxa"/>
            <w:right w:w="108" w:type="dxa"/>
          </w:tblCellMar>
        </w:tblPrEx>
        <w:trPr>
          <w:trHeight w:val="2933" w:hRule="atLeast"/>
          <w:jc w:val="center"/>
        </w:trPr>
        <w:tc>
          <w:tcPr>
            <w:tcW w:w="1481" w:type="dxa"/>
            <w:vMerge w:val="continue"/>
            <w:tcBorders>
              <w:top w:val="single" w:color="000000" w:sz="6" w:space="0"/>
              <w:left w:val="single" w:color="000000" w:sz="6" w:space="0"/>
              <w:bottom w:val="single" w:color="000000" w:sz="6" w:space="0"/>
              <w:right w:val="single" w:color="000000" w:sz="6" w:space="0"/>
            </w:tcBorders>
            <w:noWrap/>
            <w:vAlign w:val="center"/>
          </w:tcPr>
          <w:p w14:paraId="20A18D30">
            <w:pPr>
              <w:snapToGrid w:val="0"/>
              <w:spacing w:line="240" w:lineRule="auto"/>
              <w:ind w:firstLine="0" w:firstLineChars="0"/>
              <w:jc w:val="both"/>
              <w:rPr>
                <w:rFonts w:hint="eastAsia" w:ascii="宋体" w:hAnsi="宋体" w:eastAsia="宋体" w:cs="宋体"/>
                <w:color w:val="auto"/>
                <w:kern w:val="2"/>
                <w:sz w:val="21"/>
                <w:szCs w:val="21"/>
              </w:rPr>
            </w:pPr>
          </w:p>
        </w:tc>
        <w:tc>
          <w:tcPr>
            <w:tcW w:w="987" w:type="dxa"/>
            <w:tcBorders>
              <w:top w:val="single" w:color="000000" w:sz="6" w:space="0"/>
              <w:left w:val="single" w:color="000000" w:sz="6" w:space="0"/>
              <w:bottom w:val="single" w:color="000000" w:sz="6" w:space="0"/>
              <w:right w:val="single" w:color="000000" w:sz="6" w:space="0"/>
            </w:tcBorders>
            <w:noWrap/>
            <w:vAlign w:val="center"/>
          </w:tcPr>
          <w:p w14:paraId="29237B28">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每月</w:t>
            </w:r>
          </w:p>
          <w:p w14:paraId="77D875CA">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一次</w:t>
            </w:r>
          </w:p>
        </w:tc>
        <w:tc>
          <w:tcPr>
            <w:tcW w:w="6159" w:type="dxa"/>
            <w:tcBorders>
              <w:top w:val="single" w:color="000000" w:sz="6" w:space="0"/>
              <w:left w:val="single" w:color="000000" w:sz="6" w:space="0"/>
              <w:bottom w:val="single" w:color="000000" w:sz="6" w:space="0"/>
              <w:right w:val="single" w:color="000000" w:sz="6" w:space="0"/>
            </w:tcBorders>
            <w:noWrap/>
            <w:vAlign w:val="top"/>
          </w:tcPr>
          <w:p w14:paraId="13207F4F">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1.完成日检查保养全部内容。</w:t>
            </w:r>
          </w:p>
          <w:p w14:paraId="39B03AF3">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2.控制器主要工作电压测试。</w:t>
            </w:r>
          </w:p>
          <w:p w14:paraId="60BEDEFC">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3.烟感、温感探头安装倾斜度不大于45度，与底座接触是否良好，外观是否洁净完好。</w:t>
            </w:r>
          </w:p>
          <w:p w14:paraId="4240F34F">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4.随机抽取不低于2％的温、烟感探头，检查报警是否正确。</w:t>
            </w:r>
          </w:p>
          <w:p w14:paraId="28F34807">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手动报警按钮，检查安装是否牢固，有无破损及丢失。</w:t>
            </w:r>
          </w:p>
          <w:p w14:paraId="2DB3F0B1">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1.任选手动报警按钮模拟报警，测试报警功能是否正常。</w:t>
            </w:r>
          </w:p>
          <w:p w14:paraId="3F99D7E2">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2.检查系统外围设备的反馈信号，确保正常运行。</w:t>
            </w:r>
          </w:p>
          <w:p w14:paraId="3DDC43F6">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3.检查消防电话插孔的消防电话是否正常。</w:t>
            </w:r>
          </w:p>
          <w:p w14:paraId="4EDECDBF">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4.检查工作电池组、充电器的工作状态以及检查备用电池的容量是否符合标准。</w:t>
            </w:r>
          </w:p>
        </w:tc>
        <w:tc>
          <w:tcPr>
            <w:tcW w:w="1340" w:type="dxa"/>
            <w:tcBorders>
              <w:top w:val="single" w:color="000000" w:sz="6" w:space="0"/>
              <w:left w:val="single" w:color="000000" w:sz="6" w:space="0"/>
              <w:bottom w:val="single" w:color="000000" w:sz="6" w:space="0"/>
              <w:right w:val="single" w:color="000000" w:sz="6" w:space="0"/>
            </w:tcBorders>
            <w:noWrap/>
            <w:vAlign w:val="center"/>
          </w:tcPr>
          <w:p w14:paraId="1112BB32">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设备运行正常，各项功能正常。</w:t>
            </w:r>
          </w:p>
        </w:tc>
      </w:tr>
      <w:tr w14:paraId="41045D4A">
        <w:tblPrEx>
          <w:tblCellMar>
            <w:top w:w="0" w:type="dxa"/>
            <w:left w:w="108" w:type="dxa"/>
            <w:bottom w:w="0" w:type="dxa"/>
            <w:right w:w="108" w:type="dxa"/>
          </w:tblCellMar>
        </w:tblPrEx>
        <w:trPr>
          <w:trHeight w:val="1341" w:hRule="atLeast"/>
          <w:jc w:val="center"/>
        </w:trPr>
        <w:tc>
          <w:tcPr>
            <w:tcW w:w="1481" w:type="dxa"/>
            <w:vMerge w:val="continue"/>
            <w:tcBorders>
              <w:top w:val="single" w:color="000000" w:sz="6" w:space="0"/>
              <w:left w:val="single" w:color="000000" w:sz="6" w:space="0"/>
              <w:bottom w:val="single" w:color="000000" w:sz="6" w:space="0"/>
              <w:right w:val="single" w:color="000000" w:sz="6" w:space="0"/>
            </w:tcBorders>
            <w:noWrap/>
            <w:vAlign w:val="center"/>
          </w:tcPr>
          <w:p w14:paraId="5504ECD4">
            <w:pPr>
              <w:spacing w:line="240" w:lineRule="auto"/>
              <w:ind w:firstLine="0" w:firstLineChars="0"/>
              <w:jc w:val="both"/>
              <w:rPr>
                <w:rFonts w:hint="eastAsia" w:ascii="宋体" w:hAnsi="宋体" w:eastAsia="宋体" w:cs="宋体"/>
                <w:color w:val="auto"/>
                <w:kern w:val="2"/>
                <w:sz w:val="21"/>
                <w:szCs w:val="21"/>
              </w:rPr>
            </w:pPr>
          </w:p>
        </w:tc>
        <w:tc>
          <w:tcPr>
            <w:tcW w:w="987" w:type="dxa"/>
            <w:tcBorders>
              <w:top w:val="single" w:color="000000" w:sz="6" w:space="0"/>
              <w:left w:val="single" w:color="000000" w:sz="6" w:space="0"/>
              <w:bottom w:val="single" w:color="000000" w:sz="6" w:space="0"/>
              <w:right w:val="single" w:color="000000" w:sz="6" w:space="0"/>
            </w:tcBorders>
            <w:noWrap/>
            <w:vAlign w:val="center"/>
          </w:tcPr>
          <w:p w14:paraId="1B92A397">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每年</w:t>
            </w:r>
          </w:p>
          <w:p w14:paraId="4563C361">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二次</w:t>
            </w:r>
          </w:p>
        </w:tc>
        <w:tc>
          <w:tcPr>
            <w:tcW w:w="6159" w:type="dxa"/>
            <w:tcBorders>
              <w:top w:val="single" w:color="000000" w:sz="6" w:space="0"/>
              <w:left w:val="single" w:color="000000" w:sz="6" w:space="0"/>
              <w:bottom w:val="single" w:color="000000" w:sz="6" w:space="0"/>
              <w:right w:val="single" w:color="000000" w:sz="6" w:space="0"/>
            </w:tcBorders>
            <w:noWrap/>
            <w:vAlign w:val="top"/>
          </w:tcPr>
          <w:p w14:paraId="4CE4E6A5">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1.对楼层内弱电井中各模块箱进行外观检查，外接线是否固定良好。</w:t>
            </w:r>
          </w:p>
          <w:p w14:paraId="6F1B5217">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2.火灾报警控制柜、联动柜等进行清扫除尘。</w:t>
            </w:r>
          </w:p>
          <w:p w14:paraId="51C9BAD4">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3.线路松动，应进行紧固。对自检、消音、复位功能检查，主电源与备用电源切换、报警检查。</w:t>
            </w:r>
          </w:p>
        </w:tc>
        <w:tc>
          <w:tcPr>
            <w:tcW w:w="1340" w:type="dxa"/>
            <w:tcBorders>
              <w:top w:val="single" w:color="000000" w:sz="6" w:space="0"/>
              <w:left w:val="single" w:color="000000" w:sz="6" w:space="0"/>
              <w:bottom w:val="single" w:color="000000" w:sz="6" w:space="0"/>
              <w:right w:val="single" w:color="000000" w:sz="6" w:space="0"/>
            </w:tcBorders>
            <w:noWrap/>
            <w:vAlign w:val="center"/>
          </w:tcPr>
          <w:p w14:paraId="5EF11FE8">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设备运行正常，各项功能正常。</w:t>
            </w:r>
          </w:p>
        </w:tc>
      </w:tr>
      <w:tr w14:paraId="47378F5A">
        <w:tblPrEx>
          <w:tblCellMar>
            <w:top w:w="0" w:type="dxa"/>
            <w:left w:w="108" w:type="dxa"/>
            <w:bottom w:w="0" w:type="dxa"/>
            <w:right w:w="108" w:type="dxa"/>
          </w:tblCellMar>
        </w:tblPrEx>
        <w:trPr>
          <w:trHeight w:val="1357" w:hRule="atLeast"/>
          <w:jc w:val="center"/>
        </w:trPr>
        <w:tc>
          <w:tcPr>
            <w:tcW w:w="1481" w:type="dxa"/>
            <w:tcBorders>
              <w:top w:val="single" w:color="000000" w:sz="6" w:space="0"/>
              <w:left w:val="single" w:color="000000" w:sz="6" w:space="0"/>
              <w:bottom w:val="single" w:color="000000" w:sz="6" w:space="0"/>
              <w:right w:val="single" w:color="000000" w:sz="6" w:space="0"/>
            </w:tcBorders>
            <w:noWrap/>
            <w:vAlign w:val="center"/>
          </w:tcPr>
          <w:p w14:paraId="35C38F27">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消防联动系统</w:t>
            </w:r>
          </w:p>
        </w:tc>
        <w:tc>
          <w:tcPr>
            <w:tcW w:w="987" w:type="dxa"/>
            <w:tcBorders>
              <w:top w:val="single" w:color="000000" w:sz="6" w:space="0"/>
              <w:left w:val="single" w:color="000000" w:sz="6" w:space="0"/>
              <w:bottom w:val="single" w:color="000000" w:sz="6" w:space="0"/>
              <w:right w:val="single" w:color="000000" w:sz="6" w:space="0"/>
            </w:tcBorders>
            <w:noWrap/>
            <w:vAlign w:val="center"/>
          </w:tcPr>
          <w:p w14:paraId="52CF16C3">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每月</w:t>
            </w:r>
          </w:p>
          <w:p w14:paraId="3CB9F1DC">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一次</w:t>
            </w:r>
          </w:p>
        </w:tc>
        <w:tc>
          <w:tcPr>
            <w:tcW w:w="6159" w:type="dxa"/>
            <w:tcBorders>
              <w:top w:val="single" w:color="000000" w:sz="6" w:space="0"/>
              <w:left w:val="single" w:color="000000" w:sz="6" w:space="0"/>
              <w:bottom w:val="single" w:color="000000" w:sz="6" w:space="0"/>
              <w:right w:val="single" w:color="000000" w:sz="6" w:space="0"/>
            </w:tcBorders>
            <w:noWrap/>
            <w:vAlign w:val="top"/>
          </w:tcPr>
          <w:p w14:paraId="4571BA82">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1.消防送风和排烟风机功能及送风阀和排烟阀联动讯号试验。</w:t>
            </w:r>
          </w:p>
          <w:p w14:paraId="020E67ED">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2.新风系统新风机和排气机的防火阀功能及联动讯号试验。</w:t>
            </w:r>
          </w:p>
          <w:p w14:paraId="3C3BF7C0">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3.消防电梯的人工迫降的信号检查试验。</w:t>
            </w:r>
          </w:p>
          <w:p w14:paraId="7089B86D">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4.非消防电梯迫降首层的信号和联锁信号试验。</w:t>
            </w:r>
          </w:p>
          <w:p w14:paraId="6C154D9B">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5.以上各联动机构连接消防中心相应控制屏的讯号是否正常。</w:t>
            </w:r>
          </w:p>
        </w:tc>
        <w:tc>
          <w:tcPr>
            <w:tcW w:w="1340" w:type="dxa"/>
            <w:tcBorders>
              <w:top w:val="single" w:color="000000" w:sz="6" w:space="0"/>
              <w:left w:val="single" w:color="000000" w:sz="6" w:space="0"/>
              <w:bottom w:val="single" w:color="000000" w:sz="6" w:space="0"/>
              <w:right w:val="single" w:color="000000" w:sz="6" w:space="0"/>
            </w:tcBorders>
            <w:noWrap/>
            <w:vAlign w:val="center"/>
          </w:tcPr>
          <w:p w14:paraId="147D6AF0">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各功能正常</w:t>
            </w:r>
          </w:p>
        </w:tc>
      </w:tr>
      <w:tr w14:paraId="4D2D9388">
        <w:tblPrEx>
          <w:tblCellMar>
            <w:top w:w="0" w:type="dxa"/>
            <w:left w:w="108" w:type="dxa"/>
            <w:bottom w:w="0" w:type="dxa"/>
            <w:right w:w="108" w:type="dxa"/>
          </w:tblCellMar>
        </w:tblPrEx>
        <w:trPr>
          <w:trHeight w:val="2137" w:hRule="atLeast"/>
          <w:jc w:val="center"/>
        </w:trPr>
        <w:tc>
          <w:tcPr>
            <w:tcW w:w="1481" w:type="dxa"/>
            <w:tcBorders>
              <w:top w:val="single" w:color="000000" w:sz="6" w:space="0"/>
              <w:left w:val="single" w:color="000000" w:sz="6" w:space="0"/>
              <w:bottom w:val="single" w:color="000000" w:sz="6" w:space="0"/>
              <w:right w:val="single" w:color="000000" w:sz="6" w:space="0"/>
            </w:tcBorders>
            <w:noWrap/>
            <w:vAlign w:val="center"/>
          </w:tcPr>
          <w:p w14:paraId="763BA637">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应急广播和消防对讲电话</w:t>
            </w:r>
          </w:p>
        </w:tc>
        <w:tc>
          <w:tcPr>
            <w:tcW w:w="987" w:type="dxa"/>
            <w:tcBorders>
              <w:top w:val="single" w:color="000000" w:sz="6" w:space="0"/>
              <w:left w:val="single" w:color="000000" w:sz="6" w:space="0"/>
              <w:bottom w:val="single" w:color="000000" w:sz="6" w:space="0"/>
              <w:right w:val="single" w:color="000000" w:sz="6" w:space="0"/>
            </w:tcBorders>
            <w:noWrap/>
            <w:vAlign w:val="center"/>
          </w:tcPr>
          <w:p w14:paraId="15BA0578">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每月</w:t>
            </w:r>
          </w:p>
          <w:p w14:paraId="09864BD0">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一次</w:t>
            </w:r>
          </w:p>
        </w:tc>
        <w:tc>
          <w:tcPr>
            <w:tcW w:w="6159" w:type="dxa"/>
            <w:tcBorders>
              <w:top w:val="single" w:color="000000" w:sz="6" w:space="0"/>
              <w:left w:val="single" w:color="000000" w:sz="6" w:space="0"/>
              <w:bottom w:val="single" w:color="000000" w:sz="6" w:space="0"/>
              <w:right w:val="single" w:color="000000" w:sz="6" w:space="0"/>
            </w:tcBorders>
            <w:noWrap/>
            <w:vAlign w:val="top"/>
          </w:tcPr>
          <w:p w14:paraId="096DF85C">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1.清洁设备。</w:t>
            </w:r>
          </w:p>
          <w:p w14:paraId="2A6E5FC3">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2.检查外观是否良好，检查线路及设备是正常。</w:t>
            </w:r>
          </w:p>
          <w:p w14:paraId="735C3595">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3.检测每层广播喇叭和电话的效果，有故障，马上更换。</w:t>
            </w:r>
          </w:p>
          <w:p w14:paraId="3AF9B7E6">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4.检查测试消防广播主机和扩音机各功能是否正常，循环检查完所有的消防广播。</w:t>
            </w:r>
          </w:p>
          <w:p w14:paraId="4DDDE3F2">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5.每月定期模拟火灾时测试系统的切换功能是否正常。</w:t>
            </w:r>
          </w:p>
          <w:p w14:paraId="053C11A4">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6.每月定期检测系统各项运行参数是否正常，是否达到消防广播效果。</w:t>
            </w:r>
          </w:p>
        </w:tc>
        <w:tc>
          <w:tcPr>
            <w:tcW w:w="1340" w:type="dxa"/>
            <w:tcBorders>
              <w:top w:val="single" w:color="000000" w:sz="6" w:space="0"/>
              <w:left w:val="single" w:color="000000" w:sz="6" w:space="0"/>
              <w:bottom w:val="single" w:color="000000" w:sz="6" w:space="0"/>
              <w:right w:val="single" w:color="000000" w:sz="6" w:space="0"/>
            </w:tcBorders>
            <w:noWrap/>
            <w:vAlign w:val="center"/>
          </w:tcPr>
          <w:p w14:paraId="37689BFE">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通信畅通，音响效果达到要求</w:t>
            </w:r>
          </w:p>
        </w:tc>
      </w:tr>
      <w:tr w14:paraId="66CCB274">
        <w:tblPrEx>
          <w:tblCellMar>
            <w:top w:w="0" w:type="dxa"/>
            <w:left w:w="108" w:type="dxa"/>
            <w:bottom w:w="0" w:type="dxa"/>
            <w:right w:w="108" w:type="dxa"/>
          </w:tblCellMar>
        </w:tblPrEx>
        <w:trPr>
          <w:trHeight w:val="811" w:hRule="atLeast"/>
          <w:jc w:val="center"/>
        </w:trPr>
        <w:tc>
          <w:tcPr>
            <w:tcW w:w="1481" w:type="dxa"/>
            <w:tcBorders>
              <w:top w:val="single" w:color="000000" w:sz="6" w:space="0"/>
              <w:left w:val="single" w:color="000000" w:sz="6" w:space="0"/>
              <w:bottom w:val="single" w:color="000000" w:sz="6" w:space="0"/>
              <w:right w:val="single" w:color="000000" w:sz="6" w:space="0"/>
            </w:tcBorders>
            <w:noWrap/>
            <w:vAlign w:val="center"/>
          </w:tcPr>
          <w:p w14:paraId="547C901F">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防排烟</w:t>
            </w:r>
          </w:p>
          <w:p w14:paraId="1EE4CE5B">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风机</w:t>
            </w:r>
          </w:p>
        </w:tc>
        <w:tc>
          <w:tcPr>
            <w:tcW w:w="987" w:type="dxa"/>
            <w:tcBorders>
              <w:top w:val="single" w:color="000000" w:sz="6" w:space="0"/>
              <w:left w:val="single" w:color="000000" w:sz="6" w:space="0"/>
              <w:bottom w:val="single" w:color="000000" w:sz="6" w:space="0"/>
              <w:right w:val="single" w:color="000000" w:sz="6" w:space="0"/>
            </w:tcBorders>
            <w:noWrap/>
            <w:vAlign w:val="center"/>
          </w:tcPr>
          <w:p w14:paraId="0C7F8686">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每月</w:t>
            </w:r>
          </w:p>
          <w:p w14:paraId="56707AEE">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一次</w:t>
            </w:r>
          </w:p>
        </w:tc>
        <w:tc>
          <w:tcPr>
            <w:tcW w:w="6159" w:type="dxa"/>
            <w:tcBorders>
              <w:top w:val="single" w:color="000000" w:sz="6" w:space="0"/>
              <w:left w:val="single" w:color="000000" w:sz="6" w:space="0"/>
              <w:bottom w:val="single" w:color="000000" w:sz="6" w:space="0"/>
              <w:right w:val="single" w:color="000000" w:sz="6" w:space="0"/>
            </w:tcBorders>
            <w:noWrap/>
            <w:vAlign w:val="top"/>
          </w:tcPr>
          <w:p w14:paraId="3D5C9FC3">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1.清洁卫生。</w:t>
            </w:r>
          </w:p>
          <w:p w14:paraId="3E109E46">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2.手动运行一次。</w:t>
            </w:r>
          </w:p>
          <w:p w14:paraId="6C3E54B1">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3.设备标示。</w:t>
            </w:r>
          </w:p>
        </w:tc>
        <w:tc>
          <w:tcPr>
            <w:tcW w:w="1340" w:type="dxa"/>
            <w:tcBorders>
              <w:top w:val="single" w:color="000000" w:sz="6" w:space="0"/>
              <w:left w:val="single" w:color="000000" w:sz="6" w:space="0"/>
              <w:bottom w:val="single" w:color="000000" w:sz="6" w:space="0"/>
              <w:right w:val="single" w:color="000000" w:sz="6" w:space="0"/>
            </w:tcBorders>
            <w:noWrap/>
            <w:vAlign w:val="center"/>
          </w:tcPr>
          <w:p w14:paraId="3AD42F5C">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外观良好、</w:t>
            </w:r>
          </w:p>
          <w:p w14:paraId="0530CB74">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运行正常、</w:t>
            </w:r>
          </w:p>
          <w:p w14:paraId="46F6F3C8">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标示清楚。</w:t>
            </w:r>
          </w:p>
        </w:tc>
      </w:tr>
      <w:tr w14:paraId="1E040FB7">
        <w:tblPrEx>
          <w:tblCellMar>
            <w:top w:w="0" w:type="dxa"/>
            <w:left w:w="108" w:type="dxa"/>
            <w:bottom w:w="0" w:type="dxa"/>
            <w:right w:w="108" w:type="dxa"/>
          </w:tblCellMar>
        </w:tblPrEx>
        <w:trPr>
          <w:trHeight w:val="1607" w:hRule="atLeast"/>
          <w:jc w:val="center"/>
        </w:trPr>
        <w:tc>
          <w:tcPr>
            <w:tcW w:w="1481" w:type="dxa"/>
            <w:vMerge w:val="restart"/>
            <w:tcBorders>
              <w:top w:val="single" w:color="000000" w:sz="6" w:space="0"/>
              <w:left w:val="single" w:color="000000" w:sz="6" w:space="0"/>
              <w:bottom w:val="single" w:color="000000" w:sz="6" w:space="0"/>
              <w:right w:val="single" w:color="000000" w:sz="6" w:space="0"/>
            </w:tcBorders>
            <w:noWrap/>
            <w:vAlign w:val="center"/>
          </w:tcPr>
          <w:p w14:paraId="63C5A50B">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防排烟</w:t>
            </w:r>
          </w:p>
          <w:p w14:paraId="220136EB">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风机</w:t>
            </w:r>
          </w:p>
        </w:tc>
        <w:tc>
          <w:tcPr>
            <w:tcW w:w="987" w:type="dxa"/>
            <w:tcBorders>
              <w:top w:val="single" w:color="000000" w:sz="6" w:space="0"/>
              <w:left w:val="single" w:color="000000" w:sz="6" w:space="0"/>
              <w:bottom w:val="single" w:color="000000" w:sz="6" w:space="0"/>
              <w:right w:val="single" w:color="000000" w:sz="6" w:space="0"/>
            </w:tcBorders>
            <w:noWrap/>
            <w:vAlign w:val="center"/>
          </w:tcPr>
          <w:p w14:paraId="539A17F7">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每季度一次</w:t>
            </w:r>
          </w:p>
        </w:tc>
        <w:tc>
          <w:tcPr>
            <w:tcW w:w="6159" w:type="dxa"/>
            <w:tcBorders>
              <w:top w:val="single" w:color="000000" w:sz="6" w:space="0"/>
              <w:left w:val="single" w:color="000000" w:sz="6" w:space="0"/>
              <w:bottom w:val="single" w:color="000000" w:sz="6" w:space="0"/>
              <w:right w:val="single" w:color="000000" w:sz="6" w:space="0"/>
            </w:tcBorders>
            <w:noWrap/>
            <w:vAlign w:val="top"/>
          </w:tcPr>
          <w:p w14:paraId="266BA08F">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1.断开主电源，挂上标示牌，检查电机接地是否良好。</w:t>
            </w:r>
          </w:p>
          <w:p w14:paraId="6172BC53">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2.紧固各部分松动的螺丝及联轴器。</w:t>
            </w:r>
          </w:p>
          <w:p w14:paraId="3A397E55">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3.检测电动机的绝缘电阻，检查主回路接触点。</w:t>
            </w:r>
          </w:p>
          <w:p w14:paraId="5F6649B1">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4.调整皮带松紧，手转皮带轮，观察转动是否良好。</w:t>
            </w:r>
          </w:p>
          <w:p w14:paraId="1E12F1D0">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5.清洁电机及风滤器和机壳内部。</w:t>
            </w:r>
          </w:p>
          <w:p w14:paraId="229359D0">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6.转动部位加润滑油，保证联轴器及轴承灵活及稳定。</w:t>
            </w:r>
          </w:p>
          <w:p w14:paraId="385ACB09">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7.检查防火阀的机械开闭动作、开闭角度标志。</w:t>
            </w:r>
          </w:p>
          <w:p w14:paraId="2AC35A9E">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8.手动开机测定三相电流值，检查指示灯电压、电流表，听查风机各部件运行声音。</w:t>
            </w:r>
          </w:p>
          <w:p w14:paraId="01AD5A58">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9.各远控点的控制箱(含箱内元件)全面检查。</w:t>
            </w:r>
          </w:p>
          <w:p w14:paraId="75997459">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10.连续三次停开机检查手动各点远控的正确性、可靠性。</w:t>
            </w:r>
          </w:p>
          <w:p w14:paraId="2487DB13">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11.连续运转半小时验证风机运转正常。</w:t>
            </w:r>
          </w:p>
        </w:tc>
        <w:tc>
          <w:tcPr>
            <w:tcW w:w="1340" w:type="dxa"/>
            <w:tcBorders>
              <w:top w:val="single" w:color="000000" w:sz="6" w:space="0"/>
              <w:left w:val="single" w:color="000000" w:sz="6" w:space="0"/>
              <w:bottom w:val="single" w:color="000000" w:sz="6" w:space="0"/>
              <w:right w:val="single" w:color="000000" w:sz="6" w:space="0"/>
            </w:tcBorders>
            <w:noWrap/>
            <w:vAlign w:val="center"/>
          </w:tcPr>
          <w:p w14:paraId="120A1791">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润滑良好，</w:t>
            </w:r>
          </w:p>
          <w:p w14:paraId="77C88B0F">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运行正常。</w:t>
            </w:r>
          </w:p>
        </w:tc>
      </w:tr>
      <w:tr w14:paraId="2F7375E1">
        <w:tblPrEx>
          <w:tblCellMar>
            <w:top w:w="0" w:type="dxa"/>
            <w:left w:w="108" w:type="dxa"/>
            <w:bottom w:w="0" w:type="dxa"/>
            <w:right w:w="108" w:type="dxa"/>
          </w:tblCellMar>
        </w:tblPrEx>
        <w:trPr>
          <w:trHeight w:val="545" w:hRule="atLeast"/>
          <w:jc w:val="center"/>
        </w:trPr>
        <w:tc>
          <w:tcPr>
            <w:tcW w:w="1481" w:type="dxa"/>
            <w:vMerge w:val="continue"/>
            <w:tcBorders>
              <w:top w:val="single" w:color="000000" w:sz="6" w:space="0"/>
              <w:left w:val="single" w:color="000000" w:sz="6" w:space="0"/>
              <w:bottom w:val="single" w:color="000000" w:sz="6" w:space="0"/>
              <w:right w:val="single" w:color="000000" w:sz="6" w:space="0"/>
            </w:tcBorders>
            <w:noWrap/>
            <w:vAlign w:val="center"/>
          </w:tcPr>
          <w:p w14:paraId="5B91F260">
            <w:pPr>
              <w:spacing w:line="240" w:lineRule="auto"/>
              <w:ind w:firstLine="0" w:firstLineChars="0"/>
              <w:jc w:val="both"/>
              <w:rPr>
                <w:rFonts w:hint="eastAsia" w:ascii="宋体" w:hAnsi="宋体" w:eastAsia="宋体" w:cs="宋体"/>
                <w:color w:val="auto"/>
                <w:kern w:val="2"/>
                <w:sz w:val="21"/>
                <w:szCs w:val="21"/>
              </w:rPr>
            </w:pPr>
          </w:p>
        </w:tc>
        <w:tc>
          <w:tcPr>
            <w:tcW w:w="987" w:type="dxa"/>
            <w:tcBorders>
              <w:top w:val="single" w:color="000000" w:sz="6" w:space="0"/>
              <w:left w:val="single" w:color="000000" w:sz="6" w:space="0"/>
              <w:bottom w:val="single" w:color="000000" w:sz="6" w:space="0"/>
              <w:right w:val="single" w:color="000000" w:sz="6" w:space="0"/>
            </w:tcBorders>
            <w:noWrap/>
            <w:vAlign w:val="center"/>
          </w:tcPr>
          <w:p w14:paraId="6D5E7244">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每年</w:t>
            </w:r>
          </w:p>
          <w:p w14:paraId="4A162EF2">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二次</w:t>
            </w:r>
          </w:p>
        </w:tc>
        <w:tc>
          <w:tcPr>
            <w:tcW w:w="6159" w:type="dxa"/>
            <w:tcBorders>
              <w:top w:val="single" w:color="000000" w:sz="6" w:space="0"/>
              <w:left w:val="single" w:color="000000" w:sz="6" w:space="0"/>
              <w:bottom w:val="single" w:color="000000" w:sz="6" w:space="0"/>
              <w:right w:val="single" w:color="000000" w:sz="6" w:space="0"/>
            </w:tcBorders>
            <w:noWrap/>
            <w:vAlign w:val="top"/>
          </w:tcPr>
          <w:p w14:paraId="549CFCD4">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1.清洗、更换风机轴承，检测接地电阻。</w:t>
            </w:r>
          </w:p>
          <w:p w14:paraId="2EC76293">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2.风机外壳清锈、刷漆。</w:t>
            </w:r>
          </w:p>
        </w:tc>
        <w:tc>
          <w:tcPr>
            <w:tcW w:w="1340" w:type="dxa"/>
            <w:tcBorders>
              <w:top w:val="single" w:color="000000" w:sz="6" w:space="0"/>
              <w:left w:val="single" w:color="000000" w:sz="6" w:space="0"/>
              <w:bottom w:val="single" w:color="000000" w:sz="6" w:space="0"/>
              <w:right w:val="single" w:color="000000" w:sz="6" w:space="0"/>
            </w:tcBorders>
            <w:noWrap/>
            <w:vAlign w:val="center"/>
          </w:tcPr>
          <w:p w14:paraId="1C2CCC44">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外观良好，</w:t>
            </w:r>
          </w:p>
          <w:p w14:paraId="6C5362F6">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标示清晰。</w:t>
            </w:r>
          </w:p>
        </w:tc>
      </w:tr>
      <w:tr w14:paraId="4A219D06">
        <w:tblPrEx>
          <w:tblCellMar>
            <w:top w:w="0" w:type="dxa"/>
            <w:left w:w="108" w:type="dxa"/>
            <w:bottom w:w="0" w:type="dxa"/>
            <w:right w:w="108" w:type="dxa"/>
          </w:tblCellMar>
        </w:tblPrEx>
        <w:trPr>
          <w:trHeight w:val="811" w:hRule="atLeast"/>
          <w:jc w:val="center"/>
        </w:trPr>
        <w:tc>
          <w:tcPr>
            <w:tcW w:w="1481" w:type="dxa"/>
            <w:vMerge w:val="restart"/>
            <w:tcBorders>
              <w:top w:val="single" w:color="000000" w:sz="6" w:space="0"/>
              <w:left w:val="single" w:color="000000" w:sz="6" w:space="0"/>
              <w:bottom w:val="single" w:color="000000" w:sz="6" w:space="0"/>
              <w:right w:val="single" w:color="000000" w:sz="6" w:space="0"/>
            </w:tcBorders>
            <w:noWrap/>
            <w:vAlign w:val="center"/>
          </w:tcPr>
          <w:p w14:paraId="247E637A">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气体灭火系统</w:t>
            </w:r>
          </w:p>
        </w:tc>
        <w:tc>
          <w:tcPr>
            <w:tcW w:w="987" w:type="dxa"/>
            <w:tcBorders>
              <w:top w:val="single" w:color="000000" w:sz="6" w:space="0"/>
              <w:left w:val="single" w:color="000000" w:sz="6" w:space="0"/>
              <w:bottom w:val="single" w:color="000000" w:sz="6" w:space="0"/>
              <w:right w:val="single" w:color="000000" w:sz="6" w:space="0"/>
            </w:tcBorders>
            <w:noWrap/>
            <w:vAlign w:val="center"/>
          </w:tcPr>
          <w:p w14:paraId="35934EC3">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每月</w:t>
            </w:r>
          </w:p>
          <w:p w14:paraId="62FDE14D">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一次</w:t>
            </w:r>
          </w:p>
        </w:tc>
        <w:tc>
          <w:tcPr>
            <w:tcW w:w="6159" w:type="dxa"/>
            <w:tcBorders>
              <w:top w:val="single" w:color="000000" w:sz="6" w:space="0"/>
              <w:left w:val="single" w:color="000000" w:sz="6" w:space="0"/>
              <w:bottom w:val="single" w:color="000000" w:sz="6" w:space="0"/>
              <w:right w:val="single" w:color="000000" w:sz="6" w:space="0"/>
            </w:tcBorders>
            <w:noWrap/>
            <w:vAlign w:val="top"/>
          </w:tcPr>
          <w:p w14:paraId="121D8D4F">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1.清洁卫生。</w:t>
            </w:r>
          </w:p>
          <w:p w14:paraId="34A49BD4">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2.检查外观是否完好，有无泄漏气体现象。</w:t>
            </w:r>
          </w:p>
          <w:p w14:paraId="00EC45C4">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3.检查气压表的完好情况。</w:t>
            </w:r>
          </w:p>
        </w:tc>
        <w:tc>
          <w:tcPr>
            <w:tcW w:w="1340" w:type="dxa"/>
            <w:tcBorders>
              <w:top w:val="single" w:color="000000" w:sz="6" w:space="0"/>
              <w:left w:val="single" w:color="000000" w:sz="6" w:space="0"/>
              <w:bottom w:val="single" w:color="000000" w:sz="6" w:space="0"/>
              <w:right w:val="single" w:color="000000" w:sz="6" w:space="0"/>
            </w:tcBorders>
            <w:noWrap/>
            <w:vAlign w:val="center"/>
          </w:tcPr>
          <w:p w14:paraId="130D539A">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外观良好，</w:t>
            </w:r>
          </w:p>
          <w:p w14:paraId="35D5F444">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压力正常。</w:t>
            </w:r>
          </w:p>
        </w:tc>
      </w:tr>
      <w:tr w14:paraId="354B1540">
        <w:tblPrEx>
          <w:tblCellMar>
            <w:top w:w="0" w:type="dxa"/>
            <w:left w:w="108" w:type="dxa"/>
            <w:bottom w:w="0" w:type="dxa"/>
            <w:right w:w="108" w:type="dxa"/>
          </w:tblCellMar>
        </w:tblPrEx>
        <w:trPr>
          <w:trHeight w:val="1872" w:hRule="atLeast"/>
          <w:jc w:val="center"/>
        </w:trPr>
        <w:tc>
          <w:tcPr>
            <w:tcW w:w="1481" w:type="dxa"/>
            <w:vMerge w:val="continue"/>
            <w:tcBorders>
              <w:top w:val="single" w:color="000000" w:sz="6" w:space="0"/>
              <w:left w:val="single" w:color="000000" w:sz="6" w:space="0"/>
              <w:bottom w:val="single" w:color="000000" w:sz="6" w:space="0"/>
              <w:right w:val="single" w:color="000000" w:sz="6" w:space="0"/>
            </w:tcBorders>
            <w:noWrap/>
            <w:vAlign w:val="center"/>
          </w:tcPr>
          <w:p w14:paraId="533BC43E">
            <w:pPr>
              <w:spacing w:line="240" w:lineRule="auto"/>
              <w:ind w:firstLine="0" w:firstLineChars="0"/>
              <w:jc w:val="both"/>
              <w:rPr>
                <w:rFonts w:hint="eastAsia" w:ascii="宋体" w:hAnsi="宋体" w:eastAsia="宋体" w:cs="宋体"/>
                <w:color w:val="auto"/>
                <w:kern w:val="2"/>
                <w:sz w:val="21"/>
                <w:szCs w:val="21"/>
              </w:rPr>
            </w:pPr>
          </w:p>
        </w:tc>
        <w:tc>
          <w:tcPr>
            <w:tcW w:w="987" w:type="dxa"/>
            <w:tcBorders>
              <w:top w:val="single" w:color="000000" w:sz="6" w:space="0"/>
              <w:left w:val="single" w:color="000000" w:sz="6" w:space="0"/>
              <w:bottom w:val="single" w:color="000000" w:sz="6" w:space="0"/>
              <w:right w:val="single" w:color="000000" w:sz="6" w:space="0"/>
            </w:tcBorders>
            <w:noWrap/>
            <w:vAlign w:val="center"/>
          </w:tcPr>
          <w:p w14:paraId="300916E5">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每半年一次</w:t>
            </w:r>
          </w:p>
        </w:tc>
        <w:tc>
          <w:tcPr>
            <w:tcW w:w="6159" w:type="dxa"/>
            <w:tcBorders>
              <w:top w:val="single" w:color="000000" w:sz="6" w:space="0"/>
              <w:left w:val="single" w:color="000000" w:sz="6" w:space="0"/>
              <w:bottom w:val="single" w:color="000000" w:sz="6" w:space="0"/>
              <w:right w:val="single" w:color="000000" w:sz="6" w:space="0"/>
            </w:tcBorders>
            <w:noWrap/>
            <w:vAlign w:val="top"/>
          </w:tcPr>
          <w:p w14:paraId="6DD8A6FC">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1.检查气瓶压力。</w:t>
            </w:r>
          </w:p>
          <w:p w14:paraId="6A85E277">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2.气瓶外壳除锈，刷保护漆。</w:t>
            </w:r>
          </w:p>
          <w:p w14:paraId="12D13559">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3.模拟测试气体消防灭火系统的运作情况。</w:t>
            </w:r>
          </w:p>
          <w:p w14:paraId="19148FC9">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4.检查试验手动和自动放气装置是否正常。</w:t>
            </w:r>
          </w:p>
          <w:p w14:paraId="21B33D64">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5.模拟自动报警系统中的烟、温感探测器同时动作，检查气瓶的电磁阀，检查气瓶的电磁阀电压是否正常，检查联动防烟防火阀情况。</w:t>
            </w:r>
          </w:p>
        </w:tc>
        <w:tc>
          <w:tcPr>
            <w:tcW w:w="1340" w:type="dxa"/>
            <w:tcBorders>
              <w:top w:val="single" w:color="000000" w:sz="6" w:space="0"/>
              <w:left w:val="single" w:color="000000" w:sz="6" w:space="0"/>
              <w:bottom w:val="single" w:color="000000" w:sz="6" w:space="0"/>
              <w:right w:val="single" w:color="000000" w:sz="6" w:space="0"/>
            </w:tcBorders>
            <w:noWrap/>
            <w:vAlign w:val="center"/>
          </w:tcPr>
          <w:p w14:paraId="7F630ACE">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压力正常、</w:t>
            </w:r>
          </w:p>
          <w:p w14:paraId="580BAB53">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运行正常。</w:t>
            </w:r>
          </w:p>
        </w:tc>
      </w:tr>
      <w:tr w14:paraId="165E8DCE">
        <w:tblPrEx>
          <w:tblCellMar>
            <w:top w:w="0" w:type="dxa"/>
            <w:left w:w="108" w:type="dxa"/>
            <w:bottom w:w="0" w:type="dxa"/>
            <w:right w:w="108" w:type="dxa"/>
          </w:tblCellMar>
        </w:tblPrEx>
        <w:trPr>
          <w:trHeight w:val="2137" w:hRule="atLeast"/>
          <w:jc w:val="center"/>
        </w:trPr>
        <w:tc>
          <w:tcPr>
            <w:tcW w:w="1481" w:type="dxa"/>
            <w:vMerge w:val="restart"/>
            <w:tcBorders>
              <w:top w:val="single" w:color="000000" w:sz="6" w:space="0"/>
              <w:left w:val="single" w:color="000000" w:sz="6" w:space="0"/>
              <w:bottom w:val="single" w:color="000000" w:sz="6" w:space="0"/>
              <w:right w:val="single" w:color="000000" w:sz="6" w:space="0"/>
            </w:tcBorders>
            <w:noWrap/>
            <w:vAlign w:val="center"/>
          </w:tcPr>
          <w:p w14:paraId="38F60983">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消火栓</w:t>
            </w:r>
          </w:p>
          <w:p w14:paraId="7CF2201E">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及管网</w:t>
            </w:r>
          </w:p>
        </w:tc>
        <w:tc>
          <w:tcPr>
            <w:tcW w:w="987" w:type="dxa"/>
            <w:tcBorders>
              <w:top w:val="single" w:color="000000" w:sz="6" w:space="0"/>
              <w:left w:val="single" w:color="000000" w:sz="6" w:space="0"/>
              <w:bottom w:val="single" w:color="000000" w:sz="6" w:space="0"/>
              <w:right w:val="single" w:color="000000" w:sz="6" w:space="0"/>
            </w:tcBorders>
            <w:noWrap/>
            <w:vAlign w:val="center"/>
          </w:tcPr>
          <w:p w14:paraId="4AD5F2D6">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每月</w:t>
            </w:r>
          </w:p>
          <w:p w14:paraId="1A73F8AD">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一次</w:t>
            </w:r>
          </w:p>
        </w:tc>
        <w:tc>
          <w:tcPr>
            <w:tcW w:w="6159" w:type="dxa"/>
            <w:tcBorders>
              <w:top w:val="single" w:color="000000" w:sz="6" w:space="0"/>
              <w:left w:val="single" w:color="000000" w:sz="6" w:space="0"/>
              <w:bottom w:val="single" w:color="000000" w:sz="6" w:space="0"/>
              <w:right w:val="single" w:color="000000" w:sz="6" w:space="0"/>
            </w:tcBorders>
            <w:noWrap/>
            <w:vAlign w:val="top"/>
          </w:tcPr>
          <w:p w14:paraId="10C372E1">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1.清洁箱内卫生。</w:t>
            </w:r>
          </w:p>
          <w:p w14:paraId="03A19FDF">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2.检查箱件是否齐全。包括检查每个消火栓出水口的压力是否足够和是否渗漏，破玻按钮是否破碎。</w:t>
            </w:r>
          </w:p>
          <w:p w14:paraId="18295199">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3.检查室外消火栓、水泵接合器，应无漏水，附件齐全。</w:t>
            </w:r>
          </w:p>
          <w:p w14:paraId="2F50E22C">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4.检查各阀门是否处于正常工作状态，是否完好不渗漏。</w:t>
            </w:r>
          </w:p>
          <w:p w14:paraId="3D78078C">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5.检查系统各项连接联动屏或主控屏的讯号功能是否正常。</w:t>
            </w:r>
          </w:p>
          <w:p w14:paraId="104EC9C0">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6.每月定期检查各区间管网总阀是否开启正常、不漏水滴。</w:t>
            </w:r>
          </w:p>
          <w:p w14:paraId="61F3DFE9">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7.每月定期检查试验天面消火栓的工作压力。</w:t>
            </w:r>
          </w:p>
        </w:tc>
        <w:tc>
          <w:tcPr>
            <w:tcW w:w="1340" w:type="dxa"/>
            <w:tcBorders>
              <w:top w:val="single" w:color="000000" w:sz="6" w:space="0"/>
              <w:left w:val="single" w:color="000000" w:sz="6" w:space="0"/>
              <w:bottom w:val="single" w:color="000000" w:sz="6" w:space="0"/>
              <w:right w:val="single" w:color="000000" w:sz="6" w:space="0"/>
            </w:tcBorders>
            <w:noWrap/>
            <w:vAlign w:val="center"/>
          </w:tcPr>
          <w:p w14:paraId="56C9DBDA">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卫生良好，</w:t>
            </w:r>
          </w:p>
          <w:p w14:paraId="7F95BB86">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配件齐全</w:t>
            </w:r>
          </w:p>
        </w:tc>
      </w:tr>
      <w:tr w14:paraId="59ABE749">
        <w:tblPrEx>
          <w:tblCellMar>
            <w:top w:w="0" w:type="dxa"/>
            <w:left w:w="108" w:type="dxa"/>
            <w:bottom w:w="0" w:type="dxa"/>
            <w:right w:w="108" w:type="dxa"/>
          </w:tblCellMar>
        </w:tblPrEx>
        <w:trPr>
          <w:trHeight w:val="1577" w:hRule="atLeast"/>
          <w:jc w:val="center"/>
        </w:trPr>
        <w:tc>
          <w:tcPr>
            <w:tcW w:w="1481" w:type="dxa"/>
            <w:vMerge w:val="continue"/>
            <w:tcBorders>
              <w:top w:val="single" w:color="000000" w:sz="6" w:space="0"/>
              <w:left w:val="single" w:color="000000" w:sz="6" w:space="0"/>
              <w:bottom w:val="single" w:color="000000" w:sz="6" w:space="0"/>
              <w:right w:val="single" w:color="000000" w:sz="6" w:space="0"/>
            </w:tcBorders>
            <w:noWrap/>
            <w:vAlign w:val="center"/>
          </w:tcPr>
          <w:p w14:paraId="34AFFE52">
            <w:pPr>
              <w:spacing w:line="240" w:lineRule="auto"/>
              <w:ind w:firstLine="0" w:firstLineChars="0"/>
              <w:jc w:val="both"/>
              <w:rPr>
                <w:rFonts w:hint="eastAsia" w:ascii="宋体" w:hAnsi="宋体" w:eastAsia="宋体" w:cs="宋体"/>
                <w:color w:val="auto"/>
                <w:kern w:val="2"/>
                <w:sz w:val="21"/>
                <w:szCs w:val="21"/>
              </w:rPr>
            </w:pPr>
          </w:p>
        </w:tc>
        <w:tc>
          <w:tcPr>
            <w:tcW w:w="987" w:type="dxa"/>
            <w:tcBorders>
              <w:top w:val="single" w:color="000000" w:sz="6" w:space="0"/>
              <w:left w:val="single" w:color="000000" w:sz="6" w:space="0"/>
              <w:bottom w:val="single" w:color="000000" w:sz="6" w:space="0"/>
              <w:right w:val="single" w:color="000000" w:sz="6" w:space="0"/>
            </w:tcBorders>
            <w:noWrap/>
            <w:vAlign w:val="center"/>
          </w:tcPr>
          <w:p w14:paraId="4D405EE2">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每半年一次</w:t>
            </w:r>
          </w:p>
        </w:tc>
        <w:tc>
          <w:tcPr>
            <w:tcW w:w="6159" w:type="dxa"/>
            <w:tcBorders>
              <w:top w:val="single" w:color="000000" w:sz="6" w:space="0"/>
              <w:left w:val="single" w:color="000000" w:sz="6" w:space="0"/>
              <w:bottom w:val="single" w:color="000000" w:sz="6" w:space="0"/>
              <w:right w:val="single" w:color="000000" w:sz="6" w:space="0"/>
            </w:tcBorders>
            <w:noWrap/>
            <w:vAlign w:val="top"/>
          </w:tcPr>
          <w:p w14:paraId="3D6B1D5D">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1.消防栓水压测试射程在13米，能实现联动。</w:t>
            </w:r>
          </w:p>
          <w:p w14:paraId="0F39A44F">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2.对水带进行防霉处理。</w:t>
            </w:r>
          </w:p>
          <w:p w14:paraId="540A76FA">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3.检查测试报警系统，试验破玻按钮，警铃是否有动作信号、指示灯是否亮、消防水泵是否有启动信号、消防中心是否有指示。</w:t>
            </w:r>
          </w:p>
          <w:p w14:paraId="1443F088">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4.室外消火栓水压测试符合规范要求，消火栓接合器功能测试正常。</w:t>
            </w:r>
          </w:p>
        </w:tc>
        <w:tc>
          <w:tcPr>
            <w:tcW w:w="1340" w:type="dxa"/>
            <w:tcBorders>
              <w:top w:val="single" w:color="000000" w:sz="6" w:space="0"/>
              <w:left w:val="single" w:color="000000" w:sz="6" w:space="0"/>
              <w:bottom w:val="single" w:color="000000" w:sz="6" w:space="0"/>
              <w:right w:val="single" w:color="000000" w:sz="6" w:space="0"/>
            </w:tcBorders>
            <w:noWrap/>
            <w:vAlign w:val="center"/>
          </w:tcPr>
          <w:p w14:paraId="57591A84">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无滴漏、</w:t>
            </w:r>
          </w:p>
          <w:p w14:paraId="7C76C241">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压力正常、</w:t>
            </w:r>
          </w:p>
          <w:p w14:paraId="37E6F847">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工作正常。</w:t>
            </w:r>
          </w:p>
        </w:tc>
      </w:tr>
      <w:tr w14:paraId="12AC4F65">
        <w:tblPrEx>
          <w:tblCellMar>
            <w:top w:w="0" w:type="dxa"/>
            <w:left w:w="108" w:type="dxa"/>
            <w:bottom w:w="0" w:type="dxa"/>
            <w:right w:w="108" w:type="dxa"/>
          </w:tblCellMar>
        </w:tblPrEx>
        <w:trPr>
          <w:trHeight w:val="545" w:hRule="atLeast"/>
          <w:jc w:val="center"/>
        </w:trPr>
        <w:tc>
          <w:tcPr>
            <w:tcW w:w="1481" w:type="dxa"/>
            <w:vMerge w:val="restart"/>
            <w:tcBorders>
              <w:top w:val="single" w:color="000000" w:sz="6" w:space="0"/>
              <w:left w:val="single" w:color="000000" w:sz="6" w:space="0"/>
              <w:bottom w:val="single" w:color="000000" w:sz="6" w:space="0"/>
              <w:right w:val="single" w:color="000000" w:sz="6" w:space="0"/>
            </w:tcBorders>
            <w:noWrap/>
            <w:vAlign w:val="center"/>
          </w:tcPr>
          <w:p w14:paraId="1DFC4770">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疏散</w:t>
            </w:r>
          </w:p>
          <w:p w14:paraId="60C325AC">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指示牌</w:t>
            </w:r>
          </w:p>
        </w:tc>
        <w:tc>
          <w:tcPr>
            <w:tcW w:w="987" w:type="dxa"/>
            <w:tcBorders>
              <w:top w:val="single" w:color="000000" w:sz="6" w:space="0"/>
              <w:left w:val="single" w:color="000000" w:sz="6" w:space="0"/>
              <w:bottom w:val="single" w:color="000000" w:sz="6" w:space="0"/>
              <w:right w:val="single" w:color="000000" w:sz="6" w:space="0"/>
            </w:tcBorders>
            <w:noWrap/>
            <w:vAlign w:val="center"/>
          </w:tcPr>
          <w:p w14:paraId="76CA92B1">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每天</w:t>
            </w:r>
          </w:p>
          <w:p w14:paraId="2DC4E83B">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一次</w:t>
            </w:r>
          </w:p>
        </w:tc>
        <w:tc>
          <w:tcPr>
            <w:tcW w:w="6159" w:type="dxa"/>
            <w:tcBorders>
              <w:top w:val="single" w:color="000000" w:sz="6" w:space="0"/>
              <w:left w:val="single" w:color="000000" w:sz="6" w:space="0"/>
              <w:bottom w:val="single" w:color="000000" w:sz="6" w:space="0"/>
              <w:right w:val="single" w:color="000000" w:sz="6" w:space="0"/>
            </w:tcBorders>
            <w:noWrap/>
            <w:vAlign w:val="center"/>
          </w:tcPr>
          <w:p w14:paraId="2AAEAB83">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1.检查外观有无破损及不亮，一旦发现及时维修。</w:t>
            </w:r>
          </w:p>
        </w:tc>
        <w:tc>
          <w:tcPr>
            <w:tcW w:w="1340" w:type="dxa"/>
            <w:tcBorders>
              <w:top w:val="single" w:color="000000" w:sz="6" w:space="0"/>
              <w:left w:val="single" w:color="000000" w:sz="6" w:space="0"/>
              <w:bottom w:val="single" w:color="000000" w:sz="6" w:space="0"/>
              <w:right w:val="single" w:color="000000" w:sz="6" w:space="0"/>
            </w:tcBorders>
            <w:noWrap/>
            <w:vAlign w:val="center"/>
          </w:tcPr>
          <w:p w14:paraId="07FC8990">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设施完好。</w:t>
            </w:r>
          </w:p>
        </w:tc>
      </w:tr>
      <w:tr w14:paraId="50720879">
        <w:tblPrEx>
          <w:tblCellMar>
            <w:top w:w="0" w:type="dxa"/>
            <w:left w:w="108" w:type="dxa"/>
            <w:bottom w:w="0" w:type="dxa"/>
            <w:right w:w="108" w:type="dxa"/>
          </w:tblCellMar>
        </w:tblPrEx>
        <w:trPr>
          <w:trHeight w:val="1076" w:hRule="atLeast"/>
          <w:jc w:val="center"/>
        </w:trPr>
        <w:tc>
          <w:tcPr>
            <w:tcW w:w="1481" w:type="dxa"/>
            <w:vMerge w:val="continue"/>
            <w:tcBorders>
              <w:top w:val="single" w:color="000000" w:sz="6" w:space="0"/>
              <w:left w:val="single" w:color="000000" w:sz="6" w:space="0"/>
              <w:bottom w:val="single" w:color="000000" w:sz="6" w:space="0"/>
              <w:right w:val="single" w:color="000000" w:sz="6" w:space="0"/>
            </w:tcBorders>
            <w:noWrap/>
            <w:vAlign w:val="center"/>
          </w:tcPr>
          <w:p w14:paraId="5F8CB6F7">
            <w:pPr>
              <w:spacing w:line="240" w:lineRule="auto"/>
              <w:ind w:firstLine="0" w:firstLineChars="0"/>
              <w:jc w:val="both"/>
              <w:rPr>
                <w:rFonts w:hint="eastAsia" w:ascii="宋体" w:hAnsi="宋体" w:eastAsia="宋体" w:cs="宋体"/>
                <w:color w:val="auto"/>
                <w:kern w:val="2"/>
                <w:sz w:val="21"/>
                <w:szCs w:val="21"/>
              </w:rPr>
            </w:pPr>
          </w:p>
        </w:tc>
        <w:tc>
          <w:tcPr>
            <w:tcW w:w="987" w:type="dxa"/>
            <w:tcBorders>
              <w:top w:val="single" w:color="000000" w:sz="6" w:space="0"/>
              <w:left w:val="single" w:color="000000" w:sz="6" w:space="0"/>
              <w:bottom w:val="single" w:color="000000" w:sz="6" w:space="0"/>
              <w:right w:val="single" w:color="000000" w:sz="6" w:space="0"/>
            </w:tcBorders>
            <w:noWrap/>
            <w:vAlign w:val="center"/>
          </w:tcPr>
          <w:p w14:paraId="18F28F3A">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每月</w:t>
            </w:r>
          </w:p>
          <w:p w14:paraId="0C20EDB6">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一次</w:t>
            </w:r>
          </w:p>
        </w:tc>
        <w:tc>
          <w:tcPr>
            <w:tcW w:w="6159" w:type="dxa"/>
            <w:tcBorders>
              <w:top w:val="single" w:color="000000" w:sz="6" w:space="0"/>
              <w:left w:val="single" w:color="000000" w:sz="6" w:space="0"/>
              <w:bottom w:val="single" w:color="000000" w:sz="6" w:space="0"/>
              <w:right w:val="single" w:color="000000" w:sz="6" w:space="0"/>
            </w:tcBorders>
            <w:noWrap/>
            <w:vAlign w:val="top"/>
          </w:tcPr>
          <w:p w14:paraId="100F66EA">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1.面板有无划伤或破裂现象。</w:t>
            </w:r>
          </w:p>
          <w:p w14:paraId="437FD302">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2.检查安装是否牢固。</w:t>
            </w:r>
          </w:p>
          <w:p w14:paraId="197DA47E">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3.针对检查中发现的缺陷取下来进行修复，再装回原位。</w:t>
            </w:r>
          </w:p>
          <w:p w14:paraId="27A7927C">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4.面板擦拭干净。</w:t>
            </w:r>
          </w:p>
        </w:tc>
        <w:tc>
          <w:tcPr>
            <w:tcW w:w="1340" w:type="dxa"/>
            <w:tcBorders>
              <w:top w:val="single" w:color="000000" w:sz="6" w:space="0"/>
              <w:left w:val="single" w:color="000000" w:sz="6" w:space="0"/>
              <w:bottom w:val="single" w:color="000000" w:sz="6" w:space="0"/>
              <w:right w:val="single" w:color="000000" w:sz="6" w:space="0"/>
            </w:tcBorders>
            <w:noWrap/>
            <w:vAlign w:val="center"/>
          </w:tcPr>
          <w:p w14:paraId="0D070426">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设施完好，</w:t>
            </w:r>
          </w:p>
          <w:p w14:paraId="6FAD5FEB">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运行正常。</w:t>
            </w:r>
          </w:p>
        </w:tc>
      </w:tr>
      <w:tr w14:paraId="6E418BBC">
        <w:tblPrEx>
          <w:tblCellMar>
            <w:top w:w="0" w:type="dxa"/>
            <w:left w:w="108" w:type="dxa"/>
            <w:bottom w:w="0" w:type="dxa"/>
            <w:right w:w="108" w:type="dxa"/>
          </w:tblCellMar>
        </w:tblPrEx>
        <w:trPr>
          <w:trHeight w:val="811" w:hRule="atLeast"/>
          <w:jc w:val="center"/>
        </w:trPr>
        <w:tc>
          <w:tcPr>
            <w:tcW w:w="1481" w:type="dxa"/>
            <w:vMerge w:val="restart"/>
            <w:tcBorders>
              <w:top w:val="single" w:color="000000" w:sz="6" w:space="0"/>
              <w:left w:val="single" w:color="000000" w:sz="6" w:space="0"/>
              <w:bottom w:val="single" w:color="000000" w:sz="6" w:space="0"/>
              <w:right w:val="single" w:color="000000" w:sz="6" w:space="0"/>
            </w:tcBorders>
            <w:noWrap/>
            <w:vAlign w:val="center"/>
          </w:tcPr>
          <w:p w14:paraId="4E4EA8FF">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消防泵</w:t>
            </w:r>
          </w:p>
          <w:p w14:paraId="0587D914">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喷淋泵</w:t>
            </w:r>
          </w:p>
        </w:tc>
        <w:tc>
          <w:tcPr>
            <w:tcW w:w="987" w:type="dxa"/>
            <w:tcBorders>
              <w:top w:val="single" w:color="000000" w:sz="6" w:space="0"/>
              <w:left w:val="single" w:color="000000" w:sz="6" w:space="0"/>
              <w:bottom w:val="single" w:color="000000" w:sz="6" w:space="0"/>
              <w:right w:val="single" w:color="000000" w:sz="6" w:space="0"/>
            </w:tcBorders>
            <w:noWrap/>
            <w:vAlign w:val="center"/>
          </w:tcPr>
          <w:p w14:paraId="49F9CDAD">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每月</w:t>
            </w:r>
          </w:p>
          <w:p w14:paraId="4BED36E0">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一次</w:t>
            </w:r>
          </w:p>
        </w:tc>
        <w:tc>
          <w:tcPr>
            <w:tcW w:w="6159" w:type="dxa"/>
            <w:tcBorders>
              <w:top w:val="single" w:color="000000" w:sz="6" w:space="0"/>
              <w:left w:val="single" w:color="000000" w:sz="6" w:space="0"/>
              <w:bottom w:val="single" w:color="000000" w:sz="6" w:space="0"/>
              <w:right w:val="single" w:color="000000" w:sz="6" w:space="0"/>
            </w:tcBorders>
            <w:noWrap/>
            <w:vAlign w:val="top"/>
          </w:tcPr>
          <w:p w14:paraId="47CE8219">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1.手动试运行，查看盘根滴水是否符合规范。</w:t>
            </w:r>
          </w:p>
          <w:p w14:paraId="6FBABB24">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2.水压是否正常，是否有异声异味。</w:t>
            </w:r>
          </w:p>
          <w:p w14:paraId="799644AE">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3.控制柜指示灯，柜内元器件工作是否正常。</w:t>
            </w:r>
          </w:p>
        </w:tc>
        <w:tc>
          <w:tcPr>
            <w:tcW w:w="1340" w:type="dxa"/>
            <w:tcBorders>
              <w:top w:val="single" w:color="000000" w:sz="6" w:space="0"/>
              <w:left w:val="single" w:color="000000" w:sz="6" w:space="0"/>
              <w:bottom w:val="single" w:color="000000" w:sz="6" w:space="0"/>
              <w:right w:val="single" w:color="000000" w:sz="6" w:space="0"/>
            </w:tcBorders>
            <w:noWrap/>
            <w:vAlign w:val="center"/>
          </w:tcPr>
          <w:p w14:paraId="773B5625">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外观良好，</w:t>
            </w:r>
          </w:p>
          <w:p w14:paraId="6FCBC277">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运行正常。</w:t>
            </w:r>
          </w:p>
        </w:tc>
      </w:tr>
      <w:tr w14:paraId="60EBAA57">
        <w:tblPrEx>
          <w:tblCellMar>
            <w:top w:w="0" w:type="dxa"/>
            <w:left w:w="108" w:type="dxa"/>
            <w:bottom w:w="0" w:type="dxa"/>
            <w:right w:w="108" w:type="dxa"/>
          </w:tblCellMar>
        </w:tblPrEx>
        <w:trPr>
          <w:trHeight w:val="1076" w:hRule="atLeast"/>
          <w:jc w:val="center"/>
        </w:trPr>
        <w:tc>
          <w:tcPr>
            <w:tcW w:w="1481" w:type="dxa"/>
            <w:vMerge w:val="continue"/>
            <w:tcBorders>
              <w:top w:val="single" w:color="000000" w:sz="6" w:space="0"/>
              <w:left w:val="single" w:color="000000" w:sz="6" w:space="0"/>
              <w:bottom w:val="single" w:color="000000" w:sz="6" w:space="0"/>
              <w:right w:val="single" w:color="000000" w:sz="6" w:space="0"/>
            </w:tcBorders>
            <w:noWrap/>
            <w:vAlign w:val="center"/>
          </w:tcPr>
          <w:p w14:paraId="46A10759">
            <w:pPr>
              <w:spacing w:line="240" w:lineRule="auto"/>
              <w:ind w:firstLine="0" w:firstLineChars="0"/>
              <w:jc w:val="both"/>
              <w:rPr>
                <w:rFonts w:hint="eastAsia" w:ascii="宋体" w:hAnsi="宋体" w:eastAsia="宋体" w:cs="宋体"/>
                <w:color w:val="auto"/>
                <w:kern w:val="2"/>
                <w:sz w:val="21"/>
                <w:szCs w:val="21"/>
              </w:rPr>
            </w:pPr>
          </w:p>
        </w:tc>
        <w:tc>
          <w:tcPr>
            <w:tcW w:w="987" w:type="dxa"/>
            <w:tcBorders>
              <w:top w:val="single" w:color="000000" w:sz="6" w:space="0"/>
              <w:left w:val="single" w:color="000000" w:sz="6" w:space="0"/>
              <w:bottom w:val="single" w:color="000000" w:sz="6" w:space="0"/>
              <w:right w:val="single" w:color="000000" w:sz="6" w:space="0"/>
            </w:tcBorders>
            <w:noWrap/>
            <w:vAlign w:val="center"/>
          </w:tcPr>
          <w:p w14:paraId="544B6C72">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每年</w:t>
            </w:r>
          </w:p>
          <w:p w14:paraId="6A7C5206">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一次</w:t>
            </w:r>
          </w:p>
        </w:tc>
        <w:tc>
          <w:tcPr>
            <w:tcW w:w="6159" w:type="dxa"/>
            <w:tcBorders>
              <w:top w:val="single" w:color="000000" w:sz="6" w:space="0"/>
              <w:left w:val="single" w:color="000000" w:sz="6" w:space="0"/>
              <w:bottom w:val="single" w:color="000000" w:sz="6" w:space="0"/>
              <w:right w:val="single" w:color="000000" w:sz="6" w:space="0"/>
            </w:tcBorders>
            <w:noWrap/>
            <w:vAlign w:val="top"/>
          </w:tcPr>
          <w:p w14:paraId="6E3BDAF8">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1.电机、轴承加注黄油；如有异响，应更换轴承。</w:t>
            </w:r>
          </w:p>
          <w:p w14:paraId="129CEC11">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2.泵体及管道阀门除锈刷漆。</w:t>
            </w:r>
          </w:p>
          <w:p w14:paraId="2C61F32B">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3.喷淋泵应启动管网末端试水装置放水试验。</w:t>
            </w:r>
          </w:p>
          <w:p w14:paraId="3AE99571">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4.消防栓泵应启动消防栓按钮试验，是否联动。</w:t>
            </w:r>
          </w:p>
        </w:tc>
        <w:tc>
          <w:tcPr>
            <w:tcW w:w="1340" w:type="dxa"/>
            <w:tcBorders>
              <w:top w:val="single" w:color="000000" w:sz="6" w:space="0"/>
              <w:left w:val="single" w:color="000000" w:sz="6" w:space="0"/>
              <w:bottom w:val="single" w:color="000000" w:sz="6" w:space="0"/>
              <w:right w:val="single" w:color="000000" w:sz="6" w:space="0"/>
            </w:tcBorders>
            <w:noWrap/>
            <w:vAlign w:val="center"/>
          </w:tcPr>
          <w:p w14:paraId="41324F19">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润滑良好，</w:t>
            </w:r>
          </w:p>
          <w:p w14:paraId="54DAEECB">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运行正常。</w:t>
            </w:r>
          </w:p>
        </w:tc>
      </w:tr>
      <w:tr w14:paraId="37BC42CD">
        <w:tblPrEx>
          <w:tblCellMar>
            <w:top w:w="0" w:type="dxa"/>
            <w:left w:w="108" w:type="dxa"/>
            <w:bottom w:w="0" w:type="dxa"/>
            <w:right w:w="108" w:type="dxa"/>
          </w:tblCellMar>
        </w:tblPrEx>
        <w:trPr>
          <w:trHeight w:val="545" w:hRule="atLeast"/>
          <w:jc w:val="center"/>
        </w:trPr>
        <w:tc>
          <w:tcPr>
            <w:tcW w:w="1481" w:type="dxa"/>
            <w:tcBorders>
              <w:top w:val="single" w:color="000000" w:sz="6" w:space="0"/>
              <w:left w:val="single" w:color="000000" w:sz="6" w:space="0"/>
              <w:bottom w:val="single" w:color="000000" w:sz="6" w:space="0"/>
              <w:right w:val="single" w:color="000000" w:sz="6" w:space="0"/>
            </w:tcBorders>
            <w:noWrap/>
            <w:vAlign w:val="center"/>
          </w:tcPr>
          <w:p w14:paraId="384C5EEB">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喷淋管网</w:t>
            </w:r>
          </w:p>
        </w:tc>
        <w:tc>
          <w:tcPr>
            <w:tcW w:w="987" w:type="dxa"/>
            <w:tcBorders>
              <w:top w:val="single" w:color="000000" w:sz="6" w:space="0"/>
              <w:left w:val="single" w:color="000000" w:sz="6" w:space="0"/>
              <w:bottom w:val="single" w:color="000000" w:sz="6" w:space="0"/>
              <w:right w:val="single" w:color="000000" w:sz="6" w:space="0"/>
            </w:tcBorders>
            <w:noWrap/>
            <w:vAlign w:val="center"/>
          </w:tcPr>
          <w:p w14:paraId="07A8939F">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每月</w:t>
            </w:r>
          </w:p>
          <w:p w14:paraId="3DBBB5B8">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一次</w:t>
            </w:r>
          </w:p>
        </w:tc>
        <w:tc>
          <w:tcPr>
            <w:tcW w:w="6159" w:type="dxa"/>
            <w:tcBorders>
              <w:top w:val="single" w:color="000000" w:sz="6" w:space="0"/>
              <w:left w:val="single" w:color="000000" w:sz="6" w:space="0"/>
              <w:bottom w:val="single" w:color="000000" w:sz="6" w:space="0"/>
              <w:right w:val="single" w:color="000000" w:sz="6" w:space="0"/>
            </w:tcBorders>
            <w:noWrap/>
            <w:vAlign w:val="center"/>
          </w:tcPr>
          <w:p w14:paraId="0B68AF4C">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1.检查喷淋头是否滴漏，喷淋管网压力是否正常。</w:t>
            </w:r>
          </w:p>
        </w:tc>
        <w:tc>
          <w:tcPr>
            <w:tcW w:w="1340" w:type="dxa"/>
            <w:tcBorders>
              <w:top w:val="single" w:color="000000" w:sz="6" w:space="0"/>
              <w:left w:val="single" w:color="000000" w:sz="6" w:space="0"/>
              <w:bottom w:val="single" w:color="000000" w:sz="6" w:space="0"/>
              <w:right w:val="single" w:color="000000" w:sz="6" w:space="0"/>
            </w:tcBorders>
            <w:noWrap/>
            <w:vAlign w:val="center"/>
          </w:tcPr>
          <w:p w14:paraId="236E8868">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无滴漏、</w:t>
            </w:r>
          </w:p>
          <w:p w14:paraId="54F55EF3">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压力正靠。</w:t>
            </w:r>
          </w:p>
        </w:tc>
      </w:tr>
      <w:tr w14:paraId="6676F3B0">
        <w:tblPrEx>
          <w:tblCellMar>
            <w:top w:w="0" w:type="dxa"/>
            <w:left w:w="108" w:type="dxa"/>
            <w:bottom w:w="0" w:type="dxa"/>
            <w:right w:w="108" w:type="dxa"/>
          </w:tblCellMar>
        </w:tblPrEx>
        <w:trPr>
          <w:trHeight w:val="1596" w:hRule="atLeast"/>
          <w:jc w:val="center"/>
        </w:trPr>
        <w:tc>
          <w:tcPr>
            <w:tcW w:w="1481" w:type="dxa"/>
            <w:tcBorders>
              <w:top w:val="single" w:color="000000" w:sz="6" w:space="0"/>
              <w:left w:val="single" w:color="000000" w:sz="6" w:space="0"/>
              <w:bottom w:val="single" w:color="000000" w:sz="6" w:space="0"/>
              <w:right w:val="single" w:color="000000" w:sz="6" w:space="0"/>
            </w:tcBorders>
            <w:noWrap/>
            <w:vAlign w:val="center"/>
          </w:tcPr>
          <w:p w14:paraId="642FE415">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各类阀门</w:t>
            </w:r>
          </w:p>
        </w:tc>
        <w:tc>
          <w:tcPr>
            <w:tcW w:w="987" w:type="dxa"/>
            <w:tcBorders>
              <w:top w:val="single" w:color="000000" w:sz="6" w:space="0"/>
              <w:left w:val="single" w:color="000000" w:sz="6" w:space="0"/>
              <w:bottom w:val="single" w:color="000000" w:sz="6" w:space="0"/>
              <w:right w:val="single" w:color="000000" w:sz="6" w:space="0"/>
            </w:tcBorders>
            <w:noWrap/>
            <w:vAlign w:val="center"/>
          </w:tcPr>
          <w:p w14:paraId="67B4262A">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每半年一次</w:t>
            </w:r>
          </w:p>
        </w:tc>
        <w:tc>
          <w:tcPr>
            <w:tcW w:w="6159" w:type="dxa"/>
            <w:tcBorders>
              <w:top w:val="single" w:color="000000" w:sz="6" w:space="0"/>
              <w:left w:val="single" w:color="000000" w:sz="6" w:space="0"/>
              <w:bottom w:val="single" w:color="000000" w:sz="6" w:space="0"/>
              <w:right w:val="single" w:color="000000" w:sz="6" w:space="0"/>
            </w:tcBorders>
            <w:noWrap/>
            <w:vAlign w:val="top"/>
          </w:tcPr>
          <w:p w14:paraId="06060706">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1.更换失灵压力表。</w:t>
            </w:r>
          </w:p>
          <w:p w14:paraId="49B9CE7E">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2.排除管网污水，并试验。</w:t>
            </w:r>
          </w:p>
          <w:p w14:paraId="6373112A">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3.室外管道清锈刷漆，并标注水流方向及水系统色环。</w:t>
            </w:r>
          </w:p>
          <w:p w14:paraId="3E8662F7">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4.阀门丝杆加注黄油并加装防护套。</w:t>
            </w:r>
          </w:p>
          <w:p w14:paraId="47F7B49C">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5.检测湿式报警阀工作是否正常，水力警铃声响是否洪亮。</w:t>
            </w:r>
          </w:p>
          <w:p w14:paraId="354BE382">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6.检测自喷系统水流指示器指示是否正确，信号反馈是否及时。</w:t>
            </w:r>
          </w:p>
        </w:tc>
        <w:tc>
          <w:tcPr>
            <w:tcW w:w="1340" w:type="dxa"/>
            <w:tcBorders>
              <w:top w:val="single" w:color="000000" w:sz="6" w:space="0"/>
              <w:left w:val="single" w:color="000000" w:sz="6" w:space="0"/>
              <w:bottom w:val="single" w:color="000000" w:sz="6" w:space="0"/>
              <w:right w:val="single" w:color="000000" w:sz="6" w:space="0"/>
            </w:tcBorders>
            <w:noWrap/>
            <w:vAlign w:val="center"/>
          </w:tcPr>
          <w:p w14:paraId="754B2C03">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无滴漏、</w:t>
            </w:r>
          </w:p>
          <w:p w14:paraId="5A6E35D8">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压力正常、</w:t>
            </w:r>
          </w:p>
          <w:p w14:paraId="3AB649EA">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工作正常。</w:t>
            </w:r>
          </w:p>
        </w:tc>
      </w:tr>
    </w:tbl>
    <w:p w14:paraId="5BBE7FD7">
      <w:pPr>
        <w:bidi w:val="0"/>
        <w:spacing w:line="360" w:lineRule="auto"/>
        <w:ind w:firstLine="422" w:firstLineChars="200"/>
        <w:outlineLvl w:val="3"/>
        <w:rPr>
          <w:rFonts w:hint="eastAsia" w:ascii="宋体" w:hAnsi="宋体" w:eastAsia="宋体" w:cs="宋体"/>
          <w:b/>
          <w:bCs/>
          <w:color w:val="auto"/>
          <w:sz w:val="21"/>
          <w:szCs w:val="21"/>
          <w:lang w:val="en-US" w:eastAsia="zh-CN"/>
        </w:rPr>
      </w:pPr>
      <w:bookmarkStart w:id="623" w:name="_Toc30170"/>
      <w:bookmarkStart w:id="624" w:name="_Toc11658"/>
      <w:bookmarkStart w:id="625" w:name="_Toc18099"/>
      <w:bookmarkStart w:id="626" w:name="_Toc9112"/>
      <w:bookmarkStart w:id="627" w:name="_Toc29583"/>
      <w:r>
        <w:rPr>
          <w:rFonts w:hint="eastAsia" w:ascii="宋体" w:hAnsi="宋体" w:eastAsia="宋体" w:cs="宋体"/>
          <w:b/>
          <w:bCs/>
          <w:color w:val="auto"/>
          <w:sz w:val="21"/>
          <w:szCs w:val="21"/>
          <w:lang w:val="en-US" w:eastAsia="zh-CN"/>
        </w:rPr>
        <w:t>2.2.7供配电系统维护保养管理</w:t>
      </w:r>
      <w:bookmarkEnd w:id="623"/>
      <w:bookmarkEnd w:id="624"/>
      <w:bookmarkEnd w:id="625"/>
      <w:bookmarkEnd w:id="626"/>
      <w:bookmarkEnd w:id="627"/>
    </w:p>
    <w:p w14:paraId="5F85DC74">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highlight w:val="none"/>
        </w:rPr>
        <w:t>保证供配电设备24小时正常运行，确保分列的电表数据准确；零修合格率100%，设备完好率100%；应急发电机可随时启动，在市政停电情况下，保证发电机在15秒钟内运转供电。保养要求如下：</w:t>
      </w:r>
    </w:p>
    <w:tbl>
      <w:tblPr>
        <w:tblStyle w:val="41"/>
        <w:tblW w:w="9621" w:type="dxa"/>
        <w:jc w:val="center"/>
        <w:tblLayout w:type="fixed"/>
        <w:tblCellMar>
          <w:top w:w="0" w:type="dxa"/>
          <w:left w:w="108" w:type="dxa"/>
          <w:bottom w:w="0" w:type="dxa"/>
          <w:right w:w="108" w:type="dxa"/>
        </w:tblCellMar>
      </w:tblPr>
      <w:tblGrid>
        <w:gridCol w:w="945"/>
        <w:gridCol w:w="1000"/>
        <w:gridCol w:w="4313"/>
        <w:gridCol w:w="3363"/>
      </w:tblGrid>
      <w:tr w14:paraId="61B3916E">
        <w:tblPrEx>
          <w:tblCellMar>
            <w:top w:w="0" w:type="dxa"/>
            <w:left w:w="108" w:type="dxa"/>
            <w:bottom w:w="0" w:type="dxa"/>
            <w:right w:w="108" w:type="dxa"/>
          </w:tblCellMar>
        </w:tblPrEx>
        <w:trPr>
          <w:trHeight w:val="343" w:hRule="atLeast"/>
          <w:jc w:val="center"/>
        </w:trPr>
        <w:tc>
          <w:tcPr>
            <w:tcW w:w="945" w:type="dxa"/>
            <w:tcBorders>
              <w:top w:val="single" w:color="000000" w:sz="6" w:space="0"/>
              <w:left w:val="single" w:color="000000" w:sz="6" w:space="0"/>
              <w:bottom w:val="single" w:color="000000" w:sz="6" w:space="0"/>
              <w:right w:val="single" w:color="000000" w:sz="6" w:space="0"/>
            </w:tcBorders>
            <w:noWrap/>
            <w:vAlign w:val="center"/>
          </w:tcPr>
          <w:p w14:paraId="6EE6AB35">
            <w:pPr>
              <w:snapToGrid w:val="0"/>
              <w:spacing w:line="240" w:lineRule="auto"/>
              <w:ind w:firstLine="0" w:firstLineChars="0"/>
              <w:jc w:val="center"/>
              <w:rPr>
                <w:rFonts w:hint="eastAsia" w:ascii="宋体" w:hAnsi="宋体" w:eastAsia="宋体" w:cs="宋体"/>
                <w:b/>
                <w:color w:val="auto"/>
                <w:kern w:val="2"/>
                <w:sz w:val="21"/>
                <w:szCs w:val="21"/>
              </w:rPr>
            </w:pPr>
            <w:r>
              <w:rPr>
                <w:rFonts w:hint="eastAsia" w:ascii="宋体" w:hAnsi="宋体" w:eastAsia="宋体" w:cs="宋体"/>
                <w:b/>
                <w:color w:val="auto"/>
                <w:kern w:val="2"/>
                <w:sz w:val="21"/>
                <w:szCs w:val="21"/>
              </w:rPr>
              <w:t>项目</w:t>
            </w:r>
          </w:p>
        </w:tc>
        <w:tc>
          <w:tcPr>
            <w:tcW w:w="1000" w:type="dxa"/>
            <w:tcBorders>
              <w:top w:val="single" w:color="000000" w:sz="6" w:space="0"/>
              <w:left w:val="single" w:color="000000" w:sz="6" w:space="0"/>
              <w:bottom w:val="single" w:color="000000" w:sz="6" w:space="0"/>
              <w:right w:val="single" w:color="000000" w:sz="6" w:space="0"/>
            </w:tcBorders>
            <w:noWrap/>
            <w:vAlign w:val="center"/>
          </w:tcPr>
          <w:p w14:paraId="390F185A">
            <w:pPr>
              <w:snapToGrid w:val="0"/>
              <w:spacing w:line="240" w:lineRule="auto"/>
              <w:ind w:firstLine="0" w:firstLineChars="0"/>
              <w:jc w:val="center"/>
              <w:rPr>
                <w:rFonts w:hint="eastAsia" w:ascii="宋体" w:hAnsi="宋体" w:eastAsia="宋体" w:cs="宋体"/>
                <w:b/>
                <w:color w:val="auto"/>
                <w:kern w:val="2"/>
                <w:sz w:val="21"/>
                <w:szCs w:val="21"/>
              </w:rPr>
            </w:pPr>
            <w:r>
              <w:rPr>
                <w:rFonts w:hint="eastAsia" w:ascii="宋体" w:hAnsi="宋体" w:eastAsia="宋体" w:cs="宋体"/>
                <w:b/>
                <w:color w:val="auto"/>
                <w:kern w:val="2"/>
                <w:sz w:val="21"/>
                <w:szCs w:val="21"/>
              </w:rPr>
              <w:t>频次</w:t>
            </w:r>
          </w:p>
        </w:tc>
        <w:tc>
          <w:tcPr>
            <w:tcW w:w="4313" w:type="dxa"/>
            <w:tcBorders>
              <w:top w:val="single" w:color="000000" w:sz="6" w:space="0"/>
              <w:left w:val="single" w:color="000000" w:sz="6" w:space="0"/>
              <w:bottom w:val="single" w:color="000000" w:sz="6" w:space="0"/>
              <w:right w:val="single" w:color="000000" w:sz="6" w:space="0"/>
            </w:tcBorders>
            <w:noWrap/>
            <w:vAlign w:val="center"/>
          </w:tcPr>
          <w:p w14:paraId="5483965D">
            <w:pPr>
              <w:snapToGrid w:val="0"/>
              <w:spacing w:line="240" w:lineRule="auto"/>
              <w:ind w:firstLine="0" w:firstLineChars="0"/>
              <w:jc w:val="center"/>
              <w:rPr>
                <w:rFonts w:hint="eastAsia" w:ascii="宋体" w:hAnsi="宋体" w:eastAsia="宋体" w:cs="宋体"/>
                <w:b/>
                <w:color w:val="auto"/>
                <w:kern w:val="2"/>
                <w:sz w:val="21"/>
                <w:szCs w:val="21"/>
              </w:rPr>
            </w:pPr>
            <w:r>
              <w:rPr>
                <w:rFonts w:hint="eastAsia" w:ascii="宋体" w:hAnsi="宋体" w:eastAsia="宋体" w:cs="宋体"/>
                <w:b/>
                <w:color w:val="auto"/>
                <w:kern w:val="2"/>
                <w:sz w:val="21"/>
                <w:szCs w:val="21"/>
              </w:rPr>
              <w:t>保养内容</w:t>
            </w:r>
          </w:p>
        </w:tc>
        <w:tc>
          <w:tcPr>
            <w:tcW w:w="3363" w:type="dxa"/>
            <w:tcBorders>
              <w:top w:val="single" w:color="000000" w:sz="6" w:space="0"/>
              <w:left w:val="single" w:color="000000" w:sz="6" w:space="0"/>
              <w:bottom w:val="single" w:color="000000" w:sz="6" w:space="0"/>
              <w:right w:val="single" w:color="000000" w:sz="6" w:space="0"/>
            </w:tcBorders>
            <w:noWrap/>
            <w:vAlign w:val="center"/>
          </w:tcPr>
          <w:p w14:paraId="31749634">
            <w:pPr>
              <w:snapToGrid w:val="0"/>
              <w:spacing w:line="240" w:lineRule="auto"/>
              <w:ind w:firstLine="0" w:firstLineChars="0"/>
              <w:jc w:val="center"/>
              <w:rPr>
                <w:rFonts w:hint="eastAsia" w:ascii="宋体" w:hAnsi="宋体" w:eastAsia="宋体" w:cs="宋体"/>
                <w:b/>
                <w:color w:val="auto"/>
                <w:kern w:val="2"/>
                <w:sz w:val="21"/>
                <w:szCs w:val="21"/>
              </w:rPr>
            </w:pPr>
            <w:r>
              <w:rPr>
                <w:rFonts w:hint="eastAsia" w:ascii="宋体" w:hAnsi="宋体" w:eastAsia="宋体" w:cs="宋体"/>
                <w:b/>
                <w:color w:val="auto"/>
                <w:kern w:val="2"/>
                <w:sz w:val="21"/>
                <w:szCs w:val="21"/>
              </w:rPr>
              <w:t>保养要求</w:t>
            </w:r>
          </w:p>
        </w:tc>
      </w:tr>
      <w:tr w14:paraId="0FEED15F">
        <w:tblPrEx>
          <w:tblCellMar>
            <w:top w:w="0" w:type="dxa"/>
            <w:left w:w="108" w:type="dxa"/>
            <w:bottom w:w="0" w:type="dxa"/>
            <w:right w:w="108" w:type="dxa"/>
          </w:tblCellMar>
        </w:tblPrEx>
        <w:trPr>
          <w:trHeight w:val="1115" w:hRule="atLeast"/>
          <w:jc w:val="center"/>
        </w:trPr>
        <w:tc>
          <w:tcPr>
            <w:tcW w:w="945" w:type="dxa"/>
            <w:vMerge w:val="restart"/>
            <w:tcBorders>
              <w:top w:val="single" w:color="000000" w:sz="6" w:space="0"/>
              <w:left w:val="single" w:color="000000" w:sz="6" w:space="0"/>
              <w:bottom w:val="single" w:color="000000" w:sz="6" w:space="0"/>
              <w:right w:val="single" w:color="000000" w:sz="6" w:space="0"/>
            </w:tcBorders>
            <w:noWrap/>
            <w:vAlign w:val="center"/>
          </w:tcPr>
          <w:p w14:paraId="4BA9FB60">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配电柜</w:t>
            </w:r>
          </w:p>
        </w:tc>
        <w:tc>
          <w:tcPr>
            <w:tcW w:w="1000" w:type="dxa"/>
            <w:tcBorders>
              <w:top w:val="single" w:color="000000" w:sz="6" w:space="0"/>
              <w:left w:val="single" w:color="000000" w:sz="6" w:space="0"/>
              <w:bottom w:val="single" w:color="000000" w:sz="6" w:space="0"/>
              <w:right w:val="single" w:color="000000" w:sz="6" w:space="0"/>
            </w:tcBorders>
            <w:noWrap/>
            <w:vAlign w:val="center"/>
          </w:tcPr>
          <w:p w14:paraId="32CEF8C8">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每月一次</w:t>
            </w:r>
          </w:p>
        </w:tc>
        <w:tc>
          <w:tcPr>
            <w:tcW w:w="4313" w:type="dxa"/>
            <w:tcBorders>
              <w:top w:val="single" w:color="000000" w:sz="6" w:space="0"/>
              <w:left w:val="single" w:color="000000" w:sz="6" w:space="0"/>
              <w:bottom w:val="single" w:color="000000" w:sz="6" w:space="0"/>
              <w:right w:val="single" w:color="000000" w:sz="6" w:space="0"/>
            </w:tcBorders>
            <w:noWrap/>
            <w:vAlign w:val="top"/>
          </w:tcPr>
          <w:p w14:paraId="2E0A2781">
            <w:pPr>
              <w:tabs>
                <w:tab w:val="left" w:pos="145"/>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1.每日检查外观是否良好，有无异声。</w:t>
            </w:r>
          </w:p>
          <w:p w14:paraId="12645301">
            <w:pPr>
              <w:tabs>
                <w:tab w:val="left" w:pos="145"/>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2.每月清理外部灰尘。</w:t>
            </w:r>
          </w:p>
          <w:p w14:paraId="5D84EF53">
            <w:pPr>
              <w:tabs>
                <w:tab w:val="left" w:pos="145"/>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3.指示灯是否完好。</w:t>
            </w:r>
          </w:p>
          <w:p w14:paraId="44173BA4">
            <w:pPr>
              <w:tabs>
                <w:tab w:val="left" w:pos="145"/>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4.警示标识挂设位置是否正确。</w:t>
            </w:r>
          </w:p>
        </w:tc>
        <w:tc>
          <w:tcPr>
            <w:tcW w:w="3363" w:type="dxa"/>
            <w:tcBorders>
              <w:top w:val="single" w:color="000000" w:sz="6" w:space="0"/>
              <w:left w:val="single" w:color="000000" w:sz="6" w:space="0"/>
              <w:bottom w:val="single" w:color="000000" w:sz="6" w:space="0"/>
              <w:right w:val="single" w:color="000000" w:sz="6" w:space="0"/>
            </w:tcBorders>
            <w:noWrap/>
            <w:vAlign w:val="center"/>
          </w:tcPr>
          <w:p w14:paraId="09CF1FD5">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外观整洁；</w:t>
            </w:r>
          </w:p>
          <w:p w14:paraId="6C4633E1">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指示灯完好；</w:t>
            </w:r>
          </w:p>
          <w:p w14:paraId="4F7B14CD">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标示位置正确。</w:t>
            </w:r>
          </w:p>
        </w:tc>
      </w:tr>
      <w:tr w14:paraId="12F884AD">
        <w:tblPrEx>
          <w:tblCellMar>
            <w:top w:w="0" w:type="dxa"/>
            <w:left w:w="108" w:type="dxa"/>
            <w:bottom w:w="0" w:type="dxa"/>
            <w:right w:w="108" w:type="dxa"/>
          </w:tblCellMar>
        </w:tblPrEx>
        <w:trPr>
          <w:trHeight w:val="775" w:hRule="atLeast"/>
          <w:jc w:val="center"/>
        </w:trPr>
        <w:tc>
          <w:tcPr>
            <w:tcW w:w="945" w:type="dxa"/>
            <w:vMerge w:val="continue"/>
            <w:tcBorders>
              <w:top w:val="single" w:color="000000" w:sz="6" w:space="0"/>
              <w:left w:val="single" w:color="000000" w:sz="6" w:space="0"/>
              <w:bottom w:val="single" w:color="000000" w:sz="6" w:space="0"/>
              <w:right w:val="single" w:color="000000" w:sz="6" w:space="0"/>
            </w:tcBorders>
            <w:noWrap/>
            <w:vAlign w:val="center"/>
          </w:tcPr>
          <w:p w14:paraId="1D164161">
            <w:pPr>
              <w:spacing w:line="240" w:lineRule="auto"/>
              <w:ind w:firstLine="0" w:firstLineChars="0"/>
              <w:jc w:val="both"/>
              <w:rPr>
                <w:rFonts w:hint="eastAsia" w:ascii="宋体" w:hAnsi="宋体" w:eastAsia="宋体" w:cs="宋体"/>
                <w:color w:val="auto"/>
                <w:kern w:val="2"/>
                <w:sz w:val="21"/>
                <w:szCs w:val="21"/>
              </w:rPr>
            </w:pPr>
          </w:p>
        </w:tc>
        <w:tc>
          <w:tcPr>
            <w:tcW w:w="1000" w:type="dxa"/>
            <w:tcBorders>
              <w:top w:val="single" w:color="000000" w:sz="6" w:space="0"/>
              <w:left w:val="single" w:color="000000" w:sz="6" w:space="0"/>
              <w:bottom w:val="single" w:color="000000" w:sz="6" w:space="0"/>
              <w:right w:val="single" w:color="000000" w:sz="6" w:space="0"/>
            </w:tcBorders>
            <w:noWrap/>
            <w:vAlign w:val="center"/>
          </w:tcPr>
          <w:p w14:paraId="64362988">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半年一次</w:t>
            </w:r>
          </w:p>
        </w:tc>
        <w:tc>
          <w:tcPr>
            <w:tcW w:w="4313" w:type="dxa"/>
            <w:tcBorders>
              <w:top w:val="single" w:color="000000" w:sz="6" w:space="0"/>
              <w:left w:val="single" w:color="000000" w:sz="6" w:space="0"/>
              <w:bottom w:val="single" w:color="000000" w:sz="6" w:space="0"/>
              <w:right w:val="single" w:color="000000" w:sz="6" w:space="0"/>
            </w:tcBorders>
            <w:noWrap/>
            <w:vAlign w:val="top"/>
          </w:tcPr>
          <w:p w14:paraId="5E5B2287">
            <w:pPr>
              <w:tabs>
                <w:tab w:val="left" w:pos="145"/>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1.检查操作机构是否灵活、互锁机构是否正确。</w:t>
            </w:r>
          </w:p>
          <w:p w14:paraId="3A63665B">
            <w:pPr>
              <w:tabs>
                <w:tab w:val="left" w:pos="145"/>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2.检测接地电阻、连接点是否可靠。</w:t>
            </w:r>
          </w:p>
          <w:p w14:paraId="78265329">
            <w:pPr>
              <w:tabs>
                <w:tab w:val="left" w:pos="145"/>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3.检查电源接线装置，并紧固螺丝。</w:t>
            </w:r>
          </w:p>
        </w:tc>
        <w:tc>
          <w:tcPr>
            <w:tcW w:w="3363" w:type="dxa"/>
            <w:tcBorders>
              <w:top w:val="single" w:color="000000" w:sz="6" w:space="0"/>
              <w:left w:val="single" w:color="000000" w:sz="6" w:space="0"/>
              <w:bottom w:val="single" w:color="000000" w:sz="6" w:space="0"/>
              <w:right w:val="single" w:color="000000" w:sz="6" w:space="0"/>
            </w:tcBorders>
            <w:noWrap/>
            <w:vAlign w:val="center"/>
          </w:tcPr>
          <w:p w14:paraId="2340B0B8">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阻值符合规范；</w:t>
            </w:r>
          </w:p>
          <w:p w14:paraId="315B18F4">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线头紧固；</w:t>
            </w:r>
          </w:p>
          <w:p w14:paraId="66D93F3B">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操作机构灵活。</w:t>
            </w:r>
          </w:p>
        </w:tc>
      </w:tr>
      <w:tr w14:paraId="081E22ED">
        <w:tblPrEx>
          <w:tblCellMar>
            <w:top w:w="0" w:type="dxa"/>
            <w:left w:w="108" w:type="dxa"/>
            <w:bottom w:w="0" w:type="dxa"/>
            <w:right w:w="108" w:type="dxa"/>
          </w:tblCellMar>
        </w:tblPrEx>
        <w:trPr>
          <w:trHeight w:val="2951" w:hRule="atLeast"/>
          <w:jc w:val="center"/>
        </w:trPr>
        <w:tc>
          <w:tcPr>
            <w:tcW w:w="945" w:type="dxa"/>
            <w:vMerge w:val="restart"/>
            <w:tcBorders>
              <w:top w:val="single" w:color="000000" w:sz="6" w:space="0"/>
              <w:left w:val="single" w:color="000000" w:sz="6" w:space="0"/>
              <w:bottom w:val="single" w:color="000000" w:sz="6" w:space="0"/>
              <w:right w:val="single" w:color="000000" w:sz="6" w:space="0"/>
            </w:tcBorders>
            <w:noWrap/>
            <w:vAlign w:val="center"/>
          </w:tcPr>
          <w:p w14:paraId="15DDA5D8">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配电电容器屏</w:t>
            </w:r>
          </w:p>
        </w:tc>
        <w:tc>
          <w:tcPr>
            <w:tcW w:w="1000" w:type="dxa"/>
            <w:tcBorders>
              <w:top w:val="single" w:color="000000" w:sz="6" w:space="0"/>
              <w:left w:val="single" w:color="000000" w:sz="6" w:space="0"/>
              <w:bottom w:val="single" w:color="000000" w:sz="6" w:space="0"/>
              <w:right w:val="single" w:color="000000" w:sz="6" w:space="0"/>
            </w:tcBorders>
            <w:noWrap/>
            <w:vAlign w:val="center"/>
          </w:tcPr>
          <w:p w14:paraId="0B2B8E37">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每月一次</w:t>
            </w:r>
          </w:p>
        </w:tc>
        <w:tc>
          <w:tcPr>
            <w:tcW w:w="4313" w:type="dxa"/>
            <w:tcBorders>
              <w:top w:val="single" w:color="000000" w:sz="6" w:space="0"/>
              <w:left w:val="single" w:color="000000" w:sz="6" w:space="0"/>
              <w:bottom w:val="single" w:color="000000" w:sz="6" w:space="0"/>
              <w:right w:val="single" w:color="000000" w:sz="6" w:space="0"/>
            </w:tcBorders>
            <w:noWrap/>
            <w:vAlign w:val="top"/>
          </w:tcPr>
          <w:p w14:paraId="69228F82">
            <w:pPr>
              <w:tabs>
                <w:tab w:val="left" w:pos="145"/>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1.清洁卫生。</w:t>
            </w:r>
          </w:p>
          <w:p w14:paraId="624C1DC0">
            <w:pPr>
              <w:tabs>
                <w:tab w:val="left" w:pos="145"/>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2.检查外观是否完好，指示灯是否显示正常，电压、电流是否正常，三相负荷是否平衡，有无异声、异味。检查开关是否在正确位置，标示是否清楚。</w:t>
            </w:r>
          </w:p>
          <w:p w14:paraId="64CEF6BC">
            <w:pPr>
              <w:tabs>
                <w:tab w:val="left" w:pos="145"/>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3.检查无功补偿设备工作是否正常，功率因数是否达到要求。</w:t>
            </w:r>
          </w:p>
          <w:p w14:paraId="657194B8">
            <w:pPr>
              <w:tabs>
                <w:tab w:val="left" w:pos="145"/>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4.检查电容器、熔断器是否过热，熔断。</w:t>
            </w:r>
          </w:p>
          <w:p w14:paraId="257323E3">
            <w:pPr>
              <w:tabs>
                <w:tab w:val="left" w:pos="145"/>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5.检查开关触头接触是否良好，有无短路、过载现象。</w:t>
            </w:r>
          </w:p>
          <w:p w14:paraId="05486E0E">
            <w:pPr>
              <w:tabs>
                <w:tab w:val="left" w:pos="145"/>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6.检查电力监控系统监控模块工作是否正常。</w:t>
            </w:r>
          </w:p>
        </w:tc>
        <w:tc>
          <w:tcPr>
            <w:tcW w:w="3363" w:type="dxa"/>
            <w:tcBorders>
              <w:top w:val="single" w:color="000000" w:sz="6" w:space="0"/>
              <w:left w:val="single" w:color="000000" w:sz="6" w:space="0"/>
              <w:bottom w:val="single" w:color="000000" w:sz="6" w:space="0"/>
              <w:right w:val="single" w:color="000000" w:sz="6" w:space="0"/>
            </w:tcBorders>
            <w:noWrap/>
            <w:vAlign w:val="center"/>
          </w:tcPr>
          <w:p w14:paraId="127A638F">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设备卫生；</w:t>
            </w:r>
          </w:p>
          <w:p w14:paraId="000913EB">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标示清楚；</w:t>
            </w:r>
          </w:p>
          <w:p w14:paraId="0E1731AF">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设备运行正常。</w:t>
            </w:r>
          </w:p>
        </w:tc>
      </w:tr>
      <w:tr w14:paraId="52067A5A">
        <w:tblPrEx>
          <w:tblCellMar>
            <w:top w:w="0" w:type="dxa"/>
            <w:left w:w="108" w:type="dxa"/>
            <w:bottom w:w="0" w:type="dxa"/>
            <w:right w:w="108" w:type="dxa"/>
          </w:tblCellMar>
        </w:tblPrEx>
        <w:trPr>
          <w:trHeight w:val="1115" w:hRule="atLeast"/>
          <w:jc w:val="center"/>
        </w:trPr>
        <w:tc>
          <w:tcPr>
            <w:tcW w:w="945" w:type="dxa"/>
            <w:vMerge w:val="continue"/>
            <w:tcBorders>
              <w:top w:val="single" w:color="000000" w:sz="6" w:space="0"/>
              <w:left w:val="single" w:color="000000" w:sz="6" w:space="0"/>
              <w:bottom w:val="single" w:color="000000" w:sz="6" w:space="0"/>
              <w:right w:val="single" w:color="000000" w:sz="6" w:space="0"/>
            </w:tcBorders>
            <w:noWrap/>
            <w:vAlign w:val="center"/>
          </w:tcPr>
          <w:p w14:paraId="7DB8A6EA">
            <w:pPr>
              <w:spacing w:line="240" w:lineRule="auto"/>
              <w:ind w:firstLine="0" w:firstLineChars="0"/>
              <w:jc w:val="both"/>
              <w:rPr>
                <w:rFonts w:hint="eastAsia" w:ascii="宋体" w:hAnsi="宋体" w:eastAsia="宋体" w:cs="宋体"/>
                <w:color w:val="auto"/>
                <w:kern w:val="2"/>
                <w:sz w:val="21"/>
                <w:szCs w:val="21"/>
              </w:rPr>
            </w:pPr>
          </w:p>
        </w:tc>
        <w:tc>
          <w:tcPr>
            <w:tcW w:w="1000" w:type="dxa"/>
            <w:tcBorders>
              <w:top w:val="single" w:color="000000" w:sz="6" w:space="0"/>
              <w:left w:val="single" w:color="000000" w:sz="6" w:space="0"/>
              <w:bottom w:val="single" w:color="000000" w:sz="6" w:space="0"/>
              <w:right w:val="single" w:color="000000" w:sz="6" w:space="0"/>
            </w:tcBorders>
            <w:noWrap/>
            <w:vAlign w:val="center"/>
          </w:tcPr>
          <w:p w14:paraId="20E9AD5A">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半年一次</w:t>
            </w:r>
          </w:p>
        </w:tc>
        <w:tc>
          <w:tcPr>
            <w:tcW w:w="4313" w:type="dxa"/>
            <w:tcBorders>
              <w:top w:val="single" w:color="000000" w:sz="6" w:space="0"/>
              <w:left w:val="single" w:color="000000" w:sz="6" w:space="0"/>
              <w:bottom w:val="single" w:color="000000" w:sz="6" w:space="0"/>
              <w:right w:val="single" w:color="000000" w:sz="6" w:space="0"/>
            </w:tcBorders>
            <w:noWrap/>
            <w:vAlign w:val="top"/>
          </w:tcPr>
          <w:p w14:paraId="511A429B">
            <w:pPr>
              <w:tabs>
                <w:tab w:val="left" w:pos="145"/>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1.清洁卫生。</w:t>
            </w:r>
          </w:p>
          <w:p w14:paraId="6709790D">
            <w:pPr>
              <w:tabs>
                <w:tab w:val="left" w:pos="145"/>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2.紧固螺丝，调整接触点隙，更换打磨烧坏的动静触头。</w:t>
            </w:r>
          </w:p>
          <w:p w14:paraId="1A99CA6E">
            <w:pPr>
              <w:tabs>
                <w:tab w:val="left" w:pos="145"/>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3.若有过载现象，应更换容量大的配电设备。</w:t>
            </w:r>
          </w:p>
        </w:tc>
        <w:tc>
          <w:tcPr>
            <w:tcW w:w="3363" w:type="dxa"/>
            <w:tcBorders>
              <w:top w:val="single" w:color="000000" w:sz="6" w:space="0"/>
              <w:left w:val="single" w:color="000000" w:sz="6" w:space="0"/>
              <w:bottom w:val="single" w:color="000000" w:sz="6" w:space="0"/>
              <w:right w:val="single" w:color="000000" w:sz="6" w:space="0"/>
            </w:tcBorders>
            <w:noWrap/>
            <w:vAlign w:val="center"/>
          </w:tcPr>
          <w:p w14:paraId="4E315A71">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设备卫生；</w:t>
            </w:r>
          </w:p>
          <w:p w14:paraId="7DAF0310">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开关状态良好。</w:t>
            </w:r>
          </w:p>
        </w:tc>
      </w:tr>
      <w:tr w14:paraId="44687332">
        <w:tblPrEx>
          <w:tblCellMar>
            <w:top w:w="0" w:type="dxa"/>
            <w:left w:w="108" w:type="dxa"/>
            <w:bottom w:w="0" w:type="dxa"/>
            <w:right w:w="108" w:type="dxa"/>
          </w:tblCellMar>
        </w:tblPrEx>
        <w:trPr>
          <w:trHeight w:val="1025" w:hRule="atLeast"/>
          <w:jc w:val="center"/>
        </w:trPr>
        <w:tc>
          <w:tcPr>
            <w:tcW w:w="945" w:type="dxa"/>
            <w:vMerge w:val="continue"/>
            <w:tcBorders>
              <w:top w:val="single" w:color="000000" w:sz="6" w:space="0"/>
              <w:left w:val="single" w:color="000000" w:sz="6" w:space="0"/>
              <w:bottom w:val="single" w:color="000000" w:sz="6" w:space="0"/>
              <w:right w:val="single" w:color="000000" w:sz="6" w:space="0"/>
            </w:tcBorders>
            <w:noWrap/>
            <w:vAlign w:val="center"/>
          </w:tcPr>
          <w:p w14:paraId="227E72B0">
            <w:pPr>
              <w:spacing w:line="240" w:lineRule="auto"/>
              <w:ind w:firstLine="0" w:firstLineChars="0"/>
              <w:jc w:val="both"/>
              <w:rPr>
                <w:rFonts w:hint="eastAsia" w:ascii="宋体" w:hAnsi="宋体" w:eastAsia="宋体" w:cs="宋体"/>
                <w:color w:val="auto"/>
                <w:kern w:val="2"/>
                <w:sz w:val="21"/>
                <w:szCs w:val="21"/>
              </w:rPr>
            </w:pPr>
          </w:p>
        </w:tc>
        <w:tc>
          <w:tcPr>
            <w:tcW w:w="1000" w:type="dxa"/>
            <w:tcBorders>
              <w:top w:val="single" w:color="000000" w:sz="6" w:space="0"/>
              <w:left w:val="single" w:color="000000" w:sz="6" w:space="0"/>
              <w:bottom w:val="single" w:color="000000" w:sz="6" w:space="0"/>
              <w:right w:val="single" w:color="000000" w:sz="6" w:space="0"/>
            </w:tcBorders>
            <w:noWrap/>
            <w:vAlign w:val="center"/>
          </w:tcPr>
          <w:p w14:paraId="2EC903A7">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每年一次</w:t>
            </w:r>
          </w:p>
        </w:tc>
        <w:tc>
          <w:tcPr>
            <w:tcW w:w="4313" w:type="dxa"/>
            <w:tcBorders>
              <w:top w:val="single" w:color="000000" w:sz="6" w:space="0"/>
              <w:left w:val="single" w:color="000000" w:sz="6" w:space="0"/>
              <w:bottom w:val="single" w:color="000000" w:sz="6" w:space="0"/>
              <w:right w:val="single" w:color="000000" w:sz="6" w:space="0"/>
            </w:tcBorders>
            <w:noWrap/>
            <w:vAlign w:val="center"/>
          </w:tcPr>
          <w:p w14:paraId="3BBF3EA7">
            <w:pPr>
              <w:tabs>
                <w:tab w:val="left" w:pos="145"/>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1.检测接地电阻。</w:t>
            </w:r>
          </w:p>
          <w:p w14:paraId="0E460A74">
            <w:pPr>
              <w:tabs>
                <w:tab w:val="left" w:pos="145"/>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2.测试过流保护装置、联锁装置是否可靠。</w:t>
            </w:r>
          </w:p>
        </w:tc>
        <w:tc>
          <w:tcPr>
            <w:tcW w:w="3363" w:type="dxa"/>
            <w:tcBorders>
              <w:top w:val="single" w:color="000000" w:sz="6" w:space="0"/>
              <w:left w:val="single" w:color="000000" w:sz="6" w:space="0"/>
              <w:bottom w:val="single" w:color="000000" w:sz="6" w:space="0"/>
              <w:right w:val="single" w:color="000000" w:sz="6" w:space="0"/>
            </w:tcBorders>
            <w:noWrap/>
            <w:vAlign w:val="center"/>
          </w:tcPr>
          <w:p w14:paraId="6F389A83">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屏内清洁无杂物，连接件无松动，无发热变色，仪表等附件完好无损；</w:t>
            </w:r>
          </w:p>
          <w:p w14:paraId="59A6E525">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动力配电系统运行安全可靠。</w:t>
            </w:r>
          </w:p>
        </w:tc>
      </w:tr>
      <w:tr w14:paraId="1471254D">
        <w:tblPrEx>
          <w:tblCellMar>
            <w:top w:w="0" w:type="dxa"/>
            <w:left w:w="108" w:type="dxa"/>
            <w:bottom w:w="0" w:type="dxa"/>
            <w:right w:w="108" w:type="dxa"/>
          </w:tblCellMar>
        </w:tblPrEx>
        <w:trPr>
          <w:trHeight w:val="2215" w:hRule="atLeast"/>
          <w:jc w:val="center"/>
        </w:trPr>
        <w:tc>
          <w:tcPr>
            <w:tcW w:w="945" w:type="dxa"/>
            <w:tcBorders>
              <w:top w:val="single" w:color="000000" w:sz="6" w:space="0"/>
              <w:left w:val="single" w:color="000000" w:sz="6" w:space="0"/>
              <w:bottom w:val="single" w:color="000000" w:sz="6" w:space="0"/>
              <w:right w:val="single" w:color="000000" w:sz="6" w:space="0"/>
            </w:tcBorders>
            <w:noWrap/>
            <w:vAlign w:val="center"/>
          </w:tcPr>
          <w:p w14:paraId="2989BC42">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照明器具</w:t>
            </w:r>
          </w:p>
        </w:tc>
        <w:tc>
          <w:tcPr>
            <w:tcW w:w="1000" w:type="dxa"/>
            <w:tcBorders>
              <w:top w:val="single" w:color="000000" w:sz="6" w:space="0"/>
              <w:left w:val="single" w:color="000000" w:sz="6" w:space="0"/>
              <w:bottom w:val="single" w:color="000000" w:sz="6" w:space="0"/>
              <w:right w:val="single" w:color="000000" w:sz="6" w:space="0"/>
            </w:tcBorders>
            <w:noWrap/>
            <w:vAlign w:val="center"/>
          </w:tcPr>
          <w:p w14:paraId="04002066">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每月一次</w:t>
            </w:r>
          </w:p>
        </w:tc>
        <w:tc>
          <w:tcPr>
            <w:tcW w:w="4313" w:type="dxa"/>
            <w:tcBorders>
              <w:top w:val="single" w:color="000000" w:sz="6" w:space="0"/>
              <w:left w:val="single" w:color="000000" w:sz="6" w:space="0"/>
              <w:bottom w:val="single" w:color="000000" w:sz="6" w:space="0"/>
              <w:right w:val="single" w:color="000000" w:sz="6" w:space="0"/>
            </w:tcBorders>
            <w:noWrap/>
            <w:vAlign w:val="top"/>
          </w:tcPr>
          <w:p w14:paraId="3000EB04">
            <w:pPr>
              <w:tabs>
                <w:tab w:val="left" w:pos="145"/>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1.照明器具的清洁卫生。</w:t>
            </w:r>
          </w:p>
          <w:p w14:paraId="1140E8BA">
            <w:pPr>
              <w:tabs>
                <w:tab w:val="left" w:pos="145"/>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2.检查外观是否良好，有无异声。</w:t>
            </w:r>
          </w:p>
          <w:p w14:paraId="7A7714AA">
            <w:pPr>
              <w:tabs>
                <w:tab w:val="left" w:pos="145"/>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3.检查灯具照度的均匀度；如有异常，马上处理。</w:t>
            </w:r>
          </w:p>
          <w:p w14:paraId="6A7C6FD2">
            <w:pPr>
              <w:tabs>
                <w:tab w:val="left" w:pos="145"/>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4.调整照明器具亮度，节约能源。</w:t>
            </w:r>
          </w:p>
          <w:p w14:paraId="39886781">
            <w:pPr>
              <w:tabs>
                <w:tab w:val="left" w:pos="145"/>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5.更换过热、故障配件、避免短路现象。</w:t>
            </w:r>
          </w:p>
          <w:p w14:paraId="07FC852C">
            <w:pPr>
              <w:tabs>
                <w:tab w:val="left" w:pos="145"/>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6.根据季节和要求合理调整灯光工程的开机时间。</w:t>
            </w:r>
          </w:p>
        </w:tc>
        <w:tc>
          <w:tcPr>
            <w:tcW w:w="3363" w:type="dxa"/>
            <w:tcBorders>
              <w:top w:val="single" w:color="000000" w:sz="6" w:space="0"/>
              <w:left w:val="single" w:color="000000" w:sz="6" w:space="0"/>
              <w:bottom w:val="single" w:color="000000" w:sz="6" w:space="0"/>
              <w:right w:val="single" w:color="000000" w:sz="6" w:space="0"/>
            </w:tcBorders>
            <w:noWrap/>
            <w:vAlign w:val="center"/>
          </w:tcPr>
          <w:p w14:paraId="6812417F">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灯具卫生；</w:t>
            </w:r>
          </w:p>
          <w:p w14:paraId="1BF1CF2F">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工作正常。</w:t>
            </w:r>
          </w:p>
        </w:tc>
      </w:tr>
      <w:tr w14:paraId="1A2C8E4E">
        <w:tblPrEx>
          <w:tblCellMar>
            <w:top w:w="0" w:type="dxa"/>
            <w:left w:w="108" w:type="dxa"/>
            <w:bottom w:w="0" w:type="dxa"/>
            <w:right w:w="108" w:type="dxa"/>
          </w:tblCellMar>
        </w:tblPrEx>
        <w:trPr>
          <w:trHeight w:val="1557" w:hRule="atLeast"/>
          <w:jc w:val="center"/>
        </w:trPr>
        <w:tc>
          <w:tcPr>
            <w:tcW w:w="945" w:type="dxa"/>
            <w:vMerge w:val="restart"/>
            <w:tcBorders>
              <w:top w:val="single" w:color="000000" w:sz="6" w:space="0"/>
              <w:left w:val="single" w:color="000000" w:sz="6" w:space="0"/>
              <w:bottom w:val="single" w:color="000000" w:sz="6" w:space="0"/>
              <w:right w:val="single" w:color="000000" w:sz="6" w:space="0"/>
            </w:tcBorders>
            <w:noWrap/>
            <w:vAlign w:val="center"/>
          </w:tcPr>
          <w:p w14:paraId="1AE4F696">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供电线路</w:t>
            </w:r>
          </w:p>
        </w:tc>
        <w:tc>
          <w:tcPr>
            <w:tcW w:w="1000" w:type="dxa"/>
            <w:tcBorders>
              <w:top w:val="single" w:color="000000" w:sz="6" w:space="0"/>
              <w:left w:val="single" w:color="000000" w:sz="6" w:space="0"/>
              <w:bottom w:val="single" w:color="000000" w:sz="6" w:space="0"/>
              <w:right w:val="single" w:color="000000" w:sz="6" w:space="0"/>
            </w:tcBorders>
            <w:noWrap/>
            <w:vAlign w:val="center"/>
          </w:tcPr>
          <w:p w14:paraId="3E35DDAD">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每月一次</w:t>
            </w:r>
          </w:p>
        </w:tc>
        <w:tc>
          <w:tcPr>
            <w:tcW w:w="4313" w:type="dxa"/>
            <w:tcBorders>
              <w:top w:val="single" w:color="000000" w:sz="6" w:space="0"/>
              <w:left w:val="single" w:color="000000" w:sz="6" w:space="0"/>
              <w:bottom w:val="single" w:color="000000" w:sz="6" w:space="0"/>
              <w:right w:val="single" w:color="000000" w:sz="6" w:space="0"/>
            </w:tcBorders>
            <w:noWrap/>
            <w:vAlign w:val="top"/>
          </w:tcPr>
          <w:p w14:paraId="2DCEBC27">
            <w:pPr>
              <w:tabs>
                <w:tab w:val="left" w:pos="145"/>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1.清洁卫生。</w:t>
            </w:r>
          </w:p>
          <w:p w14:paraId="4EDFA1C8">
            <w:pPr>
              <w:tabs>
                <w:tab w:val="left" w:pos="145"/>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2.清楚环境无积水、杂物。</w:t>
            </w:r>
          </w:p>
          <w:p w14:paraId="728E881F">
            <w:pPr>
              <w:tabs>
                <w:tab w:val="left" w:pos="145"/>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3.供电电缆标示是否清晰、脱落，如有马上处理。</w:t>
            </w:r>
          </w:p>
          <w:p w14:paraId="67B107E6">
            <w:pPr>
              <w:tabs>
                <w:tab w:val="left" w:pos="145"/>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4.检查线路有无过热现象、进出线路接线装置是否完好。</w:t>
            </w:r>
          </w:p>
        </w:tc>
        <w:tc>
          <w:tcPr>
            <w:tcW w:w="3363" w:type="dxa"/>
            <w:tcBorders>
              <w:top w:val="single" w:color="000000" w:sz="6" w:space="0"/>
              <w:left w:val="single" w:color="000000" w:sz="6" w:space="0"/>
              <w:bottom w:val="single" w:color="000000" w:sz="6" w:space="0"/>
              <w:right w:val="single" w:color="000000" w:sz="6" w:space="0"/>
            </w:tcBorders>
            <w:noWrap/>
            <w:vAlign w:val="center"/>
          </w:tcPr>
          <w:p w14:paraId="2C79EC04">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线路无过热现象，接线装置紧固，标示清晰。</w:t>
            </w:r>
          </w:p>
        </w:tc>
      </w:tr>
      <w:tr w14:paraId="6BBFE40D">
        <w:tblPrEx>
          <w:tblCellMar>
            <w:top w:w="0" w:type="dxa"/>
            <w:left w:w="108" w:type="dxa"/>
            <w:bottom w:w="0" w:type="dxa"/>
            <w:right w:w="108" w:type="dxa"/>
          </w:tblCellMar>
        </w:tblPrEx>
        <w:trPr>
          <w:trHeight w:val="564" w:hRule="atLeast"/>
          <w:jc w:val="center"/>
        </w:trPr>
        <w:tc>
          <w:tcPr>
            <w:tcW w:w="945" w:type="dxa"/>
            <w:vMerge w:val="continue"/>
            <w:tcBorders>
              <w:top w:val="single" w:color="000000" w:sz="6" w:space="0"/>
              <w:left w:val="single" w:color="000000" w:sz="6" w:space="0"/>
              <w:bottom w:val="single" w:color="000000" w:sz="6" w:space="0"/>
              <w:right w:val="single" w:color="000000" w:sz="6" w:space="0"/>
            </w:tcBorders>
            <w:noWrap/>
            <w:vAlign w:val="center"/>
          </w:tcPr>
          <w:p w14:paraId="1CBF79BF">
            <w:pPr>
              <w:spacing w:line="240" w:lineRule="auto"/>
              <w:ind w:firstLine="0" w:firstLineChars="0"/>
              <w:jc w:val="both"/>
              <w:rPr>
                <w:rFonts w:hint="eastAsia" w:ascii="宋体" w:hAnsi="宋体" w:eastAsia="宋体" w:cs="宋体"/>
                <w:color w:val="auto"/>
                <w:kern w:val="2"/>
                <w:sz w:val="21"/>
                <w:szCs w:val="21"/>
              </w:rPr>
            </w:pPr>
          </w:p>
        </w:tc>
        <w:tc>
          <w:tcPr>
            <w:tcW w:w="1000" w:type="dxa"/>
            <w:tcBorders>
              <w:top w:val="single" w:color="000000" w:sz="6" w:space="0"/>
              <w:left w:val="single" w:color="000000" w:sz="6" w:space="0"/>
              <w:bottom w:val="single" w:color="000000" w:sz="6" w:space="0"/>
              <w:right w:val="single" w:color="000000" w:sz="6" w:space="0"/>
            </w:tcBorders>
            <w:noWrap/>
            <w:vAlign w:val="center"/>
          </w:tcPr>
          <w:p w14:paraId="26F639A6">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每年一次</w:t>
            </w:r>
          </w:p>
        </w:tc>
        <w:tc>
          <w:tcPr>
            <w:tcW w:w="4313" w:type="dxa"/>
            <w:tcBorders>
              <w:top w:val="single" w:color="000000" w:sz="6" w:space="0"/>
              <w:left w:val="single" w:color="000000" w:sz="6" w:space="0"/>
              <w:bottom w:val="single" w:color="000000" w:sz="6" w:space="0"/>
              <w:right w:val="single" w:color="000000" w:sz="6" w:space="0"/>
            </w:tcBorders>
            <w:noWrap/>
            <w:vAlign w:val="top"/>
          </w:tcPr>
          <w:p w14:paraId="72F3B804">
            <w:pPr>
              <w:tabs>
                <w:tab w:val="left" w:pos="145"/>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1.用仪表检测线路绝缘电阻。</w:t>
            </w:r>
          </w:p>
          <w:p w14:paraId="3C9D189B">
            <w:pPr>
              <w:tabs>
                <w:tab w:val="left" w:pos="145"/>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2.对金属支架、电缆套管涂防锈漆或沥青。</w:t>
            </w:r>
          </w:p>
        </w:tc>
        <w:tc>
          <w:tcPr>
            <w:tcW w:w="3363" w:type="dxa"/>
            <w:tcBorders>
              <w:top w:val="single" w:color="000000" w:sz="6" w:space="0"/>
              <w:left w:val="single" w:color="000000" w:sz="6" w:space="0"/>
              <w:bottom w:val="single" w:color="000000" w:sz="6" w:space="0"/>
              <w:right w:val="single" w:color="000000" w:sz="6" w:space="0"/>
            </w:tcBorders>
            <w:noWrap/>
            <w:vAlign w:val="center"/>
          </w:tcPr>
          <w:p w14:paraId="1CE94677">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阻值符合规范，无锈蚀。</w:t>
            </w:r>
          </w:p>
        </w:tc>
      </w:tr>
      <w:tr w14:paraId="7181B275">
        <w:tblPrEx>
          <w:tblCellMar>
            <w:top w:w="0" w:type="dxa"/>
            <w:left w:w="108" w:type="dxa"/>
            <w:bottom w:w="0" w:type="dxa"/>
            <w:right w:w="108" w:type="dxa"/>
          </w:tblCellMar>
        </w:tblPrEx>
        <w:trPr>
          <w:trHeight w:val="2491" w:hRule="atLeast"/>
          <w:jc w:val="center"/>
        </w:trPr>
        <w:tc>
          <w:tcPr>
            <w:tcW w:w="945" w:type="dxa"/>
            <w:vMerge w:val="restart"/>
            <w:tcBorders>
              <w:top w:val="single" w:color="000000" w:sz="6" w:space="0"/>
              <w:left w:val="single" w:color="000000" w:sz="6" w:space="0"/>
              <w:bottom w:val="single" w:color="000000" w:sz="6" w:space="0"/>
              <w:right w:val="single" w:color="000000" w:sz="6" w:space="0"/>
            </w:tcBorders>
            <w:noWrap/>
            <w:vAlign w:val="center"/>
          </w:tcPr>
          <w:p w14:paraId="41A64ED4">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柴油发电机</w:t>
            </w:r>
          </w:p>
        </w:tc>
        <w:tc>
          <w:tcPr>
            <w:tcW w:w="1000" w:type="dxa"/>
            <w:tcBorders>
              <w:top w:val="single" w:color="000000" w:sz="6" w:space="0"/>
              <w:left w:val="single" w:color="000000" w:sz="6" w:space="0"/>
              <w:bottom w:val="single" w:color="000000" w:sz="6" w:space="0"/>
              <w:right w:val="single" w:color="000000" w:sz="6" w:space="0"/>
            </w:tcBorders>
            <w:noWrap/>
            <w:vAlign w:val="center"/>
          </w:tcPr>
          <w:p w14:paraId="0B2A5C12">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每月一次</w:t>
            </w:r>
          </w:p>
        </w:tc>
        <w:tc>
          <w:tcPr>
            <w:tcW w:w="4313" w:type="dxa"/>
            <w:tcBorders>
              <w:top w:val="single" w:color="000000" w:sz="6" w:space="0"/>
              <w:left w:val="single" w:color="000000" w:sz="6" w:space="0"/>
              <w:bottom w:val="single" w:color="000000" w:sz="6" w:space="0"/>
              <w:right w:val="single" w:color="000000" w:sz="6" w:space="0"/>
            </w:tcBorders>
            <w:noWrap/>
            <w:vAlign w:val="top"/>
          </w:tcPr>
          <w:p w14:paraId="31505C12">
            <w:pPr>
              <w:tabs>
                <w:tab w:val="left" w:pos="145"/>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1.保持机房、设备清洁；检查润滑油位、冷却水位、燃油量、蓄电池电位和传动皮带，排烟、空气系统、控制系统是否正常。</w:t>
            </w:r>
          </w:p>
          <w:p w14:paraId="678214CA">
            <w:pPr>
              <w:tabs>
                <w:tab w:val="left" w:pos="145"/>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2.外观检查发动机有无损坏、渗漏、皮带是否松弛或磨损。</w:t>
            </w:r>
          </w:p>
          <w:p w14:paraId="73F9AB49">
            <w:pPr>
              <w:tabs>
                <w:tab w:val="left" w:pos="145"/>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3.每月四次试运行，15-20分钟/次，观察油压、水温、电压等是否正常。</w:t>
            </w:r>
          </w:p>
          <w:p w14:paraId="05D7D09E">
            <w:pPr>
              <w:tabs>
                <w:tab w:val="left" w:pos="145"/>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4.蓄电池电池液高于极板15-20MM，节点螺丝紧固。</w:t>
            </w:r>
          </w:p>
        </w:tc>
        <w:tc>
          <w:tcPr>
            <w:tcW w:w="3363" w:type="dxa"/>
            <w:tcBorders>
              <w:top w:val="single" w:color="000000" w:sz="6" w:space="0"/>
              <w:left w:val="single" w:color="000000" w:sz="6" w:space="0"/>
              <w:bottom w:val="single" w:color="000000" w:sz="6" w:space="0"/>
              <w:right w:val="single" w:color="000000" w:sz="6" w:space="0"/>
            </w:tcBorders>
            <w:noWrap/>
            <w:vAlign w:val="center"/>
          </w:tcPr>
          <w:p w14:paraId="365F62A8">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设备清洁、正常有效。</w:t>
            </w:r>
          </w:p>
        </w:tc>
      </w:tr>
      <w:tr w14:paraId="6BBAC9A0">
        <w:tblPrEx>
          <w:tblCellMar>
            <w:top w:w="0" w:type="dxa"/>
            <w:left w:w="108" w:type="dxa"/>
            <w:bottom w:w="0" w:type="dxa"/>
            <w:right w:w="108" w:type="dxa"/>
          </w:tblCellMar>
        </w:tblPrEx>
        <w:trPr>
          <w:trHeight w:val="1115" w:hRule="atLeast"/>
          <w:jc w:val="center"/>
        </w:trPr>
        <w:tc>
          <w:tcPr>
            <w:tcW w:w="945" w:type="dxa"/>
            <w:vMerge w:val="continue"/>
            <w:tcBorders>
              <w:top w:val="single" w:color="000000" w:sz="6" w:space="0"/>
              <w:left w:val="single" w:color="000000" w:sz="6" w:space="0"/>
              <w:bottom w:val="single" w:color="000000" w:sz="6" w:space="0"/>
              <w:right w:val="single" w:color="000000" w:sz="6" w:space="0"/>
            </w:tcBorders>
            <w:noWrap/>
            <w:vAlign w:val="center"/>
          </w:tcPr>
          <w:p w14:paraId="5966F55B">
            <w:pPr>
              <w:spacing w:line="240" w:lineRule="auto"/>
              <w:ind w:firstLine="0" w:firstLineChars="0"/>
              <w:jc w:val="both"/>
              <w:rPr>
                <w:rFonts w:hint="eastAsia" w:ascii="宋体" w:hAnsi="宋体" w:eastAsia="宋体" w:cs="宋体"/>
                <w:color w:val="auto"/>
                <w:kern w:val="2"/>
                <w:sz w:val="21"/>
                <w:szCs w:val="21"/>
              </w:rPr>
            </w:pPr>
          </w:p>
        </w:tc>
        <w:tc>
          <w:tcPr>
            <w:tcW w:w="1000" w:type="dxa"/>
            <w:tcBorders>
              <w:top w:val="single" w:color="000000" w:sz="6" w:space="0"/>
              <w:left w:val="single" w:color="000000" w:sz="6" w:space="0"/>
              <w:bottom w:val="single" w:color="000000" w:sz="6" w:space="0"/>
              <w:right w:val="single" w:color="000000" w:sz="6" w:space="0"/>
            </w:tcBorders>
            <w:noWrap/>
            <w:vAlign w:val="center"/>
          </w:tcPr>
          <w:p w14:paraId="6597D807">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半年一次</w:t>
            </w:r>
          </w:p>
        </w:tc>
        <w:tc>
          <w:tcPr>
            <w:tcW w:w="4313" w:type="dxa"/>
            <w:tcBorders>
              <w:top w:val="single" w:color="000000" w:sz="6" w:space="0"/>
              <w:left w:val="single" w:color="000000" w:sz="6" w:space="0"/>
              <w:bottom w:val="single" w:color="000000" w:sz="6" w:space="0"/>
              <w:right w:val="single" w:color="000000" w:sz="6" w:space="0"/>
            </w:tcBorders>
            <w:noWrap/>
            <w:vAlign w:val="top"/>
          </w:tcPr>
          <w:p w14:paraId="36B25B6A">
            <w:pPr>
              <w:tabs>
                <w:tab w:val="left" w:pos="145"/>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1.检查发动机绕组对地绝缘电阻。</w:t>
            </w:r>
          </w:p>
          <w:p w14:paraId="73546F29">
            <w:pPr>
              <w:tabs>
                <w:tab w:val="left" w:pos="145"/>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2.检查配电柜、控制屏接头是否拧紧，各类传感信号正常。</w:t>
            </w:r>
          </w:p>
          <w:p w14:paraId="09A625AF">
            <w:pPr>
              <w:tabs>
                <w:tab w:val="left" w:pos="145"/>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3.设备整体除尘清洁。</w:t>
            </w:r>
          </w:p>
        </w:tc>
        <w:tc>
          <w:tcPr>
            <w:tcW w:w="3363" w:type="dxa"/>
            <w:tcBorders>
              <w:top w:val="single" w:color="000000" w:sz="6" w:space="0"/>
              <w:left w:val="single" w:color="000000" w:sz="6" w:space="0"/>
              <w:bottom w:val="single" w:color="000000" w:sz="6" w:space="0"/>
              <w:right w:val="single" w:color="000000" w:sz="6" w:space="0"/>
            </w:tcBorders>
            <w:noWrap/>
            <w:vAlign w:val="center"/>
          </w:tcPr>
          <w:p w14:paraId="3715A2EB">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阻值合格、接头无松动、信号正确。</w:t>
            </w:r>
          </w:p>
        </w:tc>
      </w:tr>
      <w:tr w14:paraId="5A5374C2">
        <w:tblPrEx>
          <w:tblCellMar>
            <w:top w:w="0" w:type="dxa"/>
            <w:left w:w="108" w:type="dxa"/>
            <w:bottom w:w="0" w:type="dxa"/>
            <w:right w:w="108" w:type="dxa"/>
          </w:tblCellMar>
        </w:tblPrEx>
        <w:trPr>
          <w:trHeight w:val="1115" w:hRule="atLeast"/>
          <w:jc w:val="center"/>
        </w:trPr>
        <w:tc>
          <w:tcPr>
            <w:tcW w:w="945" w:type="dxa"/>
            <w:vMerge w:val="continue"/>
            <w:tcBorders>
              <w:top w:val="single" w:color="000000" w:sz="6" w:space="0"/>
              <w:left w:val="single" w:color="000000" w:sz="6" w:space="0"/>
              <w:bottom w:val="single" w:color="000000" w:sz="6" w:space="0"/>
              <w:right w:val="single" w:color="000000" w:sz="6" w:space="0"/>
            </w:tcBorders>
            <w:noWrap/>
            <w:vAlign w:val="center"/>
          </w:tcPr>
          <w:p w14:paraId="0F5D1723">
            <w:pPr>
              <w:spacing w:line="240" w:lineRule="auto"/>
              <w:ind w:firstLine="0" w:firstLineChars="0"/>
              <w:jc w:val="both"/>
              <w:rPr>
                <w:rFonts w:hint="eastAsia" w:ascii="宋体" w:hAnsi="宋体" w:eastAsia="宋体" w:cs="宋体"/>
                <w:color w:val="auto"/>
                <w:kern w:val="2"/>
                <w:sz w:val="21"/>
                <w:szCs w:val="21"/>
              </w:rPr>
            </w:pPr>
          </w:p>
        </w:tc>
        <w:tc>
          <w:tcPr>
            <w:tcW w:w="1000" w:type="dxa"/>
            <w:tcBorders>
              <w:top w:val="single" w:color="000000" w:sz="6" w:space="0"/>
              <w:left w:val="single" w:color="000000" w:sz="6" w:space="0"/>
              <w:bottom w:val="single" w:color="000000" w:sz="6" w:space="0"/>
              <w:right w:val="single" w:color="000000" w:sz="6" w:space="0"/>
            </w:tcBorders>
            <w:noWrap/>
            <w:vAlign w:val="center"/>
          </w:tcPr>
          <w:p w14:paraId="56104597">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每年一次</w:t>
            </w:r>
          </w:p>
        </w:tc>
        <w:tc>
          <w:tcPr>
            <w:tcW w:w="4313" w:type="dxa"/>
            <w:tcBorders>
              <w:top w:val="single" w:color="000000" w:sz="6" w:space="0"/>
              <w:left w:val="single" w:color="000000" w:sz="6" w:space="0"/>
              <w:bottom w:val="single" w:color="000000" w:sz="6" w:space="0"/>
              <w:right w:val="single" w:color="000000" w:sz="6" w:space="0"/>
            </w:tcBorders>
            <w:noWrap/>
            <w:vAlign w:val="top"/>
          </w:tcPr>
          <w:p w14:paraId="21D86F6B">
            <w:pPr>
              <w:tabs>
                <w:tab w:val="left" w:pos="145"/>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1.清洗调整气门及喷油嘴，调整皮带张紧轮、水泵后部张紧轮。</w:t>
            </w:r>
          </w:p>
          <w:p w14:paraId="4AAAF85F">
            <w:pPr>
              <w:tabs>
                <w:tab w:val="left" w:pos="145"/>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2.视运行时间而定更换机油、润滑油、机油滤清器、燃油过滤器和空气过滤器。</w:t>
            </w:r>
          </w:p>
        </w:tc>
        <w:tc>
          <w:tcPr>
            <w:tcW w:w="3363" w:type="dxa"/>
            <w:tcBorders>
              <w:top w:val="single" w:color="000000" w:sz="6" w:space="0"/>
              <w:left w:val="single" w:color="000000" w:sz="6" w:space="0"/>
              <w:bottom w:val="single" w:color="000000" w:sz="6" w:space="0"/>
              <w:right w:val="single" w:color="000000" w:sz="6" w:space="0"/>
            </w:tcBorders>
            <w:noWrap/>
            <w:vAlign w:val="center"/>
          </w:tcPr>
          <w:p w14:paraId="47DE4EBB">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皮带无破损和打滑现象，更换存在缺陷的配件。</w:t>
            </w:r>
          </w:p>
        </w:tc>
      </w:tr>
      <w:tr w14:paraId="09773978">
        <w:tblPrEx>
          <w:tblCellMar>
            <w:top w:w="0" w:type="dxa"/>
            <w:left w:w="108" w:type="dxa"/>
            <w:bottom w:w="0" w:type="dxa"/>
            <w:right w:w="108" w:type="dxa"/>
          </w:tblCellMar>
        </w:tblPrEx>
        <w:trPr>
          <w:trHeight w:val="1390" w:hRule="atLeast"/>
          <w:jc w:val="center"/>
        </w:trPr>
        <w:tc>
          <w:tcPr>
            <w:tcW w:w="945" w:type="dxa"/>
            <w:vMerge w:val="continue"/>
            <w:tcBorders>
              <w:top w:val="single" w:color="000000" w:sz="6" w:space="0"/>
              <w:left w:val="single" w:color="000000" w:sz="6" w:space="0"/>
              <w:bottom w:val="single" w:color="000000" w:sz="6" w:space="0"/>
              <w:right w:val="single" w:color="000000" w:sz="6" w:space="0"/>
            </w:tcBorders>
            <w:noWrap/>
            <w:vAlign w:val="center"/>
          </w:tcPr>
          <w:p w14:paraId="3E34D33F">
            <w:pPr>
              <w:spacing w:line="240" w:lineRule="auto"/>
              <w:ind w:firstLine="0" w:firstLineChars="0"/>
              <w:jc w:val="both"/>
              <w:rPr>
                <w:rFonts w:hint="eastAsia" w:ascii="宋体" w:hAnsi="宋体" w:eastAsia="宋体" w:cs="宋体"/>
                <w:color w:val="auto"/>
                <w:kern w:val="2"/>
                <w:sz w:val="21"/>
                <w:szCs w:val="21"/>
              </w:rPr>
            </w:pPr>
          </w:p>
        </w:tc>
        <w:tc>
          <w:tcPr>
            <w:tcW w:w="1000" w:type="dxa"/>
            <w:tcBorders>
              <w:top w:val="single" w:color="000000" w:sz="6" w:space="0"/>
              <w:left w:val="single" w:color="000000" w:sz="6" w:space="0"/>
              <w:bottom w:val="single" w:color="000000" w:sz="6" w:space="0"/>
              <w:right w:val="single" w:color="000000" w:sz="6" w:space="0"/>
            </w:tcBorders>
            <w:noWrap/>
            <w:vAlign w:val="center"/>
          </w:tcPr>
          <w:p w14:paraId="7887C756">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两年一次</w:t>
            </w:r>
          </w:p>
        </w:tc>
        <w:tc>
          <w:tcPr>
            <w:tcW w:w="4313" w:type="dxa"/>
            <w:tcBorders>
              <w:top w:val="single" w:color="000000" w:sz="6" w:space="0"/>
              <w:left w:val="single" w:color="000000" w:sz="6" w:space="0"/>
              <w:bottom w:val="single" w:color="000000" w:sz="6" w:space="0"/>
              <w:right w:val="single" w:color="000000" w:sz="6" w:space="0"/>
            </w:tcBorders>
            <w:noWrap/>
            <w:vAlign w:val="top"/>
          </w:tcPr>
          <w:p w14:paraId="2A390920">
            <w:pPr>
              <w:tabs>
                <w:tab w:val="left" w:pos="145"/>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1.清洗校准油嘴、燃油泵及控制器系统。</w:t>
            </w:r>
          </w:p>
          <w:p w14:paraId="57D76DF1">
            <w:pPr>
              <w:tabs>
                <w:tab w:val="left" w:pos="145"/>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2.检查风扇、水泵、皮带、轴承。</w:t>
            </w:r>
          </w:p>
          <w:p w14:paraId="2E6BB9E6">
            <w:pPr>
              <w:tabs>
                <w:tab w:val="left" w:pos="145"/>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3.检查机油泵、燃油泵、冷却水泵，并清洗水箱。</w:t>
            </w:r>
          </w:p>
          <w:p w14:paraId="206EE3DD">
            <w:pPr>
              <w:tabs>
                <w:tab w:val="left" w:pos="145"/>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4.更换各类易损件。</w:t>
            </w:r>
          </w:p>
        </w:tc>
        <w:tc>
          <w:tcPr>
            <w:tcW w:w="3363" w:type="dxa"/>
            <w:tcBorders>
              <w:top w:val="single" w:color="000000" w:sz="6" w:space="0"/>
              <w:left w:val="single" w:color="000000" w:sz="6" w:space="0"/>
              <w:bottom w:val="single" w:color="000000" w:sz="6" w:space="0"/>
              <w:right w:val="single" w:color="000000" w:sz="6" w:space="0"/>
            </w:tcBorders>
            <w:noWrap/>
            <w:vAlign w:val="center"/>
          </w:tcPr>
          <w:p w14:paraId="18386F7B">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保持设备运行正常。</w:t>
            </w:r>
          </w:p>
        </w:tc>
      </w:tr>
      <w:tr w14:paraId="27946988">
        <w:tblPrEx>
          <w:tblCellMar>
            <w:top w:w="0" w:type="dxa"/>
            <w:left w:w="108" w:type="dxa"/>
            <w:bottom w:w="0" w:type="dxa"/>
            <w:right w:w="108" w:type="dxa"/>
          </w:tblCellMar>
        </w:tblPrEx>
        <w:trPr>
          <w:trHeight w:val="1310" w:hRule="atLeast"/>
          <w:jc w:val="center"/>
        </w:trPr>
        <w:tc>
          <w:tcPr>
            <w:tcW w:w="945" w:type="dxa"/>
            <w:tcBorders>
              <w:top w:val="single" w:color="000000" w:sz="6" w:space="0"/>
              <w:left w:val="single" w:color="000000" w:sz="6" w:space="0"/>
              <w:bottom w:val="single" w:color="000000" w:sz="6" w:space="0"/>
              <w:right w:val="single" w:color="000000" w:sz="6" w:space="0"/>
            </w:tcBorders>
            <w:noWrap/>
            <w:vAlign w:val="center"/>
          </w:tcPr>
          <w:p w14:paraId="1E0FF16C">
            <w:pPr>
              <w:snapToGrid w:val="0"/>
              <w:spacing w:line="240" w:lineRule="auto"/>
              <w:ind w:firstLine="0" w:firstLineChars="0"/>
              <w:jc w:val="center"/>
              <w:rPr>
                <w:rFonts w:hint="eastAsia" w:ascii="宋体" w:hAnsi="宋体" w:eastAsia="宋体" w:cs="宋体"/>
                <w:bCs/>
                <w:color w:val="auto"/>
                <w:kern w:val="2"/>
                <w:sz w:val="21"/>
                <w:szCs w:val="21"/>
              </w:rPr>
            </w:pPr>
            <w:r>
              <w:rPr>
                <w:rFonts w:hint="eastAsia" w:ascii="宋体" w:hAnsi="宋体" w:eastAsia="宋体" w:cs="宋体"/>
                <w:color w:val="auto"/>
                <w:kern w:val="2"/>
                <w:sz w:val="21"/>
                <w:szCs w:val="21"/>
              </w:rPr>
              <w:t>应急</w:t>
            </w:r>
            <w:r>
              <w:rPr>
                <w:rFonts w:hint="eastAsia" w:ascii="宋体" w:hAnsi="宋体" w:eastAsia="宋体" w:cs="宋体"/>
                <w:bCs/>
                <w:color w:val="auto"/>
                <w:kern w:val="2"/>
                <w:sz w:val="21"/>
                <w:szCs w:val="21"/>
              </w:rPr>
              <w:t>照明电源装置</w:t>
            </w:r>
          </w:p>
        </w:tc>
        <w:tc>
          <w:tcPr>
            <w:tcW w:w="1000" w:type="dxa"/>
            <w:tcBorders>
              <w:top w:val="single" w:color="000000" w:sz="6" w:space="0"/>
              <w:left w:val="single" w:color="000000" w:sz="6" w:space="0"/>
              <w:bottom w:val="single" w:color="000000" w:sz="6" w:space="0"/>
              <w:right w:val="single" w:color="000000" w:sz="6" w:space="0"/>
            </w:tcBorders>
            <w:noWrap/>
            <w:vAlign w:val="center"/>
          </w:tcPr>
          <w:p w14:paraId="23908419">
            <w:pPr>
              <w:spacing w:line="240" w:lineRule="auto"/>
              <w:ind w:firstLine="0" w:firstLineChars="0"/>
              <w:jc w:val="center"/>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每月一次</w:t>
            </w:r>
          </w:p>
        </w:tc>
        <w:tc>
          <w:tcPr>
            <w:tcW w:w="4313" w:type="dxa"/>
            <w:tcBorders>
              <w:top w:val="single" w:color="000000" w:sz="6" w:space="0"/>
              <w:left w:val="single" w:color="000000" w:sz="6" w:space="0"/>
              <w:bottom w:val="single" w:color="000000" w:sz="6" w:space="0"/>
              <w:right w:val="single" w:color="000000" w:sz="6" w:space="0"/>
            </w:tcBorders>
            <w:noWrap/>
            <w:vAlign w:val="center"/>
          </w:tcPr>
          <w:p w14:paraId="0D083496">
            <w:pPr>
              <w:tabs>
                <w:tab w:val="left" w:pos="145"/>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1.查看EPS指示灯状态，各项参数、故障信息。</w:t>
            </w:r>
          </w:p>
          <w:p w14:paraId="2DF23164">
            <w:pPr>
              <w:tabs>
                <w:tab w:val="left" w:pos="145"/>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2.EPS两路交流输入电源切换功能测试。</w:t>
            </w:r>
          </w:p>
          <w:p w14:paraId="60EE5F57">
            <w:pPr>
              <w:tabs>
                <w:tab w:val="left" w:pos="145"/>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3.EPS内部元器件检查。</w:t>
            </w:r>
          </w:p>
          <w:p w14:paraId="3D90068B">
            <w:pPr>
              <w:tabs>
                <w:tab w:val="left" w:pos="145"/>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4.逆变功能测试。</w:t>
            </w:r>
          </w:p>
        </w:tc>
        <w:tc>
          <w:tcPr>
            <w:tcW w:w="3363" w:type="dxa"/>
            <w:tcBorders>
              <w:top w:val="single" w:color="000000" w:sz="6" w:space="0"/>
              <w:left w:val="single" w:color="000000" w:sz="6" w:space="0"/>
              <w:bottom w:val="single" w:color="000000" w:sz="6" w:space="0"/>
              <w:right w:val="single" w:color="000000" w:sz="6" w:space="0"/>
            </w:tcBorders>
            <w:noWrap/>
            <w:vAlign w:val="center"/>
          </w:tcPr>
          <w:p w14:paraId="4FA8FDE7">
            <w:pPr>
              <w:spacing w:line="240" w:lineRule="auto"/>
              <w:ind w:firstLine="0" w:firstLineChars="0"/>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1.EPS指示灯状态正常点亮，工作正常，电池电压正常，无故障信息；</w:t>
            </w:r>
          </w:p>
          <w:p w14:paraId="3F3DFA71">
            <w:pPr>
              <w:spacing w:line="240" w:lineRule="auto"/>
              <w:ind w:firstLine="0" w:firstLineChars="0"/>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2.EPS双电源切换功能正常；</w:t>
            </w:r>
          </w:p>
          <w:p w14:paraId="4F16B415">
            <w:pPr>
              <w:spacing w:line="240" w:lineRule="auto"/>
              <w:ind w:firstLine="0" w:firstLineChars="0"/>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3.EPS内部元器件无异常；</w:t>
            </w:r>
          </w:p>
          <w:p w14:paraId="2F7EAEBA">
            <w:pPr>
              <w:spacing w:line="240" w:lineRule="auto"/>
              <w:ind w:firstLine="0" w:firstLineChars="0"/>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4.EPS逆变功能正常。</w:t>
            </w:r>
          </w:p>
        </w:tc>
      </w:tr>
      <w:tr w14:paraId="1C84B170">
        <w:tblPrEx>
          <w:tblCellMar>
            <w:top w:w="0" w:type="dxa"/>
            <w:left w:w="108" w:type="dxa"/>
            <w:bottom w:w="0" w:type="dxa"/>
            <w:right w:w="108" w:type="dxa"/>
          </w:tblCellMar>
        </w:tblPrEx>
        <w:trPr>
          <w:trHeight w:val="2321" w:hRule="atLeast"/>
          <w:jc w:val="center"/>
        </w:trPr>
        <w:tc>
          <w:tcPr>
            <w:tcW w:w="945" w:type="dxa"/>
            <w:tcBorders>
              <w:top w:val="single" w:color="000000" w:sz="6" w:space="0"/>
              <w:left w:val="single" w:color="000000" w:sz="6" w:space="0"/>
              <w:bottom w:val="single" w:color="000000" w:sz="6" w:space="0"/>
              <w:right w:val="single" w:color="000000" w:sz="6" w:space="0"/>
            </w:tcBorders>
            <w:noWrap/>
            <w:vAlign w:val="center"/>
          </w:tcPr>
          <w:p w14:paraId="6B696C3C">
            <w:pPr>
              <w:snapToGrid w:val="0"/>
              <w:spacing w:line="24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kern w:val="2"/>
                <w:sz w:val="21"/>
                <w:szCs w:val="21"/>
              </w:rPr>
              <w:t>蓄电池</w:t>
            </w:r>
          </w:p>
        </w:tc>
        <w:tc>
          <w:tcPr>
            <w:tcW w:w="1000" w:type="dxa"/>
            <w:tcBorders>
              <w:top w:val="single" w:color="000000" w:sz="6" w:space="0"/>
              <w:left w:val="single" w:color="000000" w:sz="6" w:space="0"/>
              <w:bottom w:val="single" w:color="000000" w:sz="6" w:space="0"/>
              <w:right w:val="single" w:color="000000" w:sz="6" w:space="0"/>
            </w:tcBorders>
            <w:noWrap/>
            <w:vAlign w:val="center"/>
          </w:tcPr>
          <w:p w14:paraId="01CD5E32">
            <w:pPr>
              <w:spacing w:line="240" w:lineRule="auto"/>
              <w:ind w:firstLine="0" w:firstLineChars="0"/>
              <w:jc w:val="center"/>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每年一次</w:t>
            </w:r>
          </w:p>
        </w:tc>
        <w:tc>
          <w:tcPr>
            <w:tcW w:w="4313" w:type="dxa"/>
            <w:tcBorders>
              <w:top w:val="single" w:color="000000" w:sz="6" w:space="0"/>
              <w:left w:val="single" w:color="000000" w:sz="6" w:space="0"/>
              <w:bottom w:val="single" w:color="000000" w:sz="6" w:space="0"/>
              <w:right w:val="single" w:color="000000" w:sz="6" w:space="0"/>
            </w:tcBorders>
            <w:noWrap/>
            <w:vAlign w:val="center"/>
          </w:tcPr>
          <w:p w14:paraId="559E3B58">
            <w:pPr>
              <w:tabs>
                <w:tab w:val="left" w:pos="145"/>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1.蓄电池组情况检查。</w:t>
            </w:r>
          </w:p>
          <w:p w14:paraId="6DD5FB65">
            <w:pPr>
              <w:tabs>
                <w:tab w:val="left" w:pos="145"/>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2.蓄电池电压检查。</w:t>
            </w:r>
          </w:p>
          <w:p w14:paraId="6584DBE5">
            <w:pPr>
              <w:tabs>
                <w:tab w:val="left" w:pos="145"/>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3.箱（柜）体内、外清洁（包括充馈电柜、电池柜和每个电池）。</w:t>
            </w:r>
          </w:p>
          <w:p w14:paraId="2E4AE5B5">
            <w:pPr>
              <w:tabs>
                <w:tab w:val="left" w:pos="145"/>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4.蓄电池连接件、各连接端子及主、控回路接线紧固。</w:t>
            </w:r>
          </w:p>
          <w:p w14:paraId="07E8116E">
            <w:pPr>
              <w:tabs>
                <w:tab w:val="left" w:pos="145"/>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5.蓄电池放电测试。</w:t>
            </w:r>
          </w:p>
        </w:tc>
        <w:tc>
          <w:tcPr>
            <w:tcW w:w="3363" w:type="dxa"/>
            <w:tcBorders>
              <w:top w:val="single" w:color="000000" w:sz="6" w:space="0"/>
              <w:left w:val="single" w:color="000000" w:sz="6" w:space="0"/>
              <w:bottom w:val="single" w:color="000000" w:sz="6" w:space="0"/>
              <w:right w:val="single" w:color="000000" w:sz="6" w:space="0"/>
            </w:tcBorders>
            <w:noWrap/>
            <w:vAlign w:val="center"/>
          </w:tcPr>
          <w:p w14:paraId="77B8C7D6">
            <w:pPr>
              <w:spacing w:line="240" w:lineRule="auto"/>
              <w:ind w:firstLine="0" w:firstLineChars="0"/>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1.蓄电池外观正常，无漏液、鼓胀；</w:t>
            </w:r>
          </w:p>
          <w:p w14:paraId="2044747F">
            <w:pPr>
              <w:spacing w:line="240" w:lineRule="auto"/>
              <w:ind w:firstLine="0" w:firstLineChars="0"/>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2.测量蓄电池单节电压，电压正常。</w:t>
            </w:r>
          </w:p>
          <w:p w14:paraId="2A3FD7BA">
            <w:pPr>
              <w:spacing w:line="240" w:lineRule="auto"/>
              <w:ind w:firstLine="0" w:firstLineChars="0"/>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3.EPS内、外清洁、无灰尘、污垢；</w:t>
            </w:r>
          </w:p>
          <w:p w14:paraId="455B2B78">
            <w:pPr>
              <w:spacing w:line="240" w:lineRule="auto"/>
              <w:ind w:firstLine="0" w:firstLineChars="0"/>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4.电线连接牢固，有可视化防松标识。</w:t>
            </w:r>
          </w:p>
          <w:p w14:paraId="5D905F1D">
            <w:pPr>
              <w:spacing w:line="240" w:lineRule="auto"/>
              <w:ind w:firstLine="0" w:firstLineChars="0"/>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5.蓄电池放电测试约半小时，放电后电池电压无异常。</w:t>
            </w:r>
          </w:p>
        </w:tc>
      </w:tr>
      <w:tr w14:paraId="207B03C9">
        <w:tblPrEx>
          <w:tblCellMar>
            <w:top w:w="0" w:type="dxa"/>
            <w:left w:w="108" w:type="dxa"/>
            <w:bottom w:w="0" w:type="dxa"/>
            <w:right w:w="108" w:type="dxa"/>
          </w:tblCellMar>
        </w:tblPrEx>
        <w:trPr>
          <w:trHeight w:val="289" w:hRule="atLeast"/>
          <w:jc w:val="center"/>
        </w:trPr>
        <w:tc>
          <w:tcPr>
            <w:tcW w:w="945" w:type="dxa"/>
            <w:tcBorders>
              <w:top w:val="single" w:color="000000" w:sz="6" w:space="0"/>
              <w:left w:val="single" w:color="000000" w:sz="6" w:space="0"/>
              <w:bottom w:val="single" w:color="000000" w:sz="6" w:space="0"/>
              <w:right w:val="single" w:color="000000" w:sz="6" w:space="0"/>
            </w:tcBorders>
            <w:noWrap/>
            <w:vAlign w:val="center"/>
          </w:tcPr>
          <w:p w14:paraId="1DF732A3">
            <w:pPr>
              <w:snapToGrid w:val="0"/>
              <w:spacing w:line="240" w:lineRule="auto"/>
              <w:ind w:firstLine="0" w:firstLineChars="0"/>
              <w:jc w:val="center"/>
              <w:rPr>
                <w:rFonts w:hint="eastAsia" w:ascii="宋体" w:hAnsi="宋体" w:eastAsia="宋体" w:cs="宋体"/>
                <w:bCs/>
                <w:color w:val="auto"/>
                <w:kern w:val="2"/>
                <w:sz w:val="21"/>
                <w:szCs w:val="21"/>
              </w:rPr>
            </w:pPr>
            <w:r>
              <w:rPr>
                <w:rFonts w:hint="eastAsia" w:ascii="宋体" w:hAnsi="宋体" w:eastAsia="宋体" w:cs="宋体"/>
                <w:color w:val="auto"/>
                <w:kern w:val="2"/>
                <w:sz w:val="21"/>
                <w:szCs w:val="21"/>
              </w:rPr>
              <w:t>配电</w:t>
            </w:r>
            <w:r>
              <w:rPr>
                <w:rFonts w:hint="eastAsia" w:ascii="宋体" w:hAnsi="宋体" w:eastAsia="宋体" w:cs="宋体"/>
                <w:bCs/>
                <w:color w:val="auto"/>
                <w:kern w:val="2"/>
                <w:sz w:val="21"/>
                <w:szCs w:val="21"/>
              </w:rPr>
              <w:t>箱</w:t>
            </w:r>
          </w:p>
        </w:tc>
        <w:tc>
          <w:tcPr>
            <w:tcW w:w="1000" w:type="dxa"/>
            <w:tcBorders>
              <w:top w:val="single" w:color="000000" w:sz="6" w:space="0"/>
              <w:left w:val="single" w:color="000000" w:sz="6" w:space="0"/>
              <w:bottom w:val="single" w:color="000000" w:sz="6" w:space="0"/>
              <w:right w:val="single" w:color="000000" w:sz="6" w:space="0"/>
            </w:tcBorders>
            <w:noWrap/>
            <w:vAlign w:val="center"/>
          </w:tcPr>
          <w:p w14:paraId="0F83347F">
            <w:pPr>
              <w:spacing w:line="240" w:lineRule="auto"/>
              <w:ind w:firstLine="0" w:firstLineChars="0"/>
              <w:jc w:val="center"/>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每月一次</w:t>
            </w:r>
          </w:p>
        </w:tc>
        <w:tc>
          <w:tcPr>
            <w:tcW w:w="4313" w:type="dxa"/>
            <w:tcBorders>
              <w:top w:val="single" w:color="000000" w:sz="6" w:space="0"/>
              <w:left w:val="single" w:color="000000" w:sz="6" w:space="0"/>
              <w:bottom w:val="single" w:color="000000" w:sz="6" w:space="0"/>
              <w:right w:val="single" w:color="000000" w:sz="6" w:space="0"/>
            </w:tcBorders>
            <w:noWrap/>
            <w:vAlign w:val="center"/>
          </w:tcPr>
          <w:p w14:paraId="43AE3865">
            <w:pPr>
              <w:tabs>
                <w:tab w:val="left" w:pos="145"/>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1.各指示灯指示是否正确。</w:t>
            </w:r>
          </w:p>
          <w:p w14:paraId="3EA7FD2E">
            <w:pPr>
              <w:tabs>
                <w:tab w:val="left" w:pos="145"/>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2.各转换开关位置是否正确。</w:t>
            </w:r>
          </w:p>
          <w:p w14:paraId="4E4FEF0E">
            <w:pPr>
              <w:tabs>
                <w:tab w:val="left" w:pos="145"/>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3.接触器、继电器线圈交流声是否异常。</w:t>
            </w:r>
          </w:p>
          <w:p w14:paraId="0C5029CB">
            <w:pPr>
              <w:tabs>
                <w:tab w:val="left" w:pos="145"/>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4.更换损坏指示灯。</w:t>
            </w:r>
          </w:p>
        </w:tc>
        <w:tc>
          <w:tcPr>
            <w:tcW w:w="3363" w:type="dxa"/>
            <w:tcBorders>
              <w:top w:val="single" w:color="000000" w:sz="6" w:space="0"/>
              <w:left w:val="single" w:color="000000" w:sz="6" w:space="0"/>
              <w:bottom w:val="single" w:color="000000" w:sz="6" w:space="0"/>
              <w:right w:val="single" w:color="000000" w:sz="6" w:space="0"/>
            </w:tcBorders>
            <w:noWrap/>
            <w:vAlign w:val="center"/>
          </w:tcPr>
          <w:p w14:paraId="377627A1">
            <w:pPr>
              <w:spacing w:line="240" w:lineRule="auto"/>
              <w:ind w:firstLine="0" w:firstLineChars="0"/>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1.各指示灯、转换开关正确；</w:t>
            </w:r>
          </w:p>
          <w:p w14:paraId="31306A91">
            <w:pPr>
              <w:spacing w:line="240" w:lineRule="auto"/>
              <w:ind w:firstLine="0" w:firstLineChars="0"/>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2.接触器、继电器线圈交流声无异常；</w:t>
            </w:r>
          </w:p>
          <w:p w14:paraId="4EC24B66">
            <w:pPr>
              <w:spacing w:line="240" w:lineRule="auto"/>
              <w:ind w:firstLine="0" w:firstLineChars="0"/>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3.指示灯(灯泡)工作正常。</w:t>
            </w:r>
          </w:p>
        </w:tc>
      </w:tr>
      <w:tr w14:paraId="0C707107">
        <w:tblPrEx>
          <w:tblCellMar>
            <w:top w:w="0" w:type="dxa"/>
            <w:left w:w="108" w:type="dxa"/>
            <w:bottom w:w="0" w:type="dxa"/>
            <w:right w:w="108" w:type="dxa"/>
          </w:tblCellMar>
        </w:tblPrEx>
        <w:trPr>
          <w:trHeight w:val="1697" w:hRule="atLeast"/>
          <w:jc w:val="center"/>
        </w:trPr>
        <w:tc>
          <w:tcPr>
            <w:tcW w:w="945" w:type="dxa"/>
            <w:tcBorders>
              <w:top w:val="single" w:color="000000" w:sz="6" w:space="0"/>
              <w:left w:val="single" w:color="000000" w:sz="6" w:space="0"/>
              <w:bottom w:val="single" w:color="000000" w:sz="6" w:space="0"/>
              <w:right w:val="single" w:color="000000" w:sz="6" w:space="0"/>
            </w:tcBorders>
            <w:noWrap/>
            <w:vAlign w:val="center"/>
          </w:tcPr>
          <w:p w14:paraId="372044B0">
            <w:pPr>
              <w:snapToGrid w:val="0"/>
              <w:spacing w:line="240" w:lineRule="auto"/>
              <w:ind w:firstLine="0" w:firstLineChars="0"/>
              <w:jc w:val="center"/>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配电箱元器件</w:t>
            </w:r>
          </w:p>
        </w:tc>
        <w:tc>
          <w:tcPr>
            <w:tcW w:w="1000" w:type="dxa"/>
            <w:tcBorders>
              <w:top w:val="single" w:color="000000" w:sz="6" w:space="0"/>
              <w:left w:val="single" w:color="000000" w:sz="6" w:space="0"/>
              <w:bottom w:val="single" w:color="000000" w:sz="6" w:space="0"/>
              <w:right w:val="single" w:color="000000" w:sz="6" w:space="0"/>
            </w:tcBorders>
            <w:noWrap/>
            <w:vAlign w:val="center"/>
          </w:tcPr>
          <w:p w14:paraId="1E97F5CD">
            <w:pPr>
              <w:tabs>
                <w:tab w:val="left" w:pos="502"/>
                <w:tab w:val="left" w:pos="734"/>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每年一次</w:t>
            </w:r>
          </w:p>
        </w:tc>
        <w:tc>
          <w:tcPr>
            <w:tcW w:w="4313" w:type="dxa"/>
            <w:tcBorders>
              <w:top w:val="single" w:color="000000" w:sz="6" w:space="0"/>
              <w:left w:val="single" w:color="000000" w:sz="6" w:space="0"/>
              <w:bottom w:val="single" w:color="000000" w:sz="6" w:space="0"/>
              <w:right w:val="single" w:color="000000" w:sz="6" w:space="0"/>
            </w:tcBorders>
            <w:noWrap/>
            <w:vAlign w:val="center"/>
          </w:tcPr>
          <w:p w14:paraId="0445029C">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1.配电箱内元器件检查。</w:t>
            </w:r>
          </w:p>
          <w:p w14:paraId="2D2C9123">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2.箱体内、外清洁。</w:t>
            </w:r>
          </w:p>
          <w:p w14:paraId="7F8227BF">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3.各开关、线路及5S标识检查。</w:t>
            </w:r>
          </w:p>
          <w:p w14:paraId="280ED442">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4.主、控回路接线是否松动，各接线端子接线紧固。</w:t>
            </w:r>
          </w:p>
          <w:p w14:paraId="0154A44F">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5.两路交流输入电源切换功能测试。</w:t>
            </w:r>
          </w:p>
        </w:tc>
        <w:tc>
          <w:tcPr>
            <w:tcW w:w="3363" w:type="dxa"/>
            <w:tcBorders>
              <w:top w:val="single" w:color="000000" w:sz="6" w:space="0"/>
              <w:left w:val="single" w:color="000000" w:sz="6" w:space="0"/>
              <w:bottom w:val="single" w:color="000000" w:sz="6" w:space="0"/>
              <w:right w:val="single" w:color="000000" w:sz="6" w:space="0"/>
            </w:tcBorders>
            <w:noWrap/>
            <w:vAlign w:val="center"/>
          </w:tcPr>
          <w:p w14:paraId="2B0ECF1C">
            <w:pPr>
              <w:spacing w:line="240" w:lineRule="auto"/>
              <w:ind w:firstLine="0" w:firstLineChars="0"/>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1.元器件外观良好、安装牢固；</w:t>
            </w:r>
          </w:p>
          <w:p w14:paraId="69DD7C05">
            <w:pPr>
              <w:spacing w:line="240" w:lineRule="auto"/>
              <w:ind w:firstLine="0" w:firstLineChars="0"/>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2.元器件无积尘；</w:t>
            </w:r>
          </w:p>
          <w:p w14:paraId="7CA32FC0">
            <w:pPr>
              <w:spacing w:line="240" w:lineRule="auto"/>
              <w:ind w:firstLine="0" w:firstLineChars="0"/>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3.标识清晰；</w:t>
            </w:r>
          </w:p>
          <w:p w14:paraId="1D61F584">
            <w:pPr>
              <w:spacing w:line="240" w:lineRule="auto"/>
              <w:ind w:firstLine="0" w:firstLineChars="0"/>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4.主、控回路接线紧固；</w:t>
            </w:r>
          </w:p>
          <w:p w14:paraId="343F7CF9">
            <w:pPr>
              <w:spacing w:line="240" w:lineRule="auto"/>
              <w:ind w:firstLine="0" w:firstLineChars="0"/>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双电源切换箱切换功能正常，输出电压正常。</w:t>
            </w:r>
          </w:p>
        </w:tc>
      </w:tr>
      <w:tr w14:paraId="0C4CF746">
        <w:tblPrEx>
          <w:tblCellMar>
            <w:top w:w="0" w:type="dxa"/>
            <w:left w:w="108" w:type="dxa"/>
            <w:bottom w:w="0" w:type="dxa"/>
            <w:right w:w="108" w:type="dxa"/>
          </w:tblCellMar>
        </w:tblPrEx>
        <w:trPr>
          <w:trHeight w:val="1681" w:hRule="atLeast"/>
          <w:jc w:val="center"/>
        </w:trPr>
        <w:tc>
          <w:tcPr>
            <w:tcW w:w="945" w:type="dxa"/>
            <w:tcBorders>
              <w:top w:val="single" w:color="000000" w:sz="6" w:space="0"/>
              <w:left w:val="single" w:color="000000" w:sz="6" w:space="0"/>
              <w:bottom w:val="single" w:color="000000" w:sz="6" w:space="0"/>
              <w:right w:val="single" w:color="000000" w:sz="6" w:space="0"/>
            </w:tcBorders>
            <w:noWrap/>
            <w:vAlign w:val="center"/>
          </w:tcPr>
          <w:p w14:paraId="3F80C247">
            <w:pPr>
              <w:snapToGrid w:val="0"/>
              <w:spacing w:line="240" w:lineRule="auto"/>
              <w:ind w:firstLine="0" w:firstLineChars="0"/>
              <w:jc w:val="center"/>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漏电保护器</w:t>
            </w:r>
          </w:p>
        </w:tc>
        <w:tc>
          <w:tcPr>
            <w:tcW w:w="1000" w:type="dxa"/>
            <w:tcBorders>
              <w:top w:val="single" w:color="000000" w:sz="6" w:space="0"/>
              <w:left w:val="single" w:color="000000" w:sz="6" w:space="0"/>
              <w:bottom w:val="single" w:color="000000" w:sz="6" w:space="0"/>
              <w:right w:val="single" w:color="000000" w:sz="6" w:space="0"/>
            </w:tcBorders>
            <w:noWrap/>
            <w:vAlign w:val="center"/>
          </w:tcPr>
          <w:p w14:paraId="7E87133C">
            <w:pPr>
              <w:tabs>
                <w:tab w:val="left" w:pos="502"/>
                <w:tab w:val="left" w:pos="734"/>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每月一次</w:t>
            </w:r>
          </w:p>
        </w:tc>
        <w:tc>
          <w:tcPr>
            <w:tcW w:w="4313" w:type="dxa"/>
            <w:tcBorders>
              <w:top w:val="single" w:color="000000" w:sz="6" w:space="0"/>
              <w:left w:val="single" w:color="000000" w:sz="6" w:space="0"/>
              <w:bottom w:val="single" w:color="000000" w:sz="6" w:space="0"/>
              <w:right w:val="single" w:color="000000" w:sz="6" w:space="0"/>
            </w:tcBorders>
            <w:noWrap/>
            <w:vAlign w:val="center"/>
          </w:tcPr>
          <w:p w14:paraId="208AD871">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1.定期清扫灰尘。</w:t>
            </w:r>
          </w:p>
          <w:p w14:paraId="44AD406B">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2.保持漏电保护器操作手柄动作灵活、可靠。</w:t>
            </w:r>
          </w:p>
          <w:p w14:paraId="19373958">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3.检查漏电保护器接线及保护接地装置是否松动和接触不良等。</w:t>
            </w:r>
          </w:p>
          <w:p w14:paraId="3A9764E7">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4.检验漏电保护器动作的可靠性。</w:t>
            </w:r>
          </w:p>
          <w:p w14:paraId="64E70423">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5.更换到了使用寿命的漏电保护器。</w:t>
            </w:r>
          </w:p>
        </w:tc>
        <w:tc>
          <w:tcPr>
            <w:tcW w:w="3363" w:type="dxa"/>
            <w:tcBorders>
              <w:top w:val="single" w:color="000000" w:sz="6" w:space="0"/>
              <w:left w:val="single" w:color="000000" w:sz="6" w:space="0"/>
              <w:bottom w:val="single" w:color="000000" w:sz="6" w:space="0"/>
              <w:right w:val="single" w:color="000000" w:sz="6" w:space="0"/>
            </w:tcBorders>
            <w:noWrap/>
            <w:vAlign w:val="center"/>
          </w:tcPr>
          <w:p w14:paraId="022DFEE7">
            <w:pPr>
              <w:spacing w:line="240" w:lineRule="auto"/>
              <w:ind w:firstLine="0" w:firstLineChars="0"/>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外观良好、整洁，</w:t>
            </w:r>
          </w:p>
          <w:p w14:paraId="411C1D79">
            <w:pPr>
              <w:spacing w:line="240" w:lineRule="auto"/>
              <w:ind w:firstLine="0" w:firstLineChars="0"/>
              <w:rPr>
                <w:rFonts w:hint="eastAsia" w:ascii="宋体" w:hAnsi="宋体" w:eastAsia="宋体" w:cs="宋体"/>
                <w:color w:val="auto"/>
                <w:sz w:val="21"/>
                <w:szCs w:val="21"/>
              </w:rPr>
            </w:pPr>
            <w:r>
              <w:rPr>
                <w:rFonts w:hint="eastAsia" w:ascii="宋体" w:hAnsi="宋体" w:eastAsia="宋体" w:cs="宋体"/>
                <w:bCs/>
                <w:color w:val="auto"/>
                <w:kern w:val="2"/>
                <w:sz w:val="21"/>
                <w:szCs w:val="21"/>
              </w:rPr>
              <w:t>安装牢固、接触良好。</w:t>
            </w:r>
          </w:p>
        </w:tc>
      </w:tr>
    </w:tbl>
    <w:p w14:paraId="07A0AF30">
      <w:pPr>
        <w:bidi w:val="0"/>
        <w:spacing w:line="360" w:lineRule="auto"/>
        <w:ind w:firstLine="422" w:firstLineChars="200"/>
        <w:outlineLvl w:val="3"/>
        <w:rPr>
          <w:rFonts w:hint="eastAsia" w:ascii="宋体" w:hAnsi="宋体" w:eastAsia="宋体" w:cs="宋体"/>
          <w:b/>
          <w:bCs/>
          <w:color w:val="auto"/>
          <w:sz w:val="21"/>
          <w:szCs w:val="21"/>
          <w:lang w:val="en-US" w:eastAsia="zh-CN"/>
        </w:rPr>
      </w:pPr>
      <w:bookmarkStart w:id="628" w:name="_Toc30633"/>
      <w:bookmarkStart w:id="629" w:name="_Toc19548"/>
      <w:bookmarkStart w:id="630" w:name="_Toc24937"/>
      <w:bookmarkStart w:id="631" w:name="_Toc12035"/>
      <w:bookmarkStart w:id="632" w:name="_Toc9200"/>
      <w:r>
        <w:rPr>
          <w:rFonts w:hint="eastAsia" w:ascii="宋体" w:hAnsi="宋体" w:eastAsia="宋体" w:cs="宋体"/>
          <w:b/>
          <w:bCs/>
          <w:color w:val="auto"/>
          <w:sz w:val="21"/>
          <w:szCs w:val="21"/>
          <w:lang w:val="en-US" w:eastAsia="zh-CN"/>
        </w:rPr>
        <w:t>2.2.8给排水系统维护保养管理</w:t>
      </w:r>
      <w:bookmarkEnd w:id="628"/>
      <w:bookmarkEnd w:id="629"/>
      <w:bookmarkEnd w:id="630"/>
      <w:bookmarkEnd w:id="631"/>
      <w:bookmarkEnd w:id="632"/>
    </w:p>
    <w:p w14:paraId="394A50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立用水、供水管理制度并落实，积极协助用户安排合理的用水和实施节水计划；建立给排水设备维修保养制度并严格执行，设备和管道系统状况良好，如遇爆管、设备故障等，维修人员及时到场抢修；供水系统功能正常，排水系统通畅，零修合格率100%，设备完好率100%；限水、停水能预先通知用户；按规定定期清洗大厦供水蓄水设备；设备及周围环境整洁，有封闭措施；确保大厦内分列的水表行数据准确。保养要求如下：</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4"/>
        <w:gridCol w:w="1013"/>
        <w:gridCol w:w="5220"/>
        <w:gridCol w:w="2223"/>
      </w:tblGrid>
      <w:tr w14:paraId="54E2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074" w:type="dxa"/>
            <w:noWrap/>
            <w:vAlign w:val="center"/>
          </w:tcPr>
          <w:p w14:paraId="6A4AB56F">
            <w:pPr>
              <w:snapToGrid w:val="0"/>
              <w:spacing w:line="240" w:lineRule="auto"/>
              <w:ind w:firstLine="0" w:firstLineChars="0"/>
              <w:jc w:val="center"/>
              <w:rPr>
                <w:rFonts w:hint="eastAsia" w:ascii="宋体" w:hAnsi="宋体" w:eastAsia="宋体" w:cs="宋体"/>
                <w:b/>
                <w:color w:val="auto"/>
                <w:spacing w:val="20"/>
                <w:kern w:val="2"/>
                <w:sz w:val="21"/>
                <w:szCs w:val="21"/>
              </w:rPr>
            </w:pPr>
            <w:r>
              <w:rPr>
                <w:rFonts w:hint="eastAsia" w:ascii="宋体" w:hAnsi="宋体" w:eastAsia="宋体" w:cs="宋体"/>
                <w:b/>
                <w:color w:val="auto"/>
                <w:spacing w:val="20"/>
                <w:kern w:val="2"/>
                <w:sz w:val="21"/>
                <w:szCs w:val="21"/>
              </w:rPr>
              <w:t>项目</w:t>
            </w:r>
          </w:p>
        </w:tc>
        <w:tc>
          <w:tcPr>
            <w:tcW w:w="1013" w:type="dxa"/>
            <w:noWrap/>
            <w:vAlign w:val="center"/>
          </w:tcPr>
          <w:p w14:paraId="7446C303">
            <w:pPr>
              <w:snapToGrid w:val="0"/>
              <w:spacing w:line="240" w:lineRule="auto"/>
              <w:ind w:firstLine="0" w:firstLineChars="0"/>
              <w:jc w:val="center"/>
              <w:rPr>
                <w:rFonts w:hint="eastAsia" w:ascii="宋体" w:hAnsi="宋体" w:eastAsia="宋体" w:cs="宋体"/>
                <w:b/>
                <w:color w:val="auto"/>
                <w:spacing w:val="20"/>
                <w:kern w:val="2"/>
                <w:sz w:val="21"/>
                <w:szCs w:val="21"/>
              </w:rPr>
            </w:pPr>
            <w:r>
              <w:rPr>
                <w:rFonts w:hint="eastAsia" w:ascii="宋体" w:hAnsi="宋体" w:eastAsia="宋体" w:cs="宋体"/>
                <w:b/>
                <w:color w:val="auto"/>
                <w:spacing w:val="20"/>
                <w:kern w:val="2"/>
                <w:sz w:val="21"/>
                <w:szCs w:val="21"/>
              </w:rPr>
              <w:t>频次</w:t>
            </w:r>
          </w:p>
        </w:tc>
        <w:tc>
          <w:tcPr>
            <w:tcW w:w="5220" w:type="dxa"/>
            <w:noWrap/>
            <w:vAlign w:val="center"/>
          </w:tcPr>
          <w:p w14:paraId="0E40D47B">
            <w:pPr>
              <w:snapToGrid w:val="0"/>
              <w:spacing w:line="240" w:lineRule="auto"/>
              <w:ind w:firstLine="0" w:firstLineChars="0"/>
              <w:jc w:val="center"/>
              <w:rPr>
                <w:rFonts w:hint="eastAsia" w:ascii="宋体" w:hAnsi="宋体" w:eastAsia="宋体" w:cs="宋体"/>
                <w:b/>
                <w:color w:val="auto"/>
                <w:spacing w:val="20"/>
                <w:kern w:val="2"/>
                <w:sz w:val="21"/>
                <w:szCs w:val="21"/>
              </w:rPr>
            </w:pPr>
            <w:r>
              <w:rPr>
                <w:rFonts w:hint="eastAsia" w:ascii="宋体" w:hAnsi="宋体" w:eastAsia="宋体" w:cs="宋体"/>
                <w:b/>
                <w:color w:val="auto"/>
                <w:spacing w:val="20"/>
                <w:kern w:val="2"/>
                <w:sz w:val="21"/>
                <w:szCs w:val="21"/>
              </w:rPr>
              <w:t>保养内容</w:t>
            </w:r>
          </w:p>
        </w:tc>
        <w:tc>
          <w:tcPr>
            <w:tcW w:w="2223" w:type="dxa"/>
            <w:noWrap/>
            <w:vAlign w:val="center"/>
          </w:tcPr>
          <w:p w14:paraId="2DBECA6E">
            <w:pPr>
              <w:snapToGrid w:val="0"/>
              <w:spacing w:line="240" w:lineRule="auto"/>
              <w:ind w:firstLine="0" w:firstLineChars="0"/>
              <w:jc w:val="center"/>
              <w:rPr>
                <w:rFonts w:hint="eastAsia" w:ascii="宋体" w:hAnsi="宋体" w:eastAsia="宋体" w:cs="宋体"/>
                <w:b/>
                <w:color w:val="auto"/>
                <w:spacing w:val="20"/>
                <w:kern w:val="2"/>
                <w:sz w:val="21"/>
                <w:szCs w:val="21"/>
              </w:rPr>
            </w:pPr>
            <w:r>
              <w:rPr>
                <w:rFonts w:hint="eastAsia" w:ascii="宋体" w:hAnsi="宋体" w:eastAsia="宋体" w:cs="宋体"/>
                <w:b/>
                <w:color w:val="auto"/>
                <w:spacing w:val="20"/>
                <w:kern w:val="2"/>
                <w:sz w:val="21"/>
                <w:szCs w:val="21"/>
              </w:rPr>
              <w:t>保养要求</w:t>
            </w:r>
          </w:p>
        </w:tc>
      </w:tr>
      <w:tr w14:paraId="27ADA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jc w:val="center"/>
        </w:trPr>
        <w:tc>
          <w:tcPr>
            <w:tcW w:w="1074" w:type="dxa"/>
            <w:vMerge w:val="restart"/>
            <w:noWrap/>
            <w:vAlign w:val="center"/>
          </w:tcPr>
          <w:p w14:paraId="30C56FE4">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生活泵排污泵</w:t>
            </w:r>
          </w:p>
        </w:tc>
        <w:tc>
          <w:tcPr>
            <w:tcW w:w="1013" w:type="dxa"/>
            <w:noWrap/>
            <w:vAlign w:val="center"/>
          </w:tcPr>
          <w:p w14:paraId="4486964C">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每天一次</w:t>
            </w:r>
          </w:p>
        </w:tc>
        <w:tc>
          <w:tcPr>
            <w:tcW w:w="5220" w:type="dxa"/>
            <w:noWrap/>
            <w:vAlign w:val="top"/>
          </w:tcPr>
          <w:p w14:paraId="250B281B">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1.保持设备房、机体卫生清洁。</w:t>
            </w:r>
          </w:p>
          <w:p w14:paraId="1459CCC0">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2.每天每2小时观察其水位、水压等指示是否正常，3.运行时有无异声、异味。</w:t>
            </w:r>
          </w:p>
          <w:p w14:paraId="30783C06">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4.检查盘根处滴水是否符合规范，如不规范及时处理。</w:t>
            </w:r>
          </w:p>
          <w:p w14:paraId="7242BD79">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5.检查水位深度指示是否清晰。</w:t>
            </w:r>
          </w:p>
          <w:p w14:paraId="6659325A">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6.发现故障及故障隐患及时处理。</w:t>
            </w:r>
          </w:p>
        </w:tc>
        <w:tc>
          <w:tcPr>
            <w:tcW w:w="2223" w:type="dxa"/>
            <w:noWrap/>
            <w:vAlign w:val="center"/>
          </w:tcPr>
          <w:p w14:paraId="4FA14850">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设备卫生，水位指示清晰。</w:t>
            </w:r>
          </w:p>
        </w:tc>
      </w:tr>
      <w:tr w14:paraId="268F1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074" w:type="dxa"/>
            <w:vMerge w:val="continue"/>
            <w:noWrap/>
            <w:vAlign w:val="center"/>
          </w:tcPr>
          <w:p w14:paraId="0AD7960C">
            <w:pPr>
              <w:spacing w:line="240" w:lineRule="auto"/>
              <w:ind w:firstLine="0" w:firstLineChars="0"/>
              <w:jc w:val="both"/>
              <w:rPr>
                <w:rFonts w:hint="eastAsia" w:ascii="宋体" w:hAnsi="宋体" w:eastAsia="宋体" w:cs="宋体"/>
                <w:color w:val="auto"/>
                <w:kern w:val="2"/>
                <w:sz w:val="21"/>
                <w:szCs w:val="21"/>
              </w:rPr>
            </w:pPr>
          </w:p>
        </w:tc>
        <w:tc>
          <w:tcPr>
            <w:tcW w:w="1013" w:type="dxa"/>
            <w:noWrap/>
            <w:vAlign w:val="center"/>
          </w:tcPr>
          <w:p w14:paraId="6AB34E94">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每季一次</w:t>
            </w:r>
          </w:p>
        </w:tc>
        <w:tc>
          <w:tcPr>
            <w:tcW w:w="5220" w:type="dxa"/>
            <w:noWrap/>
            <w:vAlign w:val="top"/>
          </w:tcPr>
          <w:p w14:paraId="6C18D381">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1.电机、轴承加注黄油：如有异响，应更换轴承。</w:t>
            </w:r>
          </w:p>
          <w:p w14:paraId="69261ECB">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2.泵体及管道阀门除锈刷漆；紧固柜各线路接头螺母，清扫柜内灰尘等。</w:t>
            </w:r>
          </w:p>
        </w:tc>
        <w:tc>
          <w:tcPr>
            <w:tcW w:w="2223" w:type="dxa"/>
            <w:noWrap/>
            <w:vAlign w:val="center"/>
          </w:tcPr>
          <w:p w14:paraId="5164E8D6">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润滑良好，线头紧固良好。</w:t>
            </w:r>
          </w:p>
        </w:tc>
      </w:tr>
      <w:tr w14:paraId="3C6B0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074" w:type="dxa"/>
            <w:vMerge w:val="restart"/>
            <w:noWrap/>
            <w:vAlign w:val="center"/>
          </w:tcPr>
          <w:p w14:paraId="0E70A402">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供水排污管网</w:t>
            </w:r>
          </w:p>
        </w:tc>
        <w:tc>
          <w:tcPr>
            <w:tcW w:w="1013" w:type="dxa"/>
            <w:noWrap/>
            <w:vAlign w:val="center"/>
          </w:tcPr>
          <w:p w14:paraId="33869C26">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每周一次</w:t>
            </w:r>
          </w:p>
        </w:tc>
        <w:tc>
          <w:tcPr>
            <w:tcW w:w="5220" w:type="dxa"/>
            <w:noWrap/>
            <w:vAlign w:val="top"/>
          </w:tcPr>
          <w:p w14:paraId="5D09AA9F">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1.检查外观是否完好，应无滴、漏现象。</w:t>
            </w:r>
          </w:p>
          <w:p w14:paraId="27BD80EB">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2.检查闸阀，观察供压力表是否正常。阀门开启位置是否正确，标示是否清晰。</w:t>
            </w:r>
          </w:p>
        </w:tc>
        <w:tc>
          <w:tcPr>
            <w:tcW w:w="2223" w:type="dxa"/>
            <w:noWrap/>
            <w:vAlign w:val="center"/>
          </w:tcPr>
          <w:p w14:paraId="2DDEAF95">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运行正常。</w:t>
            </w:r>
          </w:p>
        </w:tc>
      </w:tr>
      <w:tr w14:paraId="313F5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074" w:type="dxa"/>
            <w:vMerge w:val="continue"/>
            <w:noWrap/>
            <w:vAlign w:val="center"/>
          </w:tcPr>
          <w:p w14:paraId="503CB946">
            <w:pPr>
              <w:spacing w:line="240" w:lineRule="auto"/>
              <w:ind w:firstLine="0" w:firstLineChars="0"/>
              <w:jc w:val="both"/>
              <w:rPr>
                <w:rFonts w:hint="eastAsia" w:ascii="宋体" w:hAnsi="宋体" w:eastAsia="宋体" w:cs="宋体"/>
                <w:color w:val="auto"/>
                <w:kern w:val="2"/>
                <w:sz w:val="21"/>
                <w:szCs w:val="21"/>
              </w:rPr>
            </w:pPr>
          </w:p>
        </w:tc>
        <w:tc>
          <w:tcPr>
            <w:tcW w:w="1013" w:type="dxa"/>
            <w:vMerge w:val="restart"/>
            <w:noWrap/>
            <w:vAlign w:val="center"/>
          </w:tcPr>
          <w:p w14:paraId="155F7A38">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每季一次</w:t>
            </w:r>
          </w:p>
        </w:tc>
        <w:tc>
          <w:tcPr>
            <w:tcW w:w="5220" w:type="dxa"/>
            <w:vMerge w:val="restart"/>
            <w:noWrap/>
            <w:vAlign w:val="top"/>
          </w:tcPr>
          <w:p w14:paraId="231983DA">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1.清理管道内的杂物，疏通排污管道。</w:t>
            </w:r>
          </w:p>
          <w:p w14:paraId="554FEDAD">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2.检查闸阀开启、关闭是否灵活，有无跑、冒、滴、漏现象。</w:t>
            </w:r>
          </w:p>
          <w:p w14:paraId="7ADB1992">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3.检查修整全部管架。</w:t>
            </w:r>
          </w:p>
          <w:p w14:paraId="1090B6FB">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4.管道及支架除锈刷漆。</w:t>
            </w:r>
          </w:p>
          <w:p w14:paraId="14B3D541">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5.检查止回阀、浮球阀、液位控制器是否正常；管道内部清洗、作防腐处理。</w:t>
            </w:r>
          </w:p>
          <w:p w14:paraId="5108BABA">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6.更换各类阀门标示，并标注管内水流方向；各类阀门丝杆上油并加装防护套。</w:t>
            </w:r>
          </w:p>
        </w:tc>
        <w:tc>
          <w:tcPr>
            <w:tcW w:w="2223" w:type="dxa"/>
            <w:noWrap/>
            <w:vAlign w:val="center"/>
          </w:tcPr>
          <w:p w14:paraId="21627D77">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管道内无杂物，阀门开启灵活，无泄漏。</w:t>
            </w:r>
          </w:p>
        </w:tc>
      </w:tr>
      <w:tr w14:paraId="4C149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1074" w:type="dxa"/>
            <w:vMerge w:val="continue"/>
            <w:noWrap/>
            <w:vAlign w:val="center"/>
          </w:tcPr>
          <w:p w14:paraId="79C2EA96">
            <w:pPr>
              <w:spacing w:line="240" w:lineRule="auto"/>
              <w:ind w:firstLine="0" w:firstLineChars="0"/>
              <w:jc w:val="both"/>
              <w:rPr>
                <w:rFonts w:hint="eastAsia" w:ascii="宋体" w:hAnsi="宋体" w:eastAsia="宋体" w:cs="宋体"/>
                <w:color w:val="auto"/>
                <w:kern w:val="2"/>
                <w:sz w:val="21"/>
                <w:szCs w:val="21"/>
              </w:rPr>
            </w:pPr>
          </w:p>
        </w:tc>
        <w:tc>
          <w:tcPr>
            <w:tcW w:w="1013" w:type="dxa"/>
            <w:vMerge w:val="continue"/>
            <w:noWrap/>
            <w:vAlign w:val="center"/>
          </w:tcPr>
          <w:p w14:paraId="130F0608">
            <w:pPr>
              <w:snapToGrid w:val="0"/>
              <w:spacing w:line="240" w:lineRule="auto"/>
              <w:ind w:firstLine="0" w:firstLineChars="0"/>
              <w:jc w:val="center"/>
              <w:rPr>
                <w:rFonts w:hint="eastAsia" w:ascii="宋体" w:hAnsi="宋体" w:eastAsia="宋体" w:cs="宋体"/>
                <w:color w:val="auto"/>
                <w:kern w:val="2"/>
                <w:sz w:val="21"/>
                <w:szCs w:val="21"/>
              </w:rPr>
            </w:pPr>
          </w:p>
        </w:tc>
        <w:tc>
          <w:tcPr>
            <w:tcW w:w="5220" w:type="dxa"/>
            <w:vMerge w:val="continue"/>
            <w:noWrap/>
            <w:vAlign w:val="top"/>
          </w:tcPr>
          <w:p w14:paraId="75CCD5D0">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p>
        </w:tc>
        <w:tc>
          <w:tcPr>
            <w:tcW w:w="2223" w:type="dxa"/>
            <w:noWrap/>
            <w:vAlign w:val="center"/>
          </w:tcPr>
          <w:p w14:paraId="06CFDB30">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管架防锈良好，阀门工作正常，标示清晰。</w:t>
            </w:r>
          </w:p>
        </w:tc>
      </w:tr>
      <w:tr w14:paraId="51297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074" w:type="dxa"/>
            <w:vMerge w:val="restart"/>
            <w:noWrap/>
            <w:vAlign w:val="center"/>
          </w:tcPr>
          <w:p w14:paraId="0A5AB3E5">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生活水池</w:t>
            </w:r>
          </w:p>
        </w:tc>
        <w:tc>
          <w:tcPr>
            <w:tcW w:w="1013" w:type="dxa"/>
            <w:noWrap/>
            <w:vAlign w:val="center"/>
          </w:tcPr>
          <w:p w14:paraId="3AE33B1A">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每周一次</w:t>
            </w:r>
          </w:p>
        </w:tc>
        <w:tc>
          <w:tcPr>
            <w:tcW w:w="5220" w:type="dxa"/>
            <w:noWrap/>
            <w:vAlign w:val="top"/>
          </w:tcPr>
          <w:p w14:paraId="0C59B518">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1.检查外观是否完好，有无跑冒、滴、漏现象，箱口及透气管防虫纱网是否完好。</w:t>
            </w:r>
          </w:p>
          <w:p w14:paraId="7C41F088">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2.打开排污阀排污。检查进水浮阀并作手动进水试验。</w:t>
            </w:r>
          </w:p>
          <w:p w14:paraId="2DE719FC">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3.观察水质情况，检测水的PH值和含氯量。</w:t>
            </w:r>
          </w:p>
          <w:p w14:paraId="1BADA266">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4.水箱、水池盖板是否上锁并且完好。</w:t>
            </w:r>
          </w:p>
        </w:tc>
        <w:tc>
          <w:tcPr>
            <w:tcW w:w="2223" w:type="dxa"/>
            <w:noWrap/>
            <w:vAlign w:val="center"/>
          </w:tcPr>
          <w:p w14:paraId="0D80B223">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无泄漏，防虫网、盖板完好，水质合格。</w:t>
            </w:r>
          </w:p>
        </w:tc>
      </w:tr>
      <w:tr w14:paraId="1932A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074" w:type="dxa"/>
            <w:vMerge w:val="continue"/>
            <w:noWrap/>
            <w:vAlign w:val="center"/>
          </w:tcPr>
          <w:p w14:paraId="145B6868">
            <w:pPr>
              <w:spacing w:line="240" w:lineRule="auto"/>
              <w:ind w:firstLine="0" w:firstLineChars="0"/>
              <w:jc w:val="both"/>
              <w:rPr>
                <w:rFonts w:hint="eastAsia" w:ascii="宋体" w:hAnsi="宋体" w:eastAsia="宋体" w:cs="宋体"/>
                <w:color w:val="auto"/>
                <w:kern w:val="2"/>
                <w:sz w:val="21"/>
                <w:szCs w:val="21"/>
              </w:rPr>
            </w:pPr>
          </w:p>
        </w:tc>
        <w:tc>
          <w:tcPr>
            <w:tcW w:w="1013" w:type="dxa"/>
            <w:noWrap/>
            <w:vAlign w:val="center"/>
          </w:tcPr>
          <w:p w14:paraId="232E9ABA">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每月一次</w:t>
            </w:r>
          </w:p>
        </w:tc>
        <w:tc>
          <w:tcPr>
            <w:tcW w:w="5220" w:type="dxa"/>
            <w:noWrap/>
            <w:vAlign w:val="center"/>
          </w:tcPr>
          <w:p w14:paraId="784C47D5">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1.按规定比例按时投放消毒药品。</w:t>
            </w:r>
          </w:p>
        </w:tc>
        <w:tc>
          <w:tcPr>
            <w:tcW w:w="2223" w:type="dxa"/>
            <w:noWrap/>
            <w:vAlign w:val="center"/>
          </w:tcPr>
          <w:p w14:paraId="17037645">
            <w:pPr>
              <w:snapToGrid w:val="0"/>
              <w:spacing w:line="240" w:lineRule="auto"/>
              <w:ind w:firstLine="0" w:firstLineChars="0"/>
              <w:rPr>
                <w:rFonts w:hint="eastAsia" w:ascii="宋体" w:hAnsi="宋体" w:eastAsia="宋体" w:cs="宋体"/>
                <w:color w:val="auto"/>
                <w:kern w:val="2"/>
                <w:sz w:val="21"/>
                <w:szCs w:val="21"/>
              </w:rPr>
            </w:pPr>
          </w:p>
        </w:tc>
      </w:tr>
      <w:tr w14:paraId="3772C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1074" w:type="dxa"/>
            <w:vMerge w:val="continue"/>
            <w:noWrap/>
            <w:vAlign w:val="center"/>
          </w:tcPr>
          <w:p w14:paraId="30024871">
            <w:pPr>
              <w:spacing w:line="240" w:lineRule="auto"/>
              <w:ind w:firstLine="0" w:firstLineChars="0"/>
              <w:jc w:val="both"/>
              <w:rPr>
                <w:rFonts w:hint="eastAsia" w:ascii="宋体" w:hAnsi="宋体" w:eastAsia="宋体" w:cs="宋体"/>
                <w:color w:val="auto"/>
                <w:kern w:val="2"/>
                <w:sz w:val="21"/>
                <w:szCs w:val="21"/>
              </w:rPr>
            </w:pPr>
          </w:p>
        </w:tc>
        <w:tc>
          <w:tcPr>
            <w:tcW w:w="1013" w:type="dxa"/>
            <w:noWrap/>
            <w:vAlign w:val="center"/>
          </w:tcPr>
          <w:p w14:paraId="6EE11D73">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每年二次</w:t>
            </w:r>
          </w:p>
        </w:tc>
        <w:tc>
          <w:tcPr>
            <w:tcW w:w="5220" w:type="dxa"/>
            <w:noWrap/>
            <w:vAlign w:val="center"/>
          </w:tcPr>
          <w:p w14:paraId="00CDB48A">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1.提前24小时通知相关部门做好储水准备。</w:t>
            </w:r>
          </w:p>
          <w:p w14:paraId="04E59840">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2.提前关闭水池进水闸阀，排放干水池。</w:t>
            </w:r>
          </w:p>
          <w:p w14:paraId="1795E995">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3.专业公司清洗消毒。</w:t>
            </w:r>
          </w:p>
        </w:tc>
        <w:tc>
          <w:tcPr>
            <w:tcW w:w="2223" w:type="dxa"/>
            <w:noWrap/>
            <w:vAlign w:val="center"/>
          </w:tcPr>
          <w:p w14:paraId="036498E9">
            <w:pPr>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水池内无泥沙及沉积物，水样检测合格，由市水质检测中心开具合格报告书。</w:t>
            </w:r>
          </w:p>
        </w:tc>
      </w:tr>
      <w:tr w14:paraId="074DA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074" w:type="dxa"/>
            <w:vMerge w:val="restart"/>
            <w:noWrap/>
            <w:vAlign w:val="center"/>
          </w:tcPr>
          <w:p w14:paraId="0D5E1FFC">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给水井雨水井污水井化粪池</w:t>
            </w:r>
          </w:p>
        </w:tc>
        <w:tc>
          <w:tcPr>
            <w:tcW w:w="1013" w:type="dxa"/>
            <w:noWrap/>
            <w:vAlign w:val="center"/>
          </w:tcPr>
          <w:p w14:paraId="01F4B35E">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每月一次</w:t>
            </w:r>
          </w:p>
        </w:tc>
        <w:tc>
          <w:tcPr>
            <w:tcW w:w="5220" w:type="dxa"/>
            <w:noWrap/>
            <w:vAlign w:val="center"/>
          </w:tcPr>
          <w:p w14:paraId="36D79D08">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1.检查井盖是否盖严、完好，开盖检查井底是否有污物，如有则清除干净。</w:t>
            </w:r>
          </w:p>
          <w:p w14:paraId="5DEF6D15">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2.检查井盖铸造字迹是否清晰、正确。</w:t>
            </w:r>
          </w:p>
        </w:tc>
        <w:tc>
          <w:tcPr>
            <w:tcW w:w="2223" w:type="dxa"/>
            <w:noWrap/>
            <w:vAlign w:val="center"/>
          </w:tcPr>
          <w:p w14:paraId="023DC791">
            <w:pPr>
              <w:snapToGrid w:val="0"/>
              <w:spacing w:line="240" w:lineRule="auto"/>
              <w:ind w:firstLine="0" w:firstLineChars="0"/>
              <w:jc w:val="both"/>
              <w:rPr>
                <w:rFonts w:hint="eastAsia" w:ascii="宋体" w:hAnsi="宋体" w:eastAsia="宋体" w:cs="宋体"/>
                <w:color w:val="auto"/>
                <w:kern w:val="2"/>
                <w:sz w:val="21"/>
                <w:szCs w:val="21"/>
              </w:rPr>
            </w:pPr>
          </w:p>
        </w:tc>
      </w:tr>
      <w:tr w14:paraId="153F4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74" w:type="dxa"/>
            <w:vMerge w:val="continue"/>
            <w:noWrap/>
            <w:vAlign w:val="center"/>
          </w:tcPr>
          <w:p w14:paraId="1812BDDE">
            <w:pPr>
              <w:spacing w:line="240" w:lineRule="auto"/>
              <w:ind w:firstLine="0" w:firstLineChars="0"/>
              <w:jc w:val="both"/>
              <w:rPr>
                <w:rFonts w:hint="eastAsia" w:ascii="宋体" w:hAnsi="宋体" w:eastAsia="宋体" w:cs="宋体"/>
                <w:color w:val="auto"/>
                <w:kern w:val="2"/>
                <w:sz w:val="21"/>
                <w:szCs w:val="21"/>
              </w:rPr>
            </w:pPr>
          </w:p>
        </w:tc>
        <w:tc>
          <w:tcPr>
            <w:tcW w:w="1013" w:type="dxa"/>
            <w:noWrap/>
            <w:vAlign w:val="center"/>
          </w:tcPr>
          <w:p w14:paraId="54A00922">
            <w:pPr>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每季一次</w:t>
            </w:r>
          </w:p>
        </w:tc>
        <w:tc>
          <w:tcPr>
            <w:tcW w:w="5220" w:type="dxa"/>
            <w:noWrap/>
            <w:vAlign w:val="center"/>
          </w:tcPr>
          <w:p w14:paraId="48E26037">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1.清理污泥，疏通下水管道。</w:t>
            </w:r>
          </w:p>
          <w:p w14:paraId="22254A65">
            <w:pPr>
              <w:tabs>
                <w:tab w:val="left" w:pos="502"/>
                <w:tab w:val="left" w:pos="734"/>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2.各类井盖及金属构件刷漆。</w:t>
            </w:r>
          </w:p>
        </w:tc>
        <w:tc>
          <w:tcPr>
            <w:tcW w:w="2223" w:type="dxa"/>
            <w:noWrap/>
            <w:vAlign w:val="center"/>
          </w:tcPr>
          <w:p w14:paraId="07165028">
            <w:pPr>
              <w:snapToGrid w:val="0"/>
              <w:spacing w:line="240" w:lineRule="auto"/>
              <w:ind w:firstLine="0" w:firstLineChars="0"/>
              <w:jc w:val="both"/>
              <w:rPr>
                <w:rFonts w:hint="eastAsia" w:ascii="宋体" w:hAnsi="宋体" w:eastAsia="宋体" w:cs="宋体"/>
                <w:color w:val="auto"/>
                <w:kern w:val="2"/>
                <w:sz w:val="21"/>
                <w:szCs w:val="21"/>
              </w:rPr>
            </w:pPr>
          </w:p>
        </w:tc>
      </w:tr>
    </w:tbl>
    <w:p w14:paraId="066F72CB">
      <w:pPr>
        <w:bidi w:val="0"/>
        <w:spacing w:line="360" w:lineRule="auto"/>
        <w:ind w:firstLine="422" w:firstLineChars="200"/>
        <w:outlineLvl w:val="3"/>
        <w:rPr>
          <w:rFonts w:hint="eastAsia" w:ascii="宋体" w:hAnsi="宋体" w:eastAsia="宋体" w:cs="宋体"/>
          <w:b/>
          <w:bCs/>
          <w:color w:val="auto"/>
          <w:sz w:val="21"/>
          <w:szCs w:val="21"/>
          <w:lang w:val="en-US" w:eastAsia="zh-CN"/>
        </w:rPr>
      </w:pPr>
      <w:bookmarkStart w:id="633" w:name="_Toc260"/>
      <w:bookmarkStart w:id="634" w:name="_Toc19944"/>
      <w:bookmarkStart w:id="635" w:name="_Toc26048"/>
      <w:bookmarkStart w:id="636" w:name="_Toc2588"/>
      <w:bookmarkStart w:id="637" w:name="_Toc23850"/>
      <w:r>
        <w:rPr>
          <w:rFonts w:hint="eastAsia" w:ascii="宋体" w:hAnsi="宋体" w:eastAsia="宋体" w:cs="宋体"/>
          <w:b/>
          <w:bCs/>
          <w:color w:val="auto"/>
          <w:sz w:val="21"/>
          <w:szCs w:val="21"/>
          <w:lang w:val="en-US" w:eastAsia="zh-CN"/>
        </w:rPr>
        <w:t>2.2.9智能化系统维护与保养管理</w:t>
      </w:r>
      <w:bookmarkEnd w:id="633"/>
      <w:bookmarkEnd w:id="634"/>
      <w:bookmarkEnd w:id="635"/>
      <w:bookmarkEnd w:id="636"/>
      <w:bookmarkEnd w:id="637"/>
    </w:p>
    <w:p w14:paraId="7F15FA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lang w:eastAsia="zh-CN"/>
        </w:rPr>
        <w:t>建立24小时维修值班制度，及时排除故障，确保智能化系统24小时正常、安全运行，做好各项运行和维修保养记录。</w:t>
      </w:r>
      <w:r>
        <w:rPr>
          <w:rFonts w:hint="eastAsia" w:ascii="宋体" w:hAnsi="宋体" w:eastAsia="宋体" w:cs="宋体"/>
          <w:color w:val="auto"/>
          <w:sz w:val="21"/>
          <w:szCs w:val="21"/>
          <w:highlight w:val="none"/>
        </w:rPr>
        <w:t>确保相关设备100%完好率，每4小时巡检一次并做好台账。</w:t>
      </w:r>
      <w:r>
        <w:rPr>
          <w:rFonts w:hint="eastAsia" w:ascii="宋体" w:hAnsi="宋体" w:eastAsia="宋体" w:cs="宋体"/>
          <w:color w:val="auto"/>
          <w:sz w:val="21"/>
          <w:szCs w:val="21"/>
          <w:highlight w:val="none"/>
          <w:lang w:val="en-US" w:eastAsia="zh-CN"/>
        </w:rPr>
        <w:t>保养要求如下：</w:t>
      </w:r>
    </w:p>
    <w:tbl>
      <w:tblPr>
        <w:tblStyle w:val="41"/>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1"/>
        <w:gridCol w:w="929"/>
        <w:gridCol w:w="963"/>
        <w:gridCol w:w="4917"/>
        <w:gridCol w:w="1351"/>
      </w:tblGrid>
      <w:tr w14:paraId="00896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71" w:type="dxa"/>
            <w:noWrap/>
            <w:vAlign w:val="center"/>
          </w:tcPr>
          <w:p w14:paraId="2248557F">
            <w:pPr>
              <w:tabs>
                <w:tab w:val="left" w:pos="-51"/>
                <w:tab w:val="left" w:pos="878"/>
              </w:tabs>
              <w:snapToGrid w:val="0"/>
              <w:spacing w:line="240" w:lineRule="auto"/>
              <w:ind w:firstLine="0" w:firstLineChars="0"/>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项目</w:t>
            </w:r>
          </w:p>
        </w:tc>
        <w:tc>
          <w:tcPr>
            <w:tcW w:w="929" w:type="dxa"/>
            <w:noWrap/>
            <w:vAlign w:val="center"/>
          </w:tcPr>
          <w:p w14:paraId="43D854AE">
            <w:pPr>
              <w:tabs>
                <w:tab w:val="left" w:pos="-51"/>
                <w:tab w:val="left" w:pos="878"/>
              </w:tabs>
              <w:snapToGrid w:val="0"/>
              <w:spacing w:line="240" w:lineRule="auto"/>
              <w:ind w:firstLine="0" w:firstLineChars="0"/>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设备名称</w:t>
            </w:r>
          </w:p>
        </w:tc>
        <w:tc>
          <w:tcPr>
            <w:tcW w:w="963" w:type="dxa"/>
            <w:noWrap/>
            <w:vAlign w:val="center"/>
          </w:tcPr>
          <w:p w14:paraId="67FC65C1">
            <w:pPr>
              <w:tabs>
                <w:tab w:val="left" w:pos="-51"/>
                <w:tab w:val="left" w:pos="878"/>
              </w:tabs>
              <w:snapToGrid w:val="0"/>
              <w:spacing w:line="240" w:lineRule="auto"/>
              <w:ind w:firstLine="0" w:firstLineChars="0"/>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频次</w:t>
            </w:r>
          </w:p>
        </w:tc>
        <w:tc>
          <w:tcPr>
            <w:tcW w:w="4917" w:type="dxa"/>
            <w:noWrap/>
            <w:vAlign w:val="center"/>
          </w:tcPr>
          <w:p w14:paraId="12A22AD9">
            <w:pPr>
              <w:tabs>
                <w:tab w:val="left" w:pos="-51"/>
                <w:tab w:val="left" w:pos="878"/>
              </w:tabs>
              <w:snapToGrid w:val="0"/>
              <w:spacing w:line="240" w:lineRule="auto"/>
              <w:ind w:firstLine="0" w:firstLineChars="0"/>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保养内容</w:t>
            </w:r>
          </w:p>
        </w:tc>
        <w:tc>
          <w:tcPr>
            <w:tcW w:w="1351" w:type="dxa"/>
            <w:noWrap/>
            <w:vAlign w:val="center"/>
          </w:tcPr>
          <w:p w14:paraId="2B7EC96F">
            <w:pPr>
              <w:tabs>
                <w:tab w:val="left" w:pos="-51"/>
                <w:tab w:val="left" w:pos="878"/>
              </w:tabs>
              <w:snapToGrid w:val="0"/>
              <w:spacing w:line="240" w:lineRule="auto"/>
              <w:ind w:firstLine="0" w:firstLineChars="0"/>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保养要求</w:t>
            </w:r>
          </w:p>
        </w:tc>
      </w:tr>
      <w:tr w14:paraId="51129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9231" w:type="dxa"/>
            <w:gridSpan w:val="5"/>
            <w:noWrap/>
            <w:vAlign w:val="center"/>
          </w:tcPr>
          <w:p w14:paraId="51D50E0D">
            <w:pPr>
              <w:tabs>
                <w:tab w:val="left" w:pos="-51"/>
                <w:tab w:val="left" w:pos="878"/>
              </w:tabs>
              <w:snapToGrid w:val="0"/>
              <w:spacing w:line="240" w:lineRule="auto"/>
              <w:ind w:firstLine="0" w:firstLineChars="0"/>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一、通信自动化系统</w:t>
            </w:r>
          </w:p>
        </w:tc>
      </w:tr>
      <w:tr w14:paraId="47D29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00" w:type="dxa"/>
            <w:gridSpan w:val="2"/>
            <w:noWrap/>
            <w:vAlign w:val="center"/>
          </w:tcPr>
          <w:p w14:paraId="4FF19F24">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综合布线系统</w:t>
            </w:r>
          </w:p>
        </w:tc>
        <w:tc>
          <w:tcPr>
            <w:tcW w:w="963" w:type="dxa"/>
            <w:noWrap/>
            <w:vAlign w:val="center"/>
          </w:tcPr>
          <w:p w14:paraId="7C317220">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日常维护</w:t>
            </w:r>
          </w:p>
        </w:tc>
        <w:tc>
          <w:tcPr>
            <w:tcW w:w="4917" w:type="dxa"/>
            <w:noWrap/>
            <w:vAlign w:val="center"/>
          </w:tcPr>
          <w:p w14:paraId="1043C3D5">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1.清除机柜内外综合布线系统上的灰尘。</w:t>
            </w:r>
          </w:p>
          <w:p w14:paraId="42C86CD6">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2.检查综合布线桥架的平整度，对发生变形、支架螺丝脱落等与安装图纸不相符合的情况进行修复。</w:t>
            </w:r>
          </w:p>
          <w:p w14:paraId="230D99E7">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3.检查机房内双绞线上、面板上、配线架、跳线上的标签是否粘连牢固，更换有损伤的标签。</w:t>
            </w:r>
          </w:p>
          <w:p w14:paraId="412FE142">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4.使用性能测试仪对铜缆信道和未使用的光纤信道进行抽检，并与原始记录进行核对。</w:t>
            </w:r>
          </w:p>
          <w:p w14:paraId="10D5FD36">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5.对电子配线架系统进行抽样检查，检查实时报警的响应时间和报警音响是否正常工作。</w:t>
            </w:r>
          </w:p>
          <w:p w14:paraId="2A5990BD">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6.检查综合布线管理软件(含电子配线架中的软件)电子记录是否完整性。</w:t>
            </w:r>
          </w:p>
        </w:tc>
        <w:tc>
          <w:tcPr>
            <w:tcW w:w="1351" w:type="dxa"/>
            <w:noWrap/>
            <w:vAlign w:val="center"/>
          </w:tcPr>
          <w:p w14:paraId="6A98E682">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线缆捆扎整齐，无随意乱拉的飞线、跳线，运行正常。</w:t>
            </w:r>
          </w:p>
        </w:tc>
      </w:tr>
      <w:tr w14:paraId="54EA8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00" w:type="dxa"/>
            <w:gridSpan w:val="2"/>
            <w:noWrap/>
            <w:vAlign w:val="center"/>
          </w:tcPr>
          <w:p w14:paraId="06CE1C62">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计算机网络系统</w:t>
            </w:r>
          </w:p>
        </w:tc>
        <w:tc>
          <w:tcPr>
            <w:tcW w:w="963" w:type="dxa"/>
            <w:noWrap/>
            <w:vAlign w:val="center"/>
          </w:tcPr>
          <w:p w14:paraId="005A8616">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日常维护</w:t>
            </w:r>
          </w:p>
        </w:tc>
        <w:tc>
          <w:tcPr>
            <w:tcW w:w="4917" w:type="dxa"/>
            <w:noWrap/>
            <w:vAlign w:val="center"/>
          </w:tcPr>
          <w:p w14:paraId="0BA216E6">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1.更新计算机杀毒软件，系统全面查杀病毒，优化整理磁盘空间。</w:t>
            </w:r>
          </w:p>
          <w:p w14:paraId="46E10E32">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2.检查计算机所用电源与接电线路是否负载过大。</w:t>
            </w:r>
          </w:p>
          <w:p w14:paraId="3F016CBB">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3.测试网络连接，保证网络上每一个节点的工作站网络接入正常。</w:t>
            </w:r>
          </w:p>
          <w:p w14:paraId="34E8CE62">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4.配线间的日常清洁。</w:t>
            </w:r>
          </w:p>
        </w:tc>
        <w:tc>
          <w:tcPr>
            <w:tcW w:w="1351" w:type="dxa"/>
            <w:noWrap/>
            <w:vAlign w:val="center"/>
          </w:tcPr>
          <w:p w14:paraId="2A2C1F3A">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运行稳定，无异常。</w:t>
            </w:r>
          </w:p>
        </w:tc>
      </w:tr>
      <w:tr w14:paraId="39102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00" w:type="dxa"/>
            <w:gridSpan w:val="2"/>
            <w:noWrap/>
            <w:vAlign w:val="center"/>
          </w:tcPr>
          <w:p w14:paraId="3205255F">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光纤入户</w:t>
            </w:r>
          </w:p>
        </w:tc>
        <w:tc>
          <w:tcPr>
            <w:tcW w:w="963" w:type="dxa"/>
            <w:noWrap/>
            <w:vAlign w:val="center"/>
          </w:tcPr>
          <w:p w14:paraId="307575F0">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日常维护</w:t>
            </w:r>
          </w:p>
        </w:tc>
        <w:tc>
          <w:tcPr>
            <w:tcW w:w="4917" w:type="dxa"/>
            <w:noWrap/>
            <w:vAlign w:val="center"/>
          </w:tcPr>
          <w:p w14:paraId="7110E5E8">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测试网络连接是否正常、信号强度是否稳定。</w:t>
            </w:r>
          </w:p>
        </w:tc>
        <w:tc>
          <w:tcPr>
            <w:tcW w:w="1351" w:type="dxa"/>
            <w:noWrap/>
            <w:vAlign w:val="center"/>
          </w:tcPr>
          <w:p w14:paraId="3958C569">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网络正常，信号稳定。</w:t>
            </w:r>
          </w:p>
        </w:tc>
      </w:tr>
      <w:tr w14:paraId="76A4A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00" w:type="dxa"/>
            <w:gridSpan w:val="2"/>
            <w:noWrap/>
            <w:vAlign w:val="center"/>
          </w:tcPr>
          <w:p w14:paraId="510C33B8">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信息引导和发布系统</w:t>
            </w:r>
          </w:p>
        </w:tc>
        <w:tc>
          <w:tcPr>
            <w:tcW w:w="963" w:type="dxa"/>
            <w:noWrap/>
            <w:vAlign w:val="center"/>
          </w:tcPr>
          <w:p w14:paraId="0AA4E135">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日常维护</w:t>
            </w:r>
          </w:p>
        </w:tc>
        <w:tc>
          <w:tcPr>
            <w:tcW w:w="4917" w:type="dxa"/>
            <w:noWrap/>
            <w:vAlign w:val="center"/>
          </w:tcPr>
          <w:p w14:paraId="3519EAFD">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检查显示屏及控制系统工作情况。</w:t>
            </w:r>
          </w:p>
        </w:tc>
        <w:tc>
          <w:tcPr>
            <w:tcW w:w="1351" w:type="dxa"/>
            <w:noWrap/>
            <w:vAlign w:val="center"/>
          </w:tcPr>
          <w:p w14:paraId="22A9BD04">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工作正常、清洁。</w:t>
            </w:r>
          </w:p>
        </w:tc>
      </w:tr>
      <w:tr w14:paraId="20CF0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00" w:type="dxa"/>
            <w:gridSpan w:val="2"/>
            <w:noWrap/>
            <w:vAlign w:val="center"/>
          </w:tcPr>
          <w:p w14:paraId="5977D348">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无线WIFI接入及认证系统</w:t>
            </w:r>
          </w:p>
        </w:tc>
        <w:tc>
          <w:tcPr>
            <w:tcW w:w="963" w:type="dxa"/>
            <w:noWrap/>
            <w:vAlign w:val="center"/>
          </w:tcPr>
          <w:p w14:paraId="57302837">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日常维护</w:t>
            </w:r>
          </w:p>
        </w:tc>
        <w:tc>
          <w:tcPr>
            <w:tcW w:w="4917" w:type="dxa"/>
            <w:noWrap/>
            <w:vAlign w:val="center"/>
          </w:tcPr>
          <w:p w14:paraId="2D05549A">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测试网络连接是否正常、信号强度是否稳定。</w:t>
            </w:r>
          </w:p>
        </w:tc>
        <w:tc>
          <w:tcPr>
            <w:tcW w:w="1351" w:type="dxa"/>
            <w:noWrap/>
            <w:vAlign w:val="center"/>
          </w:tcPr>
          <w:p w14:paraId="641AECF7">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网络正常，信号稳定。</w:t>
            </w:r>
          </w:p>
        </w:tc>
      </w:tr>
      <w:tr w14:paraId="244C2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00" w:type="dxa"/>
            <w:gridSpan w:val="2"/>
            <w:noWrap/>
            <w:vAlign w:val="center"/>
          </w:tcPr>
          <w:p w14:paraId="0AD6C306">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5G信号覆盖</w:t>
            </w:r>
          </w:p>
        </w:tc>
        <w:tc>
          <w:tcPr>
            <w:tcW w:w="963" w:type="dxa"/>
            <w:noWrap/>
            <w:vAlign w:val="center"/>
          </w:tcPr>
          <w:p w14:paraId="7BC1F119">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日常维护</w:t>
            </w:r>
          </w:p>
        </w:tc>
        <w:tc>
          <w:tcPr>
            <w:tcW w:w="4917" w:type="dxa"/>
            <w:noWrap/>
            <w:vAlign w:val="center"/>
          </w:tcPr>
          <w:p w14:paraId="0B44EB3C">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测试网络连接是否正常、信号强度是否稳定。</w:t>
            </w:r>
          </w:p>
        </w:tc>
        <w:tc>
          <w:tcPr>
            <w:tcW w:w="1351" w:type="dxa"/>
            <w:noWrap/>
            <w:vAlign w:val="center"/>
          </w:tcPr>
          <w:p w14:paraId="44845053">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网络正常，信号稳定。</w:t>
            </w:r>
          </w:p>
        </w:tc>
      </w:tr>
      <w:tr w14:paraId="0CF35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00" w:type="dxa"/>
            <w:gridSpan w:val="2"/>
            <w:noWrap/>
            <w:vAlign w:val="center"/>
          </w:tcPr>
          <w:p w14:paraId="2A8BFC3B">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弱电UPS备用电源系统</w:t>
            </w:r>
          </w:p>
        </w:tc>
        <w:tc>
          <w:tcPr>
            <w:tcW w:w="963" w:type="dxa"/>
            <w:noWrap/>
            <w:vAlign w:val="center"/>
          </w:tcPr>
          <w:p w14:paraId="5257ED0C">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日常维护</w:t>
            </w:r>
          </w:p>
        </w:tc>
        <w:tc>
          <w:tcPr>
            <w:tcW w:w="4917" w:type="dxa"/>
            <w:noWrap/>
            <w:vAlign w:val="center"/>
          </w:tcPr>
          <w:p w14:paraId="2373BD6A">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1.检查室内温度是否过高或过低。</w:t>
            </w:r>
          </w:p>
          <w:p w14:paraId="6C79019A">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2.清理室内灰尘，检查室内通风是否正常。</w:t>
            </w:r>
          </w:p>
          <w:p w14:paraId="1055DBC4">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3.检查UPS运行状态是否正常，记录各种运行数据。</w:t>
            </w:r>
          </w:p>
          <w:p w14:paraId="59CA6EA7">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4.检查UPS主机内部有无异响、震动，风扇有无异响，滤网是否干净，运行是否正常。</w:t>
            </w:r>
          </w:p>
          <w:p w14:paraId="5297DADB">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5.检查UPS入、输出柜各进出线开关状态是否正常。</w:t>
            </w:r>
          </w:p>
          <w:p w14:paraId="31F98B5E">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6.检查电池外观有无明显鼓胀、渗液或开裂。</w:t>
            </w:r>
          </w:p>
        </w:tc>
        <w:tc>
          <w:tcPr>
            <w:tcW w:w="1351" w:type="dxa"/>
            <w:noWrap/>
            <w:vAlign w:val="center"/>
          </w:tcPr>
          <w:p w14:paraId="2FD6F5FF">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运行稳定，无异常。</w:t>
            </w:r>
          </w:p>
        </w:tc>
      </w:tr>
      <w:tr w14:paraId="26FFB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9231" w:type="dxa"/>
            <w:gridSpan w:val="5"/>
            <w:noWrap/>
            <w:vAlign w:val="center"/>
          </w:tcPr>
          <w:p w14:paraId="03398B18">
            <w:pPr>
              <w:tabs>
                <w:tab w:val="left" w:pos="-51"/>
                <w:tab w:val="left" w:pos="878"/>
              </w:tabs>
              <w:snapToGrid w:val="0"/>
              <w:spacing w:line="240" w:lineRule="auto"/>
              <w:ind w:firstLine="0" w:firstLineChars="0"/>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二、楼宇智能化系统</w:t>
            </w:r>
          </w:p>
        </w:tc>
      </w:tr>
      <w:tr w14:paraId="0CE5A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00" w:type="dxa"/>
            <w:gridSpan w:val="2"/>
            <w:noWrap/>
            <w:vAlign w:val="center"/>
          </w:tcPr>
          <w:p w14:paraId="2D6C90EE">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智能照明系统</w:t>
            </w:r>
          </w:p>
        </w:tc>
        <w:tc>
          <w:tcPr>
            <w:tcW w:w="963" w:type="dxa"/>
            <w:noWrap/>
            <w:vAlign w:val="center"/>
          </w:tcPr>
          <w:p w14:paraId="41734F57">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每月一次</w:t>
            </w:r>
          </w:p>
        </w:tc>
        <w:tc>
          <w:tcPr>
            <w:tcW w:w="4917" w:type="dxa"/>
            <w:noWrap/>
            <w:vAlign w:val="center"/>
          </w:tcPr>
          <w:p w14:paraId="1800FDB8">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1.灯具表面、配电柜内清扫除尘。</w:t>
            </w:r>
          </w:p>
          <w:p w14:paraId="438D2E7D">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2.检查照明灯具是否正常工作，是否有划伤、破裂现象。</w:t>
            </w:r>
          </w:p>
          <w:p w14:paraId="13CF45C2">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3.检查配电柜内开关、接触器与电线的接触情况是否良好，螺丝有无松动，标识是否脱落。</w:t>
            </w:r>
          </w:p>
          <w:p w14:paraId="6AE0E13E">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4.测量柜中给主机供电的电源的电压，保证其稳定性。</w:t>
            </w:r>
          </w:p>
        </w:tc>
        <w:tc>
          <w:tcPr>
            <w:tcW w:w="1351" w:type="dxa"/>
            <w:noWrap/>
            <w:vAlign w:val="center"/>
          </w:tcPr>
          <w:p w14:paraId="010DB566">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各零部件无损坏、无老化。</w:t>
            </w:r>
          </w:p>
        </w:tc>
      </w:tr>
      <w:tr w14:paraId="5CE5C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00" w:type="dxa"/>
            <w:gridSpan w:val="2"/>
            <w:noWrap/>
            <w:vAlign w:val="center"/>
          </w:tcPr>
          <w:p w14:paraId="12C28E89">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背景音乐和广播系统</w:t>
            </w:r>
          </w:p>
        </w:tc>
        <w:tc>
          <w:tcPr>
            <w:tcW w:w="963" w:type="dxa"/>
            <w:noWrap/>
            <w:vAlign w:val="center"/>
          </w:tcPr>
          <w:p w14:paraId="4955038B">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日常维护</w:t>
            </w:r>
          </w:p>
        </w:tc>
        <w:tc>
          <w:tcPr>
            <w:tcW w:w="4917" w:type="dxa"/>
            <w:noWrap/>
            <w:vAlign w:val="center"/>
          </w:tcPr>
          <w:p w14:paraId="21D67381">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检查背景音乐和广播系统工作情况。</w:t>
            </w:r>
          </w:p>
        </w:tc>
        <w:tc>
          <w:tcPr>
            <w:tcW w:w="1351" w:type="dxa"/>
            <w:noWrap/>
            <w:vAlign w:val="center"/>
          </w:tcPr>
          <w:p w14:paraId="454E5C41">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系统稳定、工作正常。</w:t>
            </w:r>
          </w:p>
        </w:tc>
      </w:tr>
      <w:tr w14:paraId="730D6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071" w:type="dxa"/>
            <w:vMerge w:val="restart"/>
            <w:noWrap/>
            <w:vAlign w:val="center"/>
          </w:tcPr>
          <w:p w14:paraId="6426453D">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门禁系统</w:t>
            </w:r>
          </w:p>
        </w:tc>
        <w:tc>
          <w:tcPr>
            <w:tcW w:w="929" w:type="dxa"/>
            <w:vMerge w:val="restart"/>
            <w:noWrap/>
            <w:vAlign w:val="center"/>
          </w:tcPr>
          <w:p w14:paraId="57C9F40C">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通道闸</w:t>
            </w:r>
          </w:p>
        </w:tc>
        <w:tc>
          <w:tcPr>
            <w:tcW w:w="963" w:type="dxa"/>
            <w:noWrap/>
            <w:vAlign w:val="center"/>
          </w:tcPr>
          <w:p w14:paraId="0069835B">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日常维护</w:t>
            </w:r>
          </w:p>
        </w:tc>
        <w:tc>
          <w:tcPr>
            <w:tcW w:w="4917" w:type="dxa"/>
            <w:noWrap/>
            <w:vAlign w:val="center"/>
          </w:tcPr>
          <w:p w14:paraId="07D30211">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1.检查所有道闸是否开闭正常，外表有无划痕，指示灯是否正常工作。</w:t>
            </w:r>
          </w:p>
          <w:p w14:paraId="1E77EE5A">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2.清抹道闸。</w:t>
            </w:r>
          </w:p>
        </w:tc>
        <w:tc>
          <w:tcPr>
            <w:tcW w:w="1351" w:type="dxa"/>
            <w:noWrap/>
            <w:vAlign w:val="center"/>
          </w:tcPr>
          <w:p w14:paraId="4D8D405B">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外观良好、运行正常。</w:t>
            </w:r>
          </w:p>
        </w:tc>
      </w:tr>
      <w:tr w14:paraId="78A11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071" w:type="dxa"/>
            <w:vMerge w:val="continue"/>
            <w:noWrap/>
            <w:vAlign w:val="center"/>
          </w:tcPr>
          <w:p w14:paraId="7637B91F">
            <w:pPr>
              <w:snapToGrid w:val="0"/>
              <w:spacing w:line="240" w:lineRule="auto"/>
              <w:ind w:firstLine="0" w:firstLineChars="0"/>
              <w:rPr>
                <w:rFonts w:hint="eastAsia" w:ascii="宋体" w:hAnsi="宋体" w:eastAsia="宋体" w:cs="宋体"/>
                <w:b w:val="0"/>
                <w:bCs/>
                <w:color w:val="auto"/>
                <w:sz w:val="21"/>
                <w:szCs w:val="21"/>
              </w:rPr>
            </w:pPr>
          </w:p>
        </w:tc>
        <w:tc>
          <w:tcPr>
            <w:tcW w:w="929" w:type="dxa"/>
            <w:vMerge w:val="continue"/>
            <w:noWrap/>
            <w:vAlign w:val="center"/>
          </w:tcPr>
          <w:p w14:paraId="5DC8C488">
            <w:pPr>
              <w:snapToGrid w:val="0"/>
              <w:spacing w:line="240" w:lineRule="auto"/>
              <w:ind w:firstLine="0" w:firstLineChars="0"/>
              <w:rPr>
                <w:rFonts w:hint="eastAsia" w:ascii="宋体" w:hAnsi="宋体" w:eastAsia="宋体" w:cs="宋体"/>
                <w:b w:val="0"/>
                <w:bCs/>
                <w:color w:val="auto"/>
                <w:sz w:val="21"/>
                <w:szCs w:val="21"/>
              </w:rPr>
            </w:pPr>
          </w:p>
        </w:tc>
        <w:tc>
          <w:tcPr>
            <w:tcW w:w="963" w:type="dxa"/>
            <w:noWrap/>
            <w:vAlign w:val="center"/>
          </w:tcPr>
          <w:p w14:paraId="59CB8110">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每年两次</w:t>
            </w:r>
          </w:p>
        </w:tc>
        <w:tc>
          <w:tcPr>
            <w:tcW w:w="4917" w:type="dxa"/>
            <w:noWrap/>
            <w:vAlign w:val="center"/>
          </w:tcPr>
          <w:p w14:paraId="38212E39">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1.检查道闸开闭时间是否符合使用要求。</w:t>
            </w:r>
          </w:p>
          <w:p w14:paraId="29E8326F">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2.检查内部硬件是否正常工作，清理内部硬件设备上的灰尘及杂物，</w:t>
            </w:r>
          </w:p>
          <w:p w14:paraId="533CA3E6">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3.检查并更换道闸上的老化软胶。</w:t>
            </w:r>
          </w:p>
          <w:p w14:paraId="16E21320">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4.检查并更换道闸上损坏的红外线器件。</w:t>
            </w:r>
          </w:p>
          <w:p w14:paraId="7E4ADF8F">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5.检查各连接端口、摆闸、螺丝是否牢固，添加润滑油。</w:t>
            </w:r>
          </w:p>
        </w:tc>
        <w:tc>
          <w:tcPr>
            <w:tcW w:w="1351" w:type="dxa"/>
            <w:noWrap/>
            <w:vAlign w:val="center"/>
          </w:tcPr>
          <w:p w14:paraId="2315D5A2">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各零部件无损坏、无老化。</w:t>
            </w:r>
          </w:p>
        </w:tc>
      </w:tr>
      <w:tr w14:paraId="18623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71" w:type="dxa"/>
            <w:vMerge w:val="continue"/>
            <w:noWrap/>
            <w:vAlign w:val="center"/>
          </w:tcPr>
          <w:p w14:paraId="785A0884">
            <w:pPr>
              <w:snapToGrid w:val="0"/>
              <w:spacing w:line="240" w:lineRule="auto"/>
              <w:ind w:firstLine="0" w:firstLineChars="0"/>
              <w:rPr>
                <w:rFonts w:hint="eastAsia" w:ascii="宋体" w:hAnsi="宋体" w:eastAsia="宋体" w:cs="宋体"/>
                <w:b w:val="0"/>
                <w:bCs/>
                <w:color w:val="auto"/>
                <w:sz w:val="21"/>
                <w:szCs w:val="21"/>
              </w:rPr>
            </w:pPr>
          </w:p>
        </w:tc>
        <w:tc>
          <w:tcPr>
            <w:tcW w:w="929" w:type="dxa"/>
            <w:noWrap/>
            <w:vAlign w:val="center"/>
          </w:tcPr>
          <w:p w14:paraId="49BBAE2D">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考勤机</w:t>
            </w:r>
          </w:p>
        </w:tc>
        <w:tc>
          <w:tcPr>
            <w:tcW w:w="963" w:type="dxa"/>
            <w:noWrap/>
            <w:vAlign w:val="center"/>
          </w:tcPr>
          <w:p w14:paraId="0605A2BF">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日常维护</w:t>
            </w:r>
          </w:p>
        </w:tc>
        <w:tc>
          <w:tcPr>
            <w:tcW w:w="4917" w:type="dxa"/>
            <w:noWrap/>
            <w:vAlign w:val="center"/>
          </w:tcPr>
          <w:p w14:paraId="04C0810C">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1.清洁考勤机。</w:t>
            </w:r>
          </w:p>
          <w:p w14:paraId="389074F2">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2.检查考勤机是否工作正常。</w:t>
            </w:r>
          </w:p>
        </w:tc>
        <w:tc>
          <w:tcPr>
            <w:tcW w:w="1351" w:type="dxa"/>
            <w:noWrap/>
            <w:vAlign w:val="center"/>
          </w:tcPr>
          <w:p w14:paraId="4D17300F">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设备干净、运行正常。</w:t>
            </w:r>
          </w:p>
        </w:tc>
      </w:tr>
      <w:tr w14:paraId="08BE8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71" w:type="dxa"/>
            <w:vMerge w:val="continue"/>
            <w:noWrap/>
            <w:vAlign w:val="center"/>
          </w:tcPr>
          <w:p w14:paraId="2E2A3D6F">
            <w:pPr>
              <w:snapToGrid w:val="0"/>
              <w:spacing w:line="240" w:lineRule="auto"/>
              <w:ind w:firstLine="0" w:firstLineChars="0"/>
              <w:rPr>
                <w:rFonts w:hint="eastAsia" w:ascii="宋体" w:hAnsi="宋体" w:eastAsia="宋体" w:cs="宋体"/>
                <w:b w:val="0"/>
                <w:bCs/>
                <w:color w:val="auto"/>
                <w:sz w:val="21"/>
                <w:szCs w:val="21"/>
              </w:rPr>
            </w:pPr>
          </w:p>
        </w:tc>
        <w:tc>
          <w:tcPr>
            <w:tcW w:w="929" w:type="dxa"/>
            <w:noWrap/>
            <w:vAlign w:val="center"/>
          </w:tcPr>
          <w:p w14:paraId="09343D74">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身份识别系统</w:t>
            </w:r>
          </w:p>
        </w:tc>
        <w:tc>
          <w:tcPr>
            <w:tcW w:w="963" w:type="dxa"/>
            <w:noWrap/>
            <w:vAlign w:val="center"/>
          </w:tcPr>
          <w:p w14:paraId="4362F69F">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日常维护</w:t>
            </w:r>
          </w:p>
        </w:tc>
        <w:tc>
          <w:tcPr>
            <w:tcW w:w="4917" w:type="dxa"/>
            <w:noWrap/>
            <w:vAlign w:val="center"/>
          </w:tcPr>
          <w:p w14:paraId="2A1F67B0">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1.检查外表是否完好，清洁机身。</w:t>
            </w:r>
          </w:p>
          <w:p w14:paraId="39445D7C">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2.检查身份识别显示屏是否显示正常，刷卡人员与显示资料是否匹配。</w:t>
            </w:r>
          </w:p>
          <w:p w14:paraId="1360BE50">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3.更新管理电脑的杀毒软件，为系统全面查杀病毒，优化整理磁盘空间，每周1次。</w:t>
            </w:r>
          </w:p>
        </w:tc>
        <w:tc>
          <w:tcPr>
            <w:tcW w:w="1351" w:type="dxa"/>
            <w:noWrap/>
            <w:vAlign w:val="center"/>
          </w:tcPr>
          <w:p w14:paraId="3ADC7804">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设备干净、运行正常。</w:t>
            </w:r>
          </w:p>
        </w:tc>
      </w:tr>
      <w:tr w14:paraId="16DDB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71" w:type="dxa"/>
            <w:vMerge w:val="continue"/>
            <w:noWrap/>
            <w:vAlign w:val="center"/>
          </w:tcPr>
          <w:p w14:paraId="7A0FE724">
            <w:pPr>
              <w:snapToGrid w:val="0"/>
              <w:spacing w:line="240" w:lineRule="auto"/>
              <w:ind w:firstLine="0" w:firstLineChars="0"/>
              <w:rPr>
                <w:rFonts w:hint="eastAsia" w:ascii="宋体" w:hAnsi="宋体" w:eastAsia="宋体" w:cs="宋体"/>
                <w:b w:val="0"/>
                <w:bCs/>
                <w:color w:val="auto"/>
                <w:sz w:val="21"/>
                <w:szCs w:val="21"/>
              </w:rPr>
            </w:pPr>
          </w:p>
        </w:tc>
        <w:tc>
          <w:tcPr>
            <w:tcW w:w="929" w:type="dxa"/>
            <w:noWrap/>
            <w:vAlign w:val="center"/>
          </w:tcPr>
          <w:p w14:paraId="500AC1E3">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服务器</w:t>
            </w:r>
          </w:p>
        </w:tc>
        <w:tc>
          <w:tcPr>
            <w:tcW w:w="963" w:type="dxa"/>
            <w:noWrap/>
            <w:vAlign w:val="center"/>
          </w:tcPr>
          <w:p w14:paraId="0C97BE08">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每月一次</w:t>
            </w:r>
          </w:p>
        </w:tc>
        <w:tc>
          <w:tcPr>
            <w:tcW w:w="4917" w:type="dxa"/>
            <w:noWrap/>
            <w:vAlign w:val="center"/>
          </w:tcPr>
          <w:p w14:paraId="159E85E6">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1.全面诊断设备硬件。</w:t>
            </w:r>
          </w:p>
          <w:p w14:paraId="17E4E4B9">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2.检查系统性能和状态、使用记录、错误的历史记录，针对检查结果提供分析报告，并书面提交用户。</w:t>
            </w:r>
          </w:p>
          <w:p w14:paraId="2FBA9725">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3.更新服务器及客户端电脑的杀毒软件，系统全面查杀病毒，优化整理磁盘空间。</w:t>
            </w:r>
          </w:p>
          <w:p w14:paraId="65FE182A">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4.提供所发布的相关软件更新和补丁的情况，及时通知影响系统安全运行的软件漏洞和修补方法。</w:t>
            </w:r>
          </w:p>
        </w:tc>
        <w:tc>
          <w:tcPr>
            <w:tcW w:w="1351" w:type="dxa"/>
            <w:noWrap/>
            <w:vAlign w:val="center"/>
          </w:tcPr>
          <w:p w14:paraId="6782B76D">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运行稳定，无异常。</w:t>
            </w:r>
          </w:p>
        </w:tc>
      </w:tr>
      <w:tr w14:paraId="737C7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71" w:type="dxa"/>
            <w:vMerge w:val="continue"/>
            <w:noWrap/>
            <w:vAlign w:val="center"/>
          </w:tcPr>
          <w:p w14:paraId="45B3542E">
            <w:pPr>
              <w:snapToGrid w:val="0"/>
              <w:spacing w:line="240" w:lineRule="auto"/>
              <w:ind w:firstLine="0" w:firstLineChars="0"/>
              <w:rPr>
                <w:rFonts w:hint="eastAsia" w:ascii="宋体" w:hAnsi="宋体" w:eastAsia="宋体" w:cs="宋体"/>
                <w:b w:val="0"/>
                <w:bCs/>
                <w:color w:val="auto"/>
                <w:sz w:val="21"/>
                <w:szCs w:val="21"/>
              </w:rPr>
            </w:pPr>
          </w:p>
        </w:tc>
        <w:tc>
          <w:tcPr>
            <w:tcW w:w="929" w:type="dxa"/>
            <w:noWrap/>
            <w:vAlign w:val="center"/>
          </w:tcPr>
          <w:p w14:paraId="23D20225">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弱电井设备</w:t>
            </w:r>
          </w:p>
        </w:tc>
        <w:tc>
          <w:tcPr>
            <w:tcW w:w="963" w:type="dxa"/>
            <w:noWrap/>
            <w:vAlign w:val="center"/>
          </w:tcPr>
          <w:p w14:paraId="55D95CCF">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每年两次</w:t>
            </w:r>
          </w:p>
        </w:tc>
        <w:tc>
          <w:tcPr>
            <w:tcW w:w="4917" w:type="dxa"/>
            <w:noWrap/>
            <w:vAlign w:val="center"/>
          </w:tcPr>
          <w:p w14:paraId="453DC03E">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清理弱电井设备上的灰尘，检查硬件设备是否正常工作，指示灯是否正常工作。</w:t>
            </w:r>
          </w:p>
        </w:tc>
        <w:tc>
          <w:tcPr>
            <w:tcW w:w="1351" w:type="dxa"/>
            <w:noWrap/>
            <w:vAlign w:val="center"/>
          </w:tcPr>
          <w:p w14:paraId="3DAB1D71">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硬件无尘、干净。</w:t>
            </w:r>
          </w:p>
        </w:tc>
      </w:tr>
      <w:tr w14:paraId="4AF22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71" w:type="dxa"/>
            <w:vMerge w:val="continue"/>
            <w:noWrap/>
            <w:vAlign w:val="center"/>
          </w:tcPr>
          <w:p w14:paraId="21BDE534">
            <w:pPr>
              <w:snapToGrid w:val="0"/>
              <w:spacing w:line="240" w:lineRule="auto"/>
              <w:ind w:firstLine="0" w:firstLineChars="0"/>
              <w:rPr>
                <w:rFonts w:hint="eastAsia" w:ascii="宋体" w:hAnsi="宋体" w:eastAsia="宋体" w:cs="宋体"/>
                <w:b w:val="0"/>
                <w:bCs/>
                <w:color w:val="auto"/>
                <w:sz w:val="21"/>
                <w:szCs w:val="21"/>
              </w:rPr>
            </w:pPr>
          </w:p>
        </w:tc>
        <w:tc>
          <w:tcPr>
            <w:tcW w:w="929" w:type="dxa"/>
            <w:noWrap/>
            <w:vAlign w:val="center"/>
          </w:tcPr>
          <w:p w14:paraId="7D476382">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电插锁读卡器</w:t>
            </w:r>
          </w:p>
        </w:tc>
        <w:tc>
          <w:tcPr>
            <w:tcW w:w="963" w:type="dxa"/>
            <w:noWrap/>
            <w:vAlign w:val="center"/>
          </w:tcPr>
          <w:p w14:paraId="514F56F6">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日常维护</w:t>
            </w:r>
          </w:p>
        </w:tc>
        <w:tc>
          <w:tcPr>
            <w:tcW w:w="4917" w:type="dxa"/>
            <w:noWrap/>
            <w:vAlign w:val="center"/>
          </w:tcPr>
          <w:p w14:paraId="78D88BD0">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1.巡查所有电插锁与读卡器是否正常工作，如有损坏，必须马上更换。</w:t>
            </w:r>
          </w:p>
          <w:p w14:paraId="0B7F926F">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2.检查指示灯是否正常工作。</w:t>
            </w:r>
          </w:p>
        </w:tc>
        <w:tc>
          <w:tcPr>
            <w:tcW w:w="1351" w:type="dxa"/>
            <w:noWrap/>
            <w:vAlign w:val="center"/>
          </w:tcPr>
          <w:p w14:paraId="2E86509C">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工作状态正常。</w:t>
            </w:r>
          </w:p>
        </w:tc>
      </w:tr>
      <w:tr w14:paraId="188BE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71" w:type="dxa"/>
            <w:vMerge w:val="continue"/>
            <w:noWrap/>
            <w:vAlign w:val="center"/>
          </w:tcPr>
          <w:p w14:paraId="43821E2C">
            <w:pPr>
              <w:snapToGrid w:val="0"/>
              <w:spacing w:line="240" w:lineRule="auto"/>
              <w:ind w:firstLine="0" w:firstLineChars="0"/>
              <w:rPr>
                <w:rFonts w:hint="eastAsia" w:ascii="宋体" w:hAnsi="宋体" w:eastAsia="宋体" w:cs="宋体"/>
                <w:b w:val="0"/>
                <w:bCs/>
                <w:color w:val="auto"/>
                <w:sz w:val="21"/>
                <w:szCs w:val="21"/>
              </w:rPr>
            </w:pPr>
          </w:p>
        </w:tc>
        <w:tc>
          <w:tcPr>
            <w:tcW w:w="929" w:type="dxa"/>
            <w:noWrap/>
            <w:vAlign w:val="center"/>
          </w:tcPr>
          <w:p w14:paraId="26334BE7">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数据库</w:t>
            </w:r>
          </w:p>
        </w:tc>
        <w:tc>
          <w:tcPr>
            <w:tcW w:w="963" w:type="dxa"/>
            <w:noWrap/>
            <w:vAlign w:val="center"/>
          </w:tcPr>
          <w:p w14:paraId="6F6F2978">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每月一次</w:t>
            </w:r>
          </w:p>
        </w:tc>
        <w:tc>
          <w:tcPr>
            <w:tcW w:w="4917" w:type="dxa"/>
            <w:noWrap/>
            <w:vAlign w:val="center"/>
          </w:tcPr>
          <w:p w14:paraId="53BD926B">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1.检查数据库文件是否完好。</w:t>
            </w:r>
          </w:p>
          <w:p w14:paraId="6D718AE3">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2.数据备份。</w:t>
            </w:r>
          </w:p>
        </w:tc>
        <w:tc>
          <w:tcPr>
            <w:tcW w:w="1351" w:type="dxa"/>
            <w:noWrap/>
            <w:vAlign w:val="center"/>
          </w:tcPr>
          <w:p w14:paraId="7FD821D7">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系统稳定</w:t>
            </w:r>
          </w:p>
        </w:tc>
      </w:tr>
      <w:tr w14:paraId="7FADD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71" w:type="dxa"/>
            <w:vMerge w:val="restart"/>
            <w:noWrap/>
            <w:vAlign w:val="center"/>
          </w:tcPr>
          <w:p w14:paraId="3D26491A">
            <w:pPr>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楼宇自控系统</w:t>
            </w:r>
          </w:p>
        </w:tc>
        <w:tc>
          <w:tcPr>
            <w:tcW w:w="929" w:type="dxa"/>
            <w:noWrap/>
            <w:vAlign w:val="center"/>
          </w:tcPr>
          <w:p w14:paraId="5DCFB783">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管理主机</w:t>
            </w:r>
          </w:p>
        </w:tc>
        <w:tc>
          <w:tcPr>
            <w:tcW w:w="963" w:type="dxa"/>
            <w:noWrap/>
            <w:vAlign w:val="center"/>
          </w:tcPr>
          <w:p w14:paraId="4476DB52">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每月一次</w:t>
            </w:r>
          </w:p>
        </w:tc>
        <w:tc>
          <w:tcPr>
            <w:tcW w:w="4917" w:type="dxa"/>
            <w:noWrap/>
            <w:vAlign w:val="center"/>
          </w:tcPr>
          <w:p w14:paraId="1235841B">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1.清除管理主机灰尘。</w:t>
            </w:r>
          </w:p>
          <w:p w14:paraId="55273212">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2.检查控制室内通风是否正常及温度情况。</w:t>
            </w:r>
          </w:p>
          <w:p w14:paraId="481C9F82">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3.检查主机电源供电情况是否正常。</w:t>
            </w:r>
          </w:p>
          <w:p w14:paraId="6FF45545">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4.更新计算机杀毒软件，系统全面查杀病毒，优化整理磁盘空间。</w:t>
            </w:r>
          </w:p>
        </w:tc>
        <w:tc>
          <w:tcPr>
            <w:tcW w:w="1351" w:type="dxa"/>
            <w:noWrap/>
            <w:vAlign w:val="center"/>
          </w:tcPr>
          <w:p w14:paraId="3A29AD0A">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系统稳定。</w:t>
            </w:r>
          </w:p>
        </w:tc>
      </w:tr>
      <w:tr w14:paraId="6E548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71" w:type="dxa"/>
            <w:vMerge w:val="continue"/>
            <w:noWrap/>
            <w:vAlign w:val="center"/>
          </w:tcPr>
          <w:p w14:paraId="773AC027">
            <w:pPr>
              <w:snapToGrid w:val="0"/>
              <w:spacing w:line="240" w:lineRule="auto"/>
              <w:ind w:firstLine="0" w:firstLineChars="0"/>
              <w:rPr>
                <w:rFonts w:hint="eastAsia" w:ascii="宋体" w:hAnsi="宋体" w:eastAsia="宋体" w:cs="宋体"/>
                <w:b w:val="0"/>
                <w:bCs/>
                <w:color w:val="auto"/>
                <w:sz w:val="21"/>
                <w:szCs w:val="21"/>
              </w:rPr>
            </w:pPr>
          </w:p>
        </w:tc>
        <w:tc>
          <w:tcPr>
            <w:tcW w:w="929" w:type="dxa"/>
            <w:noWrap/>
            <w:vAlign w:val="center"/>
          </w:tcPr>
          <w:p w14:paraId="7EE3DA29">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模块及控制器</w:t>
            </w:r>
          </w:p>
        </w:tc>
        <w:tc>
          <w:tcPr>
            <w:tcW w:w="963" w:type="dxa"/>
            <w:noWrap/>
            <w:vAlign w:val="center"/>
          </w:tcPr>
          <w:p w14:paraId="35631555">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每周一次</w:t>
            </w:r>
          </w:p>
        </w:tc>
        <w:tc>
          <w:tcPr>
            <w:tcW w:w="4917" w:type="dxa"/>
            <w:noWrap/>
            <w:vAlign w:val="center"/>
          </w:tcPr>
          <w:p w14:paraId="1209B994">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1.检查模块工作状况及各指示灯情况。</w:t>
            </w:r>
          </w:p>
          <w:p w14:paraId="0F6D2181">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2.检查清洁控制器，必要时加注润滑油。</w:t>
            </w:r>
          </w:p>
        </w:tc>
        <w:tc>
          <w:tcPr>
            <w:tcW w:w="1351" w:type="dxa"/>
            <w:noWrap/>
            <w:vAlign w:val="center"/>
          </w:tcPr>
          <w:p w14:paraId="3359EF8C">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工作状态正常。</w:t>
            </w:r>
          </w:p>
        </w:tc>
      </w:tr>
      <w:tr w14:paraId="4ED06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71" w:type="dxa"/>
            <w:vMerge w:val="continue"/>
            <w:noWrap/>
            <w:vAlign w:val="center"/>
          </w:tcPr>
          <w:p w14:paraId="4669C1BD">
            <w:pPr>
              <w:snapToGrid w:val="0"/>
              <w:spacing w:line="240" w:lineRule="auto"/>
              <w:ind w:firstLine="0" w:firstLineChars="0"/>
              <w:rPr>
                <w:rFonts w:hint="eastAsia" w:ascii="宋体" w:hAnsi="宋体" w:eastAsia="宋体" w:cs="宋体"/>
                <w:b w:val="0"/>
                <w:bCs/>
                <w:color w:val="auto"/>
                <w:sz w:val="21"/>
                <w:szCs w:val="21"/>
              </w:rPr>
            </w:pPr>
          </w:p>
        </w:tc>
        <w:tc>
          <w:tcPr>
            <w:tcW w:w="929" w:type="dxa"/>
            <w:noWrap/>
            <w:vAlign w:val="center"/>
          </w:tcPr>
          <w:p w14:paraId="735E5B8A">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终端执行设备</w:t>
            </w:r>
          </w:p>
        </w:tc>
        <w:tc>
          <w:tcPr>
            <w:tcW w:w="963" w:type="dxa"/>
            <w:noWrap/>
            <w:vAlign w:val="center"/>
          </w:tcPr>
          <w:p w14:paraId="752B30BC">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每周一次</w:t>
            </w:r>
          </w:p>
        </w:tc>
        <w:tc>
          <w:tcPr>
            <w:tcW w:w="4917" w:type="dxa"/>
            <w:noWrap/>
            <w:vAlign w:val="center"/>
          </w:tcPr>
          <w:p w14:paraId="0482087E">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检查终端执行设备情况。</w:t>
            </w:r>
          </w:p>
        </w:tc>
        <w:tc>
          <w:tcPr>
            <w:tcW w:w="1351" w:type="dxa"/>
            <w:noWrap/>
            <w:vAlign w:val="center"/>
          </w:tcPr>
          <w:p w14:paraId="07F2F677">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工作状态正常。</w:t>
            </w:r>
          </w:p>
        </w:tc>
      </w:tr>
      <w:tr w14:paraId="3EA07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231" w:type="dxa"/>
            <w:gridSpan w:val="5"/>
            <w:noWrap/>
            <w:vAlign w:val="center"/>
          </w:tcPr>
          <w:p w14:paraId="121B73D0">
            <w:pPr>
              <w:tabs>
                <w:tab w:val="left" w:pos="-51"/>
                <w:tab w:val="left" w:pos="878"/>
              </w:tabs>
              <w:snapToGrid w:val="0"/>
              <w:spacing w:line="240" w:lineRule="auto"/>
              <w:ind w:firstLine="0" w:firstLineChars="0"/>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三、安防监控系统</w:t>
            </w:r>
          </w:p>
        </w:tc>
      </w:tr>
      <w:tr w14:paraId="2D065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71" w:type="dxa"/>
            <w:vMerge w:val="restart"/>
            <w:noWrap/>
            <w:vAlign w:val="center"/>
          </w:tcPr>
          <w:p w14:paraId="4F157D9C">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视频监控系统</w:t>
            </w:r>
          </w:p>
        </w:tc>
        <w:tc>
          <w:tcPr>
            <w:tcW w:w="929" w:type="dxa"/>
            <w:noWrap/>
            <w:vAlign w:val="center"/>
          </w:tcPr>
          <w:p w14:paraId="7CC3448F">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摄像头</w:t>
            </w:r>
          </w:p>
        </w:tc>
        <w:tc>
          <w:tcPr>
            <w:tcW w:w="963" w:type="dxa"/>
            <w:noWrap/>
            <w:vAlign w:val="center"/>
          </w:tcPr>
          <w:p w14:paraId="72992D7B">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日常维护</w:t>
            </w:r>
          </w:p>
        </w:tc>
        <w:tc>
          <w:tcPr>
            <w:tcW w:w="4917" w:type="dxa"/>
            <w:noWrap/>
            <w:vAlign w:val="center"/>
          </w:tcPr>
          <w:p w14:paraId="1CD298F1">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1.检查摄像头是否正常工作，图像是否清晰。</w:t>
            </w:r>
          </w:p>
          <w:p w14:paraId="0CF2DA2B">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2.每季度定期清洗摄像头，保证摄像质量。</w:t>
            </w:r>
          </w:p>
        </w:tc>
        <w:tc>
          <w:tcPr>
            <w:tcW w:w="1351" w:type="dxa"/>
            <w:noWrap/>
            <w:vAlign w:val="center"/>
          </w:tcPr>
          <w:p w14:paraId="2E675FC5">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正常工作</w:t>
            </w:r>
          </w:p>
          <w:p w14:paraId="4DB42252">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图像清晰</w:t>
            </w:r>
          </w:p>
        </w:tc>
      </w:tr>
      <w:tr w14:paraId="48981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71" w:type="dxa"/>
            <w:vMerge w:val="continue"/>
            <w:noWrap/>
            <w:vAlign w:val="center"/>
          </w:tcPr>
          <w:p w14:paraId="74F01B12">
            <w:pPr>
              <w:snapToGrid w:val="0"/>
              <w:spacing w:line="240" w:lineRule="auto"/>
              <w:ind w:firstLine="0" w:firstLineChars="0"/>
              <w:rPr>
                <w:rFonts w:hint="eastAsia" w:ascii="宋体" w:hAnsi="宋体" w:eastAsia="宋体" w:cs="宋体"/>
                <w:b w:val="0"/>
                <w:bCs/>
                <w:color w:val="auto"/>
                <w:sz w:val="21"/>
                <w:szCs w:val="21"/>
              </w:rPr>
            </w:pPr>
          </w:p>
        </w:tc>
        <w:tc>
          <w:tcPr>
            <w:tcW w:w="929" w:type="dxa"/>
            <w:noWrap/>
            <w:vAlign w:val="center"/>
          </w:tcPr>
          <w:p w14:paraId="7089A03B">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监控显示屏</w:t>
            </w:r>
          </w:p>
        </w:tc>
        <w:tc>
          <w:tcPr>
            <w:tcW w:w="963" w:type="dxa"/>
            <w:noWrap/>
            <w:vAlign w:val="center"/>
          </w:tcPr>
          <w:p w14:paraId="23FA9505">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日常维护</w:t>
            </w:r>
          </w:p>
        </w:tc>
        <w:tc>
          <w:tcPr>
            <w:tcW w:w="4917" w:type="dxa"/>
            <w:noWrap/>
            <w:vAlign w:val="center"/>
          </w:tcPr>
          <w:p w14:paraId="3EBD4867">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巡检显示屏是否显示清晰，有没有雪花，如有异常，及时修理或者更换。</w:t>
            </w:r>
          </w:p>
        </w:tc>
        <w:tc>
          <w:tcPr>
            <w:tcW w:w="1351" w:type="dxa"/>
            <w:noWrap/>
            <w:vAlign w:val="center"/>
          </w:tcPr>
          <w:p w14:paraId="69255D0A">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正常工作</w:t>
            </w:r>
          </w:p>
          <w:p w14:paraId="50D454A0">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显示清晰</w:t>
            </w:r>
          </w:p>
        </w:tc>
      </w:tr>
      <w:tr w14:paraId="544DF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71" w:type="dxa"/>
            <w:vMerge w:val="continue"/>
            <w:noWrap/>
            <w:vAlign w:val="center"/>
          </w:tcPr>
          <w:p w14:paraId="74458044">
            <w:pPr>
              <w:snapToGrid w:val="0"/>
              <w:spacing w:line="240" w:lineRule="auto"/>
              <w:ind w:firstLine="0" w:firstLineChars="0"/>
              <w:rPr>
                <w:rFonts w:hint="eastAsia" w:ascii="宋体" w:hAnsi="宋体" w:eastAsia="宋体" w:cs="宋体"/>
                <w:b w:val="0"/>
                <w:bCs/>
                <w:color w:val="auto"/>
                <w:sz w:val="21"/>
                <w:szCs w:val="21"/>
              </w:rPr>
            </w:pPr>
          </w:p>
        </w:tc>
        <w:tc>
          <w:tcPr>
            <w:tcW w:w="929" w:type="dxa"/>
            <w:noWrap/>
            <w:vAlign w:val="center"/>
          </w:tcPr>
          <w:p w14:paraId="69365A54">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控制</w:t>
            </w:r>
          </w:p>
          <w:p w14:paraId="01D4C9CD">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系统</w:t>
            </w:r>
          </w:p>
        </w:tc>
        <w:tc>
          <w:tcPr>
            <w:tcW w:w="963" w:type="dxa"/>
            <w:noWrap/>
            <w:vAlign w:val="center"/>
          </w:tcPr>
          <w:p w14:paraId="64E1ED2D">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每月一次</w:t>
            </w:r>
          </w:p>
        </w:tc>
        <w:tc>
          <w:tcPr>
            <w:tcW w:w="4917" w:type="dxa"/>
            <w:noWrap/>
            <w:vAlign w:val="center"/>
          </w:tcPr>
          <w:p w14:paraId="5CEF1A64">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1.全面检查设备硬件。</w:t>
            </w:r>
          </w:p>
          <w:p w14:paraId="5CAF5B18">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2.更新客户端电脑的杀毒软件，系统全面查杀病毒，优化整理磁盘空间。</w:t>
            </w:r>
          </w:p>
        </w:tc>
        <w:tc>
          <w:tcPr>
            <w:tcW w:w="1351" w:type="dxa"/>
            <w:noWrap/>
            <w:vAlign w:val="center"/>
          </w:tcPr>
          <w:p w14:paraId="2112014A">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系统稳定</w:t>
            </w:r>
          </w:p>
        </w:tc>
      </w:tr>
      <w:tr w14:paraId="079EC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71" w:type="dxa"/>
            <w:vMerge w:val="continue"/>
            <w:noWrap/>
            <w:vAlign w:val="center"/>
          </w:tcPr>
          <w:p w14:paraId="3BA90544">
            <w:pPr>
              <w:snapToGrid w:val="0"/>
              <w:spacing w:line="240" w:lineRule="auto"/>
              <w:ind w:firstLine="0" w:firstLineChars="0"/>
              <w:rPr>
                <w:rFonts w:hint="eastAsia" w:ascii="宋体" w:hAnsi="宋体" w:eastAsia="宋体" w:cs="宋体"/>
                <w:b w:val="0"/>
                <w:bCs/>
                <w:color w:val="auto"/>
                <w:sz w:val="21"/>
                <w:szCs w:val="21"/>
              </w:rPr>
            </w:pPr>
          </w:p>
        </w:tc>
        <w:tc>
          <w:tcPr>
            <w:tcW w:w="929" w:type="dxa"/>
            <w:noWrap/>
            <w:vAlign w:val="center"/>
          </w:tcPr>
          <w:p w14:paraId="27EA552A">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数据库</w:t>
            </w:r>
          </w:p>
        </w:tc>
        <w:tc>
          <w:tcPr>
            <w:tcW w:w="963" w:type="dxa"/>
            <w:noWrap/>
            <w:vAlign w:val="center"/>
          </w:tcPr>
          <w:p w14:paraId="594FC13E">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每月一次</w:t>
            </w:r>
          </w:p>
        </w:tc>
        <w:tc>
          <w:tcPr>
            <w:tcW w:w="4917" w:type="dxa"/>
            <w:noWrap/>
            <w:vAlign w:val="center"/>
          </w:tcPr>
          <w:p w14:paraId="63554DBC">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1.检查数据库文件是否完好。</w:t>
            </w:r>
          </w:p>
          <w:p w14:paraId="362692BA">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2.数据备份。</w:t>
            </w:r>
          </w:p>
        </w:tc>
        <w:tc>
          <w:tcPr>
            <w:tcW w:w="1351" w:type="dxa"/>
            <w:noWrap/>
            <w:vAlign w:val="center"/>
          </w:tcPr>
          <w:p w14:paraId="00CA859F">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系统稳定</w:t>
            </w:r>
          </w:p>
        </w:tc>
      </w:tr>
      <w:tr w14:paraId="1E84A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71" w:type="dxa"/>
            <w:vMerge w:val="restart"/>
            <w:noWrap/>
            <w:vAlign w:val="center"/>
          </w:tcPr>
          <w:p w14:paraId="4816D9B3">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车库管理系统</w:t>
            </w:r>
          </w:p>
        </w:tc>
        <w:tc>
          <w:tcPr>
            <w:tcW w:w="929" w:type="dxa"/>
            <w:vMerge w:val="restart"/>
            <w:noWrap/>
            <w:vAlign w:val="center"/>
          </w:tcPr>
          <w:p w14:paraId="5E2F5FBC">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车闸</w:t>
            </w:r>
          </w:p>
        </w:tc>
        <w:tc>
          <w:tcPr>
            <w:tcW w:w="963" w:type="dxa"/>
            <w:noWrap/>
            <w:vAlign w:val="center"/>
          </w:tcPr>
          <w:p w14:paraId="0A84A07B">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日常维护</w:t>
            </w:r>
          </w:p>
        </w:tc>
        <w:tc>
          <w:tcPr>
            <w:tcW w:w="4917" w:type="dxa"/>
            <w:noWrap/>
            <w:vAlign w:val="center"/>
          </w:tcPr>
          <w:p w14:paraId="4B93C113">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1.检查所有道闸是否开闭正常。</w:t>
            </w:r>
          </w:p>
          <w:p w14:paraId="08DE88F6">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2.清抹道闸外表并检查是否完好，有没有划痕。</w:t>
            </w:r>
          </w:p>
        </w:tc>
        <w:tc>
          <w:tcPr>
            <w:tcW w:w="1351" w:type="dxa"/>
            <w:noWrap/>
            <w:vAlign w:val="center"/>
          </w:tcPr>
          <w:p w14:paraId="7887F4B6">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外观良好、运行正常</w:t>
            </w:r>
          </w:p>
        </w:tc>
      </w:tr>
      <w:tr w14:paraId="74675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71" w:type="dxa"/>
            <w:vMerge w:val="continue"/>
            <w:noWrap/>
            <w:vAlign w:val="center"/>
          </w:tcPr>
          <w:p w14:paraId="10A55921">
            <w:pPr>
              <w:snapToGrid w:val="0"/>
              <w:spacing w:line="240" w:lineRule="auto"/>
              <w:ind w:firstLine="0" w:firstLineChars="0"/>
              <w:rPr>
                <w:rFonts w:hint="eastAsia" w:ascii="宋体" w:hAnsi="宋体" w:eastAsia="宋体" w:cs="宋体"/>
                <w:b w:val="0"/>
                <w:bCs/>
                <w:color w:val="auto"/>
                <w:sz w:val="21"/>
                <w:szCs w:val="21"/>
              </w:rPr>
            </w:pPr>
          </w:p>
        </w:tc>
        <w:tc>
          <w:tcPr>
            <w:tcW w:w="929" w:type="dxa"/>
            <w:vMerge w:val="continue"/>
            <w:noWrap/>
            <w:vAlign w:val="center"/>
          </w:tcPr>
          <w:p w14:paraId="06E4F0E5">
            <w:pPr>
              <w:snapToGrid w:val="0"/>
              <w:spacing w:line="240" w:lineRule="auto"/>
              <w:ind w:firstLine="0" w:firstLineChars="0"/>
              <w:rPr>
                <w:rFonts w:hint="eastAsia" w:ascii="宋体" w:hAnsi="宋体" w:eastAsia="宋体" w:cs="宋体"/>
                <w:b w:val="0"/>
                <w:bCs/>
                <w:color w:val="auto"/>
                <w:sz w:val="21"/>
                <w:szCs w:val="21"/>
              </w:rPr>
            </w:pPr>
          </w:p>
        </w:tc>
        <w:tc>
          <w:tcPr>
            <w:tcW w:w="963" w:type="dxa"/>
            <w:noWrap/>
            <w:vAlign w:val="center"/>
          </w:tcPr>
          <w:p w14:paraId="23778F15">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每年两次</w:t>
            </w:r>
          </w:p>
        </w:tc>
        <w:tc>
          <w:tcPr>
            <w:tcW w:w="4917" w:type="dxa"/>
            <w:noWrap/>
            <w:vAlign w:val="center"/>
          </w:tcPr>
          <w:p w14:paraId="01E5F228">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1.检查所有道闸开闭默认时间是否符合使用要求。</w:t>
            </w:r>
          </w:p>
          <w:p w14:paraId="44601902">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2.清理内部硬件设备上的灰尘及杂物，检查硬件设备是否正常工作，指示灯是否正常工作。</w:t>
            </w:r>
          </w:p>
          <w:p w14:paraId="0FB7AF5A">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3.检查道闸上的软胶是否老化变色，若老化必须马上更换。</w:t>
            </w:r>
          </w:p>
          <w:p w14:paraId="1DF952A6">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4.检查各连接端口的可靠性，摆闸是否牢固，螺丝是否松脱，并适当添加润滑油。</w:t>
            </w:r>
          </w:p>
        </w:tc>
        <w:tc>
          <w:tcPr>
            <w:tcW w:w="1351" w:type="dxa"/>
            <w:noWrap/>
            <w:vAlign w:val="center"/>
          </w:tcPr>
          <w:p w14:paraId="121EFFB8">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各零部件无损坏、无老化</w:t>
            </w:r>
          </w:p>
        </w:tc>
      </w:tr>
      <w:tr w14:paraId="2D201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71" w:type="dxa"/>
            <w:vMerge w:val="continue"/>
            <w:noWrap/>
            <w:vAlign w:val="center"/>
          </w:tcPr>
          <w:p w14:paraId="5EDE7EDC">
            <w:pPr>
              <w:snapToGrid w:val="0"/>
              <w:spacing w:line="240" w:lineRule="auto"/>
              <w:ind w:firstLine="0" w:firstLineChars="0"/>
              <w:rPr>
                <w:rFonts w:hint="eastAsia" w:ascii="宋体" w:hAnsi="宋体" w:eastAsia="宋体" w:cs="宋体"/>
                <w:b w:val="0"/>
                <w:bCs/>
                <w:color w:val="auto"/>
                <w:sz w:val="21"/>
                <w:szCs w:val="21"/>
              </w:rPr>
            </w:pPr>
          </w:p>
        </w:tc>
        <w:tc>
          <w:tcPr>
            <w:tcW w:w="929" w:type="dxa"/>
            <w:noWrap/>
            <w:vAlign w:val="center"/>
          </w:tcPr>
          <w:p w14:paraId="7E0D1CF8">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摄像头</w:t>
            </w:r>
          </w:p>
        </w:tc>
        <w:tc>
          <w:tcPr>
            <w:tcW w:w="963" w:type="dxa"/>
            <w:noWrap/>
            <w:vAlign w:val="center"/>
          </w:tcPr>
          <w:p w14:paraId="332F2C3D">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日常维护</w:t>
            </w:r>
          </w:p>
        </w:tc>
        <w:tc>
          <w:tcPr>
            <w:tcW w:w="4917" w:type="dxa"/>
            <w:noWrap/>
            <w:vAlign w:val="center"/>
          </w:tcPr>
          <w:p w14:paraId="68ABBD6B">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1.检查摄像枪是否正常工作，图像是否清晰。</w:t>
            </w:r>
          </w:p>
          <w:p w14:paraId="6E5C1B29">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2.每季度定期清洗摄像头，保证摄像质量。</w:t>
            </w:r>
          </w:p>
        </w:tc>
        <w:tc>
          <w:tcPr>
            <w:tcW w:w="1351" w:type="dxa"/>
            <w:noWrap/>
            <w:vAlign w:val="center"/>
          </w:tcPr>
          <w:p w14:paraId="4EAC1DB3">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正常工作、图像清晰。</w:t>
            </w:r>
          </w:p>
        </w:tc>
      </w:tr>
      <w:tr w14:paraId="1174C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71" w:type="dxa"/>
            <w:vMerge w:val="continue"/>
            <w:noWrap/>
            <w:vAlign w:val="center"/>
          </w:tcPr>
          <w:p w14:paraId="2E0E42AB">
            <w:pPr>
              <w:snapToGrid w:val="0"/>
              <w:spacing w:line="240" w:lineRule="auto"/>
              <w:ind w:firstLine="0" w:firstLineChars="0"/>
              <w:rPr>
                <w:rFonts w:hint="eastAsia" w:ascii="宋体" w:hAnsi="宋体" w:eastAsia="宋体" w:cs="宋体"/>
                <w:b w:val="0"/>
                <w:bCs/>
                <w:color w:val="auto"/>
                <w:sz w:val="21"/>
                <w:szCs w:val="21"/>
              </w:rPr>
            </w:pPr>
          </w:p>
        </w:tc>
        <w:tc>
          <w:tcPr>
            <w:tcW w:w="929" w:type="dxa"/>
            <w:noWrap/>
            <w:vAlign w:val="center"/>
          </w:tcPr>
          <w:p w14:paraId="647EFCC2">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控制</w:t>
            </w:r>
          </w:p>
          <w:p w14:paraId="4AA5156C">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系统</w:t>
            </w:r>
          </w:p>
        </w:tc>
        <w:tc>
          <w:tcPr>
            <w:tcW w:w="963" w:type="dxa"/>
            <w:noWrap/>
            <w:vAlign w:val="center"/>
          </w:tcPr>
          <w:p w14:paraId="4A138D4F">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每月一次</w:t>
            </w:r>
          </w:p>
        </w:tc>
        <w:tc>
          <w:tcPr>
            <w:tcW w:w="4917" w:type="dxa"/>
            <w:noWrap/>
            <w:vAlign w:val="center"/>
          </w:tcPr>
          <w:p w14:paraId="1BB5EF0C">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1.全面检查设备硬件。</w:t>
            </w:r>
          </w:p>
          <w:p w14:paraId="4F7C8F20">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2.更新客户端电脑的杀毒软件，系统全面查杀病毒，优化整理磁盘空间。</w:t>
            </w:r>
          </w:p>
          <w:p w14:paraId="79A148AD">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3.整理摄像数据，导出并备份摄像数据。</w:t>
            </w:r>
          </w:p>
        </w:tc>
        <w:tc>
          <w:tcPr>
            <w:tcW w:w="1351" w:type="dxa"/>
            <w:noWrap/>
            <w:vAlign w:val="center"/>
          </w:tcPr>
          <w:p w14:paraId="4C0BDE7A">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系统稳定。</w:t>
            </w:r>
          </w:p>
        </w:tc>
      </w:tr>
      <w:tr w14:paraId="2EF48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71" w:type="dxa"/>
            <w:vMerge w:val="continue"/>
            <w:noWrap/>
            <w:vAlign w:val="center"/>
          </w:tcPr>
          <w:p w14:paraId="22C44AE0">
            <w:pPr>
              <w:snapToGrid w:val="0"/>
              <w:spacing w:line="240" w:lineRule="auto"/>
              <w:ind w:firstLine="0" w:firstLineChars="0"/>
              <w:rPr>
                <w:rFonts w:hint="eastAsia" w:ascii="宋体" w:hAnsi="宋体" w:eastAsia="宋体" w:cs="宋体"/>
                <w:b w:val="0"/>
                <w:bCs/>
                <w:color w:val="auto"/>
                <w:sz w:val="21"/>
                <w:szCs w:val="21"/>
              </w:rPr>
            </w:pPr>
          </w:p>
        </w:tc>
        <w:tc>
          <w:tcPr>
            <w:tcW w:w="929" w:type="dxa"/>
            <w:noWrap/>
            <w:vAlign w:val="center"/>
          </w:tcPr>
          <w:p w14:paraId="3F3F2608">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出入卡</w:t>
            </w:r>
          </w:p>
        </w:tc>
        <w:tc>
          <w:tcPr>
            <w:tcW w:w="963" w:type="dxa"/>
            <w:noWrap/>
            <w:vAlign w:val="center"/>
          </w:tcPr>
          <w:p w14:paraId="274FEF4C">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日常维护</w:t>
            </w:r>
          </w:p>
        </w:tc>
        <w:tc>
          <w:tcPr>
            <w:tcW w:w="4917" w:type="dxa"/>
            <w:noWrap/>
            <w:vAlign w:val="center"/>
          </w:tcPr>
          <w:p w14:paraId="2F355F04">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1.对进出车辆发卡与收卡，核对出入卡总数量，定期补增损坏及遗失的出入卡。</w:t>
            </w:r>
          </w:p>
          <w:p w14:paraId="6CE3A4CD">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2.对于固定卡，根据用户要求，整理、录入、更改及删除人员资料和车牌号码。</w:t>
            </w:r>
          </w:p>
        </w:tc>
        <w:tc>
          <w:tcPr>
            <w:tcW w:w="1351" w:type="dxa"/>
            <w:noWrap/>
            <w:vAlign w:val="center"/>
          </w:tcPr>
          <w:p w14:paraId="4EFAFF10">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卡片完好，总数量不变。</w:t>
            </w:r>
          </w:p>
        </w:tc>
      </w:tr>
      <w:tr w14:paraId="5A4CA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71" w:type="dxa"/>
            <w:vMerge w:val="continue"/>
            <w:noWrap/>
            <w:vAlign w:val="center"/>
          </w:tcPr>
          <w:p w14:paraId="4F235CD7">
            <w:pPr>
              <w:snapToGrid w:val="0"/>
              <w:spacing w:line="240" w:lineRule="auto"/>
              <w:ind w:firstLine="0" w:firstLineChars="0"/>
              <w:rPr>
                <w:rFonts w:hint="eastAsia" w:ascii="宋体" w:hAnsi="宋体" w:eastAsia="宋体" w:cs="宋体"/>
                <w:b w:val="0"/>
                <w:bCs/>
                <w:color w:val="auto"/>
                <w:sz w:val="21"/>
                <w:szCs w:val="21"/>
              </w:rPr>
            </w:pPr>
          </w:p>
        </w:tc>
        <w:tc>
          <w:tcPr>
            <w:tcW w:w="929" w:type="dxa"/>
            <w:noWrap/>
            <w:vAlign w:val="center"/>
          </w:tcPr>
          <w:p w14:paraId="42776B18">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数据库</w:t>
            </w:r>
          </w:p>
        </w:tc>
        <w:tc>
          <w:tcPr>
            <w:tcW w:w="963" w:type="dxa"/>
            <w:noWrap/>
            <w:vAlign w:val="center"/>
          </w:tcPr>
          <w:p w14:paraId="48CD7CE1">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每月一次</w:t>
            </w:r>
          </w:p>
        </w:tc>
        <w:tc>
          <w:tcPr>
            <w:tcW w:w="4917" w:type="dxa"/>
            <w:noWrap/>
            <w:vAlign w:val="center"/>
          </w:tcPr>
          <w:p w14:paraId="3336CE92">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1.检查数据库文件是否完好。</w:t>
            </w:r>
          </w:p>
          <w:p w14:paraId="0086C5E4">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2.数据备份。</w:t>
            </w:r>
          </w:p>
        </w:tc>
        <w:tc>
          <w:tcPr>
            <w:tcW w:w="1351" w:type="dxa"/>
            <w:noWrap/>
            <w:vAlign w:val="center"/>
          </w:tcPr>
          <w:p w14:paraId="3FFACB6E">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系统稳定。</w:t>
            </w:r>
          </w:p>
        </w:tc>
      </w:tr>
      <w:tr w14:paraId="25073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00" w:type="dxa"/>
            <w:gridSpan w:val="2"/>
            <w:noWrap/>
            <w:vAlign w:val="center"/>
          </w:tcPr>
          <w:p w14:paraId="0F111AF4">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无线巡更系统</w:t>
            </w:r>
          </w:p>
        </w:tc>
        <w:tc>
          <w:tcPr>
            <w:tcW w:w="963" w:type="dxa"/>
            <w:noWrap/>
            <w:vAlign w:val="center"/>
          </w:tcPr>
          <w:p w14:paraId="0EDE65C7">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每月一次</w:t>
            </w:r>
          </w:p>
        </w:tc>
        <w:tc>
          <w:tcPr>
            <w:tcW w:w="4917" w:type="dxa"/>
            <w:noWrap/>
            <w:vAlign w:val="center"/>
          </w:tcPr>
          <w:p w14:paraId="1EF4438C">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1.清除巡更检测点及巡更器灰尘。</w:t>
            </w:r>
          </w:p>
          <w:p w14:paraId="2BBD2DDE">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2.检查巡更器及巡更检测点是否完整无损伤，巡更器能否正常完成记录工作，各个巡更检测点能否由巡更器正常识别。</w:t>
            </w:r>
          </w:p>
          <w:p w14:paraId="5307DFBF">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3.检查巡更检测点安装是否牢固。</w:t>
            </w:r>
          </w:p>
          <w:p w14:paraId="77C8624B">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4.检查管理电脑能否正常下载巡更器所采集的数据，并检查记录数据是否正确。</w:t>
            </w:r>
          </w:p>
          <w:p w14:paraId="47E1D301">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5.更新电脑的杀毒软件，系统全面查杀病毒，优化整理磁盘空间。</w:t>
            </w:r>
          </w:p>
        </w:tc>
        <w:tc>
          <w:tcPr>
            <w:tcW w:w="1351" w:type="dxa"/>
            <w:noWrap/>
            <w:vAlign w:val="center"/>
          </w:tcPr>
          <w:p w14:paraId="662E75E4">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系统稳定，运行正常。</w:t>
            </w:r>
          </w:p>
        </w:tc>
      </w:tr>
      <w:tr w14:paraId="46A99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00" w:type="dxa"/>
            <w:gridSpan w:val="2"/>
            <w:noWrap/>
            <w:vAlign w:val="center"/>
          </w:tcPr>
          <w:p w14:paraId="33047A79">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电梯五方通话系统</w:t>
            </w:r>
          </w:p>
        </w:tc>
        <w:tc>
          <w:tcPr>
            <w:tcW w:w="963" w:type="dxa"/>
            <w:noWrap/>
            <w:vAlign w:val="center"/>
          </w:tcPr>
          <w:p w14:paraId="6B467EEE">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每月两次</w:t>
            </w:r>
          </w:p>
        </w:tc>
        <w:tc>
          <w:tcPr>
            <w:tcW w:w="4917" w:type="dxa"/>
            <w:noWrap/>
            <w:vAlign w:val="center"/>
          </w:tcPr>
          <w:p w14:paraId="3FC8115F">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检查电梯五方通话系统工作情况。</w:t>
            </w:r>
          </w:p>
        </w:tc>
        <w:tc>
          <w:tcPr>
            <w:tcW w:w="1351" w:type="dxa"/>
            <w:noWrap/>
            <w:vAlign w:val="center"/>
          </w:tcPr>
          <w:p w14:paraId="3A9D8252">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五方通话正常。</w:t>
            </w:r>
          </w:p>
        </w:tc>
      </w:tr>
      <w:tr w14:paraId="63A5F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00" w:type="dxa"/>
            <w:gridSpan w:val="2"/>
            <w:noWrap/>
            <w:vAlign w:val="center"/>
          </w:tcPr>
          <w:p w14:paraId="645B7012">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紧急报警系统</w:t>
            </w:r>
          </w:p>
        </w:tc>
        <w:tc>
          <w:tcPr>
            <w:tcW w:w="963" w:type="dxa"/>
            <w:noWrap/>
            <w:vAlign w:val="center"/>
          </w:tcPr>
          <w:p w14:paraId="22A6D493">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每月两次</w:t>
            </w:r>
          </w:p>
        </w:tc>
        <w:tc>
          <w:tcPr>
            <w:tcW w:w="4917" w:type="dxa"/>
            <w:noWrap/>
            <w:vAlign w:val="center"/>
          </w:tcPr>
          <w:p w14:paraId="203CE592">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检查报警系统工作情况，报警按钮状态。</w:t>
            </w:r>
          </w:p>
        </w:tc>
        <w:tc>
          <w:tcPr>
            <w:tcW w:w="1351" w:type="dxa"/>
            <w:noWrap/>
            <w:vAlign w:val="center"/>
          </w:tcPr>
          <w:p w14:paraId="0AC27918">
            <w:pPr>
              <w:tabs>
                <w:tab w:val="left" w:pos="-51"/>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系统工作正常，按钮良好。</w:t>
            </w:r>
          </w:p>
        </w:tc>
      </w:tr>
      <w:tr w14:paraId="3A5D2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00" w:type="dxa"/>
            <w:gridSpan w:val="2"/>
            <w:noWrap/>
            <w:vAlign w:val="center"/>
          </w:tcPr>
          <w:p w14:paraId="5457110D">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无线对讲系统</w:t>
            </w:r>
          </w:p>
        </w:tc>
        <w:tc>
          <w:tcPr>
            <w:tcW w:w="963" w:type="dxa"/>
            <w:noWrap/>
            <w:vAlign w:val="center"/>
          </w:tcPr>
          <w:p w14:paraId="1EA4A1F4">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每月一次</w:t>
            </w:r>
          </w:p>
        </w:tc>
        <w:tc>
          <w:tcPr>
            <w:tcW w:w="4917" w:type="dxa"/>
            <w:noWrap/>
            <w:vAlign w:val="center"/>
          </w:tcPr>
          <w:p w14:paraId="4ECE1878">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1.清理中转台及机柜设备表面灰尘。</w:t>
            </w:r>
          </w:p>
          <w:p w14:paraId="757FF50D">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2.对设备分路器及合路器除尘维修。</w:t>
            </w:r>
          </w:p>
          <w:p w14:paraId="6CCE8C46">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3.检查电源是否正常。</w:t>
            </w:r>
          </w:p>
          <w:p w14:paraId="3FA00AEA">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4.检查中转台及机柜设备是否正常运转。</w:t>
            </w:r>
          </w:p>
        </w:tc>
        <w:tc>
          <w:tcPr>
            <w:tcW w:w="1351" w:type="dxa"/>
            <w:noWrap/>
            <w:vAlign w:val="center"/>
          </w:tcPr>
          <w:p w14:paraId="2C4EB074">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系统稳定，运行正常。</w:t>
            </w:r>
          </w:p>
        </w:tc>
      </w:tr>
      <w:tr w14:paraId="17FA2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31" w:type="dxa"/>
            <w:gridSpan w:val="5"/>
            <w:noWrap/>
            <w:vAlign w:val="center"/>
          </w:tcPr>
          <w:p w14:paraId="402E127B">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四、办公自动化系统</w:t>
            </w:r>
          </w:p>
        </w:tc>
      </w:tr>
      <w:tr w14:paraId="1C66F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00" w:type="dxa"/>
            <w:gridSpan w:val="2"/>
            <w:noWrap/>
            <w:vAlign w:val="center"/>
          </w:tcPr>
          <w:p w14:paraId="6D26E054">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多媒体/无线化多功能会议系统</w:t>
            </w:r>
          </w:p>
        </w:tc>
        <w:tc>
          <w:tcPr>
            <w:tcW w:w="963" w:type="dxa"/>
            <w:noWrap/>
            <w:vAlign w:val="center"/>
          </w:tcPr>
          <w:p w14:paraId="4494FB8D">
            <w:pPr>
              <w:tabs>
                <w:tab w:val="left" w:pos="-51"/>
                <w:tab w:val="left" w:pos="878"/>
              </w:tabs>
              <w:snapToGrid w:val="0"/>
              <w:spacing w:line="240" w:lineRule="auto"/>
              <w:ind w:firstLine="0" w:firstLine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日常维护</w:t>
            </w:r>
          </w:p>
        </w:tc>
        <w:tc>
          <w:tcPr>
            <w:tcW w:w="4917" w:type="dxa"/>
            <w:noWrap/>
            <w:vAlign w:val="center"/>
          </w:tcPr>
          <w:p w14:paraId="6E3B5E10">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1.清理设备上的灰尘。</w:t>
            </w:r>
          </w:p>
          <w:p w14:paraId="733CF884">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2.检查设备连接线是否有松动。</w:t>
            </w:r>
          </w:p>
          <w:p w14:paraId="07FABBB2">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3.检查会议系统常用功能是否存在隐患。</w:t>
            </w:r>
          </w:p>
          <w:p w14:paraId="7799F24D">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4.查看设备日志，检查设备在使用过程中是否有发出故障报警。</w:t>
            </w:r>
          </w:p>
          <w:p w14:paraId="5F9F3640">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5.检查设备环境是否符合要求。</w:t>
            </w:r>
          </w:p>
        </w:tc>
        <w:tc>
          <w:tcPr>
            <w:tcW w:w="1351" w:type="dxa"/>
            <w:noWrap/>
            <w:vAlign w:val="center"/>
          </w:tcPr>
          <w:p w14:paraId="7189E350">
            <w:pPr>
              <w:tabs>
                <w:tab w:val="left" w:pos="-51"/>
                <w:tab w:val="left" w:pos="878"/>
              </w:tabs>
              <w:snapToGrid w:val="0"/>
              <w:spacing w:line="240" w:lineRule="auto"/>
              <w:ind w:firstLine="0" w:firstLine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外观良好，运行正常。</w:t>
            </w:r>
          </w:p>
        </w:tc>
      </w:tr>
    </w:tbl>
    <w:p w14:paraId="0B21C6DD">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3"/>
        <w:rPr>
          <w:rFonts w:hint="eastAsia" w:ascii="宋体" w:hAnsi="宋体" w:eastAsia="宋体" w:cs="宋体"/>
          <w:b/>
          <w:bCs/>
          <w:color w:val="auto"/>
          <w:sz w:val="21"/>
          <w:szCs w:val="21"/>
          <w:lang w:val="en-US" w:eastAsia="zh-CN"/>
        </w:rPr>
      </w:pPr>
      <w:bookmarkStart w:id="638" w:name="_Toc22563"/>
      <w:bookmarkStart w:id="639" w:name="_Toc18544"/>
      <w:bookmarkStart w:id="640" w:name="_Toc27598"/>
      <w:bookmarkStart w:id="641" w:name="_Toc23144"/>
      <w:bookmarkStart w:id="642" w:name="_Toc18798"/>
      <w:r>
        <w:rPr>
          <w:rFonts w:hint="eastAsia" w:ascii="宋体" w:hAnsi="宋体" w:eastAsia="宋体" w:cs="宋体"/>
          <w:b/>
          <w:bCs/>
          <w:color w:val="auto"/>
          <w:sz w:val="21"/>
          <w:szCs w:val="21"/>
          <w:lang w:val="en-US" w:eastAsia="zh-CN"/>
        </w:rPr>
        <w:t>2.2.10电梯系统维护与保养管理</w:t>
      </w:r>
      <w:bookmarkEnd w:id="638"/>
      <w:bookmarkEnd w:id="639"/>
      <w:bookmarkEnd w:id="640"/>
      <w:bookmarkEnd w:id="641"/>
      <w:bookmarkEnd w:id="642"/>
    </w:p>
    <w:p w14:paraId="4A2DFB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电梯维修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保养人员均持证上岗，电梯各种年审证件齐全；严密的安全运行和维修保养规章制度得到落实，维护保养、巡视记录统一归档管理，资料完整；电梯运行状态良好，安全设施齐全有效，轿厢及机房整洁，通风、照明及其他附属设施完好，设备完好率100%；出现运行故障后（如困人），</w:t>
      </w:r>
      <w:r>
        <w:rPr>
          <w:rFonts w:hint="eastAsia" w:ascii="宋体" w:hAnsi="宋体" w:eastAsia="宋体" w:cs="宋体"/>
          <w:color w:val="auto"/>
          <w:sz w:val="21"/>
          <w:szCs w:val="21"/>
          <w:highlight w:val="none"/>
          <w:lang w:val="en-US" w:eastAsia="zh-CN"/>
        </w:rPr>
        <w:t>物业</w:t>
      </w:r>
      <w:r>
        <w:rPr>
          <w:rFonts w:hint="eastAsia" w:ascii="宋体" w:hAnsi="宋体" w:eastAsia="宋体" w:cs="宋体"/>
          <w:color w:val="auto"/>
          <w:sz w:val="21"/>
          <w:szCs w:val="21"/>
          <w:highlight w:val="none"/>
        </w:rPr>
        <w:t>维修人员在5分钟内到达现场处理，无发生因困人处理不当造成的安全责任事故。保养要求如下：</w:t>
      </w:r>
    </w:p>
    <w:tbl>
      <w:tblPr>
        <w:tblStyle w:val="41"/>
        <w:tblW w:w="49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
        <w:gridCol w:w="4145"/>
        <w:gridCol w:w="5095"/>
      </w:tblGrid>
      <w:tr w14:paraId="6795E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top"/>
          </w:tcPr>
          <w:p w14:paraId="3BCCFD09">
            <w:pPr>
              <w:spacing w:line="240" w:lineRule="auto"/>
              <w:ind w:firstLine="0" w:firstLineChars="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2032" w:type="pct"/>
            <w:noWrap w:val="0"/>
            <w:vAlign w:val="top"/>
          </w:tcPr>
          <w:p w14:paraId="46C28337">
            <w:pPr>
              <w:spacing w:line="240" w:lineRule="auto"/>
              <w:ind w:firstLine="0" w:firstLineChars="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保养项目</w:t>
            </w:r>
          </w:p>
        </w:tc>
        <w:tc>
          <w:tcPr>
            <w:tcW w:w="2498" w:type="pct"/>
            <w:noWrap w:val="0"/>
            <w:vAlign w:val="top"/>
          </w:tcPr>
          <w:p w14:paraId="5F0DAA37">
            <w:pPr>
              <w:spacing w:line="240" w:lineRule="auto"/>
              <w:ind w:firstLine="0" w:firstLineChars="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保养内容及要求</w:t>
            </w:r>
          </w:p>
        </w:tc>
      </w:tr>
      <w:tr w14:paraId="3F3E1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501" w:type="pct"/>
            <w:gridSpan w:val="2"/>
            <w:noWrap w:val="0"/>
            <w:vAlign w:val="top"/>
          </w:tcPr>
          <w:p w14:paraId="78F9C422">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一、每隔半个月维保项目</w:t>
            </w:r>
          </w:p>
        </w:tc>
        <w:tc>
          <w:tcPr>
            <w:tcW w:w="2498" w:type="pct"/>
            <w:noWrap w:val="0"/>
            <w:vAlign w:val="top"/>
          </w:tcPr>
          <w:p w14:paraId="18B2F424">
            <w:pPr>
              <w:spacing w:line="240" w:lineRule="auto"/>
              <w:ind w:firstLine="0" w:firstLineChars="0"/>
              <w:rPr>
                <w:rFonts w:hint="eastAsia" w:ascii="宋体" w:hAnsi="宋体" w:eastAsia="宋体" w:cs="宋体"/>
                <w:b w:val="0"/>
                <w:bCs w:val="0"/>
                <w:color w:val="auto"/>
                <w:sz w:val="21"/>
                <w:szCs w:val="21"/>
              </w:rPr>
            </w:pPr>
          </w:p>
        </w:tc>
      </w:tr>
      <w:tr w14:paraId="6F49D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5664959C">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1.1</w:t>
            </w:r>
          </w:p>
        </w:tc>
        <w:tc>
          <w:tcPr>
            <w:tcW w:w="2032" w:type="pct"/>
            <w:noWrap w:val="0"/>
            <w:vAlign w:val="center"/>
          </w:tcPr>
          <w:p w14:paraId="39978ECD">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机房、滑轮间环境</w:t>
            </w:r>
          </w:p>
        </w:tc>
        <w:tc>
          <w:tcPr>
            <w:tcW w:w="2498" w:type="pct"/>
            <w:noWrap w:val="0"/>
            <w:vAlign w:val="center"/>
          </w:tcPr>
          <w:p w14:paraId="4D91BE85">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清洁，门窗完好、照明正常。</w:t>
            </w:r>
          </w:p>
        </w:tc>
      </w:tr>
      <w:tr w14:paraId="272EA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15149C3B">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1.2</w:t>
            </w:r>
          </w:p>
        </w:tc>
        <w:tc>
          <w:tcPr>
            <w:tcW w:w="2032" w:type="pct"/>
            <w:noWrap w:val="0"/>
            <w:vAlign w:val="center"/>
          </w:tcPr>
          <w:p w14:paraId="76E6B20C">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手动紧急操作装置</w:t>
            </w:r>
          </w:p>
        </w:tc>
        <w:tc>
          <w:tcPr>
            <w:tcW w:w="2498" w:type="pct"/>
            <w:noWrap w:val="0"/>
            <w:vAlign w:val="center"/>
          </w:tcPr>
          <w:p w14:paraId="3D9F8A96">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齐全，在指定位置。</w:t>
            </w:r>
          </w:p>
        </w:tc>
      </w:tr>
      <w:tr w14:paraId="6562F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4FC0E6A3">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1.3</w:t>
            </w:r>
          </w:p>
        </w:tc>
        <w:tc>
          <w:tcPr>
            <w:tcW w:w="2032" w:type="pct"/>
            <w:noWrap w:val="0"/>
            <w:vAlign w:val="center"/>
          </w:tcPr>
          <w:p w14:paraId="5B0F2F31">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曳引机</w:t>
            </w:r>
          </w:p>
        </w:tc>
        <w:tc>
          <w:tcPr>
            <w:tcW w:w="2498" w:type="pct"/>
            <w:noWrap w:val="0"/>
            <w:vAlign w:val="center"/>
          </w:tcPr>
          <w:p w14:paraId="4740BB74">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运行时无异常振动和异常声响。</w:t>
            </w:r>
          </w:p>
        </w:tc>
      </w:tr>
      <w:tr w14:paraId="0C9E8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5661C13E">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1.4</w:t>
            </w:r>
          </w:p>
        </w:tc>
        <w:tc>
          <w:tcPr>
            <w:tcW w:w="2032" w:type="pct"/>
            <w:noWrap w:val="0"/>
            <w:vAlign w:val="center"/>
          </w:tcPr>
          <w:p w14:paraId="2E7E09B5">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制动器各销轴部位</w:t>
            </w:r>
          </w:p>
        </w:tc>
        <w:tc>
          <w:tcPr>
            <w:tcW w:w="2498" w:type="pct"/>
            <w:noWrap w:val="0"/>
            <w:vAlign w:val="center"/>
          </w:tcPr>
          <w:p w14:paraId="6FDF3BFA">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润滑，动作灵活。</w:t>
            </w:r>
          </w:p>
        </w:tc>
      </w:tr>
      <w:tr w14:paraId="7723B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45992F76">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1.5</w:t>
            </w:r>
          </w:p>
        </w:tc>
        <w:tc>
          <w:tcPr>
            <w:tcW w:w="2032" w:type="pct"/>
            <w:noWrap w:val="0"/>
            <w:vAlign w:val="center"/>
          </w:tcPr>
          <w:p w14:paraId="14AEE1F7">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制动器间隙</w:t>
            </w:r>
          </w:p>
        </w:tc>
        <w:tc>
          <w:tcPr>
            <w:tcW w:w="2498" w:type="pct"/>
            <w:noWrap w:val="0"/>
            <w:vAlign w:val="center"/>
          </w:tcPr>
          <w:p w14:paraId="45749E97">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打开时制动衬与制动轮不发生摩擦，间隙值符合制造单位要求。</w:t>
            </w:r>
          </w:p>
        </w:tc>
      </w:tr>
      <w:tr w14:paraId="0F26B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50D23476">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1.6</w:t>
            </w:r>
          </w:p>
        </w:tc>
        <w:tc>
          <w:tcPr>
            <w:tcW w:w="2032" w:type="pct"/>
            <w:noWrap w:val="0"/>
            <w:vAlign w:val="center"/>
          </w:tcPr>
          <w:p w14:paraId="4E99069C">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制动器作为轿厢意外移动保护装置制停子系统时的自监测</w:t>
            </w:r>
          </w:p>
        </w:tc>
        <w:tc>
          <w:tcPr>
            <w:tcW w:w="2498" w:type="pct"/>
            <w:noWrap w:val="0"/>
            <w:vAlign w:val="center"/>
          </w:tcPr>
          <w:p w14:paraId="0D1EF9FF">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制动力人工方式检测符合使用维护说明书要求；制动力自监测系统有记录。</w:t>
            </w:r>
          </w:p>
        </w:tc>
      </w:tr>
      <w:tr w14:paraId="7D59A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0F7F491E">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1.7</w:t>
            </w:r>
          </w:p>
        </w:tc>
        <w:tc>
          <w:tcPr>
            <w:tcW w:w="2032" w:type="pct"/>
            <w:noWrap w:val="0"/>
            <w:vAlign w:val="center"/>
          </w:tcPr>
          <w:p w14:paraId="2EC92ACD">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编码器</w:t>
            </w:r>
          </w:p>
        </w:tc>
        <w:tc>
          <w:tcPr>
            <w:tcW w:w="2498" w:type="pct"/>
            <w:noWrap w:val="0"/>
            <w:vAlign w:val="center"/>
          </w:tcPr>
          <w:p w14:paraId="4891DF7A">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清洁，安装牢固。</w:t>
            </w:r>
          </w:p>
        </w:tc>
      </w:tr>
      <w:tr w14:paraId="37F4E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3D643D91">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1.8</w:t>
            </w:r>
          </w:p>
        </w:tc>
        <w:tc>
          <w:tcPr>
            <w:tcW w:w="2032" w:type="pct"/>
            <w:noWrap w:val="0"/>
            <w:vAlign w:val="center"/>
          </w:tcPr>
          <w:p w14:paraId="6C8E6286">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限速器各销轴部位</w:t>
            </w:r>
          </w:p>
        </w:tc>
        <w:tc>
          <w:tcPr>
            <w:tcW w:w="2498" w:type="pct"/>
            <w:noWrap w:val="0"/>
            <w:vAlign w:val="center"/>
          </w:tcPr>
          <w:p w14:paraId="17E5BC02">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润滑，转动灵活；电气开关正常。</w:t>
            </w:r>
          </w:p>
        </w:tc>
      </w:tr>
      <w:tr w14:paraId="71483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5C4BA995">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1.9</w:t>
            </w:r>
          </w:p>
        </w:tc>
        <w:tc>
          <w:tcPr>
            <w:tcW w:w="2032" w:type="pct"/>
            <w:noWrap w:val="0"/>
            <w:vAlign w:val="center"/>
          </w:tcPr>
          <w:p w14:paraId="79D193BD">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层门和轿门旁路装置</w:t>
            </w:r>
          </w:p>
        </w:tc>
        <w:tc>
          <w:tcPr>
            <w:tcW w:w="2498" w:type="pct"/>
            <w:noWrap w:val="0"/>
            <w:vAlign w:val="center"/>
          </w:tcPr>
          <w:p w14:paraId="6473724B">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工作正常。</w:t>
            </w:r>
          </w:p>
        </w:tc>
      </w:tr>
      <w:tr w14:paraId="0AC05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01741A2F">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1.10</w:t>
            </w:r>
          </w:p>
        </w:tc>
        <w:tc>
          <w:tcPr>
            <w:tcW w:w="2032" w:type="pct"/>
            <w:noWrap w:val="0"/>
            <w:vAlign w:val="center"/>
          </w:tcPr>
          <w:p w14:paraId="35051BBA">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紧急电动运行</w:t>
            </w:r>
          </w:p>
        </w:tc>
        <w:tc>
          <w:tcPr>
            <w:tcW w:w="2498" w:type="pct"/>
            <w:noWrap w:val="0"/>
            <w:vAlign w:val="center"/>
          </w:tcPr>
          <w:p w14:paraId="069122DF">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工作正常。</w:t>
            </w:r>
          </w:p>
        </w:tc>
      </w:tr>
      <w:tr w14:paraId="2BC3B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27C1FF3F">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1.11</w:t>
            </w:r>
          </w:p>
        </w:tc>
        <w:tc>
          <w:tcPr>
            <w:tcW w:w="2032" w:type="pct"/>
            <w:noWrap w:val="0"/>
            <w:vAlign w:val="center"/>
          </w:tcPr>
          <w:p w14:paraId="358636F5">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轿顶</w:t>
            </w:r>
          </w:p>
        </w:tc>
        <w:tc>
          <w:tcPr>
            <w:tcW w:w="2498" w:type="pct"/>
            <w:noWrap w:val="0"/>
            <w:vAlign w:val="center"/>
          </w:tcPr>
          <w:p w14:paraId="509A3534">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清洁，防护栏安全可靠。</w:t>
            </w:r>
          </w:p>
        </w:tc>
      </w:tr>
      <w:tr w14:paraId="42AC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3B76539A">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1.12</w:t>
            </w:r>
          </w:p>
        </w:tc>
        <w:tc>
          <w:tcPr>
            <w:tcW w:w="2032" w:type="pct"/>
            <w:noWrap w:val="0"/>
            <w:vAlign w:val="center"/>
          </w:tcPr>
          <w:p w14:paraId="1BB26DA8">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轿顶检修开关、停止装置</w:t>
            </w:r>
          </w:p>
        </w:tc>
        <w:tc>
          <w:tcPr>
            <w:tcW w:w="2498" w:type="pct"/>
            <w:noWrap w:val="0"/>
            <w:vAlign w:val="center"/>
          </w:tcPr>
          <w:p w14:paraId="17905E38">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工作正常。</w:t>
            </w:r>
          </w:p>
        </w:tc>
      </w:tr>
      <w:tr w14:paraId="75104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521CC54A">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1.13</w:t>
            </w:r>
          </w:p>
        </w:tc>
        <w:tc>
          <w:tcPr>
            <w:tcW w:w="2032" w:type="pct"/>
            <w:noWrap w:val="0"/>
            <w:vAlign w:val="center"/>
          </w:tcPr>
          <w:p w14:paraId="0B09A201">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导靴上油杯</w:t>
            </w:r>
          </w:p>
        </w:tc>
        <w:tc>
          <w:tcPr>
            <w:tcW w:w="2498" w:type="pct"/>
            <w:noWrap w:val="0"/>
            <w:vAlign w:val="center"/>
          </w:tcPr>
          <w:p w14:paraId="2DB09860">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吸油毛毡齐全，油量适宜，油杯无泄漏。</w:t>
            </w:r>
          </w:p>
        </w:tc>
      </w:tr>
      <w:tr w14:paraId="16E05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498BFDA7">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1.14</w:t>
            </w:r>
          </w:p>
        </w:tc>
        <w:tc>
          <w:tcPr>
            <w:tcW w:w="2032" w:type="pct"/>
            <w:noWrap w:val="0"/>
            <w:vAlign w:val="center"/>
          </w:tcPr>
          <w:p w14:paraId="274E1884">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对重块及其压板</w:t>
            </w:r>
          </w:p>
        </w:tc>
        <w:tc>
          <w:tcPr>
            <w:tcW w:w="2498" w:type="pct"/>
            <w:noWrap w:val="0"/>
            <w:vAlign w:val="center"/>
          </w:tcPr>
          <w:p w14:paraId="5A1921F6">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对重块无松动，压板紧固。</w:t>
            </w:r>
          </w:p>
        </w:tc>
      </w:tr>
      <w:tr w14:paraId="75418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17533F7A">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1.15</w:t>
            </w:r>
          </w:p>
        </w:tc>
        <w:tc>
          <w:tcPr>
            <w:tcW w:w="2032" w:type="pct"/>
            <w:noWrap w:val="0"/>
            <w:vAlign w:val="center"/>
          </w:tcPr>
          <w:p w14:paraId="5792D927">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井道照明</w:t>
            </w:r>
          </w:p>
        </w:tc>
        <w:tc>
          <w:tcPr>
            <w:tcW w:w="2498" w:type="pct"/>
            <w:noWrap w:val="0"/>
            <w:vAlign w:val="center"/>
          </w:tcPr>
          <w:p w14:paraId="7CCC15EF">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齐全、正常。</w:t>
            </w:r>
          </w:p>
        </w:tc>
      </w:tr>
      <w:tr w14:paraId="0CC9D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478C0C56">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1.16</w:t>
            </w:r>
          </w:p>
        </w:tc>
        <w:tc>
          <w:tcPr>
            <w:tcW w:w="2032" w:type="pct"/>
            <w:noWrap w:val="0"/>
            <w:vAlign w:val="center"/>
          </w:tcPr>
          <w:p w14:paraId="02DA9E2B">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轿厢照明、风扇、应急照明</w:t>
            </w:r>
          </w:p>
        </w:tc>
        <w:tc>
          <w:tcPr>
            <w:tcW w:w="2498" w:type="pct"/>
            <w:noWrap w:val="0"/>
            <w:vAlign w:val="center"/>
          </w:tcPr>
          <w:p w14:paraId="5B99A21C">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工作正常。</w:t>
            </w:r>
          </w:p>
        </w:tc>
      </w:tr>
      <w:tr w14:paraId="15A25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147EFD0F">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1.17</w:t>
            </w:r>
          </w:p>
        </w:tc>
        <w:tc>
          <w:tcPr>
            <w:tcW w:w="2032" w:type="pct"/>
            <w:noWrap w:val="0"/>
            <w:vAlign w:val="center"/>
          </w:tcPr>
          <w:p w14:paraId="12399580">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轿厢检修开关、停止装置</w:t>
            </w:r>
          </w:p>
        </w:tc>
        <w:tc>
          <w:tcPr>
            <w:tcW w:w="2498" w:type="pct"/>
            <w:noWrap w:val="0"/>
            <w:vAlign w:val="center"/>
          </w:tcPr>
          <w:p w14:paraId="47237CDD">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工作正常。</w:t>
            </w:r>
          </w:p>
        </w:tc>
      </w:tr>
      <w:tr w14:paraId="1B2A8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71C8CB05">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1.18</w:t>
            </w:r>
          </w:p>
        </w:tc>
        <w:tc>
          <w:tcPr>
            <w:tcW w:w="2032" w:type="pct"/>
            <w:noWrap w:val="0"/>
            <w:vAlign w:val="center"/>
          </w:tcPr>
          <w:p w14:paraId="553F2138">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轿内报警装置、对讲系统</w:t>
            </w:r>
          </w:p>
        </w:tc>
        <w:tc>
          <w:tcPr>
            <w:tcW w:w="2498" w:type="pct"/>
            <w:noWrap w:val="0"/>
            <w:vAlign w:val="center"/>
          </w:tcPr>
          <w:p w14:paraId="373D37EC">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工作正常。</w:t>
            </w:r>
          </w:p>
        </w:tc>
      </w:tr>
      <w:tr w14:paraId="2B49D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749FF4F2">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1.19</w:t>
            </w:r>
          </w:p>
        </w:tc>
        <w:tc>
          <w:tcPr>
            <w:tcW w:w="2032" w:type="pct"/>
            <w:noWrap w:val="0"/>
            <w:vAlign w:val="center"/>
          </w:tcPr>
          <w:p w14:paraId="6094C0A1">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轿内显示、指令按钮</w:t>
            </w:r>
          </w:p>
        </w:tc>
        <w:tc>
          <w:tcPr>
            <w:tcW w:w="2498" w:type="pct"/>
            <w:noWrap w:val="0"/>
            <w:vAlign w:val="center"/>
          </w:tcPr>
          <w:p w14:paraId="660C7BCE">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齐全、有效。</w:t>
            </w:r>
          </w:p>
        </w:tc>
      </w:tr>
      <w:tr w14:paraId="77A61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75BDB690">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1.20</w:t>
            </w:r>
          </w:p>
        </w:tc>
        <w:tc>
          <w:tcPr>
            <w:tcW w:w="2032" w:type="pct"/>
            <w:noWrap w:val="0"/>
            <w:vAlign w:val="center"/>
          </w:tcPr>
          <w:p w14:paraId="3ACEA3C1">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轿门安全装置（安全触板，光幕、光电等）</w:t>
            </w:r>
          </w:p>
        </w:tc>
        <w:tc>
          <w:tcPr>
            <w:tcW w:w="2498" w:type="pct"/>
            <w:noWrap w:val="0"/>
            <w:vAlign w:val="center"/>
          </w:tcPr>
          <w:p w14:paraId="0DC2B065">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功能有效。</w:t>
            </w:r>
          </w:p>
        </w:tc>
      </w:tr>
      <w:tr w14:paraId="2A1DE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5E6CCB21">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1.21</w:t>
            </w:r>
          </w:p>
        </w:tc>
        <w:tc>
          <w:tcPr>
            <w:tcW w:w="2032" w:type="pct"/>
            <w:noWrap w:val="0"/>
            <w:vAlign w:val="center"/>
          </w:tcPr>
          <w:p w14:paraId="49A859B8">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轿门门锁电气触点</w:t>
            </w:r>
          </w:p>
        </w:tc>
        <w:tc>
          <w:tcPr>
            <w:tcW w:w="2498" w:type="pct"/>
            <w:noWrap w:val="0"/>
            <w:vAlign w:val="center"/>
          </w:tcPr>
          <w:p w14:paraId="3913157E">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清洁，触点接触良好，接线可靠。</w:t>
            </w:r>
          </w:p>
        </w:tc>
      </w:tr>
      <w:tr w14:paraId="6DB86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47AEC767">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1.22</w:t>
            </w:r>
          </w:p>
        </w:tc>
        <w:tc>
          <w:tcPr>
            <w:tcW w:w="2032" w:type="pct"/>
            <w:noWrap w:val="0"/>
            <w:vAlign w:val="center"/>
          </w:tcPr>
          <w:p w14:paraId="2FF83CDF">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轿门运行</w:t>
            </w:r>
          </w:p>
        </w:tc>
        <w:tc>
          <w:tcPr>
            <w:tcW w:w="2498" w:type="pct"/>
            <w:noWrap w:val="0"/>
            <w:vAlign w:val="center"/>
          </w:tcPr>
          <w:p w14:paraId="0C1D7AB3">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开启和关闭工作正常。</w:t>
            </w:r>
          </w:p>
        </w:tc>
      </w:tr>
      <w:tr w14:paraId="7148F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5483D01B">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1.23</w:t>
            </w:r>
          </w:p>
        </w:tc>
        <w:tc>
          <w:tcPr>
            <w:tcW w:w="2032" w:type="pct"/>
            <w:noWrap w:val="0"/>
            <w:vAlign w:val="center"/>
          </w:tcPr>
          <w:p w14:paraId="06E6B878">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轿厢平层准确度</w:t>
            </w:r>
          </w:p>
        </w:tc>
        <w:tc>
          <w:tcPr>
            <w:tcW w:w="2498" w:type="pct"/>
            <w:noWrap w:val="0"/>
            <w:vAlign w:val="center"/>
          </w:tcPr>
          <w:p w14:paraId="30E6B173">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符合标准值。</w:t>
            </w:r>
          </w:p>
        </w:tc>
      </w:tr>
      <w:tr w14:paraId="75006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1A5D2A05">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1.24</w:t>
            </w:r>
          </w:p>
        </w:tc>
        <w:tc>
          <w:tcPr>
            <w:tcW w:w="2032" w:type="pct"/>
            <w:noWrap w:val="0"/>
            <w:vAlign w:val="center"/>
          </w:tcPr>
          <w:p w14:paraId="14FB8511">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层站召唤、层楼显示</w:t>
            </w:r>
          </w:p>
        </w:tc>
        <w:tc>
          <w:tcPr>
            <w:tcW w:w="2498" w:type="pct"/>
            <w:noWrap w:val="0"/>
            <w:vAlign w:val="center"/>
          </w:tcPr>
          <w:p w14:paraId="313521AA">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齐全、有效。</w:t>
            </w:r>
          </w:p>
        </w:tc>
      </w:tr>
      <w:tr w14:paraId="7A812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5468A740">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1.25</w:t>
            </w:r>
          </w:p>
        </w:tc>
        <w:tc>
          <w:tcPr>
            <w:tcW w:w="2032" w:type="pct"/>
            <w:noWrap w:val="0"/>
            <w:vAlign w:val="center"/>
          </w:tcPr>
          <w:p w14:paraId="0CA6B5F3">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层门地坎</w:t>
            </w:r>
          </w:p>
        </w:tc>
        <w:tc>
          <w:tcPr>
            <w:tcW w:w="2498" w:type="pct"/>
            <w:noWrap w:val="0"/>
            <w:vAlign w:val="center"/>
          </w:tcPr>
          <w:p w14:paraId="465E3515">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清洁。</w:t>
            </w:r>
          </w:p>
        </w:tc>
      </w:tr>
      <w:tr w14:paraId="2E182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1194C1CF">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1.26</w:t>
            </w:r>
          </w:p>
        </w:tc>
        <w:tc>
          <w:tcPr>
            <w:tcW w:w="2032" w:type="pct"/>
            <w:noWrap w:val="0"/>
            <w:vAlign w:val="center"/>
          </w:tcPr>
          <w:p w14:paraId="79324DAF">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层门及自动关门装置</w:t>
            </w:r>
          </w:p>
        </w:tc>
        <w:tc>
          <w:tcPr>
            <w:tcW w:w="2498" w:type="pct"/>
            <w:noWrap w:val="0"/>
            <w:vAlign w:val="center"/>
          </w:tcPr>
          <w:p w14:paraId="3EE1E3F3">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正常。</w:t>
            </w:r>
          </w:p>
        </w:tc>
      </w:tr>
      <w:tr w14:paraId="3F66A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1F47EA9F">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1.27</w:t>
            </w:r>
          </w:p>
        </w:tc>
        <w:tc>
          <w:tcPr>
            <w:tcW w:w="2032" w:type="pct"/>
            <w:noWrap w:val="0"/>
            <w:vAlign w:val="center"/>
          </w:tcPr>
          <w:p w14:paraId="014B60B6">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层门门锁自动复位</w:t>
            </w:r>
          </w:p>
        </w:tc>
        <w:tc>
          <w:tcPr>
            <w:tcW w:w="2498" w:type="pct"/>
            <w:noWrap w:val="0"/>
            <w:vAlign w:val="center"/>
          </w:tcPr>
          <w:p w14:paraId="1F4F44AC">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用层门钥匙打开手动开锁装置释放后，层门门锁能自动复位。</w:t>
            </w:r>
          </w:p>
        </w:tc>
      </w:tr>
      <w:tr w14:paraId="510AE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36715E47">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1.28</w:t>
            </w:r>
          </w:p>
        </w:tc>
        <w:tc>
          <w:tcPr>
            <w:tcW w:w="2032" w:type="pct"/>
            <w:noWrap w:val="0"/>
            <w:vAlign w:val="center"/>
          </w:tcPr>
          <w:p w14:paraId="0B9A36A4">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层门门锁电气触点</w:t>
            </w:r>
          </w:p>
        </w:tc>
        <w:tc>
          <w:tcPr>
            <w:tcW w:w="2498" w:type="pct"/>
            <w:noWrap w:val="0"/>
            <w:vAlign w:val="center"/>
          </w:tcPr>
          <w:p w14:paraId="0BBA3957">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清洁，触点接触良好，接线可靠。</w:t>
            </w:r>
          </w:p>
        </w:tc>
      </w:tr>
      <w:tr w14:paraId="57917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3594B43E">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1.29</w:t>
            </w:r>
          </w:p>
        </w:tc>
        <w:tc>
          <w:tcPr>
            <w:tcW w:w="2032" w:type="pct"/>
            <w:noWrap w:val="0"/>
            <w:vAlign w:val="center"/>
          </w:tcPr>
          <w:p w14:paraId="3D06EEDF">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层门锁紧元件啮合长度</w:t>
            </w:r>
          </w:p>
        </w:tc>
        <w:tc>
          <w:tcPr>
            <w:tcW w:w="2498" w:type="pct"/>
            <w:noWrap w:val="0"/>
            <w:vAlign w:val="center"/>
          </w:tcPr>
          <w:p w14:paraId="3D932A7B">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不小于7mm。</w:t>
            </w:r>
          </w:p>
        </w:tc>
      </w:tr>
      <w:tr w14:paraId="33BAD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64C6A8AE">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1.30</w:t>
            </w:r>
          </w:p>
        </w:tc>
        <w:tc>
          <w:tcPr>
            <w:tcW w:w="2032" w:type="pct"/>
            <w:noWrap w:val="0"/>
            <w:vAlign w:val="center"/>
          </w:tcPr>
          <w:p w14:paraId="02F7A4D9">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底坑环境</w:t>
            </w:r>
          </w:p>
        </w:tc>
        <w:tc>
          <w:tcPr>
            <w:tcW w:w="2498" w:type="pct"/>
            <w:noWrap w:val="0"/>
            <w:vAlign w:val="center"/>
          </w:tcPr>
          <w:p w14:paraId="2BE23B6C">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清洁，无渗水、积水，照明正常。</w:t>
            </w:r>
          </w:p>
        </w:tc>
      </w:tr>
      <w:tr w14:paraId="4243B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4F6217C7">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1.31</w:t>
            </w:r>
          </w:p>
        </w:tc>
        <w:tc>
          <w:tcPr>
            <w:tcW w:w="2032" w:type="pct"/>
            <w:noWrap w:val="0"/>
            <w:vAlign w:val="center"/>
          </w:tcPr>
          <w:p w14:paraId="7EE2812B">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底坑停止装置</w:t>
            </w:r>
          </w:p>
        </w:tc>
        <w:tc>
          <w:tcPr>
            <w:tcW w:w="2498" w:type="pct"/>
            <w:noWrap w:val="0"/>
            <w:vAlign w:val="center"/>
          </w:tcPr>
          <w:p w14:paraId="143473D1">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工作正常。</w:t>
            </w:r>
          </w:p>
        </w:tc>
      </w:tr>
      <w:tr w14:paraId="01F31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501" w:type="pct"/>
            <w:gridSpan w:val="2"/>
            <w:noWrap w:val="0"/>
            <w:vAlign w:val="top"/>
          </w:tcPr>
          <w:p w14:paraId="006505A7">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二、每季度维保项目</w:t>
            </w:r>
          </w:p>
        </w:tc>
        <w:tc>
          <w:tcPr>
            <w:tcW w:w="2498" w:type="pct"/>
            <w:noWrap w:val="0"/>
            <w:vAlign w:val="top"/>
          </w:tcPr>
          <w:p w14:paraId="57EC25F7">
            <w:pPr>
              <w:spacing w:line="240" w:lineRule="auto"/>
              <w:ind w:firstLine="0" w:firstLineChars="0"/>
              <w:jc w:val="center"/>
              <w:rPr>
                <w:rFonts w:hint="eastAsia" w:ascii="宋体" w:hAnsi="宋体" w:eastAsia="宋体" w:cs="宋体"/>
                <w:b w:val="0"/>
                <w:bCs w:val="0"/>
                <w:color w:val="auto"/>
                <w:sz w:val="21"/>
                <w:szCs w:val="21"/>
              </w:rPr>
            </w:pPr>
          </w:p>
        </w:tc>
      </w:tr>
      <w:tr w14:paraId="5498E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47BCAC53">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2.1</w:t>
            </w:r>
          </w:p>
        </w:tc>
        <w:tc>
          <w:tcPr>
            <w:tcW w:w="2032" w:type="pct"/>
            <w:noWrap w:val="0"/>
            <w:vAlign w:val="center"/>
          </w:tcPr>
          <w:p w14:paraId="7822D092">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减速机润滑油</w:t>
            </w:r>
          </w:p>
        </w:tc>
        <w:tc>
          <w:tcPr>
            <w:tcW w:w="2498" w:type="pct"/>
            <w:noWrap w:val="0"/>
            <w:vAlign w:val="center"/>
          </w:tcPr>
          <w:p w14:paraId="20FFF727">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油量适宜，除蜗杆伸出端外均无渗漏。</w:t>
            </w:r>
          </w:p>
        </w:tc>
      </w:tr>
      <w:tr w14:paraId="2F558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6EAF1B84">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2.2</w:t>
            </w:r>
          </w:p>
        </w:tc>
        <w:tc>
          <w:tcPr>
            <w:tcW w:w="2032" w:type="pct"/>
            <w:noWrap w:val="0"/>
            <w:vAlign w:val="center"/>
          </w:tcPr>
          <w:p w14:paraId="23349FF8">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制动衬</w:t>
            </w:r>
          </w:p>
        </w:tc>
        <w:tc>
          <w:tcPr>
            <w:tcW w:w="2498" w:type="pct"/>
            <w:noWrap w:val="0"/>
            <w:vAlign w:val="center"/>
          </w:tcPr>
          <w:p w14:paraId="1C792AA8">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清洁，磨损量不超过制造单位要求。</w:t>
            </w:r>
          </w:p>
        </w:tc>
      </w:tr>
      <w:tr w14:paraId="3C3E4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6EEBCA5B">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2.3</w:t>
            </w:r>
          </w:p>
        </w:tc>
        <w:tc>
          <w:tcPr>
            <w:tcW w:w="2032" w:type="pct"/>
            <w:noWrap w:val="0"/>
            <w:vAlign w:val="center"/>
          </w:tcPr>
          <w:p w14:paraId="51A149C8">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位置脉冲发生器</w:t>
            </w:r>
          </w:p>
        </w:tc>
        <w:tc>
          <w:tcPr>
            <w:tcW w:w="2498" w:type="pct"/>
            <w:noWrap w:val="0"/>
            <w:vAlign w:val="center"/>
          </w:tcPr>
          <w:p w14:paraId="4587E444">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工作正常。</w:t>
            </w:r>
          </w:p>
        </w:tc>
      </w:tr>
      <w:tr w14:paraId="4CA60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2ABD6EDD">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2.4</w:t>
            </w:r>
          </w:p>
        </w:tc>
        <w:tc>
          <w:tcPr>
            <w:tcW w:w="2032" w:type="pct"/>
            <w:noWrap w:val="0"/>
            <w:vAlign w:val="center"/>
          </w:tcPr>
          <w:p w14:paraId="069C2E9E">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选层器动静触点</w:t>
            </w:r>
          </w:p>
        </w:tc>
        <w:tc>
          <w:tcPr>
            <w:tcW w:w="2498" w:type="pct"/>
            <w:noWrap w:val="0"/>
            <w:vAlign w:val="center"/>
          </w:tcPr>
          <w:p w14:paraId="68CB6D93">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清洁，无烧蚀。</w:t>
            </w:r>
          </w:p>
        </w:tc>
      </w:tr>
      <w:tr w14:paraId="2E073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4EB81480">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2.5</w:t>
            </w:r>
          </w:p>
        </w:tc>
        <w:tc>
          <w:tcPr>
            <w:tcW w:w="2032" w:type="pct"/>
            <w:noWrap w:val="0"/>
            <w:vAlign w:val="center"/>
          </w:tcPr>
          <w:p w14:paraId="76035B84">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曳引轮槽、曳引钢丝绳</w:t>
            </w:r>
          </w:p>
        </w:tc>
        <w:tc>
          <w:tcPr>
            <w:tcW w:w="2498" w:type="pct"/>
            <w:noWrap w:val="0"/>
            <w:vAlign w:val="center"/>
          </w:tcPr>
          <w:p w14:paraId="364EEF92">
            <w:pPr>
              <w:pStyle w:val="37"/>
              <w:spacing w:before="0" w:beforeAutospacing="0" w:after="0" w:afterAutospacing="0"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曳引轮槽、曳引钢丝绳清洁，无严重油腻，张力均匀，符合制造单位要求。</w:t>
            </w:r>
          </w:p>
        </w:tc>
      </w:tr>
      <w:tr w14:paraId="01295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68158754">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2.6</w:t>
            </w:r>
          </w:p>
        </w:tc>
        <w:tc>
          <w:tcPr>
            <w:tcW w:w="2032" w:type="pct"/>
            <w:noWrap w:val="0"/>
            <w:vAlign w:val="center"/>
          </w:tcPr>
          <w:p w14:paraId="2CA48FAF">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限速器轮槽、限速器钢丝绳</w:t>
            </w:r>
          </w:p>
        </w:tc>
        <w:tc>
          <w:tcPr>
            <w:tcW w:w="2498" w:type="pct"/>
            <w:noWrap w:val="0"/>
            <w:vAlign w:val="center"/>
          </w:tcPr>
          <w:p w14:paraId="696F753E">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清洁，无严重油腻。</w:t>
            </w:r>
          </w:p>
        </w:tc>
      </w:tr>
      <w:tr w14:paraId="1DF63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2F64ED32">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2.7</w:t>
            </w:r>
          </w:p>
        </w:tc>
        <w:tc>
          <w:tcPr>
            <w:tcW w:w="2032" w:type="pct"/>
            <w:noWrap w:val="0"/>
            <w:vAlign w:val="center"/>
          </w:tcPr>
          <w:p w14:paraId="537A9DCE">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靴衬、滚轮</w:t>
            </w:r>
          </w:p>
        </w:tc>
        <w:tc>
          <w:tcPr>
            <w:tcW w:w="2498" w:type="pct"/>
            <w:noWrap w:val="0"/>
            <w:vAlign w:val="center"/>
          </w:tcPr>
          <w:p w14:paraId="23ED1381">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清洁，磨损量不超过制造单位要求。</w:t>
            </w:r>
          </w:p>
        </w:tc>
      </w:tr>
      <w:tr w14:paraId="1DC71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69804AF2">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2.8</w:t>
            </w:r>
          </w:p>
        </w:tc>
        <w:tc>
          <w:tcPr>
            <w:tcW w:w="2032" w:type="pct"/>
            <w:noWrap w:val="0"/>
            <w:vAlign w:val="center"/>
          </w:tcPr>
          <w:p w14:paraId="36799782">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验证轿门关闭的电气安全装置</w:t>
            </w:r>
          </w:p>
        </w:tc>
        <w:tc>
          <w:tcPr>
            <w:tcW w:w="2498" w:type="pct"/>
            <w:noWrap w:val="0"/>
            <w:vAlign w:val="center"/>
          </w:tcPr>
          <w:p w14:paraId="5CE3B113">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工作正常。</w:t>
            </w:r>
          </w:p>
        </w:tc>
      </w:tr>
      <w:tr w14:paraId="1A5B0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73CF66FC">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2.9</w:t>
            </w:r>
          </w:p>
        </w:tc>
        <w:tc>
          <w:tcPr>
            <w:tcW w:w="2032" w:type="pct"/>
            <w:noWrap w:val="0"/>
            <w:vAlign w:val="center"/>
          </w:tcPr>
          <w:p w14:paraId="3381FFA0">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层门、轿门系统中传动钢丝绳、链条、传动带</w:t>
            </w:r>
          </w:p>
        </w:tc>
        <w:tc>
          <w:tcPr>
            <w:tcW w:w="2498" w:type="pct"/>
            <w:noWrap w:val="0"/>
            <w:vAlign w:val="center"/>
          </w:tcPr>
          <w:p w14:paraId="2D1A2313">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按照制造单位要求进行清洁、调整。</w:t>
            </w:r>
          </w:p>
        </w:tc>
      </w:tr>
      <w:tr w14:paraId="6B3F9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073A1709">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2.10</w:t>
            </w:r>
          </w:p>
        </w:tc>
        <w:tc>
          <w:tcPr>
            <w:tcW w:w="2032" w:type="pct"/>
            <w:noWrap w:val="0"/>
            <w:vAlign w:val="center"/>
          </w:tcPr>
          <w:p w14:paraId="3A31DBB8">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层门门导靴</w:t>
            </w:r>
          </w:p>
        </w:tc>
        <w:tc>
          <w:tcPr>
            <w:tcW w:w="2498" w:type="pct"/>
            <w:noWrap w:val="0"/>
            <w:vAlign w:val="center"/>
          </w:tcPr>
          <w:p w14:paraId="215BBDA1">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磨损量不超过制造单位要求。</w:t>
            </w:r>
          </w:p>
        </w:tc>
      </w:tr>
      <w:tr w14:paraId="0C5CB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71863550">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2.11</w:t>
            </w:r>
          </w:p>
        </w:tc>
        <w:tc>
          <w:tcPr>
            <w:tcW w:w="2032" w:type="pct"/>
            <w:noWrap w:val="0"/>
            <w:vAlign w:val="center"/>
          </w:tcPr>
          <w:p w14:paraId="1B8E60A0">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消防开关</w:t>
            </w:r>
          </w:p>
        </w:tc>
        <w:tc>
          <w:tcPr>
            <w:tcW w:w="2498" w:type="pct"/>
            <w:noWrap w:val="0"/>
            <w:vAlign w:val="center"/>
          </w:tcPr>
          <w:p w14:paraId="0815429A">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工作正常，功能有效。</w:t>
            </w:r>
          </w:p>
        </w:tc>
      </w:tr>
      <w:tr w14:paraId="692DC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71DB5D9A">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2.12</w:t>
            </w:r>
          </w:p>
        </w:tc>
        <w:tc>
          <w:tcPr>
            <w:tcW w:w="2032" w:type="pct"/>
            <w:noWrap w:val="0"/>
            <w:vAlign w:val="center"/>
          </w:tcPr>
          <w:p w14:paraId="61B9FA84">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耗能缓冲器</w:t>
            </w:r>
          </w:p>
        </w:tc>
        <w:tc>
          <w:tcPr>
            <w:tcW w:w="2498" w:type="pct"/>
            <w:noWrap w:val="0"/>
            <w:vAlign w:val="center"/>
          </w:tcPr>
          <w:p w14:paraId="5BF7BBBF">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电气安全装置功能有效，油量适宜，柱塞无锈蚀。</w:t>
            </w:r>
          </w:p>
        </w:tc>
      </w:tr>
      <w:tr w14:paraId="3DEFC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1113F7B2">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2.13</w:t>
            </w:r>
          </w:p>
        </w:tc>
        <w:tc>
          <w:tcPr>
            <w:tcW w:w="2032" w:type="pct"/>
            <w:noWrap w:val="0"/>
            <w:vAlign w:val="center"/>
          </w:tcPr>
          <w:p w14:paraId="30CB9F7C">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限速器张紧轮装置和电气安全装置</w:t>
            </w:r>
          </w:p>
        </w:tc>
        <w:tc>
          <w:tcPr>
            <w:tcW w:w="2498" w:type="pct"/>
            <w:noWrap w:val="0"/>
            <w:vAlign w:val="center"/>
          </w:tcPr>
          <w:p w14:paraId="13B8D26F">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工作正常。</w:t>
            </w:r>
          </w:p>
        </w:tc>
      </w:tr>
      <w:tr w14:paraId="45E7A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501" w:type="pct"/>
            <w:gridSpan w:val="2"/>
            <w:noWrap w:val="0"/>
            <w:vAlign w:val="top"/>
          </w:tcPr>
          <w:p w14:paraId="5A20A6CD">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三、每隔半年维保项目</w:t>
            </w:r>
          </w:p>
        </w:tc>
        <w:tc>
          <w:tcPr>
            <w:tcW w:w="2498" w:type="pct"/>
            <w:noWrap w:val="0"/>
            <w:vAlign w:val="top"/>
          </w:tcPr>
          <w:p w14:paraId="1A2B609E">
            <w:pPr>
              <w:spacing w:line="240" w:lineRule="auto"/>
              <w:ind w:firstLine="0" w:firstLineChars="0"/>
              <w:jc w:val="center"/>
              <w:rPr>
                <w:rFonts w:hint="eastAsia" w:ascii="宋体" w:hAnsi="宋体" w:eastAsia="宋体" w:cs="宋体"/>
                <w:b w:val="0"/>
                <w:bCs w:val="0"/>
                <w:color w:val="auto"/>
                <w:sz w:val="21"/>
                <w:szCs w:val="21"/>
              </w:rPr>
            </w:pPr>
          </w:p>
        </w:tc>
      </w:tr>
      <w:tr w14:paraId="1C761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37C665A6">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3.1</w:t>
            </w:r>
          </w:p>
        </w:tc>
        <w:tc>
          <w:tcPr>
            <w:tcW w:w="2032" w:type="pct"/>
            <w:noWrap w:val="0"/>
            <w:vAlign w:val="center"/>
          </w:tcPr>
          <w:p w14:paraId="268BBE5F">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电动机与减速机联轴器</w:t>
            </w:r>
          </w:p>
        </w:tc>
        <w:tc>
          <w:tcPr>
            <w:tcW w:w="2498" w:type="pct"/>
            <w:noWrap w:val="0"/>
            <w:vAlign w:val="center"/>
          </w:tcPr>
          <w:p w14:paraId="3BB464C4">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连接无松动，弹性元件外观良好，无老化等现象。</w:t>
            </w:r>
          </w:p>
        </w:tc>
      </w:tr>
      <w:tr w14:paraId="6A016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23E44F37">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3.2</w:t>
            </w:r>
          </w:p>
        </w:tc>
        <w:tc>
          <w:tcPr>
            <w:tcW w:w="2032" w:type="pct"/>
            <w:noWrap w:val="0"/>
            <w:vAlign w:val="center"/>
          </w:tcPr>
          <w:p w14:paraId="70C12FFA">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曳引轮、导向轮轴承部</w:t>
            </w:r>
          </w:p>
        </w:tc>
        <w:tc>
          <w:tcPr>
            <w:tcW w:w="2498" w:type="pct"/>
            <w:noWrap w:val="0"/>
            <w:vAlign w:val="center"/>
          </w:tcPr>
          <w:p w14:paraId="62F7C3AA">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无异常声响，无震动，润滑良好。</w:t>
            </w:r>
          </w:p>
        </w:tc>
      </w:tr>
      <w:tr w14:paraId="48E8A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50201267">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3.3</w:t>
            </w:r>
          </w:p>
        </w:tc>
        <w:tc>
          <w:tcPr>
            <w:tcW w:w="2032" w:type="pct"/>
            <w:noWrap w:val="0"/>
            <w:vAlign w:val="center"/>
          </w:tcPr>
          <w:p w14:paraId="670DC9B9">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曳引轮槽</w:t>
            </w:r>
          </w:p>
        </w:tc>
        <w:tc>
          <w:tcPr>
            <w:tcW w:w="2498" w:type="pct"/>
            <w:noWrap w:val="0"/>
            <w:vAlign w:val="center"/>
          </w:tcPr>
          <w:p w14:paraId="1C849B5E">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磨损量不超过制造单位要求。</w:t>
            </w:r>
          </w:p>
        </w:tc>
      </w:tr>
      <w:tr w14:paraId="1E299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2F5542B2">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3.4</w:t>
            </w:r>
          </w:p>
        </w:tc>
        <w:tc>
          <w:tcPr>
            <w:tcW w:w="2032" w:type="pct"/>
            <w:noWrap w:val="0"/>
            <w:vAlign w:val="center"/>
          </w:tcPr>
          <w:p w14:paraId="1C25B9C8">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制动器动作状态监测装置</w:t>
            </w:r>
          </w:p>
        </w:tc>
        <w:tc>
          <w:tcPr>
            <w:tcW w:w="2498" w:type="pct"/>
            <w:noWrap w:val="0"/>
            <w:vAlign w:val="center"/>
          </w:tcPr>
          <w:p w14:paraId="77FE1BB2">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工作正常，制动器动作可靠。</w:t>
            </w:r>
          </w:p>
        </w:tc>
      </w:tr>
      <w:tr w14:paraId="74F21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72011C85">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3.5</w:t>
            </w:r>
          </w:p>
        </w:tc>
        <w:tc>
          <w:tcPr>
            <w:tcW w:w="2032" w:type="pct"/>
            <w:noWrap w:val="0"/>
            <w:vAlign w:val="center"/>
          </w:tcPr>
          <w:p w14:paraId="2FB596A0">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控制柜内各接线端子</w:t>
            </w:r>
          </w:p>
        </w:tc>
        <w:tc>
          <w:tcPr>
            <w:tcW w:w="2498" w:type="pct"/>
            <w:noWrap w:val="0"/>
            <w:vAlign w:val="center"/>
          </w:tcPr>
          <w:p w14:paraId="5F2C0307">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各接线紧固、整齐，线号齐全清晰。</w:t>
            </w:r>
          </w:p>
        </w:tc>
      </w:tr>
      <w:tr w14:paraId="3132A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75FFE2B4">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3.6</w:t>
            </w:r>
          </w:p>
        </w:tc>
        <w:tc>
          <w:tcPr>
            <w:tcW w:w="2032" w:type="pct"/>
            <w:noWrap w:val="0"/>
            <w:vAlign w:val="center"/>
          </w:tcPr>
          <w:p w14:paraId="78E5BB2D">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控制柜各仪表</w:t>
            </w:r>
          </w:p>
        </w:tc>
        <w:tc>
          <w:tcPr>
            <w:tcW w:w="2498" w:type="pct"/>
            <w:noWrap w:val="0"/>
            <w:vAlign w:val="center"/>
          </w:tcPr>
          <w:p w14:paraId="4A689ACB">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显示正常。</w:t>
            </w:r>
          </w:p>
        </w:tc>
      </w:tr>
      <w:tr w14:paraId="6F4DE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425F234C">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3.7</w:t>
            </w:r>
          </w:p>
        </w:tc>
        <w:tc>
          <w:tcPr>
            <w:tcW w:w="2032" w:type="pct"/>
            <w:noWrap w:val="0"/>
            <w:vAlign w:val="center"/>
          </w:tcPr>
          <w:p w14:paraId="03239057">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井道、对重、轿顶各反绳轮轴承部</w:t>
            </w:r>
          </w:p>
        </w:tc>
        <w:tc>
          <w:tcPr>
            <w:tcW w:w="2498" w:type="pct"/>
            <w:noWrap w:val="0"/>
            <w:vAlign w:val="center"/>
          </w:tcPr>
          <w:p w14:paraId="5434369B">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无异常声，无振动，润滑良好。</w:t>
            </w:r>
          </w:p>
        </w:tc>
      </w:tr>
      <w:tr w14:paraId="5119A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31AC5E10">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3.8</w:t>
            </w:r>
          </w:p>
        </w:tc>
        <w:tc>
          <w:tcPr>
            <w:tcW w:w="2032" w:type="pct"/>
            <w:noWrap w:val="0"/>
            <w:vAlign w:val="center"/>
          </w:tcPr>
          <w:p w14:paraId="05E8A67D">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曳引绳、补偿绳</w:t>
            </w:r>
          </w:p>
        </w:tc>
        <w:tc>
          <w:tcPr>
            <w:tcW w:w="2498" w:type="pct"/>
            <w:noWrap w:val="0"/>
            <w:vAlign w:val="center"/>
          </w:tcPr>
          <w:p w14:paraId="0C0B38C0">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磨损量、断丝数不超过要求。</w:t>
            </w:r>
          </w:p>
        </w:tc>
      </w:tr>
      <w:tr w14:paraId="0D071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64A80410">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3.9</w:t>
            </w:r>
          </w:p>
        </w:tc>
        <w:tc>
          <w:tcPr>
            <w:tcW w:w="2032" w:type="pct"/>
            <w:noWrap w:val="0"/>
            <w:vAlign w:val="center"/>
          </w:tcPr>
          <w:p w14:paraId="1BCE5B65">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曳引绳绳头组合</w:t>
            </w:r>
          </w:p>
        </w:tc>
        <w:tc>
          <w:tcPr>
            <w:tcW w:w="2498" w:type="pct"/>
            <w:noWrap w:val="0"/>
            <w:vAlign w:val="center"/>
          </w:tcPr>
          <w:p w14:paraId="00D09BAE">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部件齐全、固定可靠，紧固件无松动。</w:t>
            </w:r>
          </w:p>
        </w:tc>
      </w:tr>
      <w:tr w14:paraId="38A3B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62BC7270">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3.10</w:t>
            </w:r>
          </w:p>
        </w:tc>
        <w:tc>
          <w:tcPr>
            <w:tcW w:w="2032" w:type="pct"/>
            <w:noWrap w:val="0"/>
            <w:vAlign w:val="center"/>
          </w:tcPr>
          <w:p w14:paraId="351E1D53">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限速器钢丝绳</w:t>
            </w:r>
          </w:p>
        </w:tc>
        <w:tc>
          <w:tcPr>
            <w:tcW w:w="2498" w:type="pct"/>
            <w:noWrap w:val="0"/>
            <w:vAlign w:val="center"/>
          </w:tcPr>
          <w:p w14:paraId="73844840">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磨损量、断丝数不超过制造单位要求。</w:t>
            </w:r>
          </w:p>
        </w:tc>
      </w:tr>
      <w:tr w14:paraId="4C731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763C74CC">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3.11</w:t>
            </w:r>
          </w:p>
        </w:tc>
        <w:tc>
          <w:tcPr>
            <w:tcW w:w="2032" w:type="pct"/>
            <w:noWrap w:val="0"/>
            <w:vAlign w:val="center"/>
          </w:tcPr>
          <w:p w14:paraId="4D2F8129">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层门、轿门门扇</w:t>
            </w:r>
          </w:p>
        </w:tc>
        <w:tc>
          <w:tcPr>
            <w:tcW w:w="2498" w:type="pct"/>
            <w:noWrap w:val="0"/>
            <w:vAlign w:val="center"/>
          </w:tcPr>
          <w:p w14:paraId="3D72D1E8">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门扇各相关间隙符合标准值。</w:t>
            </w:r>
          </w:p>
        </w:tc>
      </w:tr>
      <w:tr w14:paraId="77DFE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07DD294C">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3.12</w:t>
            </w:r>
          </w:p>
        </w:tc>
        <w:tc>
          <w:tcPr>
            <w:tcW w:w="2032" w:type="pct"/>
            <w:noWrap w:val="0"/>
            <w:vAlign w:val="center"/>
          </w:tcPr>
          <w:p w14:paraId="17C3205B">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轿门开门限制装置</w:t>
            </w:r>
          </w:p>
        </w:tc>
        <w:tc>
          <w:tcPr>
            <w:tcW w:w="2498" w:type="pct"/>
            <w:noWrap w:val="0"/>
            <w:vAlign w:val="center"/>
          </w:tcPr>
          <w:p w14:paraId="098E7F2A">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工作正常。</w:t>
            </w:r>
          </w:p>
        </w:tc>
      </w:tr>
      <w:tr w14:paraId="67CDC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50C9DCB0">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3.13</w:t>
            </w:r>
          </w:p>
        </w:tc>
        <w:tc>
          <w:tcPr>
            <w:tcW w:w="2032" w:type="pct"/>
            <w:noWrap w:val="0"/>
            <w:vAlign w:val="center"/>
          </w:tcPr>
          <w:p w14:paraId="243C2627">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对重缓冲距离</w:t>
            </w:r>
          </w:p>
        </w:tc>
        <w:tc>
          <w:tcPr>
            <w:tcW w:w="2498" w:type="pct"/>
            <w:noWrap w:val="0"/>
            <w:vAlign w:val="center"/>
          </w:tcPr>
          <w:p w14:paraId="00A14F2A">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符合标准值。</w:t>
            </w:r>
          </w:p>
        </w:tc>
      </w:tr>
      <w:tr w14:paraId="1ACEC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2808D560">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3.14</w:t>
            </w:r>
          </w:p>
        </w:tc>
        <w:tc>
          <w:tcPr>
            <w:tcW w:w="2032" w:type="pct"/>
            <w:noWrap w:val="0"/>
            <w:vAlign w:val="center"/>
          </w:tcPr>
          <w:p w14:paraId="3A7452C4">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补偿链（绳）与轿厢、对重接合处</w:t>
            </w:r>
          </w:p>
        </w:tc>
        <w:tc>
          <w:tcPr>
            <w:tcW w:w="2498" w:type="pct"/>
            <w:noWrap w:val="0"/>
            <w:vAlign w:val="center"/>
          </w:tcPr>
          <w:p w14:paraId="4FBFA90B">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固定、无松动。</w:t>
            </w:r>
          </w:p>
        </w:tc>
      </w:tr>
      <w:tr w14:paraId="0A05E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1E1E0342">
            <w:pPr>
              <w:pStyle w:val="37"/>
              <w:spacing w:before="0" w:beforeAutospacing="0" w:after="0" w:afterAutospacing="0"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3.15</w:t>
            </w:r>
          </w:p>
        </w:tc>
        <w:tc>
          <w:tcPr>
            <w:tcW w:w="2032" w:type="pct"/>
            <w:noWrap w:val="0"/>
            <w:vAlign w:val="center"/>
          </w:tcPr>
          <w:p w14:paraId="68E0650A">
            <w:pPr>
              <w:pStyle w:val="37"/>
              <w:spacing w:before="0" w:beforeAutospacing="0" w:after="0" w:afterAutospacing="0"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上下极限开关</w:t>
            </w:r>
          </w:p>
        </w:tc>
        <w:tc>
          <w:tcPr>
            <w:tcW w:w="2498" w:type="pct"/>
            <w:noWrap w:val="0"/>
            <w:vAlign w:val="center"/>
          </w:tcPr>
          <w:p w14:paraId="74A3E076">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工作正常。</w:t>
            </w:r>
          </w:p>
        </w:tc>
      </w:tr>
      <w:tr w14:paraId="7F87F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000" w:type="pct"/>
            <w:gridSpan w:val="3"/>
            <w:noWrap w:val="0"/>
            <w:vAlign w:val="top"/>
          </w:tcPr>
          <w:p w14:paraId="59B6C0F0">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四、每年度维保项目</w:t>
            </w:r>
          </w:p>
        </w:tc>
      </w:tr>
      <w:tr w14:paraId="20F87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2A80F0AF">
            <w:pPr>
              <w:pStyle w:val="37"/>
              <w:spacing w:before="0" w:beforeAutospacing="0" w:after="0" w:afterAutospacing="0"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4.1</w:t>
            </w:r>
          </w:p>
        </w:tc>
        <w:tc>
          <w:tcPr>
            <w:tcW w:w="2032" w:type="pct"/>
            <w:noWrap w:val="0"/>
            <w:vAlign w:val="center"/>
          </w:tcPr>
          <w:p w14:paraId="2684B92E">
            <w:pPr>
              <w:pStyle w:val="37"/>
              <w:spacing w:before="0" w:beforeAutospacing="0" w:after="0" w:afterAutospacing="0"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减速机润滑油</w:t>
            </w:r>
          </w:p>
        </w:tc>
        <w:tc>
          <w:tcPr>
            <w:tcW w:w="2498" w:type="pct"/>
            <w:noWrap w:val="0"/>
            <w:vAlign w:val="center"/>
          </w:tcPr>
          <w:p w14:paraId="646C0C4C">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按照制造单位要求适时更换，保证油质符合要求。</w:t>
            </w:r>
          </w:p>
        </w:tc>
      </w:tr>
      <w:tr w14:paraId="5F370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6B369BC8">
            <w:pPr>
              <w:pStyle w:val="37"/>
              <w:spacing w:before="0" w:beforeAutospacing="0" w:after="0" w:afterAutospacing="0"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4.2</w:t>
            </w:r>
          </w:p>
        </w:tc>
        <w:tc>
          <w:tcPr>
            <w:tcW w:w="2032" w:type="pct"/>
            <w:noWrap w:val="0"/>
            <w:vAlign w:val="center"/>
          </w:tcPr>
          <w:p w14:paraId="710E84B9">
            <w:pPr>
              <w:pStyle w:val="37"/>
              <w:spacing w:before="0" w:beforeAutospacing="0" w:after="0" w:afterAutospacing="0"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控制柜接触器、继电器触点</w:t>
            </w:r>
          </w:p>
        </w:tc>
        <w:tc>
          <w:tcPr>
            <w:tcW w:w="2498" w:type="pct"/>
            <w:noWrap w:val="0"/>
            <w:vAlign w:val="center"/>
          </w:tcPr>
          <w:p w14:paraId="7ED256E9">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接触良好。</w:t>
            </w:r>
          </w:p>
        </w:tc>
      </w:tr>
      <w:tr w14:paraId="4F62F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67A34E1A">
            <w:pPr>
              <w:pStyle w:val="37"/>
              <w:spacing w:before="0" w:beforeAutospacing="0" w:after="0" w:afterAutospacing="0"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4.3</w:t>
            </w:r>
          </w:p>
        </w:tc>
        <w:tc>
          <w:tcPr>
            <w:tcW w:w="2032" w:type="pct"/>
            <w:noWrap w:val="0"/>
            <w:vAlign w:val="center"/>
          </w:tcPr>
          <w:p w14:paraId="69F01E98">
            <w:pPr>
              <w:pStyle w:val="37"/>
              <w:spacing w:before="0" w:beforeAutospacing="0" w:after="0" w:afterAutospacing="0"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制动器铁芯（柱塞）</w:t>
            </w:r>
          </w:p>
        </w:tc>
        <w:tc>
          <w:tcPr>
            <w:tcW w:w="2498" w:type="pct"/>
            <w:noWrap w:val="0"/>
            <w:vAlign w:val="center"/>
          </w:tcPr>
          <w:p w14:paraId="6B5A2AB4">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进行清洁、润滑、检查，磨损量不超过制造单位要求。</w:t>
            </w:r>
          </w:p>
        </w:tc>
      </w:tr>
      <w:tr w14:paraId="2D80B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7B83B43A">
            <w:pPr>
              <w:pStyle w:val="37"/>
              <w:spacing w:before="0" w:beforeAutospacing="0" w:after="0" w:afterAutospacing="0"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4.4</w:t>
            </w:r>
          </w:p>
        </w:tc>
        <w:tc>
          <w:tcPr>
            <w:tcW w:w="2032" w:type="pct"/>
            <w:noWrap w:val="0"/>
            <w:vAlign w:val="center"/>
          </w:tcPr>
          <w:p w14:paraId="27C8F1CC">
            <w:pPr>
              <w:pStyle w:val="37"/>
              <w:spacing w:before="0" w:beforeAutospacing="0" w:after="0" w:afterAutospacing="0"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制动器制动能力</w:t>
            </w:r>
          </w:p>
        </w:tc>
        <w:tc>
          <w:tcPr>
            <w:tcW w:w="2498" w:type="pct"/>
            <w:noWrap w:val="0"/>
            <w:vAlign w:val="center"/>
          </w:tcPr>
          <w:p w14:paraId="25E3D5B9">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符合制造单位要求，保持有足够的制动力，必要时进行轿厢装载125%额定载重量的制动试验。</w:t>
            </w:r>
          </w:p>
        </w:tc>
      </w:tr>
      <w:tr w14:paraId="344F4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1E74F5D1">
            <w:pPr>
              <w:pStyle w:val="37"/>
              <w:spacing w:before="0" w:beforeAutospacing="0" w:after="0" w:afterAutospacing="0"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4.5</w:t>
            </w:r>
          </w:p>
        </w:tc>
        <w:tc>
          <w:tcPr>
            <w:tcW w:w="2032" w:type="pct"/>
            <w:noWrap w:val="0"/>
            <w:vAlign w:val="center"/>
          </w:tcPr>
          <w:p w14:paraId="58875EBD">
            <w:pPr>
              <w:pStyle w:val="37"/>
              <w:spacing w:before="0" w:beforeAutospacing="0" w:after="0" w:afterAutospacing="0"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导电回路绝缘性能测试</w:t>
            </w:r>
          </w:p>
        </w:tc>
        <w:tc>
          <w:tcPr>
            <w:tcW w:w="2498" w:type="pct"/>
            <w:noWrap w:val="0"/>
            <w:vAlign w:val="center"/>
          </w:tcPr>
          <w:p w14:paraId="6EF9548D">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符合标准。</w:t>
            </w:r>
          </w:p>
        </w:tc>
      </w:tr>
      <w:tr w14:paraId="77834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1348DCD8">
            <w:pPr>
              <w:pStyle w:val="37"/>
              <w:spacing w:before="0" w:beforeAutospacing="0" w:after="0" w:afterAutospacing="0"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4.6</w:t>
            </w:r>
          </w:p>
        </w:tc>
        <w:tc>
          <w:tcPr>
            <w:tcW w:w="2032" w:type="pct"/>
            <w:noWrap w:val="0"/>
            <w:vAlign w:val="center"/>
          </w:tcPr>
          <w:p w14:paraId="681EFE44">
            <w:pPr>
              <w:pStyle w:val="37"/>
              <w:spacing w:before="0" w:beforeAutospacing="0" w:after="0" w:afterAutospacing="0"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限速器安全钳联动试验</w:t>
            </w:r>
          </w:p>
        </w:tc>
        <w:tc>
          <w:tcPr>
            <w:tcW w:w="2498" w:type="pct"/>
            <w:noWrap w:val="0"/>
            <w:vAlign w:val="center"/>
          </w:tcPr>
          <w:p w14:paraId="11291BD5">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工作正常。</w:t>
            </w:r>
          </w:p>
        </w:tc>
      </w:tr>
      <w:tr w14:paraId="73ACC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06D20B24">
            <w:pPr>
              <w:pStyle w:val="37"/>
              <w:spacing w:before="0" w:beforeAutospacing="0" w:after="0" w:afterAutospacing="0"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4.7</w:t>
            </w:r>
          </w:p>
        </w:tc>
        <w:tc>
          <w:tcPr>
            <w:tcW w:w="2032" w:type="pct"/>
            <w:noWrap w:val="0"/>
            <w:vAlign w:val="center"/>
          </w:tcPr>
          <w:p w14:paraId="705574A4">
            <w:pPr>
              <w:pStyle w:val="37"/>
              <w:spacing w:before="0" w:beforeAutospacing="0" w:after="0" w:afterAutospacing="0"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轿厢意外移动时保护装置动作试验</w:t>
            </w:r>
          </w:p>
        </w:tc>
        <w:tc>
          <w:tcPr>
            <w:tcW w:w="2498" w:type="pct"/>
            <w:noWrap w:val="0"/>
            <w:vAlign w:val="center"/>
          </w:tcPr>
          <w:p w14:paraId="15D987B7">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工作正常。</w:t>
            </w:r>
          </w:p>
        </w:tc>
      </w:tr>
      <w:tr w14:paraId="66CEF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4ED4528E">
            <w:pPr>
              <w:pStyle w:val="37"/>
              <w:spacing w:before="0" w:beforeAutospacing="0" w:after="0" w:afterAutospacing="0"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4.8</w:t>
            </w:r>
          </w:p>
        </w:tc>
        <w:tc>
          <w:tcPr>
            <w:tcW w:w="2032" w:type="pct"/>
            <w:noWrap w:val="0"/>
            <w:vAlign w:val="center"/>
          </w:tcPr>
          <w:p w14:paraId="792EB5E8">
            <w:pPr>
              <w:pStyle w:val="37"/>
              <w:spacing w:before="0" w:beforeAutospacing="0" w:after="0" w:afterAutospacing="0"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上行超速保护装置动作试验</w:t>
            </w:r>
          </w:p>
        </w:tc>
        <w:tc>
          <w:tcPr>
            <w:tcW w:w="2498" w:type="pct"/>
            <w:noWrap w:val="0"/>
            <w:vAlign w:val="center"/>
          </w:tcPr>
          <w:p w14:paraId="2E6FD5E2">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工作正常。</w:t>
            </w:r>
          </w:p>
        </w:tc>
      </w:tr>
      <w:tr w14:paraId="052C1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74F50A51">
            <w:pPr>
              <w:pStyle w:val="37"/>
              <w:spacing w:before="0" w:beforeAutospacing="0" w:after="0" w:afterAutospacing="0"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4.9</w:t>
            </w:r>
          </w:p>
        </w:tc>
        <w:tc>
          <w:tcPr>
            <w:tcW w:w="2032" w:type="pct"/>
            <w:noWrap w:val="0"/>
            <w:vAlign w:val="center"/>
          </w:tcPr>
          <w:p w14:paraId="636BEF9A">
            <w:pPr>
              <w:pStyle w:val="37"/>
              <w:spacing w:before="0" w:beforeAutospacing="0" w:after="0" w:afterAutospacing="0"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轿顶、轿厢架、轿门及其附件安装螺栓</w:t>
            </w:r>
          </w:p>
        </w:tc>
        <w:tc>
          <w:tcPr>
            <w:tcW w:w="2498" w:type="pct"/>
            <w:noWrap w:val="0"/>
            <w:vAlign w:val="center"/>
          </w:tcPr>
          <w:p w14:paraId="0E53BDF6">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紧固。</w:t>
            </w:r>
          </w:p>
        </w:tc>
      </w:tr>
      <w:tr w14:paraId="3C5A9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345FA115">
            <w:pPr>
              <w:pStyle w:val="37"/>
              <w:spacing w:before="0" w:beforeAutospacing="0" w:after="0" w:afterAutospacing="0"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4.10</w:t>
            </w:r>
          </w:p>
        </w:tc>
        <w:tc>
          <w:tcPr>
            <w:tcW w:w="2032" w:type="pct"/>
            <w:noWrap w:val="0"/>
            <w:vAlign w:val="center"/>
          </w:tcPr>
          <w:p w14:paraId="57E4F670">
            <w:pPr>
              <w:pStyle w:val="37"/>
              <w:spacing w:before="0" w:beforeAutospacing="0" w:after="0" w:afterAutospacing="0"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轿厢和对重/平衡重的导轨支架</w:t>
            </w:r>
          </w:p>
        </w:tc>
        <w:tc>
          <w:tcPr>
            <w:tcW w:w="2498" w:type="pct"/>
            <w:noWrap w:val="0"/>
            <w:vAlign w:val="center"/>
          </w:tcPr>
          <w:p w14:paraId="40BAD6D5">
            <w:pPr>
              <w:pStyle w:val="37"/>
              <w:spacing w:before="0" w:beforeAutospacing="0" w:after="0" w:afterAutospacing="0"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固定，无松动。</w:t>
            </w:r>
          </w:p>
        </w:tc>
      </w:tr>
      <w:tr w14:paraId="50F9B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42AAE281">
            <w:pPr>
              <w:pStyle w:val="37"/>
              <w:spacing w:before="0" w:beforeAutospacing="0" w:after="0" w:afterAutospacing="0"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4.11</w:t>
            </w:r>
          </w:p>
        </w:tc>
        <w:tc>
          <w:tcPr>
            <w:tcW w:w="2032" w:type="pct"/>
            <w:noWrap w:val="0"/>
            <w:vAlign w:val="center"/>
          </w:tcPr>
          <w:p w14:paraId="5C68C1EB">
            <w:pPr>
              <w:pStyle w:val="37"/>
              <w:spacing w:before="0" w:beforeAutospacing="0" w:after="0" w:afterAutospacing="0"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轿厢和对重/平衡重的导轨</w:t>
            </w:r>
          </w:p>
        </w:tc>
        <w:tc>
          <w:tcPr>
            <w:tcW w:w="2498" w:type="pct"/>
            <w:noWrap w:val="0"/>
            <w:vAlign w:val="center"/>
          </w:tcPr>
          <w:p w14:paraId="72153F76">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清洁，压板牢固。</w:t>
            </w:r>
          </w:p>
        </w:tc>
      </w:tr>
      <w:tr w14:paraId="0F2DE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04D94D1A">
            <w:pPr>
              <w:pStyle w:val="37"/>
              <w:spacing w:before="0" w:beforeAutospacing="0" w:after="0" w:afterAutospacing="0"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4.12</w:t>
            </w:r>
          </w:p>
        </w:tc>
        <w:tc>
          <w:tcPr>
            <w:tcW w:w="2032" w:type="pct"/>
            <w:noWrap w:val="0"/>
            <w:vAlign w:val="center"/>
          </w:tcPr>
          <w:p w14:paraId="37AFD9B9">
            <w:pPr>
              <w:pStyle w:val="37"/>
              <w:spacing w:before="0" w:beforeAutospacing="0" w:after="0" w:afterAutospacing="0"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随行电缆</w:t>
            </w:r>
          </w:p>
        </w:tc>
        <w:tc>
          <w:tcPr>
            <w:tcW w:w="2498" w:type="pct"/>
            <w:noWrap w:val="0"/>
            <w:vAlign w:val="center"/>
          </w:tcPr>
          <w:p w14:paraId="731F7FFB">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无损伤。</w:t>
            </w:r>
          </w:p>
        </w:tc>
      </w:tr>
      <w:tr w14:paraId="620BA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26D0BF69">
            <w:pPr>
              <w:pStyle w:val="37"/>
              <w:spacing w:before="0" w:beforeAutospacing="0" w:after="0" w:afterAutospacing="0"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4.13</w:t>
            </w:r>
          </w:p>
        </w:tc>
        <w:tc>
          <w:tcPr>
            <w:tcW w:w="2032" w:type="pct"/>
            <w:noWrap w:val="0"/>
            <w:vAlign w:val="center"/>
          </w:tcPr>
          <w:p w14:paraId="0C241D14">
            <w:pPr>
              <w:pStyle w:val="37"/>
              <w:spacing w:before="0" w:beforeAutospacing="0" w:after="0" w:afterAutospacing="0"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层门装置和地坎</w:t>
            </w:r>
          </w:p>
        </w:tc>
        <w:tc>
          <w:tcPr>
            <w:tcW w:w="2498" w:type="pct"/>
            <w:noWrap w:val="0"/>
            <w:vAlign w:val="center"/>
          </w:tcPr>
          <w:p w14:paraId="412B9B78">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无影响正常使用的变形，各安装螺栓紧固。</w:t>
            </w:r>
          </w:p>
        </w:tc>
      </w:tr>
      <w:tr w14:paraId="32661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4DBFF6A5">
            <w:pPr>
              <w:pStyle w:val="37"/>
              <w:spacing w:before="0" w:beforeAutospacing="0" w:after="0" w:afterAutospacing="0"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4.14</w:t>
            </w:r>
          </w:p>
        </w:tc>
        <w:tc>
          <w:tcPr>
            <w:tcW w:w="2032" w:type="pct"/>
            <w:noWrap w:val="0"/>
            <w:vAlign w:val="center"/>
          </w:tcPr>
          <w:p w14:paraId="06B2EA78">
            <w:pPr>
              <w:pStyle w:val="37"/>
              <w:spacing w:before="0" w:beforeAutospacing="0" w:after="0" w:afterAutospacing="0"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轿厢称重装置</w:t>
            </w:r>
          </w:p>
        </w:tc>
        <w:tc>
          <w:tcPr>
            <w:tcW w:w="2498" w:type="pct"/>
            <w:noWrap w:val="0"/>
            <w:vAlign w:val="center"/>
          </w:tcPr>
          <w:p w14:paraId="682FC98D">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准确有效。</w:t>
            </w:r>
          </w:p>
        </w:tc>
      </w:tr>
      <w:tr w14:paraId="1BABC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12F27E46">
            <w:pPr>
              <w:pStyle w:val="37"/>
              <w:spacing w:before="0" w:beforeAutospacing="0" w:after="0" w:afterAutospacing="0"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4.15</w:t>
            </w:r>
          </w:p>
        </w:tc>
        <w:tc>
          <w:tcPr>
            <w:tcW w:w="2032" w:type="pct"/>
            <w:noWrap w:val="0"/>
            <w:vAlign w:val="center"/>
          </w:tcPr>
          <w:p w14:paraId="2D429D2D">
            <w:pPr>
              <w:pStyle w:val="37"/>
              <w:spacing w:before="0" w:beforeAutospacing="0" w:after="0" w:afterAutospacing="0"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安全钳钳座</w:t>
            </w:r>
          </w:p>
        </w:tc>
        <w:tc>
          <w:tcPr>
            <w:tcW w:w="2498" w:type="pct"/>
            <w:noWrap w:val="0"/>
            <w:vAlign w:val="center"/>
          </w:tcPr>
          <w:p w14:paraId="0C23EAA9">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固定，无松动。</w:t>
            </w:r>
          </w:p>
        </w:tc>
      </w:tr>
      <w:tr w14:paraId="17C41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1A2E1C03">
            <w:pPr>
              <w:pStyle w:val="37"/>
              <w:spacing w:before="0" w:beforeAutospacing="0" w:after="0" w:afterAutospacing="0"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4.16</w:t>
            </w:r>
          </w:p>
        </w:tc>
        <w:tc>
          <w:tcPr>
            <w:tcW w:w="2032" w:type="pct"/>
            <w:noWrap w:val="0"/>
            <w:vAlign w:val="center"/>
          </w:tcPr>
          <w:p w14:paraId="6CAF2C27">
            <w:pPr>
              <w:pStyle w:val="37"/>
              <w:spacing w:before="0" w:beforeAutospacing="0" w:after="0" w:afterAutospacing="0"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轿底各安装螺栓</w:t>
            </w:r>
          </w:p>
        </w:tc>
        <w:tc>
          <w:tcPr>
            <w:tcW w:w="2498" w:type="pct"/>
            <w:noWrap w:val="0"/>
            <w:vAlign w:val="center"/>
          </w:tcPr>
          <w:p w14:paraId="413F79BA">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紧固。</w:t>
            </w:r>
          </w:p>
        </w:tc>
      </w:tr>
      <w:tr w14:paraId="13909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8" w:type="pct"/>
            <w:noWrap w:val="0"/>
            <w:vAlign w:val="center"/>
          </w:tcPr>
          <w:p w14:paraId="7BBBABD8">
            <w:pPr>
              <w:pStyle w:val="37"/>
              <w:spacing w:before="0" w:beforeAutospacing="0" w:after="0" w:afterAutospacing="0"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4.17</w:t>
            </w:r>
          </w:p>
        </w:tc>
        <w:tc>
          <w:tcPr>
            <w:tcW w:w="2032" w:type="pct"/>
            <w:noWrap w:val="0"/>
            <w:vAlign w:val="center"/>
          </w:tcPr>
          <w:p w14:paraId="432B41D8">
            <w:pPr>
              <w:pStyle w:val="37"/>
              <w:spacing w:before="0" w:beforeAutospacing="0" w:after="0" w:afterAutospacing="0"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缓冲器</w:t>
            </w:r>
          </w:p>
        </w:tc>
        <w:tc>
          <w:tcPr>
            <w:tcW w:w="2498" w:type="pct"/>
            <w:noWrap w:val="0"/>
            <w:vAlign w:val="center"/>
          </w:tcPr>
          <w:p w14:paraId="14CB7F2B">
            <w:pPr>
              <w:spacing w:line="240" w:lineRule="auto"/>
              <w:ind w:firstLine="0" w:firstLineChars="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固定，无松动。</w:t>
            </w:r>
          </w:p>
        </w:tc>
      </w:tr>
    </w:tbl>
    <w:p w14:paraId="6E20F12F">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3"/>
        <w:rPr>
          <w:rFonts w:hint="eastAsia" w:ascii="宋体" w:hAnsi="宋体" w:eastAsia="宋体" w:cs="宋体"/>
          <w:b/>
          <w:bCs/>
          <w:color w:val="auto"/>
          <w:sz w:val="21"/>
          <w:szCs w:val="21"/>
          <w:lang w:val="en-US" w:eastAsia="zh-CN"/>
        </w:rPr>
      </w:pPr>
      <w:bookmarkStart w:id="643" w:name="_Toc456014925"/>
      <w:bookmarkStart w:id="644" w:name="_Toc459101074"/>
      <w:bookmarkStart w:id="645" w:name="_Toc310432588"/>
      <w:bookmarkStart w:id="646" w:name="_Toc231660704"/>
      <w:bookmarkStart w:id="647" w:name="_Toc231236265"/>
      <w:bookmarkStart w:id="648" w:name="_Toc5128"/>
      <w:bookmarkStart w:id="649" w:name="_Toc1907"/>
      <w:bookmarkStart w:id="650" w:name="_Toc17052"/>
      <w:bookmarkStart w:id="651" w:name="_Toc22321"/>
      <w:bookmarkStart w:id="652" w:name="_Toc13166"/>
      <w:r>
        <w:rPr>
          <w:rFonts w:hint="eastAsia" w:ascii="宋体" w:hAnsi="宋体" w:eastAsia="宋体" w:cs="宋体"/>
          <w:b/>
          <w:bCs/>
          <w:color w:val="auto"/>
          <w:sz w:val="21"/>
          <w:szCs w:val="21"/>
          <w:lang w:val="en-US" w:eastAsia="zh-CN"/>
        </w:rPr>
        <w:t>2.2.11突发</w:t>
      </w:r>
      <w:bookmarkEnd w:id="643"/>
      <w:bookmarkEnd w:id="644"/>
      <w:bookmarkEnd w:id="645"/>
      <w:bookmarkEnd w:id="646"/>
      <w:bookmarkEnd w:id="647"/>
      <w:r>
        <w:rPr>
          <w:rFonts w:hint="eastAsia" w:ascii="宋体" w:hAnsi="宋体" w:eastAsia="宋体" w:cs="宋体"/>
          <w:b/>
          <w:bCs/>
          <w:color w:val="auto"/>
          <w:sz w:val="21"/>
          <w:szCs w:val="21"/>
          <w:lang w:val="en-US" w:eastAsia="zh-CN"/>
        </w:rPr>
        <w:t>应急管理</w:t>
      </w:r>
      <w:bookmarkEnd w:id="648"/>
      <w:bookmarkEnd w:id="649"/>
      <w:bookmarkEnd w:id="650"/>
      <w:bookmarkEnd w:id="651"/>
      <w:bookmarkEnd w:id="652"/>
    </w:p>
    <w:p w14:paraId="7D3ACA45">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本部分服务的招标范围为大厦规划红线范围的区域，委托内容包括但不限于以下内容： </w:t>
      </w:r>
    </w:p>
    <w:p w14:paraId="7AB3BFC7">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物业管理服务相关的突发事件应急处置。包括火警应急处理方案、初中期火灾应急处理方案、大厦</w:t>
      </w:r>
      <w:r>
        <w:rPr>
          <w:rFonts w:hint="eastAsia" w:ascii="宋体" w:hAnsi="宋体" w:eastAsia="宋体" w:cs="宋体"/>
          <w:color w:val="auto"/>
          <w:sz w:val="21"/>
          <w:szCs w:val="21"/>
          <w:highlight w:val="none"/>
          <w:lang w:val="en-US" w:eastAsia="zh-CN"/>
        </w:rPr>
        <w:t>燃气</w:t>
      </w:r>
      <w:r>
        <w:rPr>
          <w:rFonts w:hint="eastAsia" w:ascii="宋体" w:hAnsi="宋体" w:eastAsia="宋体" w:cs="宋体"/>
          <w:color w:val="auto"/>
          <w:sz w:val="21"/>
          <w:szCs w:val="21"/>
          <w:highlight w:val="none"/>
          <w:lang w:eastAsia="zh-CN"/>
        </w:rPr>
        <w:t>泄漏</w:t>
      </w:r>
      <w:r>
        <w:rPr>
          <w:rFonts w:hint="eastAsia" w:ascii="宋体" w:hAnsi="宋体" w:eastAsia="宋体" w:cs="宋体"/>
          <w:color w:val="auto"/>
          <w:sz w:val="21"/>
          <w:szCs w:val="21"/>
          <w:highlight w:val="none"/>
        </w:rPr>
        <w:t>应急方案、电梯困人应急处理方案等；</w:t>
      </w:r>
    </w:p>
    <w:p w14:paraId="59BFEF0F">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针对可能发生的自然灾害、事故灾难、公共卫生事件和社会安全事件制定应急防范措施，并在发生突发事件时组织人力物力处置突发事件；</w:t>
      </w:r>
    </w:p>
    <w:p w14:paraId="185D7D0D">
      <w:pPr>
        <w:numPr>
          <w:ilvl w:val="0"/>
          <w:numId w:val="13"/>
        </w:numPr>
        <w:snapToGrid/>
        <w:spacing w:line="360" w:lineRule="auto"/>
        <w:ind w:left="0" w:leftChars="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针对公共卫生事件，中标人需在每个月月底前向招标方以书面的形式汇报月度具体防疫工作方案、情况说明、突发情况处理等当月事件； </w:t>
      </w:r>
    </w:p>
    <w:p w14:paraId="7B4915D9">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针对可能发生的各类突发事件，中标人内部组织突发事件应急演练（防火、防恐防暴、高空抛物、防台、防汛、防疫、电梯困人等），联合街道和消防部门组织大型综合消防应急演练，并按照招标人要求留下文字记录。中标人人员全面熟练掌握消防监控报警、干式灭火（气体）、湿式灭火（喷淋）、防排烟及消防栓等系统的作用、位置和操作方法。</w:t>
      </w:r>
    </w:p>
    <w:p w14:paraId="4E9CC4A0">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招标人要求的其他应急服务。</w:t>
      </w:r>
    </w:p>
    <w:p w14:paraId="7A5546B0">
      <w:pPr>
        <w:spacing w:line="360" w:lineRule="auto"/>
        <w:ind w:firstLine="422" w:firstLineChars="200"/>
        <w:outlineLvl w:val="3"/>
        <w:rPr>
          <w:rFonts w:hint="eastAsia" w:ascii="宋体" w:hAnsi="宋体" w:eastAsia="宋体" w:cs="宋体"/>
          <w:b/>
          <w:bCs/>
          <w:color w:val="auto"/>
          <w:sz w:val="21"/>
          <w:szCs w:val="21"/>
          <w:lang w:eastAsia="zh-CN"/>
        </w:rPr>
      </w:pPr>
      <w:bookmarkStart w:id="653" w:name="_Toc135256457"/>
      <w:bookmarkStart w:id="654" w:name="_Toc135163442"/>
      <w:bookmarkStart w:id="655" w:name="_Toc135162412"/>
      <w:bookmarkStart w:id="656" w:name="_Toc135162963"/>
      <w:bookmarkStart w:id="657" w:name="_Toc22268"/>
      <w:bookmarkStart w:id="658" w:name="_Toc135161957"/>
      <w:bookmarkStart w:id="659" w:name="_Toc135162758"/>
      <w:bookmarkStart w:id="660" w:name="_Toc135256702"/>
      <w:bookmarkStart w:id="661" w:name="_Toc31638"/>
      <w:bookmarkStart w:id="662" w:name="_Toc135160305"/>
      <w:bookmarkStart w:id="663" w:name="_Toc3398"/>
      <w:bookmarkStart w:id="664" w:name="_Toc23730"/>
      <w:bookmarkStart w:id="665" w:name="_Toc134830167"/>
      <w:r>
        <w:rPr>
          <w:rFonts w:hint="eastAsia" w:ascii="宋体" w:hAnsi="宋体" w:eastAsia="宋体" w:cs="宋体"/>
          <w:b/>
          <w:bCs/>
          <w:color w:val="auto"/>
          <w:sz w:val="21"/>
          <w:szCs w:val="21"/>
          <w:lang w:eastAsia="zh-CN"/>
        </w:rPr>
        <w:t>2.2.12楼宇主体及其附属设施、公共配套设施维护与保养</w:t>
      </w:r>
      <w:bookmarkEnd w:id="653"/>
      <w:bookmarkEnd w:id="654"/>
      <w:bookmarkEnd w:id="655"/>
      <w:bookmarkEnd w:id="656"/>
      <w:bookmarkEnd w:id="657"/>
      <w:bookmarkEnd w:id="658"/>
      <w:bookmarkEnd w:id="659"/>
      <w:bookmarkEnd w:id="660"/>
      <w:bookmarkEnd w:id="661"/>
      <w:bookmarkEnd w:id="662"/>
      <w:bookmarkEnd w:id="663"/>
      <w:bookmarkEnd w:id="664"/>
      <w:bookmarkEnd w:id="665"/>
    </w:p>
    <w:p w14:paraId="4EC2D2AF">
      <w:pPr>
        <w:keepNext/>
        <w:keepLines/>
        <w:numPr>
          <w:ilvl w:val="0"/>
          <w:numId w:val="14"/>
        </w:numPr>
        <w:snapToGrid w:val="0"/>
        <w:spacing w:line="360" w:lineRule="auto"/>
        <w:ind w:left="0" w:firstLine="420"/>
        <w:rPr>
          <w:rFonts w:hint="eastAsia" w:ascii="宋体" w:hAnsi="宋体" w:eastAsia="宋体" w:cs="宋体"/>
          <w:color w:val="auto"/>
          <w:sz w:val="21"/>
          <w:szCs w:val="21"/>
        </w:rPr>
      </w:pPr>
      <w:r>
        <w:rPr>
          <w:rFonts w:hint="eastAsia" w:ascii="宋体" w:hAnsi="宋体" w:eastAsia="宋体" w:cs="宋体"/>
          <w:color w:val="auto"/>
          <w:sz w:val="21"/>
          <w:szCs w:val="21"/>
        </w:rPr>
        <w:t>楼宇主体及附属设施维护与保养</w:t>
      </w:r>
    </w:p>
    <w:p w14:paraId="3B569A75">
      <w:pPr>
        <w:keepNext/>
        <w:keepLines/>
        <w:numPr>
          <w:ilvl w:val="0"/>
          <w:numId w:val="15"/>
        </w:numPr>
        <w:snapToGrid w:val="0"/>
        <w:spacing w:line="360" w:lineRule="auto"/>
        <w:ind w:left="0" w:leftChars="0" w:firstLine="420"/>
        <w:rPr>
          <w:rFonts w:hint="eastAsia" w:ascii="宋体" w:hAnsi="宋体" w:eastAsia="宋体" w:cs="宋体"/>
          <w:color w:val="auto"/>
          <w:sz w:val="21"/>
          <w:szCs w:val="21"/>
        </w:rPr>
      </w:pPr>
      <w:r>
        <w:rPr>
          <w:rFonts w:hint="eastAsia" w:ascii="宋体" w:hAnsi="宋体" w:eastAsia="宋体" w:cs="宋体"/>
          <w:color w:val="auto"/>
          <w:sz w:val="21"/>
          <w:szCs w:val="21"/>
        </w:rPr>
        <w:t>确保楼宇主体及附属设施维护保养实施过程中所使用材料符合环保要求，并事先通过招标人审核。</w:t>
      </w:r>
    </w:p>
    <w:p w14:paraId="1DF1B8FA">
      <w:pPr>
        <w:keepNext/>
        <w:keepLines/>
        <w:numPr>
          <w:ilvl w:val="0"/>
          <w:numId w:val="15"/>
        </w:numPr>
        <w:snapToGrid w:val="0"/>
        <w:spacing w:line="360" w:lineRule="auto"/>
        <w:ind w:left="0" w:leftChars="0" w:firstLine="420"/>
        <w:rPr>
          <w:rFonts w:hint="eastAsia" w:ascii="宋体" w:hAnsi="宋体" w:eastAsia="宋体" w:cs="宋体"/>
          <w:color w:val="auto"/>
          <w:sz w:val="21"/>
          <w:szCs w:val="21"/>
        </w:rPr>
      </w:pPr>
      <w:r>
        <w:rPr>
          <w:rFonts w:hint="eastAsia" w:ascii="宋体" w:hAnsi="宋体" w:eastAsia="宋体" w:cs="宋体"/>
          <w:color w:val="auto"/>
          <w:sz w:val="21"/>
          <w:szCs w:val="21"/>
        </w:rPr>
        <w:t>楼宇主体及附属设施完好率&gt;98%，零修工程合格率100%，返修率&lt;0.5%，重大维修工程回访率100%。</w:t>
      </w:r>
    </w:p>
    <w:p w14:paraId="28814450">
      <w:pPr>
        <w:numPr>
          <w:ilvl w:val="0"/>
          <w:numId w:val="15"/>
        </w:numPr>
        <w:snapToGrid w:val="0"/>
        <w:spacing w:line="360" w:lineRule="auto"/>
        <w:ind w:left="0" w:leftChars="0" w:firstLine="420"/>
        <w:rPr>
          <w:rFonts w:hint="eastAsia" w:ascii="宋体" w:hAnsi="宋体" w:eastAsia="宋体" w:cs="宋体"/>
          <w:color w:val="auto"/>
          <w:sz w:val="21"/>
          <w:szCs w:val="21"/>
        </w:rPr>
      </w:pPr>
      <w:r>
        <w:rPr>
          <w:rFonts w:hint="eastAsia" w:ascii="宋体" w:hAnsi="宋体" w:eastAsia="宋体" w:cs="宋体"/>
          <w:color w:val="auto"/>
          <w:sz w:val="21"/>
          <w:szCs w:val="21"/>
        </w:rPr>
        <w:t>楼宇主体及附属设施维护保养要求：</w:t>
      </w:r>
    </w:p>
    <w:tbl>
      <w:tblPr>
        <w:tblStyle w:val="41"/>
        <w:tblW w:w="91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
        <w:gridCol w:w="297"/>
        <w:gridCol w:w="228"/>
        <w:gridCol w:w="415"/>
        <w:gridCol w:w="1062"/>
        <w:gridCol w:w="229"/>
        <w:gridCol w:w="1179"/>
        <w:gridCol w:w="5214"/>
      </w:tblGrid>
      <w:tr w14:paraId="48EBF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444" w:type="dxa"/>
            <w:gridSpan w:val="4"/>
            <w:noWrap/>
            <w:vAlign w:val="center"/>
          </w:tcPr>
          <w:p w14:paraId="09B8B484">
            <w:pPr>
              <w:spacing w:line="240" w:lineRule="auto"/>
              <w:ind w:firstLine="0" w:firstLineChars="0"/>
              <w:jc w:val="center"/>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rPr>
              <w:t>项  目</w:t>
            </w:r>
          </w:p>
        </w:tc>
        <w:tc>
          <w:tcPr>
            <w:tcW w:w="1291" w:type="dxa"/>
            <w:gridSpan w:val="2"/>
            <w:noWrap/>
            <w:vAlign w:val="center"/>
          </w:tcPr>
          <w:p w14:paraId="46CC4704">
            <w:pPr>
              <w:spacing w:line="240" w:lineRule="auto"/>
              <w:ind w:firstLine="0" w:firstLineChars="0"/>
              <w:jc w:val="center"/>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rPr>
              <w:t>时间间隔</w:t>
            </w:r>
          </w:p>
        </w:tc>
        <w:tc>
          <w:tcPr>
            <w:tcW w:w="1179" w:type="dxa"/>
            <w:noWrap/>
            <w:vAlign w:val="center"/>
          </w:tcPr>
          <w:p w14:paraId="05111584">
            <w:pPr>
              <w:spacing w:line="240" w:lineRule="auto"/>
              <w:ind w:firstLine="0" w:firstLineChars="0"/>
              <w:jc w:val="center"/>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rPr>
              <w:t>次数</w:t>
            </w:r>
          </w:p>
        </w:tc>
        <w:tc>
          <w:tcPr>
            <w:tcW w:w="5214" w:type="dxa"/>
            <w:noWrap/>
            <w:vAlign w:val="center"/>
          </w:tcPr>
          <w:p w14:paraId="10B011EC">
            <w:pPr>
              <w:spacing w:line="240" w:lineRule="auto"/>
              <w:ind w:firstLine="0" w:firstLineChars="0"/>
              <w:jc w:val="center"/>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rPr>
              <w:t>维护保养内容</w:t>
            </w:r>
          </w:p>
        </w:tc>
      </w:tr>
      <w:tr w14:paraId="6E6E4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44" w:type="dxa"/>
            <w:gridSpan w:val="4"/>
            <w:noWrap/>
            <w:vAlign w:val="center"/>
          </w:tcPr>
          <w:p w14:paraId="56C3D44B">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地基基础</w:t>
            </w:r>
          </w:p>
        </w:tc>
        <w:tc>
          <w:tcPr>
            <w:tcW w:w="1291" w:type="dxa"/>
            <w:gridSpan w:val="2"/>
            <w:noWrap/>
            <w:vAlign w:val="center"/>
          </w:tcPr>
          <w:p w14:paraId="17768C25">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每年</w:t>
            </w:r>
          </w:p>
        </w:tc>
        <w:tc>
          <w:tcPr>
            <w:tcW w:w="1179" w:type="dxa"/>
            <w:noWrap/>
            <w:vAlign w:val="center"/>
          </w:tcPr>
          <w:p w14:paraId="4AC5A476">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p>
        </w:tc>
        <w:tc>
          <w:tcPr>
            <w:tcW w:w="5214" w:type="dxa"/>
            <w:noWrap/>
            <w:vAlign w:val="top"/>
          </w:tcPr>
          <w:p w14:paraId="0F842988">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1）检查地基有无超过允许范围的不均匀沉降。</w:t>
            </w:r>
          </w:p>
          <w:p w14:paraId="7360CAFF">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w:t>
            </w:r>
            <w:r>
              <w:rPr>
                <w:rFonts w:hint="eastAsia" w:ascii="宋体" w:hAnsi="宋体" w:eastAsia="宋体" w:cs="宋体"/>
                <w:color w:val="auto"/>
                <w:sz w:val="21"/>
                <w:szCs w:val="21"/>
              </w:rPr>
              <w:t>）</w:t>
            </w:r>
            <w:r>
              <w:rPr>
                <w:rFonts w:hint="eastAsia" w:ascii="宋体" w:hAnsi="宋体" w:eastAsia="宋体" w:cs="宋体"/>
                <w:color w:val="auto"/>
                <w:kern w:val="2"/>
                <w:sz w:val="21"/>
                <w:szCs w:val="21"/>
              </w:rPr>
              <w:t>检查基础有无开裂、破损，勒脚有无破损。</w:t>
            </w:r>
          </w:p>
        </w:tc>
      </w:tr>
      <w:tr w14:paraId="15FB0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1" w:type="dxa"/>
            <w:gridSpan w:val="2"/>
            <w:vMerge w:val="restart"/>
            <w:noWrap/>
            <w:vAlign w:val="center"/>
          </w:tcPr>
          <w:p w14:paraId="64DBD6A6">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承</w:t>
            </w:r>
          </w:p>
          <w:p w14:paraId="172B6295">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重</w:t>
            </w:r>
          </w:p>
          <w:p w14:paraId="2BFEB380">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结</w:t>
            </w:r>
          </w:p>
          <w:p w14:paraId="23A9D051">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构</w:t>
            </w:r>
          </w:p>
        </w:tc>
        <w:tc>
          <w:tcPr>
            <w:tcW w:w="643" w:type="dxa"/>
            <w:gridSpan w:val="2"/>
            <w:noWrap/>
            <w:vAlign w:val="center"/>
          </w:tcPr>
          <w:p w14:paraId="55C81A3B">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梁</w:t>
            </w:r>
          </w:p>
        </w:tc>
        <w:tc>
          <w:tcPr>
            <w:tcW w:w="1291" w:type="dxa"/>
            <w:gridSpan w:val="2"/>
            <w:noWrap/>
            <w:vAlign w:val="center"/>
          </w:tcPr>
          <w:p w14:paraId="50590AB5">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每年</w:t>
            </w:r>
          </w:p>
        </w:tc>
        <w:tc>
          <w:tcPr>
            <w:tcW w:w="1179" w:type="dxa"/>
            <w:noWrap/>
            <w:vAlign w:val="center"/>
          </w:tcPr>
          <w:p w14:paraId="24D11748">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p>
        </w:tc>
        <w:tc>
          <w:tcPr>
            <w:tcW w:w="5214" w:type="dxa"/>
            <w:noWrap/>
            <w:vAlign w:val="top"/>
          </w:tcPr>
          <w:p w14:paraId="53D608E0">
            <w:pPr>
              <w:tabs>
                <w:tab w:val="left" w:pos="-51"/>
                <w:tab w:val="left" w:pos="502"/>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r>
              <w:rPr>
                <w:rFonts w:hint="eastAsia" w:ascii="宋体" w:hAnsi="宋体" w:eastAsia="宋体" w:cs="宋体"/>
                <w:color w:val="auto"/>
                <w:sz w:val="21"/>
                <w:szCs w:val="21"/>
              </w:rPr>
              <w:t>）</w:t>
            </w:r>
            <w:r>
              <w:rPr>
                <w:rFonts w:hint="eastAsia" w:ascii="宋体" w:hAnsi="宋体" w:eastAsia="宋体" w:cs="宋体"/>
                <w:color w:val="auto"/>
                <w:kern w:val="2"/>
                <w:sz w:val="21"/>
                <w:szCs w:val="21"/>
              </w:rPr>
              <w:t>检查有无变形、裂缝、腐蚀。</w:t>
            </w:r>
          </w:p>
          <w:p w14:paraId="58E3E5CD">
            <w:pPr>
              <w:tabs>
                <w:tab w:val="left" w:pos="-51"/>
                <w:tab w:val="left" w:pos="502"/>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w:t>
            </w:r>
            <w:r>
              <w:rPr>
                <w:rFonts w:hint="eastAsia" w:ascii="宋体" w:hAnsi="宋体" w:eastAsia="宋体" w:cs="宋体"/>
                <w:color w:val="auto"/>
                <w:sz w:val="21"/>
                <w:szCs w:val="21"/>
              </w:rPr>
              <w:t>）</w:t>
            </w:r>
            <w:r>
              <w:rPr>
                <w:rFonts w:hint="eastAsia" w:ascii="宋体" w:hAnsi="宋体" w:eastAsia="宋体" w:cs="宋体"/>
                <w:color w:val="auto"/>
                <w:kern w:val="2"/>
                <w:sz w:val="21"/>
                <w:szCs w:val="21"/>
              </w:rPr>
              <w:t>检查整体结构性能是否完好。</w:t>
            </w:r>
          </w:p>
        </w:tc>
      </w:tr>
      <w:tr w14:paraId="1043A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1" w:type="dxa"/>
            <w:gridSpan w:val="2"/>
            <w:vMerge w:val="continue"/>
            <w:noWrap/>
            <w:vAlign w:val="center"/>
          </w:tcPr>
          <w:p w14:paraId="3F6D97FA">
            <w:pPr>
              <w:spacing w:line="240" w:lineRule="auto"/>
              <w:ind w:firstLine="0" w:firstLineChars="0"/>
              <w:jc w:val="both"/>
              <w:rPr>
                <w:rFonts w:hint="eastAsia" w:ascii="宋体" w:hAnsi="宋体" w:eastAsia="宋体" w:cs="宋体"/>
                <w:color w:val="auto"/>
                <w:kern w:val="2"/>
                <w:sz w:val="21"/>
                <w:szCs w:val="21"/>
              </w:rPr>
            </w:pPr>
          </w:p>
        </w:tc>
        <w:tc>
          <w:tcPr>
            <w:tcW w:w="643" w:type="dxa"/>
            <w:gridSpan w:val="2"/>
            <w:noWrap/>
            <w:vAlign w:val="center"/>
          </w:tcPr>
          <w:p w14:paraId="73878EE0">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板</w:t>
            </w:r>
          </w:p>
        </w:tc>
        <w:tc>
          <w:tcPr>
            <w:tcW w:w="1291" w:type="dxa"/>
            <w:gridSpan w:val="2"/>
            <w:noWrap/>
            <w:vAlign w:val="center"/>
          </w:tcPr>
          <w:p w14:paraId="175FE6A1">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每年</w:t>
            </w:r>
          </w:p>
        </w:tc>
        <w:tc>
          <w:tcPr>
            <w:tcW w:w="1179" w:type="dxa"/>
            <w:noWrap/>
            <w:vAlign w:val="center"/>
          </w:tcPr>
          <w:p w14:paraId="3A528030">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p>
        </w:tc>
        <w:tc>
          <w:tcPr>
            <w:tcW w:w="5214" w:type="dxa"/>
            <w:noWrap/>
            <w:vAlign w:val="top"/>
          </w:tcPr>
          <w:p w14:paraId="6ED7FB5C">
            <w:pPr>
              <w:tabs>
                <w:tab w:val="left" w:pos="-51"/>
                <w:tab w:val="left" w:pos="502"/>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r>
              <w:rPr>
                <w:rFonts w:hint="eastAsia" w:ascii="宋体" w:hAnsi="宋体" w:eastAsia="宋体" w:cs="宋体"/>
                <w:color w:val="auto"/>
                <w:sz w:val="21"/>
                <w:szCs w:val="21"/>
              </w:rPr>
              <w:t>）</w:t>
            </w:r>
            <w:r>
              <w:rPr>
                <w:rFonts w:hint="eastAsia" w:ascii="宋体" w:hAnsi="宋体" w:eastAsia="宋体" w:cs="宋体"/>
                <w:color w:val="auto"/>
                <w:kern w:val="2"/>
                <w:sz w:val="21"/>
                <w:szCs w:val="21"/>
              </w:rPr>
              <w:t>检查有无弯曲变形、裂缝、腐蚀。</w:t>
            </w:r>
          </w:p>
          <w:p w14:paraId="72BBE484">
            <w:pPr>
              <w:tabs>
                <w:tab w:val="left" w:pos="-51"/>
                <w:tab w:val="left" w:pos="502"/>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w:t>
            </w:r>
            <w:r>
              <w:rPr>
                <w:rFonts w:hint="eastAsia" w:ascii="宋体" w:hAnsi="宋体" w:eastAsia="宋体" w:cs="宋体"/>
                <w:color w:val="auto"/>
                <w:sz w:val="21"/>
                <w:szCs w:val="21"/>
              </w:rPr>
              <w:t>）</w:t>
            </w:r>
            <w:r>
              <w:rPr>
                <w:rFonts w:hint="eastAsia" w:ascii="宋体" w:hAnsi="宋体" w:eastAsia="宋体" w:cs="宋体"/>
                <w:color w:val="auto"/>
                <w:kern w:val="2"/>
                <w:sz w:val="21"/>
                <w:szCs w:val="21"/>
              </w:rPr>
              <w:t>检查整体结构性能是否完好。</w:t>
            </w:r>
          </w:p>
        </w:tc>
      </w:tr>
      <w:tr w14:paraId="01A6C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1" w:type="dxa"/>
            <w:gridSpan w:val="2"/>
            <w:vMerge w:val="continue"/>
            <w:noWrap/>
            <w:vAlign w:val="center"/>
          </w:tcPr>
          <w:p w14:paraId="251461A7">
            <w:pPr>
              <w:spacing w:line="240" w:lineRule="auto"/>
              <w:ind w:firstLine="0" w:firstLineChars="0"/>
              <w:jc w:val="both"/>
              <w:rPr>
                <w:rFonts w:hint="eastAsia" w:ascii="宋体" w:hAnsi="宋体" w:eastAsia="宋体" w:cs="宋体"/>
                <w:color w:val="auto"/>
                <w:kern w:val="2"/>
                <w:sz w:val="21"/>
                <w:szCs w:val="21"/>
              </w:rPr>
            </w:pPr>
          </w:p>
        </w:tc>
        <w:tc>
          <w:tcPr>
            <w:tcW w:w="643" w:type="dxa"/>
            <w:gridSpan w:val="2"/>
            <w:noWrap/>
            <w:vAlign w:val="center"/>
          </w:tcPr>
          <w:p w14:paraId="5A0F553F">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柱</w:t>
            </w:r>
          </w:p>
        </w:tc>
        <w:tc>
          <w:tcPr>
            <w:tcW w:w="1291" w:type="dxa"/>
            <w:gridSpan w:val="2"/>
            <w:noWrap/>
            <w:vAlign w:val="center"/>
          </w:tcPr>
          <w:p w14:paraId="49FC0D7A">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每年</w:t>
            </w:r>
          </w:p>
        </w:tc>
        <w:tc>
          <w:tcPr>
            <w:tcW w:w="1179" w:type="dxa"/>
            <w:noWrap/>
            <w:vAlign w:val="center"/>
          </w:tcPr>
          <w:p w14:paraId="2C7D2FF2">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p>
        </w:tc>
        <w:tc>
          <w:tcPr>
            <w:tcW w:w="5214" w:type="dxa"/>
            <w:noWrap/>
            <w:vAlign w:val="top"/>
          </w:tcPr>
          <w:p w14:paraId="22A46D37">
            <w:pPr>
              <w:tabs>
                <w:tab w:val="left" w:pos="-51"/>
                <w:tab w:val="left" w:pos="502"/>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r>
              <w:rPr>
                <w:rFonts w:hint="eastAsia" w:ascii="宋体" w:hAnsi="宋体" w:eastAsia="宋体" w:cs="宋体"/>
                <w:color w:val="auto"/>
                <w:sz w:val="21"/>
                <w:szCs w:val="21"/>
              </w:rPr>
              <w:t>）</w:t>
            </w:r>
            <w:r>
              <w:rPr>
                <w:rFonts w:hint="eastAsia" w:ascii="宋体" w:hAnsi="宋体" w:eastAsia="宋体" w:cs="宋体"/>
                <w:color w:val="auto"/>
                <w:kern w:val="2"/>
                <w:sz w:val="21"/>
                <w:szCs w:val="21"/>
              </w:rPr>
              <w:t>检查有无倾斜，变形、裂缝、腐蚀。</w:t>
            </w:r>
          </w:p>
          <w:p w14:paraId="749AEB49">
            <w:pPr>
              <w:tabs>
                <w:tab w:val="left" w:pos="-51"/>
                <w:tab w:val="left" w:pos="502"/>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w:t>
            </w:r>
            <w:r>
              <w:rPr>
                <w:rFonts w:hint="eastAsia" w:ascii="宋体" w:hAnsi="宋体" w:eastAsia="宋体" w:cs="宋体"/>
                <w:color w:val="auto"/>
                <w:sz w:val="21"/>
                <w:szCs w:val="21"/>
              </w:rPr>
              <w:t>）</w:t>
            </w:r>
            <w:r>
              <w:rPr>
                <w:rFonts w:hint="eastAsia" w:ascii="宋体" w:hAnsi="宋体" w:eastAsia="宋体" w:cs="宋体"/>
                <w:color w:val="auto"/>
                <w:kern w:val="2"/>
                <w:sz w:val="21"/>
                <w:szCs w:val="21"/>
              </w:rPr>
              <w:t>检查整体结构性能是否完好。</w:t>
            </w:r>
          </w:p>
        </w:tc>
      </w:tr>
      <w:tr w14:paraId="5B5F5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1" w:type="dxa"/>
            <w:gridSpan w:val="2"/>
            <w:vMerge w:val="continue"/>
            <w:noWrap/>
            <w:vAlign w:val="center"/>
          </w:tcPr>
          <w:p w14:paraId="1D268B5E">
            <w:pPr>
              <w:spacing w:line="240" w:lineRule="auto"/>
              <w:ind w:firstLine="0" w:firstLineChars="0"/>
              <w:jc w:val="both"/>
              <w:rPr>
                <w:rFonts w:hint="eastAsia" w:ascii="宋体" w:hAnsi="宋体" w:eastAsia="宋体" w:cs="宋体"/>
                <w:color w:val="auto"/>
                <w:kern w:val="2"/>
                <w:sz w:val="21"/>
                <w:szCs w:val="21"/>
              </w:rPr>
            </w:pPr>
          </w:p>
        </w:tc>
        <w:tc>
          <w:tcPr>
            <w:tcW w:w="643" w:type="dxa"/>
            <w:gridSpan w:val="2"/>
            <w:noWrap/>
            <w:vAlign w:val="center"/>
          </w:tcPr>
          <w:p w14:paraId="7999AD11">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承重墙</w:t>
            </w:r>
          </w:p>
        </w:tc>
        <w:tc>
          <w:tcPr>
            <w:tcW w:w="1291" w:type="dxa"/>
            <w:gridSpan w:val="2"/>
            <w:noWrap/>
            <w:vAlign w:val="center"/>
          </w:tcPr>
          <w:p w14:paraId="0191C70D">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每年</w:t>
            </w:r>
          </w:p>
        </w:tc>
        <w:tc>
          <w:tcPr>
            <w:tcW w:w="1179" w:type="dxa"/>
            <w:noWrap/>
            <w:vAlign w:val="center"/>
          </w:tcPr>
          <w:p w14:paraId="07EB70F6">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p>
        </w:tc>
        <w:tc>
          <w:tcPr>
            <w:tcW w:w="5214" w:type="dxa"/>
            <w:noWrap/>
            <w:vAlign w:val="top"/>
          </w:tcPr>
          <w:p w14:paraId="0A43FD2A">
            <w:pPr>
              <w:tabs>
                <w:tab w:val="left" w:pos="-51"/>
                <w:tab w:val="left" w:pos="502"/>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r>
              <w:rPr>
                <w:rFonts w:hint="eastAsia" w:ascii="宋体" w:hAnsi="宋体" w:eastAsia="宋体" w:cs="宋体"/>
                <w:color w:val="auto"/>
                <w:sz w:val="21"/>
                <w:szCs w:val="21"/>
              </w:rPr>
              <w:t>）</w:t>
            </w:r>
            <w:r>
              <w:rPr>
                <w:rFonts w:hint="eastAsia" w:ascii="宋体" w:hAnsi="宋体" w:eastAsia="宋体" w:cs="宋体"/>
                <w:color w:val="auto"/>
                <w:kern w:val="2"/>
                <w:sz w:val="21"/>
                <w:szCs w:val="21"/>
              </w:rPr>
              <w:t>检查有无孔洞、裂缝、腐蚀。</w:t>
            </w:r>
          </w:p>
          <w:p w14:paraId="68A8696E">
            <w:pPr>
              <w:tabs>
                <w:tab w:val="left" w:pos="-51"/>
                <w:tab w:val="left" w:pos="502"/>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w:t>
            </w:r>
            <w:r>
              <w:rPr>
                <w:rFonts w:hint="eastAsia" w:ascii="宋体" w:hAnsi="宋体" w:eastAsia="宋体" w:cs="宋体"/>
                <w:color w:val="auto"/>
                <w:sz w:val="21"/>
                <w:szCs w:val="21"/>
              </w:rPr>
              <w:t>）</w:t>
            </w:r>
            <w:r>
              <w:rPr>
                <w:rFonts w:hint="eastAsia" w:ascii="宋体" w:hAnsi="宋体" w:eastAsia="宋体" w:cs="宋体"/>
                <w:color w:val="auto"/>
                <w:kern w:val="2"/>
                <w:sz w:val="21"/>
                <w:szCs w:val="21"/>
              </w:rPr>
              <w:t>检查整体结构性能是否完好。</w:t>
            </w:r>
          </w:p>
        </w:tc>
      </w:tr>
      <w:tr w14:paraId="1D33E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444" w:type="dxa"/>
            <w:gridSpan w:val="4"/>
            <w:noWrap/>
            <w:vAlign w:val="center"/>
          </w:tcPr>
          <w:p w14:paraId="1D8DB1B1">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非承重墙</w:t>
            </w:r>
          </w:p>
        </w:tc>
        <w:tc>
          <w:tcPr>
            <w:tcW w:w="1291" w:type="dxa"/>
            <w:gridSpan w:val="2"/>
            <w:noWrap/>
            <w:vAlign w:val="center"/>
          </w:tcPr>
          <w:p w14:paraId="13673661">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每半年</w:t>
            </w:r>
          </w:p>
        </w:tc>
        <w:tc>
          <w:tcPr>
            <w:tcW w:w="1179" w:type="dxa"/>
            <w:noWrap/>
            <w:vAlign w:val="center"/>
          </w:tcPr>
          <w:p w14:paraId="310710F3">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p>
        </w:tc>
        <w:tc>
          <w:tcPr>
            <w:tcW w:w="5214" w:type="dxa"/>
            <w:noWrap/>
            <w:vAlign w:val="center"/>
          </w:tcPr>
          <w:p w14:paraId="6CE6D5BB">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1）检查墙体有无裂缝、孔洞、风化等缺陷。</w:t>
            </w:r>
          </w:p>
        </w:tc>
      </w:tr>
      <w:tr w14:paraId="07F1F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44" w:type="dxa"/>
            <w:gridSpan w:val="4"/>
            <w:noWrap/>
            <w:vAlign w:val="center"/>
          </w:tcPr>
          <w:p w14:paraId="579980A9">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屋面</w:t>
            </w:r>
          </w:p>
        </w:tc>
        <w:tc>
          <w:tcPr>
            <w:tcW w:w="1291" w:type="dxa"/>
            <w:gridSpan w:val="2"/>
            <w:noWrap/>
            <w:vAlign w:val="center"/>
          </w:tcPr>
          <w:p w14:paraId="5487CBFF">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每周</w:t>
            </w:r>
          </w:p>
        </w:tc>
        <w:tc>
          <w:tcPr>
            <w:tcW w:w="1179" w:type="dxa"/>
            <w:noWrap/>
            <w:vAlign w:val="center"/>
          </w:tcPr>
          <w:p w14:paraId="27ECB319">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p>
        </w:tc>
        <w:tc>
          <w:tcPr>
            <w:tcW w:w="5214" w:type="dxa"/>
            <w:noWrap/>
            <w:vAlign w:val="top"/>
          </w:tcPr>
          <w:p w14:paraId="22ACAFEE">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r>
              <w:rPr>
                <w:rFonts w:hint="eastAsia" w:ascii="宋体" w:hAnsi="宋体" w:eastAsia="宋体" w:cs="宋体"/>
                <w:color w:val="auto"/>
                <w:sz w:val="21"/>
                <w:szCs w:val="21"/>
              </w:rPr>
              <w:t>）</w:t>
            </w:r>
            <w:r>
              <w:rPr>
                <w:rFonts w:hint="eastAsia" w:ascii="宋体" w:hAnsi="宋体" w:eastAsia="宋体" w:cs="宋体"/>
                <w:color w:val="auto"/>
                <w:kern w:val="2"/>
                <w:sz w:val="21"/>
                <w:szCs w:val="21"/>
              </w:rPr>
              <w:t>检查雨水口有无堵塞，发现异常及时疏通。</w:t>
            </w:r>
          </w:p>
          <w:p w14:paraId="0FD44CA2">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w:t>
            </w:r>
            <w:r>
              <w:rPr>
                <w:rFonts w:hint="eastAsia" w:ascii="宋体" w:hAnsi="宋体" w:eastAsia="宋体" w:cs="宋体"/>
                <w:color w:val="auto"/>
                <w:sz w:val="21"/>
                <w:szCs w:val="21"/>
              </w:rPr>
              <w:t>）</w:t>
            </w:r>
            <w:r>
              <w:rPr>
                <w:rFonts w:hint="eastAsia" w:ascii="宋体" w:hAnsi="宋体" w:eastAsia="宋体" w:cs="宋体"/>
                <w:color w:val="auto"/>
                <w:kern w:val="2"/>
                <w:sz w:val="21"/>
                <w:szCs w:val="21"/>
              </w:rPr>
              <w:t>发现涂料防水层破损、老化造成屋面渗漏的，及时修复或更换。</w:t>
            </w:r>
          </w:p>
          <w:p w14:paraId="2D45C082">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w:t>
            </w:r>
            <w:r>
              <w:rPr>
                <w:rFonts w:hint="eastAsia" w:ascii="宋体" w:hAnsi="宋体" w:eastAsia="宋体" w:cs="宋体"/>
                <w:color w:val="auto"/>
                <w:sz w:val="21"/>
                <w:szCs w:val="21"/>
              </w:rPr>
              <w:t>）</w:t>
            </w:r>
            <w:r>
              <w:rPr>
                <w:rFonts w:hint="eastAsia" w:ascii="宋体" w:hAnsi="宋体" w:eastAsia="宋体" w:cs="宋体"/>
                <w:color w:val="auto"/>
                <w:kern w:val="2"/>
                <w:sz w:val="21"/>
                <w:szCs w:val="21"/>
              </w:rPr>
              <w:t>检查隔热层，有无空洞、起鼓、渗漏，发现损坏及时修复。</w:t>
            </w:r>
          </w:p>
          <w:p w14:paraId="5F2EAE63">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4</w:t>
            </w:r>
            <w:r>
              <w:rPr>
                <w:rFonts w:hint="eastAsia" w:ascii="宋体" w:hAnsi="宋体" w:eastAsia="宋体" w:cs="宋体"/>
                <w:color w:val="auto"/>
                <w:sz w:val="21"/>
                <w:szCs w:val="21"/>
              </w:rPr>
              <w:t>）</w:t>
            </w:r>
            <w:r>
              <w:rPr>
                <w:rFonts w:hint="eastAsia" w:ascii="宋体" w:hAnsi="宋体" w:eastAsia="宋体" w:cs="宋体"/>
                <w:color w:val="auto"/>
                <w:kern w:val="2"/>
                <w:sz w:val="21"/>
                <w:szCs w:val="21"/>
              </w:rPr>
              <w:t>检查避雷网有无脱焊和间断，发现异常及时补焊、油漆。</w:t>
            </w:r>
          </w:p>
        </w:tc>
      </w:tr>
      <w:tr w14:paraId="549C2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444" w:type="dxa"/>
            <w:gridSpan w:val="4"/>
            <w:vMerge w:val="restart"/>
            <w:noWrap/>
            <w:vAlign w:val="center"/>
          </w:tcPr>
          <w:p w14:paraId="43F17408">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楼地面</w:t>
            </w:r>
          </w:p>
        </w:tc>
        <w:tc>
          <w:tcPr>
            <w:tcW w:w="1291" w:type="dxa"/>
            <w:gridSpan w:val="2"/>
            <w:noWrap/>
            <w:vAlign w:val="center"/>
          </w:tcPr>
          <w:p w14:paraId="47EEFFFC">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每月</w:t>
            </w:r>
          </w:p>
        </w:tc>
        <w:tc>
          <w:tcPr>
            <w:tcW w:w="1179" w:type="dxa"/>
            <w:noWrap/>
            <w:vAlign w:val="center"/>
          </w:tcPr>
          <w:p w14:paraId="4F9DFE65">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p>
        </w:tc>
        <w:tc>
          <w:tcPr>
            <w:tcW w:w="5214" w:type="dxa"/>
            <w:noWrap/>
            <w:vAlign w:val="center"/>
          </w:tcPr>
          <w:p w14:paraId="1409F70C">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r>
              <w:rPr>
                <w:rFonts w:hint="eastAsia" w:ascii="宋体" w:hAnsi="宋体" w:eastAsia="宋体" w:cs="宋体"/>
                <w:color w:val="auto"/>
                <w:sz w:val="21"/>
                <w:szCs w:val="21"/>
              </w:rPr>
              <w:t>）</w:t>
            </w:r>
            <w:r>
              <w:rPr>
                <w:rFonts w:hint="eastAsia" w:ascii="宋体" w:hAnsi="宋体" w:eastAsia="宋体" w:cs="宋体"/>
                <w:color w:val="auto"/>
                <w:kern w:val="2"/>
                <w:sz w:val="21"/>
                <w:szCs w:val="21"/>
              </w:rPr>
              <w:t>检查楼地面是否平整完好，有无空鼓和破裂。</w:t>
            </w:r>
          </w:p>
          <w:p w14:paraId="3B665C23">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w:t>
            </w:r>
            <w:r>
              <w:rPr>
                <w:rFonts w:hint="eastAsia" w:ascii="宋体" w:hAnsi="宋体" w:eastAsia="宋体" w:cs="宋体"/>
                <w:color w:val="auto"/>
                <w:sz w:val="21"/>
                <w:szCs w:val="21"/>
              </w:rPr>
              <w:t>）</w:t>
            </w:r>
            <w:r>
              <w:rPr>
                <w:rFonts w:hint="eastAsia" w:ascii="宋体" w:hAnsi="宋体" w:eastAsia="宋体" w:cs="宋体"/>
                <w:color w:val="auto"/>
                <w:kern w:val="2"/>
                <w:sz w:val="21"/>
                <w:szCs w:val="21"/>
              </w:rPr>
              <w:t>检查地面饰面材料有无松脱、空鼓、破损，发现问题及时处理，更换松脱、破损的地面饰面材料。</w:t>
            </w:r>
          </w:p>
        </w:tc>
      </w:tr>
      <w:tr w14:paraId="075A3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444" w:type="dxa"/>
            <w:gridSpan w:val="4"/>
            <w:vMerge w:val="continue"/>
            <w:noWrap/>
            <w:vAlign w:val="center"/>
          </w:tcPr>
          <w:p w14:paraId="4D0B7C8D">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p>
        </w:tc>
        <w:tc>
          <w:tcPr>
            <w:tcW w:w="1291" w:type="dxa"/>
            <w:gridSpan w:val="2"/>
            <w:noWrap/>
            <w:vAlign w:val="center"/>
          </w:tcPr>
          <w:p w14:paraId="5EC50A8C">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每季</w:t>
            </w:r>
          </w:p>
        </w:tc>
        <w:tc>
          <w:tcPr>
            <w:tcW w:w="1179" w:type="dxa"/>
            <w:noWrap/>
            <w:vAlign w:val="center"/>
          </w:tcPr>
          <w:p w14:paraId="25D28AA9">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p>
        </w:tc>
        <w:tc>
          <w:tcPr>
            <w:tcW w:w="5214" w:type="dxa"/>
            <w:noWrap/>
            <w:vAlign w:val="center"/>
          </w:tcPr>
          <w:p w14:paraId="77E9778A">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1）对大理石（如有）进行抛光、晶面、打蜡处理。</w:t>
            </w:r>
          </w:p>
        </w:tc>
      </w:tr>
      <w:tr w14:paraId="50E26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1444" w:type="dxa"/>
            <w:gridSpan w:val="4"/>
            <w:noWrap/>
            <w:vAlign w:val="center"/>
          </w:tcPr>
          <w:p w14:paraId="6710C014">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楼梯</w:t>
            </w:r>
          </w:p>
        </w:tc>
        <w:tc>
          <w:tcPr>
            <w:tcW w:w="1291" w:type="dxa"/>
            <w:gridSpan w:val="2"/>
            <w:noWrap/>
            <w:vAlign w:val="center"/>
          </w:tcPr>
          <w:p w14:paraId="148C7B59">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每月</w:t>
            </w:r>
          </w:p>
        </w:tc>
        <w:tc>
          <w:tcPr>
            <w:tcW w:w="1179" w:type="dxa"/>
            <w:noWrap/>
            <w:vAlign w:val="center"/>
          </w:tcPr>
          <w:p w14:paraId="5D3F409D">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p>
        </w:tc>
        <w:tc>
          <w:tcPr>
            <w:tcW w:w="5214" w:type="dxa"/>
            <w:noWrap/>
            <w:vAlign w:val="center"/>
          </w:tcPr>
          <w:p w14:paraId="049B38D1">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r>
              <w:rPr>
                <w:rFonts w:hint="eastAsia" w:ascii="宋体" w:hAnsi="宋体" w:eastAsia="宋体" w:cs="宋体"/>
                <w:color w:val="auto"/>
                <w:sz w:val="21"/>
                <w:szCs w:val="21"/>
              </w:rPr>
              <w:t>）</w:t>
            </w:r>
            <w:r>
              <w:rPr>
                <w:rFonts w:hint="eastAsia" w:ascii="宋体" w:hAnsi="宋体" w:eastAsia="宋体" w:cs="宋体"/>
                <w:color w:val="auto"/>
                <w:kern w:val="2"/>
                <w:sz w:val="21"/>
                <w:szCs w:val="21"/>
              </w:rPr>
              <w:t>检查扶手、踏步有无损坏，发现异常随时修复。</w:t>
            </w:r>
          </w:p>
          <w:p w14:paraId="41E50548">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w:t>
            </w:r>
            <w:r>
              <w:rPr>
                <w:rFonts w:hint="eastAsia" w:ascii="宋体" w:hAnsi="宋体" w:eastAsia="宋体" w:cs="宋体"/>
                <w:color w:val="auto"/>
                <w:sz w:val="21"/>
                <w:szCs w:val="21"/>
              </w:rPr>
              <w:t>）</w:t>
            </w:r>
            <w:r>
              <w:rPr>
                <w:rFonts w:hint="eastAsia" w:ascii="宋体" w:hAnsi="宋体" w:eastAsia="宋体" w:cs="宋体"/>
                <w:color w:val="auto"/>
                <w:kern w:val="2"/>
                <w:sz w:val="21"/>
                <w:szCs w:val="21"/>
              </w:rPr>
              <w:t>补换损坏的地砖。</w:t>
            </w:r>
          </w:p>
          <w:p w14:paraId="34297082">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w:t>
            </w:r>
            <w:r>
              <w:rPr>
                <w:rFonts w:hint="eastAsia" w:ascii="宋体" w:hAnsi="宋体" w:eastAsia="宋体" w:cs="宋体"/>
                <w:color w:val="auto"/>
                <w:sz w:val="21"/>
                <w:szCs w:val="21"/>
              </w:rPr>
              <w:t>）</w:t>
            </w:r>
            <w:r>
              <w:rPr>
                <w:rFonts w:hint="eastAsia" w:ascii="宋体" w:hAnsi="宋体" w:eastAsia="宋体" w:cs="宋体"/>
                <w:color w:val="auto"/>
                <w:kern w:val="2"/>
                <w:sz w:val="21"/>
                <w:szCs w:val="21"/>
              </w:rPr>
              <w:t>修复空鼓的地砖。</w:t>
            </w:r>
          </w:p>
        </w:tc>
      </w:tr>
      <w:tr w14:paraId="39A74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44" w:type="dxa"/>
            <w:gridSpan w:val="4"/>
            <w:vMerge w:val="restart"/>
            <w:noWrap/>
            <w:vAlign w:val="center"/>
          </w:tcPr>
          <w:p w14:paraId="332B44FA">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公共通道</w:t>
            </w:r>
          </w:p>
        </w:tc>
        <w:tc>
          <w:tcPr>
            <w:tcW w:w="1291" w:type="dxa"/>
            <w:gridSpan w:val="2"/>
            <w:noWrap/>
            <w:vAlign w:val="center"/>
          </w:tcPr>
          <w:p w14:paraId="78F5B453">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每周</w:t>
            </w:r>
          </w:p>
        </w:tc>
        <w:tc>
          <w:tcPr>
            <w:tcW w:w="1179" w:type="dxa"/>
            <w:noWrap/>
            <w:vAlign w:val="center"/>
          </w:tcPr>
          <w:p w14:paraId="02563484">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p>
        </w:tc>
        <w:tc>
          <w:tcPr>
            <w:tcW w:w="5214" w:type="dxa"/>
            <w:noWrap/>
            <w:vAlign w:val="top"/>
          </w:tcPr>
          <w:p w14:paraId="20A27370">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r>
              <w:rPr>
                <w:rFonts w:hint="eastAsia" w:ascii="宋体" w:hAnsi="宋体" w:eastAsia="宋体" w:cs="宋体"/>
                <w:color w:val="auto"/>
                <w:sz w:val="21"/>
                <w:szCs w:val="21"/>
              </w:rPr>
              <w:t>）</w:t>
            </w:r>
            <w:r>
              <w:rPr>
                <w:rFonts w:hint="eastAsia" w:ascii="宋体" w:hAnsi="宋体" w:eastAsia="宋体" w:cs="宋体"/>
                <w:color w:val="auto"/>
                <w:kern w:val="2"/>
                <w:sz w:val="21"/>
                <w:szCs w:val="21"/>
              </w:rPr>
              <w:t>检查地面砖有无起砂、空鼓、开裂、松脱；发现异常及时修复。</w:t>
            </w:r>
          </w:p>
          <w:p w14:paraId="407747F8">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w:t>
            </w:r>
            <w:r>
              <w:rPr>
                <w:rFonts w:hint="eastAsia" w:ascii="宋体" w:hAnsi="宋体" w:eastAsia="宋体" w:cs="宋体"/>
                <w:color w:val="auto"/>
                <w:sz w:val="21"/>
                <w:szCs w:val="21"/>
              </w:rPr>
              <w:t>）</w:t>
            </w:r>
            <w:r>
              <w:rPr>
                <w:rFonts w:hint="eastAsia" w:ascii="宋体" w:hAnsi="宋体" w:eastAsia="宋体" w:cs="宋体"/>
                <w:color w:val="auto"/>
                <w:kern w:val="2"/>
                <w:sz w:val="21"/>
                <w:szCs w:val="21"/>
              </w:rPr>
              <w:t>公共通道及门厅的墙面有无污迹和剥落，发现异常随时处理。</w:t>
            </w:r>
          </w:p>
          <w:p w14:paraId="39D8D032">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w:t>
            </w:r>
            <w:r>
              <w:rPr>
                <w:rFonts w:hint="eastAsia" w:ascii="宋体" w:hAnsi="宋体" w:eastAsia="宋体" w:cs="宋体"/>
                <w:color w:val="auto"/>
                <w:sz w:val="21"/>
                <w:szCs w:val="21"/>
              </w:rPr>
              <w:t>）</w:t>
            </w:r>
            <w:r>
              <w:rPr>
                <w:rFonts w:hint="eastAsia" w:ascii="宋体" w:hAnsi="宋体" w:eastAsia="宋体" w:cs="宋体"/>
                <w:color w:val="auto"/>
                <w:kern w:val="2"/>
                <w:sz w:val="21"/>
                <w:szCs w:val="21"/>
              </w:rPr>
              <w:t>检查裙楼屋面外廊护栏玻璃、支架、护栏网是否完好，发现异常及时处理。</w:t>
            </w:r>
          </w:p>
        </w:tc>
      </w:tr>
      <w:tr w14:paraId="5C2E3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44" w:type="dxa"/>
            <w:gridSpan w:val="4"/>
            <w:vMerge w:val="continue"/>
            <w:noWrap/>
            <w:vAlign w:val="center"/>
          </w:tcPr>
          <w:p w14:paraId="111549B8">
            <w:pPr>
              <w:spacing w:line="240" w:lineRule="auto"/>
              <w:ind w:firstLine="0" w:firstLineChars="0"/>
              <w:jc w:val="both"/>
              <w:rPr>
                <w:rFonts w:hint="eastAsia" w:ascii="宋体" w:hAnsi="宋体" w:eastAsia="宋体" w:cs="宋体"/>
                <w:color w:val="auto"/>
                <w:kern w:val="2"/>
                <w:sz w:val="21"/>
                <w:szCs w:val="21"/>
              </w:rPr>
            </w:pPr>
          </w:p>
        </w:tc>
        <w:tc>
          <w:tcPr>
            <w:tcW w:w="1291" w:type="dxa"/>
            <w:gridSpan w:val="2"/>
            <w:noWrap/>
            <w:vAlign w:val="center"/>
          </w:tcPr>
          <w:p w14:paraId="4F95CB94">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每月</w:t>
            </w:r>
          </w:p>
        </w:tc>
        <w:tc>
          <w:tcPr>
            <w:tcW w:w="1179" w:type="dxa"/>
            <w:noWrap/>
            <w:vAlign w:val="center"/>
          </w:tcPr>
          <w:p w14:paraId="53CFFF50">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p>
        </w:tc>
        <w:tc>
          <w:tcPr>
            <w:tcW w:w="5214" w:type="dxa"/>
            <w:noWrap/>
            <w:vAlign w:val="top"/>
          </w:tcPr>
          <w:p w14:paraId="4BE2524F">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r>
              <w:rPr>
                <w:rFonts w:hint="eastAsia" w:ascii="宋体" w:hAnsi="宋体" w:eastAsia="宋体" w:cs="宋体"/>
                <w:color w:val="auto"/>
                <w:sz w:val="21"/>
                <w:szCs w:val="21"/>
              </w:rPr>
              <w:t>）</w:t>
            </w:r>
            <w:r>
              <w:rPr>
                <w:rFonts w:hint="eastAsia" w:ascii="宋体" w:hAnsi="宋体" w:eastAsia="宋体" w:cs="宋体"/>
                <w:color w:val="auto"/>
                <w:kern w:val="2"/>
                <w:sz w:val="21"/>
                <w:szCs w:val="21"/>
              </w:rPr>
              <w:t>检查扶手、踏步有无损坏，发现异常随时修复。</w:t>
            </w:r>
          </w:p>
          <w:p w14:paraId="57AF39C2">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w:t>
            </w:r>
            <w:r>
              <w:rPr>
                <w:rFonts w:hint="eastAsia" w:ascii="宋体" w:hAnsi="宋体" w:eastAsia="宋体" w:cs="宋体"/>
                <w:color w:val="auto"/>
                <w:sz w:val="21"/>
                <w:szCs w:val="21"/>
              </w:rPr>
              <w:t>）</w:t>
            </w:r>
            <w:r>
              <w:rPr>
                <w:rFonts w:hint="eastAsia" w:ascii="宋体" w:hAnsi="宋体" w:eastAsia="宋体" w:cs="宋体"/>
                <w:color w:val="auto"/>
                <w:kern w:val="2"/>
                <w:sz w:val="21"/>
                <w:szCs w:val="21"/>
              </w:rPr>
              <w:t>补换损坏、空鼓的地砖。</w:t>
            </w:r>
          </w:p>
        </w:tc>
      </w:tr>
      <w:tr w14:paraId="77507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444" w:type="dxa"/>
            <w:gridSpan w:val="4"/>
            <w:vMerge w:val="continue"/>
            <w:noWrap/>
            <w:vAlign w:val="center"/>
          </w:tcPr>
          <w:p w14:paraId="41BC448E">
            <w:pPr>
              <w:spacing w:line="240" w:lineRule="auto"/>
              <w:ind w:firstLine="0" w:firstLineChars="0"/>
              <w:jc w:val="both"/>
              <w:rPr>
                <w:rFonts w:hint="eastAsia" w:ascii="宋体" w:hAnsi="宋体" w:eastAsia="宋体" w:cs="宋体"/>
                <w:color w:val="auto"/>
                <w:kern w:val="2"/>
                <w:sz w:val="21"/>
                <w:szCs w:val="21"/>
              </w:rPr>
            </w:pPr>
          </w:p>
        </w:tc>
        <w:tc>
          <w:tcPr>
            <w:tcW w:w="1291" w:type="dxa"/>
            <w:gridSpan w:val="2"/>
            <w:noWrap/>
            <w:vAlign w:val="center"/>
          </w:tcPr>
          <w:p w14:paraId="79EA8490">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每年</w:t>
            </w:r>
          </w:p>
        </w:tc>
        <w:tc>
          <w:tcPr>
            <w:tcW w:w="1179" w:type="dxa"/>
            <w:noWrap/>
            <w:vAlign w:val="center"/>
          </w:tcPr>
          <w:p w14:paraId="7311B527">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p>
        </w:tc>
        <w:tc>
          <w:tcPr>
            <w:tcW w:w="5214" w:type="dxa"/>
            <w:noWrap/>
            <w:vAlign w:val="center"/>
          </w:tcPr>
          <w:p w14:paraId="7A5F7552">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r>
              <w:rPr>
                <w:rFonts w:hint="eastAsia" w:ascii="宋体" w:hAnsi="宋体" w:eastAsia="宋体" w:cs="宋体"/>
                <w:color w:val="auto"/>
                <w:sz w:val="21"/>
                <w:szCs w:val="21"/>
              </w:rPr>
              <w:t>）</w:t>
            </w:r>
            <w:r>
              <w:rPr>
                <w:rFonts w:hint="eastAsia" w:ascii="宋体" w:hAnsi="宋体" w:eastAsia="宋体" w:cs="宋体"/>
                <w:color w:val="auto"/>
                <w:kern w:val="2"/>
                <w:sz w:val="21"/>
                <w:szCs w:val="21"/>
              </w:rPr>
              <w:t>油漆金属支架和护栏网。</w:t>
            </w:r>
          </w:p>
        </w:tc>
      </w:tr>
      <w:tr w14:paraId="631DA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1444" w:type="dxa"/>
            <w:gridSpan w:val="4"/>
            <w:vMerge w:val="restart"/>
            <w:noWrap/>
            <w:vAlign w:val="center"/>
          </w:tcPr>
          <w:p w14:paraId="40031565">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内墙面、天花</w:t>
            </w:r>
          </w:p>
        </w:tc>
        <w:tc>
          <w:tcPr>
            <w:tcW w:w="2470" w:type="dxa"/>
            <w:gridSpan w:val="3"/>
            <w:noWrap/>
            <w:vAlign w:val="center"/>
          </w:tcPr>
          <w:p w14:paraId="7A90A78C">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根据需要</w:t>
            </w:r>
          </w:p>
        </w:tc>
        <w:tc>
          <w:tcPr>
            <w:tcW w:w="5214" w:type="dxa"/>
            <w:noWrap/>
            <w:vAlign w:val="top"/>
          </w:tcPr>
          <w:p w14:paraId="2378B372">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r>
              <w:rPr>
                <w:rFonts w:hint="eastAsia" w:ascii="宋体" w:hAnsi="宋体" w:eastAsia="宋体" w:cs="宋体"/>
                <w:color w:val="auto"/>
                <w:sz w:val="21"/>
                <w:szCs w:val="21"/>
              </w:rPr>
              <w:t>）</w:t>
            </w:r>
            <w:r>
              <w:rPr>
                <w:rFonts w:hint="eastAsia" w:ascii="宋体" w:hAnsi="宋体" w:eastAsia="宋体" w:cs="宋体"/>
                <w:color w:val="auto"/>
                <w:kern w:val="2"/>
                <w:sz w:val="21"/>
                <w:szCs w:val="21"/>
              </w:rPr>
              <w:t>检查大楼内公共区域及办公室内部的墙面及天花，根据需要加固天花龙骨；修补天花和墙面裂缝。翻新和修补时须贴附角线和防裂纱布，并批腻子粉3遍和乳胶漆3遍。</w:t>
            </w:r>
          </w:p>
          <w:p w14:paraId="1FB3D6CD">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w:t>
            </w:r>
            <w:r>
              <w:rPr>
                <w:rFonts w:hint="eastAsia" w:ascii="宋体" w:hAnsi="宋体" w:eastAsia="宋体" w:cs="宋体"/>
                <w:color w:val="auto"/>
                <w:sz w:val="21"/>
                <w:szCs w:val="21"/>
              </w:rPr>
              <w:t>）</w:t>
            </w:r>
            <w:r>
              <w:rPr>
                <w:rFonts w:hint="eastAsia" w:ascii="宋体" w:hAnsi="宋体" w:eastAsia="宋体" w:cs="宋体"/>
                <w:color w:val="auto"/>
                <w:kern w:val="2"/>
                <w:sz w:val="21"/>
                <w:szCs w:val="21"/>
              </w:rPr>
              <w:t>处理内墙面及天花零星的渗漏。</w:t>
            </w:r>
          </w:p>
        </w:tc>
      </w:tr>
      <w:tr w14:paraId="590CB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444" w:type="dxa"/>
            <w:gridSpan w:val="4"/>
            <w:vMerge w:val="continue"/>
            <w:noWrap/>
            <w:vAlign w:val="center"/>
          </w:tcPr>
          <w:p w14:paraId="76107B3E">
            <w:pPr>
              <w:spacing w:line="240" w:lineRule="auto"/>
              <w:ind w:firstLine="0" w:firstLineChars="0"/>
              <w:jc w:val="both"/>
              <w:rPr>
                <w:rFonts w:hint="eastAsia" w:ascii="宋体" w:hAnsi="宋体" w:eastAsia="宋体" w:cs="宋体"/>
                <w:color w:val="auto"/>
                <w:kern w:val="2"/>
                <w:sz w:val="21"/>
                <w:szCs w:val="21"/>
              </w:rPr>
            </w:pPr>
          </w:p>
        </w:tc>
        <w:tc>
          <w:tcPr>
            <w:tcW w:w="1291" w:type="dxa"/>
            <w:gridSpan w:val="2"/>
            <w:noWrap/>
            <w:vAlign w:val="center"/>
          </w:tcPr>
          <w:p w14:paraId="55458E07">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每年</w:t>
            </w:r>
          </w:p>
        </w:tc>
        <w:tc>
          <w:tcPr>
            <w:tcW w:w="1179" w:type="dxa"/>
            <w:noWrap/>
            <w:vAlign w:val="center"/>
          </w:tcPr>
          <w:p w14:paraId="5A5C291B">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w:t>
            </w:r>
          </w:p>
        </w:tc>
        <w:tc>
          <w:tcPr>
            <w:tcW w:w="5214" w:type="dxa"/>
            <w:noWrap/>
            <w:vAlign w:val="center"/>
          </w:tcPr>
          <w:p w14:paraId="00554CC7">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w:t>
            </w:r>
            <w:r>
              <w:rPr>
                <w:rFonts w:hint="eastAsia" w:ascii="宋体" w:hAnsi="宋体" w:eastAsia="宋体" w:cs="宋体"/>
                <w:color w:val="auto"/>
                <w:sz w:val="21"/>
                <w:szCs w:val="21"/>
              </w:rPr>
              <w:t>）</w:t>
            </w:r>
            <w:r>
              <w:rPr>
                <w:rFonts w:hint="eastAsia" w:ascii="宋体" w:hAnsi="宋体" w:eastAsia="宋体" w:cs="宋体"/>
                <w:color w:val="auto"/>
                <w:kern w:val="2"/>
                <w:sz w:val="21"/>
                <w:szCs w:val="21"/>
              </w:rPr>
              <w:t>雨季前后对用户窗台进行密封维护检查，杜绝雨水侵入。</w:t>
            </w:r>
          </w:p>
        </w:tc>
      </w:tr>
      <w:tr w14:paraId="09C8D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9" w:type="dxa"/>
            <w:gridSpan w:val="3"/>
            <w:vMerge w:val="restart"/>
            <w:noWrap/>
            <w:vAlign w:val="center"/>
          </w:tcPr>
          <w:p w14:paraId="66872C99">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外墙面</w:t>
            </w:r>
          </w:p>
        </w:tc>
        <w:tc>
          <w:tcPr>
            <w:tcW w:w="415" w:type="dxa"/>
            <w:vMerge w:val="restart"/>
            <w:noWrap/>
            <w:vAlign w:val="center"/>
          </w:tcPr>
          <w:p w14:paraId="51DE5796">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装饰、玻璃</w:t>
            </w:r>
          </w:p>
        </w:tc>
        <w:tc>
          <w:tcPr>
            <w:tcW w:w="1291" w:type="dxa"/>
            <w:gridSpan w:val="2"/>
            <w:noWrap/>
            <w:vAlign w:val="center"/>
          </w:tcPr>
          <w:p w14:paraId="200C5DEB">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每周</w:t>
            </w:r>
          </w:p>
        </w:tc>
        <w:tc>
          <w:tcPr>
            <w:tcW w:w="1179" w:type="dxa"/>
            <w:noWrap/>
            <w:vAlign w:val="center"/>
          </w:tcPr>
          <w:p w14:paraId="3475824F">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p>
        </w:tc>
        <w:tc>
          <w:tcPr>
            <w:tcW w:w="5214" w:type="dxa"/>
            <w:noWrap/>
            <w:vAlign w:val="top"/>
          </w:tcPr>
          <w:p w14:paraId="4DF7A4CC">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检查外墙玻璃和石材是否有破损现象，协助专业公司维修作业。</w:t>
            </w:r>
          </w:p>
        </w:tc>
      </w:tr>
      <w:tr w14:paraId="25360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9" w:type="dxa"/>
            <w:gridSpan w:val="3"/>
            <w:vMerge w:val="continue"/>
            <w:noWrap/>
            <w:vAlign w:val="center"/>
          </w:tcPr>
          <w:p w14:paraId="5593320D">
            <w:pPr>
              <w:spacing w:line="240" w:lineRule="auto"/>
              <w:ind w:firstLine="0" w:firstLineChars="0"/>
              <w:jc w:val="both"/>
              <w:rPr>
                <w:rFonts w:hint="eastAsia" w:ascii="宋体" w:hAnsi="宋体" w:eastAsia="宋体" w:cs="宋体"/>
                <w:color w:val="auto"/>
                <w:kern w:val="2"/>
                <w:sz w:val="21"/>
                <w:szCs w:val="21"/>
              </w:rPr>
            </w:pPr>
          </w:p>
        </w:tc>
        <w:tc>
          <w:tcPr>
            <w:tcW w:w="415" w:type="dxa"/>
            <w:vMerge w:val="continue"/>
            <w:noWrap/>
            <w:vAlign w:val="center"/>
          </w:tcPr>
          <w:p w14:paraId="45ABF2B2">
            <w:pPr>
              <w:spacing w:line="240" w:lineRule="auto"/>
              <w:ind w:firstLine="0" w:firstLineChars="0"/>
              <w:jc w:val="both"/>
              <w:rPr>
                <w:rFonts w:hint="eastAsia" w:ascii="宋体" w:hAnsi="宋体" w:eastAsia="宋体" w:cs="宋体"/>
                <w:color w:val="auto"/>
                <w:kern w:val="2"/>
                <w:sz w:val="21"/>
                <w:szCs w:val="21"/>
              </w:rPr>
            </w:pPr>
          </w:p>
        </w:tc>
        <w:tc>
          <w:tcPr>
            <w:tcW w:w="1291" w:type="dxa"/>
            <w:gridSpan w:val="2"/>
            <w:noWrap/>
            <w:vAlign w:val="center"/>
          </w:tcPr>
          <w:p w14:paraId="793032BC">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每年</w:t>
            </w:r>
          </w:p>
        </w:tc>
        <w:tc>
          <w:tcPr>
            <w:tcW w:w="1179" w:type="dxa"/>
            <w:noWrap/>
            <w:vAlign w:val="center"/>
          </w:tcPr>
          <w:p w14:paraId="26EA0606">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p>
        </w:tc>
        <w:tc>
          <w:tcPr>
            <w:tcW w:w="5214" w:type="dxa"/>
            <w:noWrap/>
            <w:vAlign w:val="top"/>
          </w:tcPr>
          <w:p w14:paraId="03950A7B">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r>
              <w:rPr>
                <w:rFonts w:hint="eastAsia" w:ascii="宋体" w:hAnsi="宋体" w:eastAsia="宋体" w:cs="宋体"/>
                <w:color w:val="auto"/>
                <w:sz w:val="21"/>
                <w:szCs w:val="21"/>
              </w:rPr>
              <w:t>）</w:t>
            </w:r>
            <w:r>
              <w:rPr>
                <w:rFonts w:hint="eastAsia" w:ascii="宋体" w:hAnsi="宋体" w:eastAsia="宋体" w:cs="宋体"/>
                <w:color w:val="auto"/>
                <w:kern w:val="2"/>
                <w:sz w:val="21"/>
                <w:szCs w:val="21"/>
              </w:rPr>
              <w:t>结合外墙清洗作业，并检查外墙面的使用状况。</w:t>
            </w:r>
          </w:p>
          <w:p w14:paraId="086E8B59">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w:t>
            </w:r>
            <w:r>
              <w:rPr>
                <w:rFonts w:hint="eastAsia" w:ascii="宋体" w:hAnsi="宋体" w:eastAsia="宋体" w:cs="宋体"/>
                <w:color w:val="auto"/>
                <w:sz w:val="21"/>
                <w:szCs w:val="21"/>
              </w:rPr>
              <w:t>）</w:t>
            </w:r>
            <w:r>
              <w:rPr>
                <w:rFonts w:hint="eastAsia" w:ascii="宋体" w:hAnsi="宋体" w:eastAsia="宋体" w:cs="宋体"/>
                <w:color w:val="auto"/>
                <w:kern w:val="2"/>
                <w:sz w:val="21"/>
                <w:szCs w:val="21"/>
              </w:rPr>
              <w:t>处理外墙面变色现象；检查并加固外墙金属构件。</w:t>
            </w:r>
          </w:p>
        </w:tc>
      </w:tr>
      <w:tr w14:paraId="5C2AD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9" w:type="dxa"/>
            <w:gridSpan w:val="3"/>
            <w:vMerge w:val="continue"/>
            <w:noWrap/>
            <w:vAlign w:val="center"/>
          </w:tcPr>
          <w:p w14:paraId="3CEB3F22">
            <w:pPr>
              <w:spacing w:line="240" w:lineRule="auto"/>
              <w:ind w:firstLine="0" w:firstLineChars="0"/>
              <w:jc w:val="both"/>
              <w:rPr>
                <w:rFonts w:hint="eastAsia" w:ascii="宋体" w:hAnsi="宋体" w:eastAsia="宋体" w:cs="宋体"/>
                <w:color w:val="auto"/>
                <w:kern w:val="2"/>
                <w:sz w:val="21"/>
                <w:szCs w:val="21"/>
              </w:rPr>
            </w:pPr>
          </w:p>
        </w:tc>
        <w:tc>
          <w:tcPr>
            <w:tcW w:w="415" w:type="dxa"/>
            <w:vMerge w:val="continue"/>
            <w:noWrap/>
            <w:vAlign w:val="center"/>
          </w:tcPr>
          <w:p w14:paraId="4971AF0E">
            <w:pPr>
              <w:spacing w:line="240" w:lineRule="auto"/>
              <w:ind w:firstLine="0" w:firstLineChars="0"/>
              <w:jc w:val="both"/>
              <w:rPr>
                <w:rFonts w:hint="eastAsia" w:ascii="宋体" w:hAnsi="宋体" w:eastAsia="宋体" w:cs="宋体"/>
                <w:color w:val="auto"/>
                <w:kern w:val="2"/>
                <w:sz w:val="21"/>
                <w:szCs w:val="21"/>
              </w:rPr>
            </w:pPr>
          </w:p>
        </w:tc>
        <w:tc>
          <w:tcPr>
            <w:tcW w:w="1291" w:type="dxa"/>
            <w:gridSpan w:val="2"/>
            <w:noWrap/>
            <w:vAlign w:val="center"/>
          </w:tcPr>
          <w:p w14:paraId="3C085751">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每年</w:t>
            </w:r>
          </w:p>
        </w:tc>
        <w:tc>
          <w:tcPr>
            <w:tcW w:w="1179" w:type="dxa"/>
            <w:noWrap/>
            <w:vAlign w:val="center"/>
          </w:tcPr>
          <w:p w14:paraId="73398822">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p>
        </w:tc>
        <w:tc>
          <w:tcPr>
            <w:tcW w:w="5214" w:type="dxa"/>
            <w:noWrap/>
            <w:vAlign w:val="top"/>
          </w:tcPr>
          <w:p w14:paraId="43555B84">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r>
              <w:rPr>
                <w:rFonts w:hint="eastAsia" w:ascii="宋体" w:hAnsi="宋体" w:eastAsia="宋体" w:cs="宋体"/>
                <w:color w:val="auto"/>
                <w:sz w:val="21"/>
                <w:szCs w:val="21"/>
              </w:rPr>
              <w:t>）</w:t>
            </w:r>
            <w:r>
              <w:rPr>
                <w:rFonts w:hint="eastAsia" w:ascii="宋体" w:hAnsi="宋体" w:eastAsia="宋体" w:cs="宋体"/>
                <w:color w:val="auto"/>
                <w:kern w:val="2"/>
                <w:sz w:val="21"/>
                <w:szCs w:val="21"/>
              </w:rPr>
              <w:t>雨季时期对用户窗台进行密封维护检查，杜绝雨水侵入。</w:t>
            </w:r>
          </w:p>
          <w:p w14:paraId="5FC5C724">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w:t>
            </w:r>
            <w:r>
              <w:rPr>
                <w:rFonts w:hint="eastAsia" w:ascii="宋体" w:hAnsi="宋体" w:eastAsia="宋体" w:cs="宋体"/>
                <w:color w:val="auto"/>
                <w:sz w:val="21"/>
                <w:szCs w:val="21"/>
              </w:rPr>
              <w:t>）</w:t>
            </w:r>
            <w:r>
              <w:rPr>
                <w:rFonts w:hint="eastAsia" w:ascii="宋体" w:hAnsi="宋体" w:eastAsia="宋体" w:cs="宋体"/>
                <w:color w:val="auto"/>
                <w:kern w:val="2"/>
                <w:sz w:val="21"/>
                <w:szCs w:val="21"/>
              </w:rPr>
              <w:t>对外墙大面积渗漏久修无效的，局部翻新以防止渗漏面积扩大。</w:t>
            </w:r>
          </w:p>
        </w:tc>
      </w:tr>
      <w:tr w14:paraId="67140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44" w:type="dxa"/>
            <w:gridSpan w:val="4"/>
            <w:vMerge w:val="restart"/>
            <w:noWrap/>
            <w:vAlign w:val="center"/>
          </w:tcPr>
          <w:p w14:paraId="7FF87E5F">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吊顶</w:t>
            </w:r>
          </w:p>
        </w:tc>
        <w:tc>
          <w:tcPr>
            <w:tcW w:w="1291" w:type="dxa"/>
            <w:gridSpan w:val="2"/>
            <w:noWrap/>
            <w:vAlign w:val="center"/>
          </w:tcPr>
          <w:p w14:paraId="16BA5A0B">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每周</w:t>
            </w:r>
          </w:p>
        </w:tc>
        <w:tc>
          <w:tcPr>
            <w:tcW w:w="1179" w:type="dxa"/>
            <w:noWrap/>
            <w:vAlign w:val="center"/>
          </w:tcPr>
          <w:p w14:paraId="7B24CAF7">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p>
        </w:tc>
        <w:tc>
          <w:tcPr>
            <w:tcW w:w="5214" w:type="dxa"/>
            <w:noWrap/>
            <w:vAlign w:val="top"/>
          </w:tcPr>
          <w:p w14:paraId="64AAA3BC">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检查有无擦、划、刮、踏坏，发现损坏及时修补。</w:t>
            </w:r>
          </w:p>
        </w:tc>
      </w:tr>
      <w:tr w14:paraId="6E921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44" w:type="dxa"/>
            <w:gridSpan w:val="4"/>
            <w:vMerge w:val="continue"/>
            <w:noWrap/>
            <w:vAlign w:val="center"/>
          </w:tcPr>
          <w:p w14:paraId="3172AC72">
            <w:pPr>
              <w:spacing w:line="240" w:lineRule="auto"/>
              <w:ind w:firstLine="0" w:firstLineChars="0"/>
              <w:jc w:val="both"/>
              <w:rPr>
                <w:rFonts w:hint="eastAsia" w:ascii="宋体" w:hAnsi="宋体" w:eastAsia="宋体" w:cs="宋体"/>
                <w:color w:val="auto"/>
                <w:kern w:val="2"/>
                <w:sz w:val="21"/>
                <w:szCs w:val="21"/>
              </w:rPr>
            </w:pPr>
          </w:p>
        </w:tc>
        <w:tc>
          <w:tcPr>
            <w:tcW w:w="1291" w:type="dxa"/>
            <w:gridSpan w:val="2"/>
            <w:noWrap/>
            <w:vAlign w:val="center"/>
          </w:tcPr>
          <w:p w14:paraId="67856BEB">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每月</w:t>
            </w:r>
          </w:p>
        </w:tc>
        <w:tc>
          <w:tcPr>
            <w:tcW w:w="1179" w:type="dxa"/>
            <w:noWrap/>
            <w:vAlign w:val="center"/>
          </w:tcPr>
          <w:p w14:paraId="1E193FC5">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p>
        </w:tc>
        <w:tc>
          <w:tcPr>
            <w:tcW w:w="5214" w:type="dxa"/>
            <w:noWrap/>
            <w:vAlign w:val="top"/>
          </w:tcPr>
          <w:p w14:paraId="5F013E81">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加强防水、防腐、防裂、防胀、防霉变工作，发现有水浸、腐烂、胀裂、霉变的部分及时修复。</w:t>
            </w:r>
          </w:p>
        </w:tc>
      </w:tr>
      <w:tr w14:paraId="2567C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44" w:type="dxa"/>
            <w:gridSpan w:val="4"/>
            <w:vMerge w:val="restart"/>
            <w:noWrap/>
            <w:vAlign w:val="center"/>
          </w:tcPr>
          <w:p w14:paraId="51F26E4D">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门窗、锁</w:t>
            </w:r>
          </w:p>
        </w:tc>
        <w:tc>
          <w:tcPr>
            <w:tcW w:w="1291" w:type="dxa"/>
            <w:gridSpan w:val="2"/>
            <w:noWrap/>
            <w:vAlign w:val="center"/>
          </w:tcPr>
          <w:p w14:paraId="69C65960">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每月</w:t>
            </w:r>
          </w:p>
        </w:tc>
        <w:tc>
          <w:tcPr>
            <w:tcW w:w="1179" w:type="dxa"/>
            <w:noWrap/>
            <w:vAlign w:val="center"/>
          </w:tcPr>
          <w:p w14:paraId="5C97785A">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p>
        </w:tc>
        <w:tc>
          <w:tcPr>
            <w:tcW w:w="5214" w:type="dxa"/>
            <w:noWrap/>
            <w:vAlign w:val="top"/>
          </w:tcPr>
          <w:p w14:paraId="6D787007">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r>
              <w:rPr>
                <w:rFonts w:hint="eastAsia" w:ascii="宋体" w:hAnsi="宋体" w:eastAsia="宋体" w:cs="宋体"/>
                <w:color w:val="auto"/>
                <w:sz w:val="21"/>
                <w:szCs w:val="21"/>
              </w:rPr>
              <w:t>）</w:t>
            </w:r>
            <w:r>
              <w:rPr>
                <w:rFonts w:hint="eastAsia" w:ascii="宋体" w:hAnsi="宋体" w:eastAsia="宋体" w:cs="宋体"/>
                <w:color w:val="auto"/>
                <w:kern w:val="2"/>
                <w:sz w:val="21"/>
                <w:szCs w:val="21"/>
              </w:rPr>
              <w:t>检查木门门扇有无松动、下垂、翘曲变形、霉变和腐朽。</w:t>
            </w:r>
          </w:p>
          <w:p w14:paraId="29511377">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w:t>
            </w:r>
            <w:r>
              <w:rPr>
                <w:rFonts w:hint="eastAsia" w:ascii="宋体" w:hAnsi="宋体" w:eastAsia="宋体" w:cs="宋体"/>
                <w:color w:val="auto"/>
                <w:sz w:val="21"/>
                <w:szCs w:val="21"/>
              </w:rPr>
              <w:t>）</w:t>
            </w:r>
            <w:r>
              <w:rPr>
                <w:rFonts w:hint="eastAsia" w:ascii="宋体" w:hAnsi="宋体" w:eastAsia="宋体" w:cs="宋体"/>
                <w:color w:val="auto"/>
                <w:kern w:val="2"/>
                <w:sz w:val="21"/>
                <w:szCs w:val="21"/>
              </w:rPr>
              <w:t>检查门窗转轴松紧情况，或摩擦磨损部位是否需要添加润滑油，确保开闭灵活，无异响。</w:t>
            </w:r>
          </w:p>
          <w:p w14:paraId="00E81835">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w:t>
            </w:r>
            <w:r>
              <w:rPr>
                <w:rFonts w:hint="eastAsia" w:ascii="宋体" w:hAnsi="宋体" w:eastAsia="宋体" w:cs="宋体"/>
                <w:color w:val="auto"/>
                <w:sz w:val="21"/>
                <w:szCs w:val="21"/>
              </w:rPr>
              <w:t>）</w:t>
            </w:r>
            <w:r>
              <w:rPr>
                <w:rFonts w:hint="eastAsia" w:ascii="宋体" w:hAnsi="宋体" w:eastAsia="宋体" w:cs="宋体"/>
                <w:color w:val="auto"/>
                <w:kern w:val="2"/>
                <w:sz w:val="21"/>
                <w:szCs w:val="21"/>
              </w:rPr>
              <w:t>检查(塑)钢门窗、铝合金门窗有无变形、生锈。</w:t>
            </w:r>
          </w:p>
          <w:p w14:paraId="40EFB0AE">
            <w:pPr>
              <w:tabs>
                <w:tab w:val="left" w:pos="-51"/>
                <w:tab w:val="left" w:pos="878"/>
              </w:tabs>
              <w:snapToGrid w:val="0"/>
              <w:spacing w:line="240" w:lineRule="auto"/>
              <w:ind w:firstLine="0" w:firstLineChars="0"/>
              <w:jc w:val="both"/>
              <w:rPr>
                <w:rFonts w:hint="eastAsia" w:ascii="宋体" w:hAnsi="宋体" w:eastAsia="宋体" w:cs="宋体"/>
                <w:color w:val="auto"/>
                <w:sz w:val="21"/>
                <w:szCs w:val="21"/>
              </w:rPr>
            </w:pPr>
            <w:r>
              <w:rPr>
                <w:rFonts w:hint="eastAsia" w:ascii="宋体" w:hAnsi="宋体" w:eastAsia="宋体" w:cs="宋体"/>
                <w:color w:val="auto"/>
                <w:kern w:val="2"/>
                <w:sz w:val="21"/>
                <w:szCs w:val="21"/>
              </w:rPr>
              <w:t>4</w:t>
            </w:r>
            <w:r>
              <w:rPr>
                <w:rFonts w:hint="eastAsia" w:ascii="宋体" w:hAnsi="宋体" w:eastAsia="宋体" w:cs="宋体"/>
                <w:color w:val="auto"/>
                <w:sz w:val="21"/>
                <w:szCs w:val="21"/>
              </w:rPr>
              <w:t>）</w:t>
            </w:r>
            <w:r>
              <w:rPr>
                <w:rFonts w:hint="eastAsia" w:ascii="宋体" w:hAnsi="宋体" w:eastAsia="宋体" w:cs="宋体"/>
                <w:color w:val="auto"/>
                <w:kern w:val="2"/>
                <w:sz w:val="21"/>
                <w:szCs w:val="21"/>
              </w:rPr>
              <w:t>检查门锁、窗锁是否有损坏、生锈。</w:t>
            </w:r>
          </w:p>
        </w:tc>
      </w:tr>
      <w:tr w14:paraId="745E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444" w:type="dxa"/>
            <w:gridSpan w:val="4"/>
            <w:vMerge w:val="continue"/>
            <w:noWrap/>
            <w:vAlign w:val="center"/>
          </w:tcPr>
          <w:p w14:paraId="71351DE5">
            <w:pPr>
              <w:spacing w:line="240" w:lineRule="auto"/>
              <w:ind w:firstLine="0" w:firstLineChars="0"/>
              <w:jc w:val="both"/>
              <w:rPr>
                <w:rFonts w:hint="eastAsia" w:ascii="宋体" w:hAnsi="宋体" w:eastAsia="宋体" w:cs="宋体"/>
                <w:color w:val="auto"/>
                <w:kern w:val="2"/>
                <w:sz w:val="21"/>
                <w:szCs w:val="21"/>
              </w:rPr>
            </w:pPr>
          </w:p>
        </w:tc>
        <w:tc>
          <w:tcPr>
            <w:tcW w:w="1291" w:type="dxa"/>
            <w:gridSpan w:val="2"/>
            <w:noWrap/>
            <w:vAlign w:val="center"/>
          </w:tcPr>
          <w:p w14:paraId="51A546A0">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每半年</w:t>
            </w:r>
          </w:p>
        </w:tc>
        <w:tc>
          <w:tcPr>
            <w:tcW w:w="1179" w:type="dxa"/>
            <w:noWrap/>
            <w:vAlign w:val="center"/>
          </w:tcPr>
          <w:p w14:paraId="5D90296C">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p>
        </w:tc>
        <w:tc>
          <w:tcPr>
            <w:tcW w:w="5214" w:type="dxa"/>
            <w:noWrap/>
            <w:vAlign w:val="center"/>
          </w:tcPr>
          <w:p w14:paraId="1B9EDFDA">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1）更换门窗、锁的易磨损部件。</w:t>
            </w:r>
          </w:p>
        </w:tc>
      </w:tr>
      <w:tr w14:paraId="7046D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444" w:type="dxa"/>
            <w:gridSpan w:val="4"/>
            <w:noWrap/>
            <w:vAlign w:val="center"/>
          </w:tcPr>
          <w:p w14:paraId="039F7668">
            <w:pPr>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防护栏</w:t>
            </w:r>
          </w:p>
        </w:tc>
        <w:tc>
          <w:tcPr>
            <w:tcW w:w="1291" w:type="dxa"/>
            <w:gridSpan w:val="2"/>
            <w:noWrap/>
            <w:vAlign w:val="center"/>
          </w:tcPr>
          <w:p w14:paraId="164C3145">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每年</w:t>
            </w:r>
          </w:p>
        </w:tc>
        <w:tc>
          <w:tcPr>
            <w:tcW w:w="1179" w:type="dxa"/>
            <w:noWrap/>
            <w:vAlign w:val="center"/>
          </w:tcPr>
          <w:p w14:paraId="0BA5C971">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p>
        </w:tc>
        <w:tc>
          <w:tcPr>
            <w:tcW w:w="5214" w:type="dxa"/>
            <w:noWrap/>
            <w:vAlign w:val="center"/>
          </w:tcPr>
          <w:p w14:paraId="3380BEFD">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r>
              <w:rPr>
                <w:rFonts w:hint="eastAsia" w:ascii="宋体" w:hAnsi="宋体" w:eastAsia="宋体" w:cs="宋体"/>
                <w:bCs/>
                <w:color w:val="auto"/>
                <w:sz w:val="21"/>
                <w:szCs w:val="21"/>
              </w:rPr>
              <w:t>对本项目外围墙及楼顶围栏进行油漆翻新一次。</w:t>
            </w:r>
          </w:p>
        </w:tc>
      </w:tr>
      <w:tr w14:paraId="0FACC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44" w:type="dxa"/>
            <w:gridSpan w:val="4"/>
            <w:noWrap/>
            <w:vAlign w:val="center"/>
          </w:tcPr>
          <w:p w14:paraId="17DA734D">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地下室</w:t>
            </w:r>
          </w:p>
        </w:tc>
        <w:tc>
          <w:tcPr>
            <w:tcW w:w="1291" w:type="dxa"/>
            <w:gridSpan w:val="2"/>
            <w:noWrap/>
            <w:vAlign w:val="center"/>
          </w:tcPr>
          <w:p w14:paraId="4D0A3E17">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每周</w:t>
            </w:r>
          </w:p>
        </w:tc>
        <w:tc>
          <w:tcPr>
            <w:tcW w:w="1179" w:type="dxa"/>
            <w:noWrap/>
            <w:vAlign w:val="center"/>
          </w:tcPr>
          <w:p w14:paraId="37FE186C">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p>
        </w:tc>
        <w:tc>
          <w:tcPr>
            <w:tcW w:w="5214" w:type="dxa"/>
            <w:noWrap/>
            <w:vAlign w:val="top"/>
          </w:tcPr>
          <w:p w14:paraId="507209A3">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1）检查地下室天花、墙面和地板饰面有无起壳、脱落和渗漏水现象，发现问题及时修复。</w:t>
            </w:r>
          </w:p>
        </w:tc>
      </w:tr>
      <w:tr w14:paraId="0756E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44" w:type="dxa"/>
            <w:gridSpan w:val="4"/>
            <w:noWrap/>
            <w:vAlign w:val="center"/>
          </w:tcPr>
          <w:p w14:paraId="33E3255E">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大楼渗水</w:t>
            </w:r>
          </w:p>
        </w:tc>
        <w:tc>
          <w:tcPr>
            <w:tcW w:w="2470" w:type="dxa"/>
            <w:gridSpan w:val="3"/>
            <w:noWrap/>
            <w:vAlign w:val="center"/>
          </w:tcPr>
          <w:p w14:paraId="7B5B3A59">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根据需要</w:t>
            </w:r>
          </w:p>
        </w:tc>
        <w:tc>
          <w:tcPr>
            <w:tcW w:w="5214" w:type="dxa"/>
            <w:noWrap/>
            <w:vAlign w:val="top"/>
          </w:tcPr>
          <w:p w14:paraId="7FE624EA">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1）及时检查大楼内、外墙和楼板的渗漏点，发现问题及时处理，一般渗漏点需在20天内完成防水补漏处理，属技术疑难问题需请专业防水公司处理的，处理时间经招标人批准可适当延长。</w:t>
            </w:r>
          </w:p>
        </w:tc>
      </w:tr>
      <w:tr w14:paraId="29C10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4" w:type="dxa"/>
            <w:vMerge w:val="restart"/>
            <w:noWrap/>
            <w:vAlign w:val="center"/>
          </w:tcPr>
          <w:p w14:paraId="1F9802A3">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水龙头</w:t>
            </w:r>
          </w:p>
        </w:tc>
        <w:tc>
          <w:tcPr>
            <w:tcW w:w="940" w:type="dxa"/>
            <w:gridSpan w:val="3"/>
            <w:noWrap/>
            <w:vAlign w:val="center"/>
          </w:tcPr>
          <w:p w14:paraId="6965E2E1">
            <w:pPr>
              <w:tabs>
                <w:tab w:val="left" w:pos="-51"/>
                <w:tab w:val="left" w:pos="878"/>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开关感应器</w:t>
            </w:r>
          </w:p>
        </w:tc>
        <w:tc>
          <w:tcPr>
            <w:tcW w:w="1062" w:type="dxa"/>
            <w:noWrap/>
            <w:vAlign w:val="center"/>
          </w:tcPr>
          <w:p w14:paraId="780FEAED">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每月</w:t>
            </w:r>
          </w:p>
        </w:tc>
        <w:tc>
          <w:tcPr>
            <w:tcW w:w="1408" w:type="dxa"/>
            <w:gridSpan w:val="2"/>
            <w:noWrap/>
            <w:vAlign w:val="center"/>
          </w:tcPr>
          <w:p w14:paraId="524FB0AC">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p>
        </w:tc>
        <w:tc>
          <w:tcPr>
            <w:tcW w:w="5214" w:type="dxa"/>
            <w:noWrap/>
            <w:vAlign w:val="center"/>
          </w:tcPr>
          <w:p w14:paraId="048B693C">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1）确保感应灵敏，开关灵活。</w:t>
            </w:r>
          </w:p>
        </w:tc>
      </w:tr>
      <w:tr w14:paraId="0F4F9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4" w:type="dxa"/>
            <w:vMerge w:val="continue"/>
            <w:noWrap/>
            <w:vAlign w:val="center"/>
          </w:tcPr>
          <w:p w14:paraId="51D6A5B2">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p>
        </w:tc>
        <w:tc>
          <w:tcPr>
            <w:tcW w:w="940" w:type="dxa"/>
            <w:gridSpan w:val="3"/>
            <w:noWrap/>
            <w:vAlign w:val="center"/>
          </w:tcPr>
          <w:p w14:paraId="36A20B3E">
            <w:pPr>
              <w:tabs>
                <w:tab w:val="left" w:pos="-51"/>
                <w:tab w:val="left" w:pos="878"/>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水龙头过滤网</w:t>
            </w:r>
          </w:p>
        </w:tc>
        <w:tc>
          <w:tcPr>
            <w:tcW w:w="1062" w:type="dxa"/>
            <w:noWrap/>
            <w:vAlign w:val="center"/>
          </w:tcPr>
          <w:p w14:paraId="67243895">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每月</w:t>
            </w:r>
          </w:p>
        </w:tc>
        <w:tc>
          <w:tcPr>
            <w:tcW w:w="1408" w:type="dxa"/>
            <w:gridSpan w:val="2"/>
            <w:noWrap/>
            <w:vAlign w:val="center"/>
          </w:tcPr>
          <w:p w14:paraId="13019AC0">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p>
        </w:tc>
        <w:tc>
          <w:tcPr>
            <w:tcW w:w="5214" w:type="dxa"/>
            <w:noWrap/>
            <w:vAlign w:val="center"/>
          </w:tcPr>
          <w:p w14:paraId="0BF612CA">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1）确保没有沙粒残留，流水畅顺。</w:t>
            </w:r>
          </w:p>
        </w:tc>
      </w:tr>
      <w:tr w14:paraId="55A9E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4" w:type="dxa"/>
            <w:vMerge w:val="continue"/>
            <w:noWrap/>
            <w:vAlign w:val="center"/>
          </w:tcPr>
          <w:p w14:paraId="7CC27514">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p>
        </w:tc>
        <w:tc>
          <w:tcPr>
            <w:tcW w:w="940" w:type="dxa"/>
            <w:gridSpan w:val="3"/>
            <w:noWrap/>
            <w:vAlign w:val="center"/>
          </w:tcPr>
          <w:p w14:paraId="7A29BEB7">
            <w:pPr>
              <w:tabs>
                <w:tab w:val="left" w:pos="-51"/>
                <w:tab w:val="left" w:pos="878"/>
              </w:tabs>
              <w:snapToGrid w:val="0"/>
              <w:spacing w:line="240" w:lineRule="auto"/>
              <w:ind w:firstLine="0" w:firstLineChars="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下水管口、管道</w:t>
            </w:r>
          </w:p>
        </w:tc>
        <w:tc>
          <w:tcPr>
            <w:tcW w:w="1062" w:type="dxa"/>
            <w:noWrap/>
            <w:vAlign w:val="center"/>
          </w:tcPr>
          <w:p w14:paraId="044678B2">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每月</w:t>
            </w:r>
          </w:p>
        </w:tc>
        <w:tc>
          <w:tcPr>
            <w:tcW w:w="1408" w:type="dxa"/>
            <w:gridSpan w:val="2"/>
            <w:noWrap/>
            <w:vAlign w:val="center"/>
          </w:tcPr>
          <w:p w14:paraId="6403551D">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p>
        </w:tc>
        <w:tc>
          <w:tcPr>
            <w:tcW w:w="5214" w:type="dxa"/>
            <w:noWrap/>
            <w:vAlign w:val="center"/>
          </w:tcPr>
          <w:p w14:paraId="0CF2BBEA">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1）查看是否漏水、是否堵塞。</w:t>
            </w:r>
          </w:p>
        </w:tc>
      </w:tr>
      <w:tr w14:paraId="5F18A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444" w:type="dxa"/>
            <w:gridSpan w:val="4"/>
            <w:noWrap/>
            <w:vAlign w:val="center"/>
          </w:tcPr>
          <w:p w14:paraId="6D9DFA11">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便池感应冲水器</w:t>
            </w:r>
          </w:p>
        </w:tc>
        <w:tc>
          <w:tcPr>
            <w:tcW w:w="1062" w:type="dxa"/>
            <w:noWrap/>
            <w:vAlign w:val="center"/>
          </w:tcPr>
          <w:p w14:paraId="35F93856">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每月</w:t>
            </w:r>
          </w:p>
        </w:tc>
        <w:tc>
          <w:tcPr>
            <w:tcW w:w="1408" w:type="dxa"/>
            <w:gridSpan w:val="2"/>
            <w:noWrap/>
            <w:vAlign w:val="center"/>
          </w:tcPr>
          <w:p w14:paraId="5730D7FE">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p>
        </w:tc>
        <w:tc>
          <w:tcPr>
            <w:tcW w:w="5214" w:type="dxa"/>
            <w:noWrap/>
            <w:vAlign w:val="center"/>
          </w:tcPr>
          <w:p w14:paraId="40FC0738">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1）确保感应灵敏，开关灵活，冲水量充足。</w:t>
            </w:r>
          </w:p>
        </w:tc>
      </w:tr>
      <w:tr w14:paraId="08395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444" w:type="dxa"/>
            <w:gridSpan w:val="4"/>
            <w:noWrap/>
            <w:vAlign w:val="center"/>
          </w:tcPr>
          <w:p w14:paraId="5380BD8B">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蹲厕手动冲水器</w:t>
            </w:r>
          </w:p>
        </w:tc>
        <w:tc>
          <w:tcPr>
            <w:tcW w:w="1062" w:type="dxa"/>
            <w:noWrap/>
            <w:vAlign w:val="center"/>
          </w:tcPr>
          <w:p w14:paraId="49A160A8">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每月</w:t>
            </w:r>
          </w:p>
        </w:tc>
        <w:tc>
          <w:tcPr>
            <w:tcW w:w="1408" w:type="dxa"/>
            <w:gridSpan w:val="2"/>
            <w:noWrap/>
            <w:vAlign w:val="center"/>
          </w:tcPr>
          <w:p w14:paraId="1E291E7C">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p>
        </w:tc>
        <w:tc>
          <w:tcPr>
            <w:tcW w:w="5214" w:type="dxa"/>
            <w:noWrap/>
            <w:vAlign w:val="center"/>
          </w:tcPr>
          <w:p w14:paraId="121E3378">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1）确保开关灵活，冲水量充足。</w:t>
            </w:r>
          </w:p>
        </w:tc>
      </w:tr>
      <w:tr w14:paraId="42F69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444" w:type="dxa"/>
            <w:gridSpan w:val="4"/>
            <w:noWrap/>
            <w:vAlign w:val="center"/>
          </w:tcPr>
          <w:p w14:paraId="2DBC747A">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排气扇</w:t>
            </w:r>
          </w:p>
        </w:tc>
        <w:tc>
          <w:tcPr>
            <w:tcW w:w="1062" w:type="dxa"/>
            <w:noWrap/>
            <w:vAlign w:val="center"/>
          </w:tcPr>
          <w:p w14:paraId="02CF1EED">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每周</w:t>
            </w:r>
          </w:p>
        </w:tc>
        <w:tc>
          <w:tcPr>
            <w:tcW w:w="1408" w:type="dxa"/>
            <w:gridSpan w:val="2"/>
            <w:noWrap/>
            <w:vAlign w:val="center"/>
          </w:tcPr>
          <w:p w14:paraId="1C0824B4">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p>
        </w:tc>
        <w:tc>
          <w:tcPr>
            <w:tcW w:w="5214" w:type="dxa"/>
            <w:noWrap/>
            <w:vAlign w:val="center"/>
          </w:tcPr>
          <w:p w14:paraId="0C05F64F">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1）确保风扇转速均匀，无异响。每月清洗1次风叶。</w:t>
            </w:r>
          </w:p>
        </w:tc>
      </w:tr>
      <w:tr w14:paraId="63C68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444" w:type="dxa"/>
            <w:gridSpan w:val="4"/>
            <w:noWrap/>
            <w:vAlign w:val="center"/>
          </w:tcPr>
          <w:p w14:paraId="30B291B5">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电开水器</w:t>
            </w:r>
          </w:p>
        </w:tc>
        <w:tc>
          <w:tcPr>
            <w:tcW w:w="1062" w:type="dxa"/>
            <w:noWrap/>
            <w:vAlign w:val="center"/>
          </w:tcPr>
          <w:p w14:paraId="033A3C08">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每周</w:t>
            </w:r>
          </w:p>
        </w:tc>
        <w:tc>
          <w:tcPr>
            <w:tcW w:w="1408" w:type="dxa"/>
            <w:gridSpan w:val="2"/>
            <w:noWrap/>
            <w:vAlign w:val="center"/>
          </w:tcPr>
          <w:p w14:paraId="424205AF">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p>
        </w:tc>
        <w:tc>
          <w:tcPr>
            <w:tcW w:w="5214" w:type="dxa"/>
            <w:noWrap/>
            <w:vAlign w:val="center"/>
          </w:tcPr>
          <w:p w14:paraId="4F39E2EC">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1）确保加热正常，水温达到标准。每两个月清洗1次过滤器芯。</w:t>
            </w:r>
          </w:p>
        </w:tc>
      </w:tr>
    </w:tbl>
    <w:p w14:paraId="17954463">
      <w:pPr>
        <w:keepNext/>
        <w:keepLines/>
        <w:numPr>
          <w:ilvl w:val="0"/>
          <w:numId w:val="14"/>
        </w:numPr>
        <w:snapToGrid w:val="0"/>
        <w:spacing w:line="360" w:lineRule="auto"/>
        <w:ind w:left="0" w:firstLine="420"/>
        <w:rPr>
          <w:rFonts w:hint="eastAsia" w:ascii="宋体" w:hAnsi="宋体" w:eastAsia="宋体" w:cs="宋体"/>
          <w:color w:val="auto"/>
          <w:sz w:val="21"/>
          <w:szCs w:val="21"/>
        </w:rPr>
      </w:pPr>
      <w:r>
        <w:rPr>
          <w:rFonts w:hint="eastAsia" w:ascii="宋体" w:hAnsi="宋体" w:eastAsia="宋体" w:cs="宋体"/>
          <w:color w:val="auto"/>
          <w:sz w:val="21"/>
          <w:szCs w:val="21"/>
        </w:rPr>
        <w:t>公共配套设施维护与保养</w:t>
      </w:r>
    </w:p>
    <w:p w14:paraId="5D5E9131">
      <w:pPr>
        <w:keepNext/>
        <w:keepLines/>
        <w:numPr>
          <w:ilvl w:val="0"/>
          <w:numId w:val="16"/>
        </w:numPr>
        <w:snapToGrid w:val="0"/>
        <w:spacing w:line="360" w:lineRule="auto"/>
        <w:ind w:left="0" w:firstLine="420"/>
        <w:rPr>
          <w:rFonts w:hint="eastAsia" w:ascii="宋体" w:hAnsi="宋体" w:eastAsia="宋体" w:cs="宋体"/>
          <w:color w:val="auto"/>
          <w:sz w:val="21"/>
          <w:szCs w:val="21"/>
        </w:rPr>
      </w:pPr>
      <w:r>
        <w:rPr>
          <w:rFonts w:hint="eastAsia" w:ascii="宋体" w:hAnsi="宋体" w:eastAsia="宋体" w:cs="宋体"/>
          <w:color w:val="auto"/>
          <w:sz w:val="21"/>
          <w:szCs w:val="21"/>
        </w:rPr>
        <w:t>确保公共配套设施维护保养实施过程中所使用材料符合环保要求，并事先通过招标人审核。</w:t>
      </w:r>
    </w:p>
    <w:p w14:paraId="2ACFDDF3">
      <w:pPr>
        <w:keepNext/>
        <w:keepLines/>
        <w:numPr>
          <w:ilvl w:val="0"/>
          <w:numId w:val="16"/>
        </w:numPr>
        <w:snapToGrid w:val="0"/>
        <w:spacing w:line="360" w:lineRule="auto"/>
        <w:ind w:left="0" w:firstLine="420"/>
        <w:rPr>
          <w:rFonts w:hint="eastAsia" w:ascii="宋体" w:hAnsi="宋体" w:eastAsia="宋体" w:cs="宋体"/>
          <w:color w:val="auto"/>
          <w:sz w:val="21"/>
          <w:szCs w:val="21"/>
        </w:rPr>
      </w:pPr>
      <w:r>
        <w:rPr>
          <w:rFonts w:hint="eastAsia" w:ascii="宋体" w:hAnsi="宋体" w:eastAsia="宋体" w:cs="宋体"/>
          <w:color w:val="auto"/>
          <w:sz w:val="21"/>
          <w:szCs w:val="21"/>
        </w:rPr>
        <w:t>公共配套设施完好率&gt;98%，零修工程合格率100%，返修率&lt;0.5%，重大维修工程回访率100%。</w:t>
      </w:r>
    </w:p>
    <w:p w14:paraId="3B2517F2">
      <w:pPr>
        <w:keepNext/>
        <w:keepLines/>
        <w:numPr>
          <w:ilvl w:val="0"/>
          <w:numId w:val="16"/>
        </w:numPr>
        <w:snapToGrid w:val="0"/>
        <w:spacing w:line="360" w:lineRule="auto"/>
        <w:ind w:left="0" w:firstLine="420"/>
        <w:rPr>
          <w:rFonts w:hint="eastAsia" w:ascii="宋体" w:hAnsi="宋体" w:eastAsia="宋体" w:cs="宋体"/>
          <w:color w:val="auto"/>
          <w:sz w:val="21"/>
          <w:szCs w:val="21"/>
        </w:rPr>
      </w:pPr>
      <w:r>
        <w:rPr>
          <w:rFonts w:hint="eastAsia" w:ascii="宋体" w:hAnsi="宋体" w:eastAsia="宋体" w:cs="宋体"/>
          <w:color w:val="auto"/>
          <w:sz w:val="21"/>
          <w:szCs w:val="21"/>
        </w:rPr>
        <w:t>公共配套设施维护保养要求：</w:t>
      </w:r>
    </w:p>
    <w:tbl>
      <w:tblPr>
        <w:tblStyle w:val="41"/>
        <w:tblW w:w="8906" w:type="dxa"/>
        <w:jc w:val="center"/>
        <w:tblLayout w:type="fixed"/>
        <w:tblCellMar>
          <w:top w:w="0" w:type="dxa"/>
          <w:left w:w="108" w:type="dxa"/>
          <w:bottom w:w="0" w:type="dxa"/>
          <w:right w:w="108" w:type="dxa"/>
        </w:tblCellMar>
      </w:tblPr>
      <w:tblGrid>
        <w:gridCol w:w="1675"/>
        <w:gridCol w:w="889"/>
        <w:gridCol w:w="680"/>
        <w:gridCol w:w="5662"/>
      </w:tblGrid>
      <w:tr w14:paraId="590BE72F">
        <w:tblPrEx>
          <w:tblCellMar>
            <w:top w:w="0" w:type="dxa"/>
            <w:left w:w="108" w:type="dxa"/>
            <w:bottom w:w="0" w:type="dxa"/>
            <w:right w:w="108" w:type="dxa"/>
          </w:tblCellMar>
        </w:tblPrEx>
        <w:trPr>
          <w:trHeight w:val="20" w:hRule="atLeast"/>
          <w:jc w:val="center"/>
        </w:trPr>
        <w:tc>
          <w:tcPr>
            <w:tcW w:w="1675" w:type="dxa"/>
            <w:tcBorders>
              <w:top w:val="single" w:color="000000" w:sz="6" w:space="0"/>
              <w:left w:val="single" w:color="000000" w:sz="6" w:space="0"/>
              <w:bottom w:val="single" w:color="000000" w:sz="6" w:space="0"/>
              <w:right w:val="single" w:color="000000" w:sz="6" w:space="0"/>
            </w:tcBorders>
            <w:noWrap/>
            <w:vAlign w:val="center"/>
          </w:tcPr>
          <w:p w14:paraId="09C28B0A">
            <w:pPr>
              <w:spacing w:line="240" w:lineRule="auto"/>
              <w:ind w:firstLine="0" w:firstLineChars="0"/>
              <w:jc w:val="center"/>
              <w:rPr>
                <w:rFonts w:hint="eastAsia" w:ascii="宋体" w:hAnsi="宋体" w:eastAsia="宋体" w:cs="宋体"/>
                <w:b/>
                <w:color w:val="auto"/>
                <w:kern w:val="2"/>
                <w:sz w:val="21"/>
                <w:szCs w:val="21"/>
              </w:rPr>
            </w:pPr>
            <w:r>
              <w:rPr>
                <w:rFonts w:hint="eastAsia" w:ascii="宋体" w:hAnsi="宋体" w:eastAsia="宋体" w:cs="宋体"/>
                <w:b/>
                <w:color w:val="auto"/>
                <w:kern w:val="2"/>
                <w:sz w:val="21"/>
                <w:szCs w:val="21"/>
              </w:rPr>
              <w:t>项目</w:t>
            </w:r>
          </w:p>
        </w:tc>
        <w:tc>
          <w:tcPr>
            <w:tcW w:w="889" w:type="dxa"/>
            <w:tcBorders>
              <w:top w:val="single" w:color="000000" w:sz="6" w:space="0"/>
              <w:left w:val="single" w:color="000000" w:sz="6" w:space="0"/>
              <w:bottom w:val="single" w:color="000000" w:sz="6" w:space="0"/>
              <w:right w:val="single" w:color="000000" w:sz="6" w:space="0"/>
            </w:tcBorders>
            <w:noWrap/>
            <w:vAlign w:val="center"/>
          </w:tcPr>
          <w:p w14:paraId="1DD96622">
            <w:pPr>
              <w:spacing w:line="240" w:lineRule="auto"/>
              <w:ind w:firstLine="0" w:firstLineChars="0"/>
              <w:jc w:val="center"/>
              <w:rPr>
                <w:rFonts w:hint="eastAsia" w:ascii="宋体" w:hAnsi="宋体" w:eastAsia="宋体" w:cs="宋体"/>
                <w:b/>
                <w:color w:val="auto"/>
                <w:kern w:val="2"/>
                <w:sz w:val="21"/>
                <w:szCs w:val="21"/>
              </w:rPr>
            </w:pPr>
            <w:r>
              <w:rPr>
                <w:rFonts w:hint="eastAsia" w:ascii="宋体" w:hAnsi="宋体" w:eastAsia="宋体" w:cs="宋体"/>
                <w:b/>
                <w:color w:val="auto"/>
                <w:kern w:val="2"/>
                <w:sz w:val="21"/>
                <w:szCs w:val="21"/>
              </w:rPr>
              <w:t>时间</w:t>
            </w:r>
          </w:p>
        </w:tc>
        <w:tc>
          <w:tcPr>
            <w:tcW w:w="680" w:type="dxa"/>
            <w:tcBorders>
              <w:top w:val="single" w:color="000000" w:sz="6" w:space="0"/>
              <w:left w:val="single" w:color="000000" w:sz="6" w:space="0"/>
              <w:bottom w:val="single" w:color="000000" w:sz="6" w:space="0"/>
              <w:right w:val="single" w:color="000000" w:sz="6" w:space="0"/>
            </w:tcBorders>
            <w:noWrap/>
            <w:vAlign w:val="center"/>
          </w:tcPr>
          <w:p w14:paraId="30866D30">
            <w:pPr>
              <w:spacing w:line="240" w:lineRule="auto"/>
              <w:ind w:firstLine="0" w:firstLineChars="0"/>
              <w:jc w:val="center"/>
              <w:rPr>
                <w:rFonts w:hint="eastAsia" w:ascii="宋体" w:hAnsi="宋体" w:eastAsia="宋体" w:cs="宋体"/>
                <w:b/>
                <w:color w:val="auto"/>
                <w:kern w:val="2"/>
                <w:sz w:val="21"/>
                <w:szCs w:val="21"/>
              </w:rPr>
            </w:pPr>
            <w:r>
              <w:rPr>
                <w:rFonts w:hint="eastAsia" w:ascii="宋体" w:hAnsi="宋体" w:eastAsia="宋体" w:cs="宋体"/>
                <w:b/>
                <w:color w:val="auto"/>
                <w:kern w:val="2"/>
                <w:sz w:val="21"/>
                <w:szCs w:val="21"/>
              </w:rPr>
              <w:t>次数</w:t>
            </w:r>
          </w:p>
        </w:tc>
        <w:tc>
          <w:tcPr>
            <w:tcW w:w="5662" w:type="dxa"/>
            <w:tcBorders>
              <w:top w:val="single" w:color="000000" w:sz="6" w:space="0"/>
              <w:left w:val="single" w:color="000000" w:sz="6" w:space="0"/>
              <w:bottom w:val="single" w:color="000000" w:sz="6" w:space="0"/>
              <w:right w:val="single" w:color="000000" w:sz="6" w:space="0"/>
            </w:tcBorders>
            <w:noWrap/>
            <w:vAlign w:val="top"/>
          </w:tcPr>
          <w:p w14:paraId="4207F378">
            <w:pPr>
              <w:spacing w:line="240" w:lineRule="auto"/>
              <w:ind w:firstLine="0" w:firstLineChars="0"/>
              <w:jc w:val="center"/>
              <w:rPr>
                <w:rFonts w:hint="eastAsia" w:ascii="宋体" w:hAnsi="宋体" w:eastAsia="宋体" w:cs="宋体"/>
                <w:b/>
                <w:color w:val="auto"/>
                <w:kern w:val="2"/>
                <w:sz w:val="21"/>
                <w:szCs w:val="21"/>
              </w:rPr>
            </w:pPr>
            <w:r>
              <w:rPr>
                <w:rFonts w:hint="eastAsia" w:ascii="宋体" w:hAnsi="宋体" w:eastAsia="宋体" w:cs="宋体"/>
                <w:b/>
                <w:color w:val="auto"/>
                <w:kern w:val="2"/>
                <w:sz w:val="21"/>
                <w:szCs w:val="21"/>
              </w:rPr>
              <w:t>维护保养内容</w:t>
            </w:r>
          </w:p>
        </w:tc>
      </w:tr>
      <w:tr w14:paraId="72859B57">
        <w:tblPrEx>
          <w:tblCellMar>
            <w:top w:w="0" w:type="dxa"/>
            <w:left w:w="108" w:type="dxa"/>
            <w:bottom w:w="0" w:type="dxa"/>
            <w:right w:w="108" w:type="dxa"/>
          </w:tblCellMar>
        </w:tblPrEx>
        <w:trPr>
          <w:trHeight w:val="20" w:hRule="atLeast"/>
          <w:jc w:val="center"/>
        </w:trPr>
        <w:tc>
          <w:tcPr>
            <w:tcW w:w="1675" w:type="dxa"/>
            <w:tcBorders>
              <w:top w:val="single" w:color="000000" w:sz="6" w:space="0"/>
              <w:left w:val="single" w:color="000000" w:sz="6" w:space="0"/>
              <w:bottom w:val="single" w:color="000000" w:sz="6" w:space="0"/>
              <w:right w:val="single" w:color="000000" w:sz="6" w:space="0"/>
            </w:tcBorders>
            <w:noWrap/>
            <w:vAlign w:val="center"/>
          </w:tcPr>
          <w:p w14:paraId="5DAD8B2B">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路面路基</w:t>
            </w:r>
          </w:p>
        </w:tc>
        <w:tc>
          <w:tcPr>
            <w:tcW w:w="889" w:type="dxa"/>
            <w:tcBorders>
              <w:top w:val="single" w:color="000000" w:sz="6" w:space="0"/>
              <w:left w:val="single" w:color="000000" w:sz="6" w:space="0"/>
              <w:bottom w:val="single" w:color="000000" w:sz="6" w:space="0"/>
              <w:right w:val="single" w:color="000000" w:sz="6" w:space="0"/>
            </w:tcBorders>
            <w:noWrap/>
            <w:vAlign w:val="center"/>
          </w:tcPr>
          <w:p w14:paraId="0B339F04">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每周</w:t>
            </w:r>
          </w:p>
        </w:tc>
        <w:tc>
          <w:tcPr>
            <w:tcW w:w="680" w:type="dxa"/>
            <w:tcBorders>
              <w:top w:val="single" w:color="000000" w:sz="6" w:space="0"/>
              <w:left w:val="single" w:color="000000" w:sz="6" w:space="0"/>
              <w:bottom w:val="single" w:color="000000" w:sz="6" w:space="0"/>
              <w:right w:val="single" w:color="000000" w:sz="6" w:space="0"/>
            </w:tcBorders>
            <w:noWrap/>
            <w:vAlign w:val="center"/>
          </w:tcPr>
          <w:p w14:paraId="2873A7AA">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p>
        </w:tc>
        <w:tc>
          <w:tcPr>
            <w:tcW w:w="5662" w:type="dxa"/>
            <w:tcBorders>
              <w:top w:val="single" w:color="000000" w:sz="6" w:space="0"/>
              <w:left w:val="single" w:color="000000" w:sz="6" w:space="0"/>
              <w:bottom w:val="single" w:color="000000" w:sz="6" w:space="0"/>
              <w:right w:val="single" w:color="000000" w:sz="6" w:space="0"/>
            </w:tcBorders>
            <w:noWrap/>
            <w:vAlign w:val="top"/>
          </w:tcPr>
          <w:p w14:paraId="25D6E001">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1）检查路面有无积水。</w:t>
            </w:r>
          </w:p>
          <w:p w14:paraId="11241025">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2）检查道路路面有无起壳、地鼓、裂缝。</w:t>
            </w:r>
          </w:p>
          <w:p w14:paraId="0561D8E9">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3）检查路基有无塌陷。</w:t>
            </w:r>
          </w:p>
          <w:p w14:paraId="5EEA4DB8">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4）发现异常及时处理或修复。</w:t>
            </w:r>
          </w:p>
        </w:tc>
      </w:tr>
      <w:tr w14:paraId="4FDA39C2">
        <w:tblPrEx>
          <w:tblCellMar>
            <w:top w:w="0" w:type="dxa"/>
            <w:left w:w="108" w:type="dxa"/>
            <w:bottom w:w="0" w:type="dxa"/>
            <w:right w:w="108" w:type="dxa"/>
          </w:tblCellMar>
        </w:tblPrEx>
        <w:trPr>
          <w:trHeight w:val="20" w:hRule="atLeast"/>
          <w:jc w:val="center"/>
        </w:trPr>
        <w:tc>
          <w:tcPr>
            <w:tcW w:w="1675" w:type="dxa"/>
            <w:vMerge w:val="restart"/>
            <w:tcBorders>
              <w:top w:val="single" w:color="000000" w:sz="6" w:space="0"/>
              <w:left w:val="single" w:color="000000" w:sz="6" w:space="0"/>
              <w:bottom w:val="single" w:color="000000" w:sz="6" w:space="0"/>
              <w:right w:val="single" w:color="000000" w:sz="6" w:space="0"/>
            </w:tcBorders>
            <w:noWrap/>
            <w:vAlign w:val="center"/>
          </w:tcPr>
          <w:p w14:paraId="2117405A">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停车场(库)</w:t>
            </w:r>
          </w:p>
        </w:tc>
        <w:tc>
          <w:tcPr>
            <w:tcW w:w="889" w:type="dxa"/>
            <w:tcBorders>
              <w:top w:val="single" w:color="000000" w:sz="6" w:space="0"/>
              <w:left w:val="single" w:color="000000" w:sz="6" w:space="0"/>
              <w:bottom w:val="single" w:color="000000" w:sz="6" w:space="0"/>
              <w:right w:val="single" w:color="000000" w:sz="6" w:space="0"/>
            </w:tcBorders>
            <w:noWrap/>
            <w:vAlign w:val="center"/>
          </w:tcPr>
          <w:p w14:paraId="43852613">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每日</w:t>
            </w:r>
          </w:p>
        </w:tc>
        <w:tc>
          <w:tcPr>
            <w:tcW w:w="680" w:type="dxa"/>
            <w:tcBorders>
              <w:top w:val="single" w:color="000000" w:sz="6" w:space="0"/>
              <w:left w:val="single" w:color="000000" w:sz="6" w:space="0"/>
              <w:bottom w:val="single" w:color="000000" w:sz="6" w:space="0"/>
              <w:right w:val="single" w:color="000000" w:sz="6" w:space="0"/>
            </w:tcBorders>
            <w:noWrap/>
            <w:vAlign w:val="center"/>
          </w:tcPr>
          <w:p w14:paraId="00A28589">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p>
        </w:tc>
        <w:tc>
          <w:tcPr>
            <w:tcW w:w="5662" w:type="dxa"/>
            <w:tcBorders>
              <w:top w:val="single" w:color="000000" w:sz="6" w:space="0"/>
              <w:left w:val="single" w:color="000000" w:sz="6" w:space="0"/>
              <w:bottom w:val="single" w:color="000000" w:sz="6" w:space="0"/>
              <w:right w:val="single" w:color="000000" w:sz="6" w:space="0"/>
            </w:tcBorders>
            <w:noWrap/>
            <w:vAlign w:val="top"/>
          </w:tcPr>
          <w:p w14:paraId="0BDE514B">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1）检查路面有无积水。</w:t>
            </w:r>
          </w:p>
          <w:p w14:paraId="0BE2E959">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2）检查停车场地面有无起壳、地鼓、裂缝。</w:t>
            </w:r>
          </w:p>
          <w:p w14:paraId="4ACF85C9">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3）检查车道灯有无损坏。</w:t>
            </w:r>
          </w:p>
          <w:p w14:paraId="68C445AB">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4）检查行车指示标志是否正常。</w:t>
            </w:r>
          </w:p>
          <w:p w14:paraId="06CF5168">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5）发现异常即时处理或修复。</w:t>
            </w:r>
          </w:p>
        </w:tc>
      </w:tr>
      <w:tr w14:paraId="33B018EA">
        <w:tblPrEx>
          <w:tblCellMar>
            <w:top w:w="0" w:type="dxa"/>
            <w:left w:w="108" w:type="dxa"/>
            <w:bottom w:w="0" w:type="dxa"/>
            <w:right w:w="108" w:type="dxa"/>
          </w:tblCellMar>
        </w:tblPrEx>
        <w:trPr>
          <w:trHeight w:val="20" w:hRule="atLeast"/>
          <w:jc w:val="center"/>
        </w:trPr>
        <w:tc>
          <w:tcPr>
            <w:tcW w:w="1675" w:type="dxa"/>
            <w:vMerge w:val="continue"/>
            <w:tcBorders>
              <w:top w:val="single" w:color="000000" w:sz="6" w:space="0"/>
              <w:left w:val="single" w:color="000000" w:sz="6" w:space="0"/>
              <w:bottom w:val="single" w:color="000000" w:sz="6" w:space="0"/>
              <w:right w:val="single" w:color="000000" w:sz="6" w:space="0"/>
            </w:tcBorders>
            <w:noWrap/>
            <w:vAlign w:val="center"/>
          </w:tcPr>
          <w:p w14:paraId="3003394E">
            <w:pPr>
              <w:spacing w:line="240" w:lineRule="auto"/>
              <w:ind w:firstLine="0" w:firstLineChars="0"/>
              <w:jc w:val="both"/>
              <w:rPr>
                <w:rFonts w:hint="eastAsia" w:ascii="宋体" w:hAnsi="宋体" w:eastAsia="宋体" w:cs="宋体"/>
                <w:color w:val="auto"/>
                <w:kern w:val="2"/>
                <w:sz w:val="21"/>
                <w:szCs w:val="21"/>
              </w:rPr>
            </w:pPr>
          </w:p>
        </w:tc>
        <w:tc>
          <w:tcPr>
            <w:tcW w:w="889" w:type="dxa"/>
            <w:tcBorders>
              <w:top w:val="single" w:color="000000" w:sz="6" w:space="0"/>
              <w:left w:val="single" w:color="000000" w:sz="6" w:space="0"/>
              <w:bottom w:val="single" w:color="000000" w:sz="6" w:space="0"/>
              <w:right w:val="single" w:color="000000" w:sz="6" w:space="0"/>
            </w:tcBorders>
            <w:noWrap/>
            <w:vAlign w:val="center"/>
          </w:tcPr>
          <w:p w14:paraId="55235602">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每月</w:t>
            </w:r>
          </w:p>
        </w:tc>
        <w:tc>
          <w:tcPr>
            <w:tcW w:w="680" w:type="dxa"/>
            <w:tcBorders>
              <w:top w:val="single" w:color="000000" w:sz="6" w:space="0"/>
              <w:left w:val="single" w:color="000000" w:sz="6" w:space="0"/>
              <w:bottom w:val="single" w:color="000000" w:sz="6" w:space="0"/>
              <w:right w:val="single" w:color="000000" w:sz="6" w:space="0"/>
            </w:tcBorders>
            <w:noWrap/>
            <w:vAlign w:val="center"/>
          </w:tcPr>
          <w:p w14:paraId="6B44982A">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p>
        </w:tc>
        <w:tc>
          <w:tcPr>
            <w:tcW w:w="5662" w:type="dxa"/>
            <w:tcBorders>
              <w:top w:val="single" w:color="000000" w:sz="6" w:space="0"/>
              <w:left w:val="single" w:color="000000" w:sz="6" w:space="0"/>
              <w:bottom w:val="single" w:color="000000" w:sz="6" w:space="0"/>
              <w:right w:val="single" w:color="000000" w:sz="6" w:space="0"/>
            </w:tcBorders>
            <w:noWrap/>
            <w:vAlign w:val="top"/>
          </w:tcPr>
          <w:p w14:paraId="246F96A1">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1）检查停车线、行车指示线是否清晰、完整。</w:t>
            </w:r>
          </w:p>
          <w:p w14:paraId="3DAD1E77">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2）限速牌、指示牌是否齐全、完整。</w:t>
            </w:r>
          </w:p>
          <w:p w14:paraId="3C57CB1F">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3）检查挡车器是否正常。</w:t>
            </w:r>
          </w:p>
        </w:tc>
      </w:tr>
      <w:tr w14:paraId="439A0309">
        <w:tblPrEx>
          <w:tblCellMar>
            <w:top w:w="0" w:type="dxa"/>
            <w:left w:w="108" w:type="dxa"/>
            <w:bottom w:w="0" w:type="dxa"/>
            <w:right w:w="108" w:type="dxa"/>
          </w:tblCellMar>
        </w:tblPrEx>
        <w:trPr>
          <w:trHeight w:val="20" w:hRule="atLeast"/>
          <w:jc w:val="center"/>
        </w:trPr>
        <w:tc>
          <w:tcPr>
            <w:tcW w:w="1675" w:type="dxa"/>
            <w:vMerge w:val="restart"/>
            <w:tcBorders>
              <w:top w:val="single" w:color="000000" w:sz="6" w:space="0"/>
              <w:left w:val="single" w:color="000000" w:sz="6" w:space="0"/>
              <w:bottom w:val="single" w:color="000000" w:sz="6" w:space="0"/>
              <w:right w:val="single" w:color="000000" w:sz="6" w:space="0"/>
            </w:tcBorders>
            <w:noWrap/>
            <w:vAlign w:val="center"/>
          </w:tcPr>
          <w:p w14:paraId="768FD055">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沟渠池井</w:t>
            </w:r>
          </w:p>
        </w:tc>
        <w:tc>
          <w:tcPr>
            <w:tcW w:w="889" w:type="dxa"/>
            <w:tcBorders>
              <w:top w:val="single" w:color="000000" w:sz="6" w:space="0"/>
              <w:left w:val="single" w:color="000000" w:sz="6" w:space="0"/>
              <w:bottom w:val="single" w:color="000000" w:sz="6" w:space="0"/>
              <w:right w:val="single" w:color="000000" w:sz="6" w:space="0"/>
            </w:tcBorders>
            <w:noWrap/>
            <w:vAlign w:val="center"/>
          </w:tcPr>
          <w:p w14:paraId="2BA61DC9">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每周</w:t>
            </w:r>
          </w:p>
        </w:tc>
        <w:tc>
          <w:tcPr>
            <w:tcW w:w="680" w:type="dxa"/>
            <w:tcBorders>
              <w:top w:val="single" w:color="000000" w:sz="6" w:space="0"/>
              <w:left w:val="single" w:color="000000" w:sz="6" w:space="0"/>
              <w:bottom w:val="single" w:color="000000" w:sz="6" w:space="0"/>
              <w:right w:val="single" w:color="000000" w:sz="6" w:space="0"/>
            </w:tcBorders>
            <w:noWrap/>
            <w:vAlign w:val="center"/>
          </w:tcPr>
          <w:p w14:paraId="13533EE5">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p>
        </w:tc>
        <w:tc>
          <w:tcPr>
            <w:tcW w:w="5662" w:type="dxa"/>
            <w:tcBorders>
              <w:top w:val="single" w:color="000000" w:sz="6" w:space="0"/>
              <w:left w:val="single" w:color="000000" w:sz="6" w:space="0"/>
              <w:bottom w:val="single" w:color="000000" w:sz="6" w:space="0"/>
              <w:right w:val="single" w:color="000000" w:sz="6" w:space="0"/>
            </w:tcBorders>
            <w:noWrap/>
            <w:vAlign w:val="top"/>
          </w:tcPr>
          <w:p w14:paraId="43644465">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1）检查沟、渠有无堵塞现象，如有异常及时疏通。</w:t>
            </w:r>
          </w:p>
          <w:p w14:paraId="7116FE01">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2）检查雨水篦有无异常。</w:t>
            </w:r>
          </w:p>
        </w:tc>
      </w:tr>
      <w:tr w14:paraId="30F9B1D6">
        <w:tblPrEx>
          <w:tblCellMar>
            <w:top w:w="0" w:type="dxa"/>
            <w:left w:w="108" w:type="dxa"/>
            <w:bottom w:w="0" w:type="dxa"/>
            <w:right w:w="108" w:type="dxa"/>
          </w:tblCellMar>
        </w:tblPrEx>
        <w:trPr>
          <w:trHeight w:val="20" w:hRule="atLeast"/>
          <w:jc w:val="center"/>
        </w:trPr>
        <w:tc>
          <w:tcPr>
            <w:tcW w:w="1675" w:type="dxa"/>
            <w:vMerge w:val="continue"/>
            <w:tcBorders>
              <w:top w:val="single" w:color="000000" w:sz="6" w:space="0"/>
              <w:left w:val="single" w:color="000000" w:sz="6" w:space="0"/>
              <w:bottom w:val="single" w:color="000000" w:sz="6" w:space="0"/>
              <w:right w:val="single" w:color="000000" w:sz="6" w:space="0"/>
            </w:tcBorders>
            <w:noWrap/>
            <w:vAlign w:val="center"/>
          </w:tcPr>
          <w:p w14:paraId="5B04502F">
            <w:pPr>
              <w:spacing w:line="240" w:lineRule="auto"/>
              <w:ind w:firstLine="0" w:firstLineChars="0"/>
              <w:jc w:val="both"/>
              <w:rPr>
                <w:rFonts w:hint="eastAsia" w:ascii="宋体" w:hAnsi="宋体" w:eastAsia="宋体" w:cs="宋体"/>
                <w:color w:val="auto"/>
                <w:kern w:val="2"/>
                <w:sz w:val="21"/>
                <w:szCs w:val="21"/>
              </w:rPr>
            </w:pPr>
          </w:p>
        </w:tc>
        <w:tc>
          <w:tcPr>
            <w:tcW w:w="889" w:type="dxa"/>
            <w:tcBorders>
              <w:top w:val="single" w:color="000000" w:sz="6" w:space="0"/>
              <w:left w:val="single" w:color="000000" w:sz="6" w:space="0"/>
              <w:bottom w:val="single" w:color="000000" w:sz="6" w:space="0"/>
              <w:right w:val="single" w:color="000000" w:sz="6" w:space="0"/>
            </w:tcBorders>
            <w:noWrap/>
            <w:vAlign w:val="center"/>
          </w:tcPr>
          <w:p w14:paraId="64ABB083">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每季</w:t>
            </w:r>
          </w:p>
        </w:tc>
        <w:tc>
          <w:tcPr>
            <w:tcW w:w="680" w:type="dxa"/>
            <w:tcBorders>
              <w:top w:val="single" w:color="000000" w:sz="6" w:space="0"/>
              <w:left w:val="single" w:color="000000" w:sz="6" w:space="0"/>
              <w:bottom w:val="single" w:color="000000" w:sz="6" w:space="0"/>
              <w:right w:val="single" w:color="000000" w:sz="6" w:space="0"/>
            </w:tcBorders>
            <w:noWrap/>
            <w:vAlign w:val="center"/>
          </w:tcPr>
          <w:p w14:paraId="46327655">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p>
        </w:tc>
        <w:tc>
          <w:tcPr>
            <w:tcW w:w="5662" w:type="dxa"/>
            <w:tcBorders>
              <w:top w:val="single" w:color="000000" w:sz="6" w:space="0"/>
              <w:left w:val="single" w:color="000000" w:sz="6" w:space="0"/>
              <w:bottom w:val="single" w:color="000000" w:sz="6" w:space="0"/>
              <w:right w:val="single" w:color="000000" w:sz="6" w:space="0"/>
            </w:tcBorders>
            <w:noWrap/>
            <w:vAlign w:val="top"/>
          </w:tcPr>
          <w:p w14:paraId="6EDC3227">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1）检查井底及池底是否有污物沉积，如有沉积及时清污。</w:t>
            </w:r>
          </w:p>
          <w:p w14:paraId="1539EF09">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2）检查井壁有无裂缝及塌陷，如有异常及时修复。</w:t>
            </w:r>
          </w:p>
          <w:p w14:paraId="3884F074">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3）检查沟、渠是否完好，如有异常及时修复。</w:t>
            </w:r>
          </w:p>
          <w:p w14:paraId="0CAA0F14">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4）井盖及雨水篦刷漆。</w:t>
            </w:r>
          </w:p>
          <w:p w14:paraId="617FF7B3">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5）检查井盖完好程度，发现损坏及时修复或更换。</w:t>
            </w:r>
          </w:p>
        </w:tc>
      </w:tr>
      <w:tr w14:paraId="455BA1E1">
        <w:tblPrEx>
          <w:tblCellMar>
            <w:top w:w="0" w:type="dxa"/>
            <w:left w:w="108" w:type="dxa"/>
            <w:bottom w:w="0" w:type="dxa"/>
            <w:right w:w="108" w:type="dxa"/>
          </w:tblCellMar>
        </w:tblPrEx>
        <w:trPr>
          <w:trHeight w:val="20" w:hRule="atLeast"/>
          <w:jc w:val="center"/>
        </w:trPr>
        <w:tc>
          <w:tcPr>
            <w:tcW w:w="1675" w:type="dxa"/>
            <w:vMerge w:val="restart"/>
            <w:tcBorders>
              <w:top w:val="single" w:color="000000" w:sz="6" w:space="0"/>
              <w:left w:val="single" w:color="000000" w:sz="6" w:space="0"/>
              <w:bottom w:val="single" w:color="000000" w:sz="6" w:space="0"/>
              <w:right w:val="single" w:color="000000" w:sz="6" w:space="0"/>
            </w:tcBorders>
            <w:noWrap/>
            <w:vAlign w:val="center"/>
          </w:tcPr>
          <w:p w14:paraId="152DA953">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公用标志设施</w:t>
            </w:r>
          </w:p>
        </w:tc>
        <w:tc>
          <w:tcPr>
            <w:tcW w:w="889" w:type="dxa"/>
            <w:tcBorders>
              <w:top w:val="single" w:color="000000" w:sz="6" w:space="0"/>
              <w:left w:val="single" w:color="000000" w:sz="6" w:space="0"/>
              <w:bottom w:val="single" w:color="000000" w:sz="6" w:space="0"/>
              <w:right w:val="single" w:color="000000" w:sz="6" w:space="0"/>
            </w:tcBorders>
            <w:noWrap/>
            <w:vAlign w:val="center"/>
          </w:tcPr>
          <w:p w14:paraId="1E3C9B64">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每周</w:t>
            </w:r>
          </w:p>
        </w:tc>
        <w:tc>
          <w:tcPr>
            <w:tcW w:w="680" w:type="dxa"/>
            <w:tcBorders>
              <w:top w:val="single" w:color="000000" w:sz="6" w:space="0"/>
              <w:left w:val="single" w:color="000000" w:sz="6" w:space="0"/>
              <w:bottom w:val="single" w:color="000000" w:sz="6" w:space="0"/>
              <w:right w:val="single" w:color="000000" w:sz="6" w:space="0"/>
            </w:tcBorders>
            <w:noWrap/>
            <w:vAlign w:val="center"/>
          </w:tcPr>
          <w:p w14:paraId="0221220E">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p>
        </w:tc>
        <w:tc>
          <w:tcPr>
            <w:tcW w:w="5662" w:type="dxa"/>
            <w:tcBorders>
              <w:top w:val="single" w:color="000000" w:sz="6" w:space="0"/>
              <w:left w:val="single" w:color="000000" w:sz="6" w:space="0"/>
              <w:bottom w:val="single" w:color="000000" w:sz="6" w:space="0"/>
              <w:right w:val="single" w:color="000000" w:sz="6" w:space="0"/>
            </w:tcBorders>
            <w:noWrap/>
            <w:vAlign w:val="top"/>
          </w:tcPr>
          <w:p w14:paraId="5978EE8E">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1）标识清晰、无污迹、无脱落、无破损，发现异常及时处理。</w:t>
            </w:r>
          </w:p>
          <w:p w14:paraId="0D50DE86">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2）检查牢固程度，如有松脱，及时恢复。</w:t>
            </w:r>
          </w:p>
        </w:tc>
      </w:tr>
      <w:tr w14:paraId="7C140DE6">
        <w:tblPrEx>
          <w:tblCellMar>
            <w:top w:w="0" w:type="dxa"/>
            <w:left w:w="108" w:type="dxa"/>
            <w:bottom w:w="0" w:type="dxa"/>
            <w:right w:w="108" w:type="dxa"/>
          </w:tblCellMar>
        </w:tblPrEx>
        <w:trPr>
          <w:trHeight w:val="442" w:hRule="atLeast"/>
          <w:jc w:val="center"/>
        </w:trPr>
        <w:tc>
          <w:tcPr>
            <w:tcW w:w="1675" w:type="dxa"/>
            <w:vMerge w:val="continue"/>
            <w:tcBorders>
              <w:top w:val="single" w:color="000000" w:sz="6" w:space="0"/>
              <w:left w:val="single" w:color="000000" w:sz="6" w:space="0"/>
              <w:bottom w:val="single" w:color="000000" w:sz="6" w:space="0"/>
              <w:right w:val="single" w:color="000000" w:sz="6" w:space="0"/>
            </w:tcBorders>
            <w:noWrap/>
            <w:vAlign w:val="center"/>
          </w:tcPr>
          <w:p w14:paraId="36B530E3">
            <w:pPr>
              <w:spacing w:line="240" w:lineRule="auto"/>
              <w:ind w:firstLine="0" w:firstLineChars="0"/>
              <w:jc w:val="both"/>
              <w:rPr>
                <w:rFonts w:hint="eastAsia" w:ascii="宋体" w:hAnsi="宋体" w:eastAsia="宋体" w:cs="宋体"/>
                <w:color w:val="auto"/>
                <w:kern w:val="2"/>
                <w:sz w:val="21"/>
                <w:szCs w:val="21"/>
              </w:rPr>
            </w:pPr>
          </w:p>
        </w:tc>
        <w:tc>
          <w:tcPr>
            <w:tcW w:w="889" w:type="dxa"/>
            <w:tcBorders>
              <w:top w:val="single" w:color="000000" w:sz="6" w:space="0"/>
              <w:left w:val="single" w:color="000000" w:sz="6" w:space="0"/>
              <w:bottom w:val="single" w:color="000000" w:sz="6" w:space="0"/>
              <w:right w:val="single" w:color="000000" w:sz="6" w:space="0"/>
            </w:tcBorders>
            <w:noWrap/>
            <w:vAlign w:val="center"/>
          </w:tcPr>
          <w:p w14:paraId="46B01876">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每半年</w:t>
            </w:r>
          </w:p>
        </w:tc>
        <w:tc>
          <w:tcPr>
            <w:tcW w:w="680" w:type="dxa"/>
            <w:tcBorders>
              <w:top w:val="single" w:color="000000" w:sz="6" w:space="0"/>
              <w:left w:val="single" w:color="000000" w:sz="6" w:space="0"/>
              <w:bottom w:val="single" w:color="000000" w:sz="6" w:space="0"/>
              <w:right w:val="single" w:color="000000" w:sz="6" w:space="0"/>
            </w:tcBorders>
            <w:noWrap/>
            <w:vAlign w:val="center"/>
          </w:tcPr>
          <w:p w14:paraId="019A99B3">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p>
        </w:tc>
        <w:tc>
          <w:tcPr>
            <w:tcW w:w="5662" w:type="dxa"/>
            <w:tcBorders>
              <w:top w:val="single" w:color="000000" w:sz="6" w:space="0"/>
              <w:left w:val="single" w:color="000000" w:sz="6" w:space="0"/>
              <w:bottom w:val="single" w:color="000000" w:sz="6" w:space="0"/>
              <w:right w:val="single" w:color="000000" w:sz="6" w:space="0"/>
            </w:tcBorders>
            <w:noWrap/>
            <w:vAlign w:val="center"/>
          </w:tcPr>
          <w:p w14:paraId="26FDAB5E">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1）检查完好程度，加固。</w:t>
            </w:r>
          </w:p>
        </w:tc>
      </w:tr>
      <w:tr w14:paraId="0D976D6E">
        <w:tblPrEx>
          <w:tblCellMar>
            <w:top w:w="0" w:type="dxa"/>
            <w:left w:w="108" w:type="dxa"/>
            <w:bottom w:w="0" w:type="dxa"/>
            <w:right w:w="108" w:type="dxa"/>
          </w:tblCellMar>
        </w:tblPrEx>
        <w:trPr>
          <w:trHeight w:val="442" w:hRule="atLeast"/>
          <w:jc w:val="center"/>
        </w:trPr>
        <w:tc>
          <w:tcPr>
            <w:tcW w:w="1675" w:type="dxa"/>
            <w:tcBorders>
              <w:top w:val="single" w:color="000000" w:sz="6" w:space="0"/>
              <w:left w:val="single" w:color="000000" w:sz="6" w:space="0"/>
              <w:bottom w:val="single" w:color="000000" w:sz="6" w:space="0"/>
              <w:right w:val="single" w:color="000000" w:sz="6" w:space="0"/>
            </w:tcBorders>
            <w:noWrap/>
            <w:vAlign w:val="center"/>
          </w:tcPr>
          <w:p w14:paraId="68CE8909">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垃圾中转站</w:t>
            </w:r>
          </w:p>
        </w:tc>
        <w:tc>
          <w:tcPr>
            <w:tcW w:w="889" w:type="dxa"/>
            <w:tcBorders>
              <w:top w:val="single" w:color="000000" w:sz="6" w:space="0"/>
              <w:left w:val="single" w:color="000000" w:sz="6" w:space="0"/>
              <w:bottom w:val="single" w:color="000000" w:sz="6" w:space="0"/>
              <w:right w:val="single" w:color="000000" w:sz="6" w:space="0"/>
            </w:tcBorders>
            <w:noWrap/>
            <w:vAlign w:val="center"/>
          </w:tcPr>
          <w:p w14:paraId="4EBC8206">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每周</w:t>
            </w:r>
          </w:p>
        </w:tc>
        <w:tc>
          <w:tcPr>
            <w:tcW w:w="680" w:type="dxa"/>
            <w:tcBorders>
              <w:top w:val="single" w:color="000000" w:sz="6" w:space="0"/>
              <w:left w:val="single" w:color="000000" w:sz="6" w:space="0"/>
              <w:bottom w:val="single" w:color="000000" w:sz="6" w:space="0"/>
              <w:right w:val="single" w:color="000000" w:sz="6" w:space="0"/>
            </w:tcBorders>
            <w:noWrap/>
            <w:vAlign w:val="center"/>
          </w:tcPr>
          <w:p w14:paraId="7D0DD681">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p>
        </w:tc>
        <w:tc>
          <w:tcPr>
            <w:tcW w:w="5662" w:type="dxa"/>
            <w:tcBorders>
              <w:top w:val="single" w:color="000000" w:sz="6" w:space="0"/>
              <w:left w:val="single" w:color="000000" w:sz="6" w:space="0"/>
              <w:bottom w:val="single" w:color="000000" w:sz="6" w:space="0"/>
              <w:right w:val="single" w:color="000000" w:sz="6" w:space="0"/>
            </w:tcBorders>
            <w:noWrap/>
            <w:vAlign w:val="center"/>
          </w:tcPr>
          <w:p w14:paraId="12712AB1">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1）检查有无损坏，发现问题及时处理。</w:t>
            </w:r>
          </w:p>
        </w:tc>
      </w:tr>
      <w:tr w14:paraId="07FDE456">
        <w:tblPrEx>
          <w:tblCellMar>
            <w:top w:w="0" w:type="dxa"/>
            <w:left w:w="108" w:type="dxa"/>
            <w:bottom w:w="0" w:type="dxa"/>
            <w:right w:w="108" w:type="dxa"/>
          </w:tblCellMar>
        </w:tblPrEx>
        <w:trPr>
          <w:trHeight w:val="20" w:hRule="atLeast"/>
          <w:jc w:val="center"/>
        </w:trPr>
        <w:tc>
          <w:tcPr>
            <w:tcW w:w="1675" w:type="dxa"/>
            <w:tcBorders>
              <w:top w:val="single" w:color="000000" w:sz="6" w:space="0"/>
              <w:left w:val="single" w:color="000000" w:sz="6" w:space="0"/>
              <w:bottom w:val="single" w:color="000000" w:sz="6" w:space="0"/>
              <w:right w:val="single" w:color="000000" w:sz="6" w:space="0"/>
            </w:tcBorders>
            <w:noWrap/>
            <w:vAlign w:val="center"/>
          </w:tcPr>
          <w:p w14:paraId="7C6ACE19">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地下管网</w:t>
            </w:r>
          </w:p>
        </w:tc>
        <w:tc>
          <w:tcPr>
            <w:tcW w:w="889" w:type="dxa"/>
            <w:tcBorders>
              <w:top w:val="single" w:color="000000" w:sz="6" w:space="0"/>
              <w:left w:val="single" w:color="000000" w:sz="6" w:space="0"/>
              <w:bottom w:val="single" w:color="000000" w:sz="6" w:space="0"/>
              <w:right w:val="single" w:color="000000" w:sz="6" w:space="0"/>
            </w:tcBorders>
            <w:noWrap/>
            <w:vAlign w:val="center"/>
          </w:tcPr>
          <w:p w14:paraId="61EE01BE">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每半年</w:t>
            </w:r>
          </w:p>
        </w:tc>
        <w:tc>
          <w:tcPr>
            <w:tcW w:w="680" w:type="dxa"/>
            <w:tcBorders>
              <w:top w:val="single" w:color="000000" w:sz="6" w:space="0"/>
              <w:left w:val="single" w:color="000000" w:sz="6" w:space="0"/>
              <w:bottom w:val="single" w:color="000000" w:sz="6" w:space="0"/>
              <w:right w:val="single" w:color="000000" w:sz="6" w:space="0"/>
            </w:tcBorders>
            <w:noWrap/>
            <w:vAlign w:val="center"/>
          </w:tcPr>
          <w:p w14:paraId="505835C8">
            <w:pPr>
              <w:tabs>
                <w:tab w:val="left" w:pos="-51"/>
                <w:tab w:val="left" w:pos="878"/>
              </w:tabs>
              <w:snapToGrid w:val="0"/>
              <w:spacing w:line="240" w:lineRule="auto"/>
              <w:ind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p>
        </w:tc>
        <w:tc>
          <w:tcPr>
            <w:tcW w:w="5662" w:type="dxa"/>
            <w:tcBorders>
              <w:top w:val="single" w:color="000000" w:sz="6" w:space="0"/>
              <w:left w:val="single" w:color="000000" w:sz="6" w:space="0"/>
              <w:bottom w:val="single" w:color="000000" w:sz="6" w:space="0"/>
              <w:right w:val="single" w:color="000000" w:sz="6" w:space="0"/>
            </w:tcBorders>
            <w:noWrap/>
            <w:vAlign w:val="top"/>
          </w:tcPr>
          <w:p w14:paraId="4F9B16DE">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1）管道刷漆。</w:t>
            </w:r>
          </w:p>
          <w:p w14:paraId="78F95237">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2）检查管道保温层有无损坏。</w:t>
            </w:r>
          </w:p>
          <w:p w14:paraId="2551558F">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3）管网支架完好。</w:t>
            </w:r>
          </w:p>
          <w:p w14:paraId="03CE90A1">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4）检查或更换管网。</w:t>
            </w:r>
          </w:p>
          <w:p w14:paraId="422961FA">
            <w:pPr>
              <w:tabs>
                <w:tab w:val="left" w:pos="-51"/>
                <w:tab w:val="left" w:pos="878"/>
              </w:tabs>
              <w:snapToGrid w:val="0"/>
              <w:spacing w:line="240" w:lineRule="auto"/>
              <w:ind w:firstLine="0" w:firstLineChars="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5）发现异常及时修复。</w:t>
            </w:r>
          </w:p>
        </w:tc>
      </w:tr>
    </w:tbl>
    <w:p w14:paraId="7ED44D0C">
      <w:pPr>
        <w:numPr>
          <w:ilvl w:val="-1"/>
          <w:numId w:val="0"/>
        </w:numPr>
        <w:snapToGrid/>
        <w:spacing w:line="360" w:lineRule="auto"/>
        <w:ind w:left="0" w:leftChars="0" w:firstLine="0" w:firstLineChars="0"/>
        <w:rPr>
          <w:rFonts w:hint="eastAsia" w:ascii="宋体" w:hAnsi="宋体" w:eastAsia="宋体" w:cs="宋体"/>
          <w:color w:val="auto"/>
          <w:sz w:val="21"/>
          <w:szCs w:val="21"/>
          <w:highlight w:val="none"/>
        </w:rPr>
      </w:pPr>
    </w:p>
    <w:p w14:paraId="596F0B11">
      <w:pPr>
        <w:bidi w:val="0"/>
        <w:spacing w:line="360" w:lineRule="auto"/>
        <w:ind w:firstLine="422" w:firstLineChars="200"/>
        <w:outlineLvl w:val="3"/>
        <w:rPr>
          <w:rFonts w:hint="eastAsia" w:ascii="宋体" w:hAnsi="宋体" w:eastAsia="宋体" w:cs="宋体"/>
          <w:b/>
          <w:bCs/>
          <w:color w:val="auto"/>
          <w:sz w:val="21"/>
          <w:szCs w:val="21"/>
          <w:lang w:val="en-US" w:eastAsia="zh-CN"/>
        </w:rPr>
      </w:pPr>
      <w:bookmarkStart w:id="666" w:name="_Toc7245"/>
      <w:bookmarkStart w:id="667" w:name="_Toc23887"/>
      <w:bookmarkStart w:id="668" w:name="_Toc32475"/>
      <w:bookmarkStart w:id="669" w:name="_Toc8670"/>
      <w:bookmarkStart w:id="670" w:name="_Toc32054"/>
      <w:r>
        <w:rPr>
          <w:rFonts w:hint="eastAsia" w:ascii="宋体" w:hAnsi="宋体" w:eastAsia="宋体" w:cs="宋体"/>
          <w:b/>
          <w:bCs/>
          <w:color w:val="auto"/>
          <w:sz w:val="21"/>
          <w:szCs w:val="21"/>
          <w:lang w:val="en-US" w:eastAsia="zh-CN"/>
        </w:rPr>
        <w:t>2.2.13日常物业维修及物业使用人装修管理</w:t>
      </w:r>
      <w:bookmarkEnd w:id="666"/>
      <w:bookmarkEnd w:id="667"/>
      <w:bookmarkEnd w:id="668"/>
      <w:bookmarkEnd w:id="669"/>
      <w:bookmarkEnd w:id="670"/>
    </w:p>
    <w:p w14:paraId="46294BB7">
      <w:pPr>
        <w:numPr>
          <w:ilvl w:val="0"/>
          <w:numId w:val="17"/>
        </w:numPr>
        <w:snapToGrid w:val="0"/>
        <w:spacing w:line="360" w:lineRule="auto"/>
        <w:ind w:left="0" w:firstLine="420"/>
        <w:rPr>
          <w:rFonts w:hint="eastAsia" w:ascii="宋体" w:hAnsi="宋体" w:eastAsia="宋体" w:cs="宋体"/>
          <w:color w:val="auto"/>
          <w:sz w:val="21"/>
          <w:szCs w:val="21"/>
        </w:rPr>
      </w:pPr>
      <w:r>
        <w:rPr>
          <w:rFonts w:hint="eastAsia" w:ascii="宋体" w:hAnsi="宋体" w:eastAsia="宋体" w:cs="宋体"/>
          <w:color w:val="auto"/>
          <w:sz w:val="21"/>
          <w:szCs w:val="21"/>
        </w:rPr>
        <w:t>根据《装修管理协议》的有关规定办理物业使用人的进场装修手续，做到装修现场井然有序，对其它物业使用人造成不良影响或有投诉的事项应积极协调。</w:t>
      </w:r>
    </w:p>
    <w:p w14:paraId="23862FD1">
      <w:pPr>
        <w:numPr>
          <w:ilvl w:val="0"/>
          <w:numId w:val="17"/>
        </w:numPr>
        <w:snapToGrid w:val="0"/>
        <w:spacing w:line="360" w:lineRule="auto"/>
        <w:ind w:left="0" w:firstLine="420"/>
        <w:rPr>
          <w:rFonts w:hint="eastAsia" w:ascii="宋体" w:hAnsi="宋体" w:eastAsia="宋体" w:cs="宋体"/>
          <w:color w:val="auto"/>
          <w:sz w:val="21"/>
          <w:szCs w:val="21"/>
        </w:rPr>
      </w:pPr>
      <w:r>
        <w:rPr>
          <w:rFonts w:hint="eastAsia" w:ascii="宋体" w:hAnsi="宋体" w:eastAsia="宋体" w:cs="宋体"/>
          <w:color w:val="auto"/>
          <w:sz w:val="21"/>
          <w:szCs w:val="21"/>
        </w:rPr>
        <w:t>物业使用人的装修图纸或审批等有关施工资料按法律法规或相关行政管理规定应报批国家或当地有关行政管理部门的，中标人应督促物业使用人报批国家或当地有关行政管理部门审批通过后方可允许施工，否则因物业使用人违法施工造成的一切后果均由中标人承担连带责任。</w:t>
      </w:r>
    </w:p>
    <w:p w14:paraId="34C876A9">
      <w:pPr>
        <w:numPr>
          <w:ilvl w:val="0"/>
          <w:numId w:val="17"/>
        </w:numPr>
        <w:snapToGrid w:val="0"/>
        <w:spacing w:line="360" w:lineRule="auto"/>
        <w:ind w:left="0" w:firstLine="420"/>
        <w:rPr>
          <w:rFonts w:hint="eastAsia" w:ascii="宋体" w:hAnsi="宋体" w:eastAsia="宋体" w:cs="宋体"/>
          <w:color w:val="auto"/>
          <w:sz w:val="21"/>
          <w:szCs w:val="21"/>
        </w:rPr>
      </w:pPr>
      <w:r>
        <w:rPr>
          <w:rFonts w:hint="eastAsia" w:ascii="宋体" w:hAnsi="宋体" w:eastAsia="宋体" w:cs="宋体"/>
          <w:color w:val="auto"/>
          <w:sz w:val="21"/>
          <w:szCs w:val="21"/>
        </w:rPr>
        <w:t>物业使用人装修施工现场管理</w:t>
      </w:r>
    </w:p>
    <w:p w14:paraId="477CF56F">
      <w:pPr>
        <w:numPr>
          <w:ilvl w:val="-1"/>
          <w:numId w:val="0"/>
        </w:numPr>
        <w:snapToGrid w:val="0"/>
        <w:spacing w:line="360" w:lineRule="auto"/>
        <w:ind w:left="0" w:firstLine="420" w:firstLineChars="20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1)</w:t>
      </w:r>
      <w:r>
        <w:rPr>
          <w:rFonts w:hint="eastAsia" w:ascii="宋体" w:hAnsi="宋体" w:eastAsia="宋体" w:cs="宋体"/>
          <w:b w:val="0"/>
          <w:bCs w:val="0"/>
          <w:color w:val="auto"/>
          <w:sz w:val="21"/>
          <w:szCs w:val="21"/>
        </w:rPr>
        <w:t>禁止物业使用人及任何使用单位拆改房屋主体和承重结构，禁止在楼宇外墙、承重墙、梁柱上开孔，禁止改变房屋及公共配套设施的使用功能。</w:t>
      </w:r>
    </w:p>
    <w:p w14:paraId="1E0B1CAB">
      <w:pPr>
        <w:pStyle w:val="18"/>
        <w:numPr>
          <w:ilvl w:val="-1"/>
          <w:numId w:val="0"/>
        </w:numPr>
        <w:snapToGrid w:val="0"/>
        <w:spacing w:line="360" w:lineRule="auto"/>
        <w:ind w:left="0" w:right="0" w:firstLine="420" w:firstLineChars="200"/>
        <w:jc w:val="left"/>
        <w:rPr>
          <w:rFonts w:hint="eastAsia" w:ascii="宋体" w:hAnsi="宋体" w:eastAsia="宋体" w:cs="宋体"/>
          <w:b w:val="0"/>
          <w:bCs w:val="0"/>
          <w:color w:val="auto"/>
          <w:sz w:val="21"/>
          <w:szCs w:val="21"/>
        </w:rPr>
      </w:pPr>
      <w:r>
        <w:rPr>
          <w:rFonts w:hint="eastAsia" w:hAnsi="宋体" w:cs="宋体"/>
          <w:b w:val="0"/>
          <w:bCs w:val="0"/>
          <w:color w:val="auto"/>
          <w:sz w:val="21"/>
          <w:szCs w:val="21"/>
          <w:lang w:val="en-US" w:eastAsia="zh-CN"/>
        </w:rPr>
        <w:t>2)</w:t>
      </w:r>
      <w:r>
        <w:rPr>
          <w:rFonts w:hint="eastAsia" w:ascii="宋体" w:hAnsi="宋体" w:eastAsia="宋体" w:cs="宋体"/>
          <w:b w:val="0"/>
          <w:bCs w:val="0"/>
          <w:color w:val="auto"/>
          <w:sz w:val="21"/>
          <w:szCs w:val="21"/>
          <w:lang w:val="en-US"/>
        </w:rPr>
        <w:t>中标人</w:t>
      </w:r>
      <w:r>
        <w:rPr>
          <w:rFonts w:hint="eastAsia" w:ascii="宋体" w:hAnsi="宋体" w:eastAsia="宋体" w:cs="宋体"/>
          <w:b w:val="0"/>
          <w:bCs w:val="0"/>
          <w:color w:val="auto"/>
          <w:sz w:val="21"/>
          <w:szCs w:val="21"/>
        </w:rPr>
        <w:t>每日至少2次对物业使用人装修现场进行安全、环境等方面的巡查和监督，并填写《装修现场巡查记录表》</w:t>
      </w:r>
      <w:r>
        <w:rPr>
          <w:rFonts w:hint="eastAsia" w:hAnsi="宋体" w:cs="宋体"/>
          <w:b w:val="0"/>
          <w:bCs w:val="0"/>
          <w:color w:val="auto"/>
          <w:sz w:val="21"/>
          <w:szCs w:val="21"/>
          <w:lang w:val="en-US" w:eastAsia="zh-CN"/>
        </w:rPr>
        <w:t>同时保留现场照片</w:t>
      </w:r>
      <w:r>
        <w:rPr>
          <w:rFonts w:hint="eastAsia" w:ascii="宋体" w:hAnsi="宋体" w:eastAsia="宋体" w:cs="宋体"/>
          <w:b w:val="0"/>
          <w:bCs w:val="0"/>
          <w:color w:val="auto"/>
          <w:sz w:val="21"/>
          <w:szCs w:val="21"/>
        </w:rPr>
        <w:t>。发现违规装修、违规操作等行为应及时制止并报告招标人，要求装修现场限时整改并监督整改结果，确保装修现场安全施工。</w:t>
      </w:r>
    </w:p>
    <w:p w14:paraId="20C1A4A1">
      <w:pPr>
        <w:numPr>
          <w:ilvl w:val="-1"/>
          <w:numId w:val="0"/>
        </w:numPr>
        <w:snapToGrid w:val="0"/>
        <w:spacing w:line="360" w:lineRule="auto"/>
        <w:ind w:left="0" w:firstLine="420" w:firstLineChars="20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3)</w:t>
      </w:r>
      <w:r>
        <w:rPr>
          <w:rFonts w:hint="eastAsia" w:ascii="宋体" w:hAnsi="宋体" w:eastAsia="宋体" w:cs="宋体"/>
          <w:b w:val="0"/>
          <w:bCs w:val="0"/>
          <w:color w:val="auto"/>
          <w:sz w:val="21"/>
          <w:szCs w:val="21"/>
        </w:rPr>
        <w:t>做好装修现场环境管理工作，采取有效的防尘降噪措施，对装修现场的噪音、扬尘等进行检测，每天产生的装修垃圾及时清运，保持现场清洁整齐。</w:t>
      </w:r>
    </w:p>
    <w:p w14:paraId="3E748EB7">
      <w:pPr>
        <w:numPr>
          <w:ilvl w:val="-1"/>
          <w:numId w:val="0"/>
        </w:numPr>
        <w:snapToGrid w:val="0"/>
        <w:spacing w:line="360" w:lineRule="auto"/>
        <w:ind w:left="0" w:firstLine="420" w:firstLineChars="20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4)</w:t>
      </w:r>
      <w:r>
        <w:rPr>
          <w:rFonts w:hint="eastAsia" w:ascii="宋体" w:hAnsi="宋体" w:eastAsia="宋体" w:cs="宋体"/>
          <w:b w:val="0"/>
          <w:bCs w:val="0"/>
          <w:color w:val="auto"/>
          <w:sz w:val="21"/>
          <w:szCs w:val="21"/>
        </w:rPr>
        <w:t>施工过程中，必须保证有物业使用人或施工单位管理人员在现场值班，不得空岗。</w:t>
      </w:r>
    </w:p>
    <w:p w14:paraId="0A9ACB19">
      <w:pPr>
        <w:numPr>
          <w:ilvl w:val="-1"/>
          <w:numId w:val="0"/>
        </w:numPr>
        <w:snapToGrid w:val="0"/>
        <w:spacing w:line="360" w:lineRule="auto"/>
        <w:ind w:left="0" w:firstLine="420" w:firstLineChars="20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进入施工现场的人员必须按规定佩戴安全帽，并系下颌带。凡从事2米以上高处作业人员必须系安全绳，安全绳上端固定应牢固可靠，使用时安全绳应基本保持垂直于地，作业人员身后余绳不得超过1米，禁止两人同时使用一条安全绳，并且专人看守。</w:t>
      </w:r>
    </w:p>
    <w:p w14:paraId="56CD0335">
      <w:pPr>
        <w:numPr>
          <w:ilvl w:val="-1"/>
          <w:numId w:val="0"/>
        </w:numPr>
        <w:snapToGrid w:val="0"/>
        <w:spacing w:line="360" w:lineRule="auto"/>
        <w:ind w:left="0" w:firstLine="420" w:firstLineChars="20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5)</w:t>
      </w:r>
      <w:r>
        <w:rPr>
          <w:rFonts w:hint="eastAsia" w:ascii="宋体" w:hAnsi="宋体" w:eastAsia="宋体" w:cs="宋体"/>
          <w:b w:val="0"/>
          <w:bCs w:val="0"/>
          <w:color w:val="auto"/>
          <w:sz w:val="21"/>
          <w:szCs w:val="21"/>
        </w:rPr>
        <w:t>参加现场施工的所有特殊工种人员必须持证上岗，并复印证件报中标人备案。</w:t>
      </w:r>
    </w:p>
    <w:p w14:paraId="01B05C29">
      <w:pPr>
        <w:pStyle w:val="18"/>
        <w:numPr>
          <w:ilvl w:val="-1"/>
          <w:numId w:val="0"/>
        </w:numPr>
        <w:snapToGrid w:val="0"/>
        <w:spacing w:line="360" w:lineRule="auto"/>
        <w:ind w:left="0" w:right="0" w:firstLine="420" w:firstLineChars="200"/>
        <w:jc w:val="left"/>
        <w:rPr>
          <w:rFonts w:hint="eastAsia" w:ascii="宋体" w:hAnsi="宋体" w:eastAsia="宋体" w:cs="宋体"/>
          <w:b w:val="0"/>
          <w:bCs w:val="0"/>
          <w:color w:val="auto"/>
          <w:sz w:val="21"/>
          <w:szCs w:val="21"/>
        </w:rPr>
      </w:pPr>
      <w:r>
        <w:rPr>
          <w:rFonts w:hint="eastAsia" w:hAnsi="宋体" w:cs="宋体"/>
          <w:b w:val="0"/>
          <w:bCs w:val="0"/>
          <w:color w:val="auto"/>
          <w:sz w:val="21"/>
          <w:szCs w:val="21"/>
          <w:lang w:val="en-US" w:eastAsia="zh-CN"/>
        </w:rPr>
        <w:t>6)</w:t>
      </w:r>
      <w:r>
        <w:rPr>
          <w:rFonts w:hint="eastAsia" w:ascii="宋体" w:hAnsi="宋体" w:eastAsia="宋体" w:cs="宋体"/>
          <w:b w:val="0"/>
          <w:bCs w:val="0"/>
          <w:color w:val="auto"/>
          <w:sz w:val="21"/>
          <w:szCs w:val="21"/>
        </w:rPr>
        <w:t>施工现场各类标牌和警示标志齐全醒目。高处作业所使用的工具和所持电缆、水管等材料等必须有可靠的防坠措施，现场区域应保证四周环境的安全，其作业下方应设置警戒线，在醒目处应设置“禁止入内”的标志牌。</w:t>
      </w:r>
    </w:p>
    <w:p w14:paraId="473C1E04">
      <w:pPr>
        <w:pStyle w:val="18"/>
        <w:numPr>
          <w:ilvl w:val="-1"/>
          <w:numId w:val="0"/>
        </w:numPr>
        <w:snapToGrid w:val="0"/>
        <w:spacing w:line="360" w:lineRule="auto"/>
        <w:ind w:left="0" w:right="0" w:firstLine="420" w:firstLineChars="200"/>
        <w:jc w:val="left"/>
        <w:rPr>
          <w:rFonts w:hint="eastAsia" w:ascii="宋体" w:hAnsi="宋体" w:eastAsia="宋体" w:cs="宋体"/>
          <w:b w:val="0"/>
          <w:bCs w:val="0"/>
          <w:color w:val="auto"/>
          <w:sz w:val="21"/>
          <w:szCs w:val="21"/>
        </w:rPr>
      </w:pPr>
      <w:r>
        <w:rPr>
          <w:rFonts w:hint="eastAsia" w:hAnsi="宋体" w:cs="宋体"/>
          <w:b w:val="0"/>
          <w:bCs w:val="0"/>
          <w:color w:val="auto"/>
          <w:sz w:val="21"/>
          <w:szCs w:val="21"/>
          <w:lang w:val="en-US" w:eastAsia="zh-CN"/>
        </w:rPr>
        <w:t>7)</w:t>
      </w:r>
      <w:r>
        <w:rPr>
          <w:rFonts w:hint="eastAsia" w:ascii="宋体" w:hAnsi="宋体" w:eastAsia="宋体" w:cs="宋体"/>
          <w:b w:val="0"/>
          <w:bCs w:val="0"/>
          <w:color w:val="auto"/>
          <w:sz w:val="21"/>
          <w:szCs w:val="21"/>
        </w:rPr>
        <w:t>所有装修材料及装修垃圾须在规定时间内，通过指定通道运输并在指定区域内起卸，严禁堆放在其他公共区域，确保不影响其他区域办公，发现违规情况及时制止。</w:t>
      </w:r>
    </w:p>
    <w:p w14:paraId="44547270">
      <w:pPr>
        <w:numPr>
          <w:ilvl w:val="-1"/>
          <w:numId w:val="0"/>
        </w:numPr>
        <w:snapToGrid w:val="0"/>
        <w:spacing w:line="360" w:lineRule="auto"/>
        <w:ind w:left="0" w:firstLine="420" w:firstLineChars="200"/>
        <w:jc w:val="left"/>
        <w:rPr>
          <w:rFonts w:hint="eastAsia" w:ascii="宋体" w:hAnsi="宋体" w:eastAsia="宋体" w:cs="宋体"/>
          <w:color w:val="auto"/>
          <w:sz w:val="21"/>
          <w:szCs w:val="21"/>
        </w:rPr>
      </w:pPr>
      <w:r>
        <w:rPr>
          <w:rFonts w:hint="eastAsia" w:ascii="宋体" w:hAnsi="宋体" w:eastAsia="宋体" w:cs="宋体"/>
          <w:b w:val="0"/>
          <w:bCs w:val="0"/>
          <w:color w:val="auto"/>
          <w:sz w:val="21"/>
          <w:szCs w:val="21"/>
          <w:lang w:val="en-US" w:eastAsia="zh-CN"/>
        </w:rPr>
        <w:t>8)</w:t>
      </w:r>
      <w:r>
        <w:rPr>
          <w:rFonts w:hint="eastAsia" w:ascii="宋体" w:hAnsi="宋体" w:eastAsia="宋体" w:cs="宋体"/>
          <w:b w:val="0"/>
          <w:bCs w:val="0"/>
          <w:color w:val="auto"/>
          <w:sz w:val="21"/>
          <w:szCs w:val="21"/>
        </w:rPr>
        <w:t>装修施工结束时，中标人应对物业使用人装修现场及相关区域进行全面检查，确保物业使用人装修所涉区域清洁完成。督促物业使用人和施工单位完成二次消防验收手续，如发现问题需要求</w:t>
      </w:r>
      <w:bookmarkStart w:id="671" w:name="OLE_LINK1"/>
      <w:r>
        <w:rPr>
          <w:rFonts w:hint="eastAsia" w:ascii="宋体" w:hAnsi="宋体" w:eastAsia="宋体" w:cs="宋体"/>
          <w:color w:val="auto"/>
          <w:sz w:val="21"/>
          <w:szCs w:val="21"/>
        </w:rPr>
        <w:t>物业使用人和施工单位</w:t>
      </w:r>
      <w:bookmarkEnd w:id="671"/>
      <w:r>
        <w:rPr>
          <w:rFonts w:hint="eastAsia" w:ascii="宋体" w:hAnsi="宋体" w:eastAsia="宋体" w:cs="宋体"/>
          <w:color w:val="auto"/>
          <w:sz w:val="21"/>
          <w:szCs w:val="21"/>
        </w:rPr>
        <w:t>进行整改直至验收合格，方可办理装修退场手续。</w:t>
      </w:r>
    </w:p>
    <w:p w14:paraId="2D0C384C">
      <w:pPr>
        <w:numPr>
          <w:ilvl w:val="-1"/>
          <w:numId w:val="0"/>
        </w:numPr>
        <w:snapToGrid w:val="0"/>
        <w:spacing w:line="360" w:lineRule="auto"/>
        <w:ind w:left="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物业使用人装修完成且消防验收合格后向物业使用人收集二次装修施工图（含给排水、电气、空调等）、二次消防验收报告等资料，并进行整理、归档。</w:t>
      </w:r>
    </w:p>
    <w:p w14:paraId="38851E3B">
      <w:pPr>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422" w:firstLineChars="200"/>
        <w:textAlignment w:val="auto"/>
        <w:outlineLvl w:val="3"/>
        <w:rPr>
          <w:rFonts w:hint="eastAsia" w:ascii="宋体" w:hAnsi="宋体" w:eastAsia="宋体" w:cs="宋体"/>
          <w:b/>
          <w:bCs/>
          <w:color w:val="auto"/>
          <w:sz w:val="21"/>
          <w:szCs w:val="21"/>
          <w:highlight w:val="none"/>
          <w:lang w:eastAsia="zh-CN"/>
        </w:rPr>
      </w:pPr>
      <w:bookmarkStart w:id="672" w:name="_Toc7238"/>
      <w:bookmarkStart w:id="673" w:name="_Toc9045"/>
      <w:bookmarkStart w:id="674" w:name="_Toc25499"/>
      <w:r>
        <w:rPr>
          <w:rFonts w:hint="eastAsia" w:ascii="宋体" w:hAnsi="宋体" w:eastAsia="宋体" w:cs="宋体"/>
          <w:b/>
          <w:bCs/>
          <w:color w:val="auto"/>
          <w:sz w:val="21"/>
          <w:szCs w:val="21"/>
          <w:lang w:val="en-US" w:eastAsia="zh-CN"/>
        </w:rPr>
        <w:t>2.2.14</w:t>
      </w:r>
      <w:r>
        <w:rPr>
          <w:rFonts w:hint="eastAsia" w:ascii="宋体" w:hAnsi="宋体" w:eastAsia="宋体" w:cs="宋体"/>
          <w:b/>
          <w:bCs/>
          <w:color w:val="auto"/>
          <w:sz w:val="21"/>
          <w:szCs w:val="21"/>
          <w:highlight w:val="none"/>
          <w:lang w:eastAsia="zh-CN"/>
        </w:rPr>
        <w:t>其它</w:t>
      </w:r>
      <w:r>
        <w:rPr>
          <w:rFonts w:hint="eastAsia" w:ascii="宋体" w:hAnsi="宋体" w:eastAsia="宋体" w:cs="宋体"/>
          <w:b/>
          <w:bCs/>
          <w:color w:val="auto"/>
          <w:sz w:val="21"/>
          <w:szCs w:val="21"/>
          <w:lang w:val="en-US" w:eastAsia="zh-CN"/>
        </w:rPr>
        <w:t>服务</w:t>
      </w:r>
      <w:bookmarkEnd w:id="672"/>
      <w:bookmarkEnd w:id="673"/>
      <w:bookmarkEnd w:id="674"/>
    </w:p>
    <w:p w14:paraId="000FAFAE">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协助招标人管理固定资产。</w:t>
      </w:r>
    </w:p>
    <w:p w14:paraId="01AA21CE">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Cs/>
          <w:color w:val="auto"/>
          <w:sz w:val="21"/>
          <w:szCs w:val="21"/>
          <w:highlight w:val="none"/>
          <w:lang w:eastAsia="zh-CN"/>
        </w:rPr>
        <w:t>协助招标</w:t>
      </w:r>
      <w:r>
        <w:rPr>
          <w:rFonts w:hint="eastAsia" w:ascii="宋体" w:hAnsi="宋体" w:eastAsia="宋体" w:cs="宋体"/>
          <w:b w:val="0"/>
          <w:bCs/>
          <w:color w:val="auto"/>
          <w:sz w:val="21"/>
          <w:szCs w:val="21"/>
          <w:highlight w:val="none"/>
          <w:lang w:eastAsia="zh-CN"/>
        </w:rPr>
        <w:t>人办理办公用房交接登记。</w:t>
      </w:r>
    </w:p>
    <w:p w14:paraId="58FB71C5">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 xml:space="preserve">协助招标人及物业使用人临时搬运物资。 </w:t>
      </w:r>
    </w:p>
    <w:p w14:paraId="1ACBDD07">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中标人要建立资料的收集、分类整理、归档管理制度。</w:t>
      </w:r>
    </w:p>
    <w:p w14:paraId="636E7B46">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在日常管理中要建立交接班、项目故障与维修、保养等登记制度。</w:t>
      </w:r>
    </w:p>
    <w:p w14:paraId="6BFA9C0A">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档案资料包括：与物业相关的工程图纸、档案和竣工验收资料：实施管理和服务工作中的各种制度、规程、流程、记录、图表、函件等。</w:t>
      </w:r>
    </w:p>
    <w:p w14:paraId="5BF427D1">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协助招标人其它临时性的事务。</w:t>
      </w:r>
    </w:p>
    <w:p w14:paraId="19BCC2DB">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中标人的物业管理人员须具备符合国家或行业规定的相关证件，</w:t>
      </w:r>
      <w:r>
        <w:rPr>
          <w:rFonts w:hint="eastAsia" w:ascii="宋体" w:hAnsi="宋体" w:eastAsia="宋体" w:cs="宋体"/>
          <w:b w:val="0"/>
          <w:bCs/>
          <w:color w:val="auto"/>
          <w:sz w:val="21"/>
          <w:szCs w:val="21"/>
          <w:highlight w:val="none"/>
          <w:lang w:val="en-US" w:eastAsia="zh-CN"/>
        </w:rPr>
        <w:t>无</w:t>
      </w:r>
      <w:r>
        <w:rPr>
          <w:rFonts w:hint="eastAsia" w:ascii="宋体" w:hAnsi="宋体" w:eastAsia="宋体" w:cs="宋体"/>
          <w:b w:val="0"/>
          <w:bCs/>
          <w:color w:val="auto"/>
          <w:sz w:val="21"/>
          <w:szCs w:val="21"/>
          <w:highlight w:val="none"/>
          <w:lang w:eastAsia="zh-CN"/>
        </w:rPr>
        <w:t>刑事犯罪记录，重要岗位人员聘用要经招标人审定。</w:t>
      </w:r>
    </w:p>
    <w:p w14:paraId="4EBBD2CA">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管理范围内，财物、设备及资料有被盗遗失情况的，中标人负责照价赔偿，资料补办手续费用一切由中标人负责。造成严重后果的追究其相关的值班人员的刑事责任。</w:t>
      </w:r>
    </w:p>
    <w:p w14:paraId="003F2C18">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如有需要，中标人的物业管理人员须听从招标人调动指挥。</w:t>
      </w:r>
    </w:p>
    <w:p w14:paraId="42141C75">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eastAsia="zh-CN"/>
        </w:rPr>
        <w:t>在合同生效期间内，中标人员工发生纠纷或伤亡事故，与招标人无关，中标人自行负责解决。</w:t>
      </w:r>
    </w:p>
    <w:p w14:paraId="1E2C3184">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协助招标人进行水电费、租金等催缴工作。</w:t>
      </w:r>
    </w:p>
    <w:p w14:paraId="10FC7A99">
      <w:pPr>
        <w:pStyle w:val="4"/>
        <w:bidi w:val="0"/>
        <w:spacing w:line="360" w:lineRule="auto"/>
        <w:ind w:firstLine="422" w:firstLineChars="200"/>
        <w:jc w:val="left"/>
        <w:rPr>
          <w:rFonts w:hint="eastAsia" w:ascii="宋体" w:hAnsi="宋体" w:eastAsia="宋体" w:cs="宋体"/>
          <w:b/>
          <w:bCs w:val="0"/>
          <w:color w:val="auto"/>
          <w:sz w:val="21"/>
          <w:szCs w:val="21"/>
          <w:highlight w:val="none"/>
          <w:lang w:val="en-US" w:eastAsia="zh-CN"/>
        </w:rPr>
      </w:pPr>
      <w:bookmarkStart w:id="675" w:name="_Toc17856"/>
      <w:bookmarkStart w:id="676" w:name="_Toc32448"/>
      <w:bookmarkStart w:id="677" w:name="_Toc26834"/>
      <w:bookmarkStart w:id="678" w:name="_Toc16506"/>
      <w:bookmarkStart w:id="679" w:name="_Toc4821"/>
      <w:r>
        <w:rPr>
          <w:rFonts w:hint="eastAsia" w:ascii="宋体" w:hAnsi="宋体" w:eastAsia="宋体" w:cs="宋体"/>
          <w:b/>
          <w:bCs w:val="0"/>
          <w:color w:val="auto"/>
          <w:sz w:val="21"/>
          <w:szCs w:val="21"/>
          <w:highlight w:val="none"/>
          <w:lang w:val="en-US" w:eastAsia="zh-CN"/>
        </w:rPr>
        <w:t>2.3</w:t>
      </w:r>
      <w:r>
        <w:rPr>
          <w:rFonts w:hint="eastAsia" w:hAnsi="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lang w:val="en-US" w:eastAsia="zh-CN"/>
        </w:rPr>
        <w:t>实施地点</w:t>
      </w:r>
      <w:bookmarkEnd w:id="675"/>
      <w:bookmarkEnd w:id="676"/>
      <w:bookmarkEnd w:id="677"/>
      <w:bookmarkEnd w:id="678"/>
      <w:bookmarkEnd w:id="679"/>
    </w:p>
    <w:p w14:paraId="05EC3477">
      <w:pPr>
        <w:pStyle w:val="18"/>
        <w:spacing w:line="360" w:lineRule="auto"/>
        <w:ind w:firstLine="420" w:firstLineChars="200"/>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本项目实施地点为广东省东莞市南城街道宏北路16号水业大厦。</w:t>
      </w:r>
    </w:p>
    <w:p w14:paraId="58F97F11">
      <w:pPr>
        <w:pStyle w:val="2"/>
        <w:adjustRightInd w:val="0"/>
        <w:snapToGrid w:val="0"/>
        <w:spacing w:line="360" w:lineRule="auto"/>
        <w:jc w:val="left"/>
        <w:rPr>
          <w:rFonts w:hint="eastAsia" w:ascii="宋体" w:hAnsi="宋体" w:eastAsia="宋体" w:cs="宋体"/>
          <w:b/>
          <w:bCs w:val="0"/>
          <w:color w:val="auto"/>
          <w:sz w:val="21"/>
          <w:szCs w:val="21"/>
          <w:highlight w:val="none"/>
          <w:lang w:val="en-US" w:eastAsia="zh-CN"/>
        </w:rPr>
      </w:pPr>
      <w:bookmarkStart w:id="680" w:name="_Toc30634"/>
      <w:bookmarkStart w:id="681" w:name="_Toc10513"/>
      <w:bookmarkStart w:id="682" w:name="_Toc1793"/>
      <w:bookmarkStart w:id="683" w:name="_Toc8208"/>
      <w:bookmarkStart w:id="684" w:name="_Toc6625"/>
      <w:bookmarkStart w:id="685" w:name="_Toc8423"/>
      <w:r>
        <w:rPr>
          <w:rFonts w:hint="eastAsia" w:ascii="宋体" w:hAnsi="宋体" w:eastAsia="宋体" w:cs="宋体"/>
          <w:b/>
          <w:bCs w:val="0"/>
          <w:color w:val="auto"/>
          <w:sz w:val="21"/>
          <w:szCs w:val="21"/>
          <w:highlight w:val="none"/>
          <w:lang w:val="en-US" w:eastAsia="zh-CN"/>
        </w:rPr>
        <w:t>三、服务期限</w:t>
      </w:r>
      <w:bookmarkEnd w:id="680"/>
      <w:bookmarkEnd w:id="681"/>
      <w:bookmarkEnd w:id="682"/>
      <w:bookmarkEnd w:id="683"/>
      <w:bookmarkEnd w:id="684"/>
    </w:p>
    <w:p w14:paraId="6774BD1A">
      <w:pPr>
        <w:spacing w:line="360" w:lineRule="auto"/>
        <w:ind w:firstLine="420"/>
        <w:jc w:val="left"/>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color w:val="auto"/>
          <w:sz w:val="21"/>
          <w:szCs w:val="21"/>
          <w:lang w:val="en-US" w:eastAsia="zh-CN"/>
        </w:rPr>
        <w:t>自招标人书面通知中标人进场之日起至2027年12月31日</w:t>
      </w:r>
      <w:r>
        <w:rPr>
          <w:rFonts w:hint="eastAsia" w:ascii="宋体" w:hAnsi="宋体" w:eastAsia="宋体" w:cs="宋体"/>
          <w:b w:val="0"/>
          <w:bCs/>
          <w:color w:val="auto"/>
          <w:kern w:val="2"/>
          <w:sz w:val="21"/>
          <w:szCs w:val="21"/>
          <w:highlight w:val="none"/>
          <w:lang w:val="en-US" w:eastAsia="zh-CN" w:bidi="ar-SA"/>
        </w:rPr>
        <w:t>。</w:t>
      </w:r>
    </w:p>
    <w:p w14:paraId="137FA1C8">
      <w:pPr>
        <w:pStyle w:val="2"/>
        <w:adjustRightInd w:val="0"/>
        <w:snapToGrid w:val="0"/>
        <w:spacing w:line="360" w:lineRule="auto"/>
        <w:jc w:val="left"/>
        <w:rPr>
          <w:rFonts w:hint="eastAsia" w:ascii="宋体" w:hAnsi="宋体" w:eastAsia="宋体" w:cs="宋体"/>
          <w:b/>
          <w:bCs w:val="0"/>
          <w:color w:val="auto"/>
          <w:sz w:val="21"/>
          <w:szCs w:val="21"/>
          <w:highlight w:val="none"/>
          <w:lang w:val="en-US" w:eastAsia="zh-CN"/>
        </w:rPr>
      </w:pPr>
      <w:bookmarkStart w:id="686" w:name="_Toc30928"/>
      <w:bookmarkStart w:id="687" w:name="_Toc29379"/>
      <w:bookmarkStart w:id="688" w:name="_Toc11038"/>
      <w:bookmarkStart w:id="689" w:name="_Toc24700"/>
      <w:bookmarkStart w:id="690" w:name="_Toc24767"/>
      <w:r>
        <w:rPr>
          <w:rFonts w:hint="eastAsia" w:ascii="宋体" w:hAnsi="宋体" w:eastAsia="宋体" w:cs="宋体"/>
          <w:b/>
          <w:bCs w:val="0"/>
          <w:color w:val="auto"/>
          <w:sz w:val="21"/>
          <w:szCs w:val="21"/>
          <w:highlight w:val="none"/>
          <w:lang w:val="en-US" w:eastAsia="zh-CN"/>
        </w:rPr>
        <w:t>四、物业服务人员要求</w:t>
      </w:r>
      <w:bookmarkEnd w:id="686"/>
      <w:bookmarkEnd w:id="687"/>
      <w:bookmarkEnd w:id="688"/>
      <w:bookmarkEnd w:id="689"/>
      <w:bookmarkEnd w:id="690"/>
    </w:p>
    <w:p w14:paraId="0595C2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本项目人员配置为65人（入驻率≥70，其中包含招标人集团内部各企业办公区域保洁18人，物业团队人员47人），招标人有权根据项目的实际入驻情况，对于人员数量进行调整，具体以</w:t>
      </w:r>
      <w:r>
        <w:rPr>
          <w:rFonts w:hint="eastAsia" w:ascii="宋体" w:hAnsi="宋体" w:eastAsia="宋体" w:cs="宋体"/>
          <w:color w:val="auto"/>
          <w:sz w:val="21"/>
          <w:szCs w:val="21"/>
          <w:highlight w:val="none"/>
          <w:lang w:val="en-US" w:eastAsia="zh-CN"/>
        </w:rPr>
        <w:t>双方协商为准。物业服务总岗位人数应根据入驻率不超过下表人数配置，入驻率=已入驻面积/计容面积（不含地下车库）。</w:t>
      </w:r>
    </w:p>
    <w:p w14:paraId="71FA805A">
      <w:pPr>
        <w:keepNext w:val="0"/>
        <w:keepLines w:val="0"/>
        <w:pageBreakBefore w:val="0"/>
        <w:widowControl w:val="0"/>
        <w:numPr>
          <w:ilvl w:val="0"/>
          <w:numId w:val="19"/>
        </w:numPr>
        <w:kinsoku/>
        <w:wordWrap/>
        <w:overflowPunct/>
        <w:topLinePunct w:val="0"/>
        <w:autoSpaceDE/>
        <w:autoSpaceDN/>
        <w:bidi w:val="0"/>
        <w:adjustRightInd w:val="0"/>
        <w:snapToGrid w:val="0"/>
        <w:spacing w:before="163" w:beforeLines="50"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人员配置如下：</w:t>
      </w:r>
    </w:p>
    <w:tbl>
      <w:tblPr>
        <w:tblStyle w:val="41"/>
        <w:tblW w:w="500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43"/>
        <w:gridCol w:w="661"/>
        <w:gridCol w:w="786"/>
        <w:gridCol w:w="846"/>
        <w:gridCol w:w="1095"/>
        <w:gridCol w:w="3707"/>
        <w:gridCol w:w="2743"/>
      </w:tblGrid>
      <w:tr w14:paraId="073691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blHeader/>
          <w:jc w:val="center"/>
        </w:trPr>
        <w:tc>
          <w:tcPr>
            <w:tcW w:w="261" w:type="pct"/>
            <w:vMerge w:val="restart"/>
            <w:tcBorders>
              <w:tl2br w:val="nil"/>
              <w:tr2bl w:val="nil"/>
            </w:tcBorders>
            <w:shd w:val="clear" w:color="auto" w:fill="auto"/>
            <w:vAlign w:val="center"/>
          </w:tcPr>
          <w:p w14:paraId="42176093">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bidi="ar-SA"/>
              </w:rPr>
            </w:pPr>
            <w:r>
              <w:rPr>
                <w:rFonts w:hint="eastAsia" w:ascii="宋体" w:hAnsi="宋体" w:eastAsia="宋体" w:cs="宋体"/>
                <w:color w:val="auto"/>
                <w:kern w:val="2"/>
                <w:sz w:val="21"/>
                <w:szCs w:val="21"/>
                <w:highlight w:val="none"/>
                <w:lang w:eastAsia="zh-CN"/>
              </w:rPr>
              <w:t>序号</w:t>
            </w:r>
          </w:p>
        </w:tc>
        <w:tc>
          <w:tcPr>
            <w:tcW w:w="318" w:type="pct"/>
            <w:vMerge w:val="restart"/>
            <w:tcBorders>
              <w:tl2br w:val="nil"/>
              <w:tr2bl w:val="nil"/>
            </w:tcBorders>
            <w:shd w:val="clear" w:color="auto" w:fill="auto"/>
            <w:vAlign w:val="center"/>
          </w:tcPr>
          <w:p w14:paraId="282F9222">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bidi="ar-SA"/>
              </w:rPr>
            </w:pPr>
            <w:r>
              <w:rPr>
                <w:rFonts w:hint="eastAsia" w:ascii="宋体" w:hAnsi="宋体" w:eastAsia="宋体" w:cs="宋体"/>
                <w:color w:val="auto"/>
                <w:kern w:val="2"/>
                <w:sz w:val="21"/>
                <w:szCs w:val="21"/>
                <w:highlight w:val="none"/>
                <w:lang w:eastAsia="zh-CN"/>
              </w:rPr>
              <w:t>线条</w:t>
            </w:r>
          </w:p>
        </w:tc>
        <w:tc>
          <w:tcPr>
            <w:tcW w:w="378" w:type="pct"/>
            <w:vMerge w:val="restart"/>
            <w:tcBorders>
              <w:tl2br w:val="nil"/>
              <w:tr2bl w:val="nil"/>
            </w:tcBorders>
            <w:shd w:val="clear" w:color="auto" w:fill="auto"/>
            <w:vAlign w:val="center"/>
          </w:tcPr>
          <w:p w14:paraId="5ABA0F12">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bidi="ar-SA"/>
              </w:rPr>
            </w:pPr>
            <w:r>
              <w:rPr>
                <w:rFonts w:hint="eastAsia" w:ascii="宋体" w:hAnsi="宋体" w:eastAsia="宋体" w:cs="宋体"/>
                <w:color w:val="auto"/>
                <w:kern w:val="2"/>
                <w:sz w:val="21"/>
                <w:szCs w:val="21"/>
                <w:highlight w:val="none"/>
                <w:lang w:eastAsia="zh-CN"/>
              </w:rPr>
              <w:t>岗位</w:t>
            </w:r>
          </w:p>
        </w:tc>
        <w:tc>
          <w:tcPr>
            <w:tcW w:w="934" w:type="pct"/>
            <w:gridSpan w:val="2"/>
            <w:tcBorders>
              <w:tl2br w:val="nil"/>
              <w:tr2bl w:val="nil"/>
            </w:tcBorders>
          </w:tcPr>
          <w:p w14:paraId="58149C7F">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入驻率/配备人数</w:t>
            </w:r>
          </w:p>
        </w:tc>
        <w:tc>
          <w:tcPr>
            <w:tcW w:w="1785" w:type="pct"/>
            <w:vMerge w:val="restart"/>
            <w:tcBorders>
              <w:tl2br w:val="nil"/>
              <w:tr2bl w:val="nil"/>
            </w:tcBorders>
            <w:shd w:val="clear" w:color="auto" w:fill="auto"/>
            <w:vAlign w:val="center"/>
          </w:tcPr>
          <w:p w14:paraId="6DCBB011">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bidi="ar-SA"/>
              </w:rPr>
            </w:pPr>
            <w:r>
              <w:rPr>
                <w:rFonts w:hint="eastAsia" w:ascii="宋体" w:hAnsi="宋体" w:eastAsia="宋体" w:cs="宋体"/>
                <w:color w:val="auto"/>
                <w:kern w:val="2"/>
                <w:sz w:val="21"/>
                <w:szCs w:val="21"/>
                <w:highlight w:val="none"/>
                <w:lang w:eastAsia="zh-CN"/>
              </w:rPr>
              <w:t>岗位职责</w:t>
            </w:r>
          </w:p>
        </w:tc>
        <w:tc>
          <w:tcPr>
            <w:tcW w:w="1321" w:type="pct"/>
            <w:vMerge w:val="restart"/>
            <w:tcBorders>
              <w:tl2br w:val="nil"/>
              <w:tr2bl w:val="nil"/>
            </w:tcBorders>
            <w:shd w:val="clear" w:color="auto" w:fill="auto"/>
            <w:vAlign w:val="center"/>
          </w:tcPr>
          <w:p w14:paraId="451B4630">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bidi="ar-SA"/>
              </w:rPr>
            </w:pPr>
            <w:r>
              <w:rPr>
                <w:rFonts w:hint="eastAsia" w:ascii="宋体" w:hAnsi="宋体" w:eastAsia="宋体" w:cs="宋体"/>
                <w:color w:val="auto"/>
                <w:kern w:val="2"/>
                <w:sz w:val="21"/>
                <w:szCs w:val="21"/>
                <w:highlight w:val="none"/>
                <w:lang w:eastAsia="zh-CN"/>
              </w:rPr>
              <w:t>岗位要求</w:t>
            </w:r>
          </w:p>
        </w:tc>
      </w:tr>
      <w:tr w14:paraId="037F8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1" w:hRule="atLeast"/>
          <w:tblHeader/>
          <w:jc w:val="center"/>
        </w:trPr>
        <w:tc>
          <w:tcPr>
            <w:tcW w:w="261" w:type="pct"/>
            <w:vMerge w:val="continue"/>
            <w:tcBorders>
              <w:tl2br w:val="nil"/>
              <w:tr2bl w:val="nil"/>
            </w:tcBorders>
            <w:shd w:val="clear" w:color="auto" w:fill="auto"/>
            <w:vAlign w:val="center"/>
          </w:tcPr>
          <w:p w14:paraId="15E038B2">
            <w:pPr>
              <w:widowControl/>
              <w:spacing w:line="240" w:lineRule="auto"/>
              <w:ind w:firstLine="0" w:firstLineChars="0"/>
              <w:jc w:val="center"/>
              <w:textAlignment w:val="center"/>
              <w:rPr>
                <w:rFonts w:hint="eastAsia" w:ascii="宋体" w:hAnsi="宋体" w:eastAsia="宋体" w:cs="宋体"/>
                <w:b/>
                <w:bCs/>
                <w:color w:val="auto"/>
                <w:kern w:val="2"/>
                <w:sz w:val="21"/>
                <w:szCs w:val="21"/>
                <w:highlight w:val="none"/>
                <w:lang w:eastAsia="zh-CN" w:bidi="ar-SA"/>
              </w:rPr>
            </w:pPr>
          </w:p>
        </w:tc>
        <w:tc>
          <w:tcPr>
            <w:tcW w:w="318" w:type="pct"/>
            <w:vMerge w:val="continue"/>
            <w:tcBorders>
              <w:tl2br w:val="nil"/>
              <w:tr2bl w:val="nil"/>
            </w:tcBorders>
            <w:shd w:val="clear" w:color="auto" w:fill="auto"/>
            <w:vAlign w:val="center"/>
          </w:tcPr>
          <w:p w14:paraId="616893BF">
            <w:pPr>
              <w:widowControl/>
              <w:spacing w:line="240" w:lineRule="auto"/>
              <w:ind w:firstLine="0" w:firstLineChars="0"/>
              <w:jc w:val="center"/>
              <w:textAlignment w:val="center"/>
              <w:rPr>
                <w:rFonts w:hint="eastAsia" w:ascii="宋体" w:hAnsi="宋体" w:eastAsia="宋体" w:cs="宋体"/>
                <w:b/>
                <w:bCs/>
                <w:color w:val="auto"/>
                <w:kern w:val="2"/>
                <w:sz w:val="21"/>
                <w:szCs w:val="21"/>
                <w:highlight w:val="none"/>
                <w:lang w:eastAsia="zh-CN" w:bidi="ar-SA"/>
              </w:rPr>
            </w:pPr>
          </w:p>
        </w:tc>
        <w:tc>
          <w:tcPr>
            <w:tcW w:w="378" w:type="pct"/>
            <w:vMerge w:val="continue"/>
            <w:tcBorders>
              <w:tl2br w:val="nil"/>
              <w:tr2bl w:val="nil"/>
            </w:tcBorders>
            <w:shd w:val="clear" w:color="auto" w:fill="auto"/>
            <w:vAlign w:val="center"/>
          </w:tcPr>
          <w:p w14:paraId="0F806092">
            <w:pPr>
              <w:widowControl/>
              <w:spacing w:line="240" w:lineRule="auto"/>
              <w:ind w:firstLine="0" w:firstLineChars="0"/>
              <w:jc w:val="center"/>
              <w:textAlignment w:val="center"/>
              <w:rPr>
                <w:rFonts w:hint="eastAsia" w:ascii="宋体" w:hAnsi="宋体" w:eastAsia="宋体" w:cs="宋体"/>
                <w:b/>
                <w:bCs/>
                <w:color w:val="auto"/>
                <w:kern w:val="2"/>
                <w:sz w:val="21"/>
                <w:szCs w:val="21"/>
                <w:highlight w:val="none"/>
                <w:lang w:eastAsia="zh-CN" w:bidi="ar-SA"/>
              </w:rPr>
            </w:pPr>
          </w:p>
        </w:tc>
        <w:tc>
          <w:tcPr>
            <w:tcW w:w="407" w:type="pct"/>
            <w:tcBorders>
              <w:tl2br w:val="nil"/>
              <w:tr2bl w:val="nil"/>
            </w:tcBorders>
            <w:vAlign w:val="center"/>
          </w:tcPr>
          <w:p w14:paraId="31C7E54C">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＜7</w:t>
            </w:r>
            <w:r>
              <w:rPr>
                <w:rFonts w:hint="eastAsia" w:ascii="宋体" w:hAnsi="宋体" w:eastAsia="宋体" w:cs="宋体"/>
                <w:color w:val="auto"/>
                <w:kern w:val="2"/>
                <w:sz w:val="21"/>
                <w:szCs w:val="21"/>
                <w:highlight w:val="none"/>
                <w:lang w:val="en-US" w:eastAsia="zh-CN"/>
              </w:rPr>
              <w:t>0</w:t>
            </w:r>
            <w:r>
              <w:rPr>
                <w:rFonts w:hint="eastAsia" w:ascii="宋体" w:hAnsi="宋体" w:eastAsia="宋体" w:cs="宋体"/>
                <w:color w:val="auto"/>
                <w:kern w:val="2"/>
                <w:sz w:val="21"/>
                <w:szCs w:val="21"/>
                <w:highlight w:val="none"/>
                <w:lang w:eastAsia="zh-CN"/>
              </w:rPr>
              <w:t>%</w:t>
            </w:r>
          </w:p>
        </w:tc>
        <w:tc>
          <w:tcPr>
            <w:tcW w:w="527" w:type="pct"/>
            <w:tcBorders>
              <w:tl2br w:val="nil"/>
              <w:tr2bl w:val="nil"/>
            </w:tcBorders>
            <w:shd w:val="clear" w:color="auto" w:fill="auto"/>
            <w:vAlign w:val="center"/>
          </w:tcPr>
          <w:p w14:paraId="5B6EFBC5">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lang w:eastAsia="zh-CN"/>
              </w:rPr>
              <w:t>7</w:t>
            </w:r>
            <w:r>
              <w:rPr>
                <w:rFonts w:hint="eastAsia" w:ascii="宋体" w:hAnsi="宋体" w:eastAsia="宋体" w:cs="宋体"/>
                <w:color w:val="auto"/>
                <w:kern w:val="2"/>
                <w:sz w:val="21"/>
                <w:szCs w:val="21"/>
                <w:highlight w:val="none"/>
                <w:lang w:val="en-US" w:eastAsia="zh-CN"/>
              </w:rPr>
              <w:t>0</w:t>
            </w:r>
            <w:r>
              <w:rPr>
                <w:rFonts w:hint="eastAsia" w:ascii="宋体" w:hAnsi="宋体" w:eastAsia="宋体" w:cs="宋体"/>
                <w:color w:val="auto"/>
                <w:kern w:val="2"/>
                <w:sz w:val="21"/>
                <w:szCs w:val="21"/>
                <w:highlight w:val="none"/>
                <w:lang w:eastAsia="zh-CN"/>
              </w:rPr>
              <w:t>%</w:t>
            </w:r>
          </w:p>
        </w:tc>
        <w:tc>
          <w:tcPr>
            <w:tcW w:w="1785" w:type="pct"/>
            <w:vMerge w:val="continue"/>
            <w:tcBorders>
              <w:tl2br w:val="nil"/>
              <w:tr2bl w:val="nil"/>
            </w:tcBorders>
            <w:shd w:val="clear" w:color="auto" w:fill="auto"/>
            <w:vAlign w:val="center"/>
          </w:tcPr>
          <w:p w14:paraId="27A8B1CA">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bidi="ar-SA"/>
              </w:rPr>
            </w:pPr>
          </w:p>
        </w:tc>
        <w:tc>
          <w:tcPr>
            <w:tcW w:w="1321" w:type="pct"/>
            <w:vMerge w:val="continue"/>
            <w:tcBorders>
              <w:tl2br w:val="nil"/>
              <w:tr2bl w:val="nil"/>
            </w:tcBorders>
            <w:shd w:val="clear" w:color="auto" w:fill="auto"/>
            <w:vAlign w:val="center"/>
          </w:tcPr>
          <w:p w14:paraId="443A7201">
            <w:pPr>
              <w:widowControl/>
              <w:spacing w:line="240" w:lineRule="auto"/>
              <w:ind w:firstLine="0" w:firstLineChars="0"/>
              <w:jc w:val="center"/>
              <w:textAlignment w:val="center"/>
              <w:rPr>
                <w:rFonts w:hint="eastAsia" w:ascii="宋体" w:hAnsi="宋体" w:eastAsia="宋体" w:cs="宋体"/>
                <w:b/>
                <w:bCs/>
                <w:color w:val="auto"/>
                <w:kern w:val="2"/>
                <w:sz w:val="21"/>
                <w:szCs w:val="21"/>
                <w:highlight w:val="none"/>
                <w:lang w:eastAsia="zh-CN" w:bidi="ar-SA"/>
              </w:rPr>
            </w:pPr>
          </w:p>
        </w:tc>
      </w:tr>
      <w:tr w14:paraId="02E1D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61" w:type="pct"/>
            <w:vMerge w:val="restart"/>
            <w:tcBorders>
              <w:tl2br w:val="nil"/>
              <w:tr2bl w:val="nil"/>
            </w:tcBorders>
            <w:shd w:val="clear" w:color="auto" w:fill="auto"/>
            <w:vAlign w:val="center"/>
          </w:tcPr>
          <w:p w14:paraId="2B3C0569">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bidi="ar-SA"/>
              </w:rPr>
            </w:pPr>
            <w:r>
              <w:rPr>
                <w:rFonts w:hint="eastAsia" w:ascii="宋体" w:hAnsi="宋体" w:eastAsia="宋体" w:cs="宋体"/>
                <w:color w:val="auto"/>
                <w:kern w:val="2"/>
                <w:sz w:val="21"/>
                <w:szCs w:val="21"/>
                <w:highlight w:val="none"/>
                <w:lang w:eastAsia="zh-CN"/>
              </w:rPr>
              <w:t>1</w:t>
            </w:r>
          </w:p>
        </w:tc>
        <w:tc>
          <w:tcPr>
            <w:tcW w:w="318" w:type="pct"/>
            <w:vMerge w:val="restart"/>
            <w:tcBorders>
              <w:tl2br w:val="nil"/>
              <w:tr2bl w:val="nil"/>
            </w:tcBorders>
            <w:shd w:val="clear" w:color="auto" w:fill="auto"/>
            <w:vAlign w:val="center"/>
          </w:tcPr>
          <w:p w14:paraId="499B63E6">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bidi="ar-SA"/>
              </w:rPr>
            </w:pPr>
            <w:r>
              <w:rPr>
                <w:rFonts w:hint="eastAsia" w:ascii="宋体" w:hAnsi="宋体" w:eastAsia="宋体" w:cs="宋体"/>
                <w:color w:val="auto"/>
                <w:kern w:val="2"/>
                <w:sz w:val="21"/>
                <w:szCs w:val="21"/>
                <w:highlight w:val="none"/>
                <w:lang w:eastAsia="zh-CN"/>
              </w:rPr>
              <w:t>综合支持</w:t>
            </w:r>
          </w:p>
        </w:tc>
        <w:tc>
          <w:tcPr>
            <w:tcW w:w="378" w:type="pct"/>
            <w:tcBorders>
              <w:tl2br w:val="nil"/>
              <w:tr2bl w:val="nil"/>
            </w:tcBorders>
            <w:shd w:val="clear" w:color="auto" w:fill="auto"/>
            <w:vAlign w:val="center"/>
          </w:tcPr>
          <w:p w14:paraId="53901EF2">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bidi="ar-SA"/>
              </w:rPr>
            </w:pPr>
            <w:r>
              <w:rPr>
                <w:rFonts w:hint="eastAsia" w:ascii="宋体" w:hAnsi="宋体" w:eastAsia="宋体" w:cs="宋体"/>
                <w:color w:val="auto"/>
                <w:kern w:val="2"/>
                <w:sz w:val="21"/>
                <w:szCs w:val="21"/>
                <w:highlight w:val="none"/>
                <w:lang w:eastAsia="zh-CN"/>
              </w:rPr>
              <w:t>项目经理</w:t>
            </w:r>
          </w:p>
        </w:tc>
        <w:tc>
          <w:tcPr>
            <w:tcW w:w="407" w:type="pct"/>
            <w:tcBorders>
              <w:tl2br w:val="nil"/>
              <w:tr2bl w:val="nil"/>
            </w:tcBorders>
            <w:vAlign w:val="center"/>
          </w:tcPr>
          <w:p w14:paraId="293CA408">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w:t>
            </w:r>
          </w:p>
        </w:tc>
        <w:tc>
          <w:tcPr>
            <w:tcW w:w="527" w:type="pct"/>
            <w:tcBorders>
              <w:tl2br w:val="nil"/>
              <w:tr2bl w:val="nil"/>
            </w:tcBorders>
            <w:shd w:val="clear" w:color="auto" w:fill="auto"/>
            <w:vAlign w:val="center"/>
          </w:tcPr>
          <w:p w14:paraId="08470B6A">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bidi="ar-SA"/>
              </w:rPr>
            </w:pPr>
            <w:r>
              <w:rPr>
                <w:rFonts w:hint="eastAsia" w:ascii="宋体" w:hAnsi="宋体" w:eastAsia="宋体" w:cs="宋体"/>
                <w:color w:val="auto"/>
                <w:kern w:val="2"/>
                <w:sz w:val="21"/>
                <w:szCs w:val="21"/>
                <w:highlight w:val="none"/>
                <w:lang w:eastAsia="zh-CN"/>
              </w:rPr>
              <w:t>1</w:t>
            </w:r>
          </w:p>
        </w:tc>
        <w:tc>
          <w:tcPr>
            <w:tcW w:w="1785" w:type="pct"/>
            <w:tcBorders>
              <w:tl2br w:val="nil"/>
              <w:tr2bl w:val="nil"/>
            </w:tcBorders>
            <w:shd w:val="clear" w:color="auto" w:fill="auto"/>
            <w:vAlign w:val="center"/>
          </w:tcPr>
          <w:p w14:paraId="7501AE64">
            <w:pPr>
              <w:keepNext/>
              <w:keepLines w:val="0"/>
              <w:widowControl/>
              <w:suppressLineNumbers w:val="0"/>
              <w:snapToGrid w:val="0"/>
              <w:spacing w:line="240" w:lineRule="auto"/>
              <w:ind w:left="0" w:leftChars="0" w:firstLine="0" w:firstLineChars="0"/>
              <w:jc w:val="both"/>
              <w:textAlignment w:val="center"/>
              <w:rPr>
                <w:rFonts w:hint="eastAsia" w:ascii="宋体" w:hAnsi="宋体" w:eastAsia="宋体" w:cs="宋体"/>
                <w:color w:val="auto"/>
                <w:kern w:val="2"/>
                <w:sz w:val="21"/>
                <w:szCs w:val="21"/>
                <w:highlight w:val="none"/>
                <w:lang w:eastAsia="zh-CN" w:bidi="ar-SA"/>
              </w:rPr>
            </w:pPr>
            <w:r>
              <w:rPr>
                <w:rFonts w:hint="eastAsia" w:ascii="宋体" w:hAnsi="宋体" w:eastAsia="宋体" w:cs="宋体"/>
                <w:i w:val="0"/>
                <w:iCs w:val="0"/>
                <w:color w:val="auto"/>
                <w:kern w:val="0"/>
                <w:sz w:val="21"/>
                <w:szCs w:val="21"/>
                <w:highlight w:val="none"/>
                <w:u w:val="none"/>
                <w:lang w:val="en-US" w:eastAsia="zh-CN" w:bidi="ar"/>
              </w:rPr>
              <w:t>为本项目负责人，是项目专职管理人员，负责项目全面综合管理，与招标人沟通服务事项并对管理结果负责，该职位要求常驻项目办公。</w:t>
            </w:r>
          </w:p>
        </w:tc>
        <w:tc>
          <w:tcPr>
            <w:tcW w:w="1321" w:type="pct"/>
            <w:tcBorders>
              <w:tl2br w:val="nil"/>
              <w:tr2bl w:val="nil"/>
            </w:tcBorders>
            <w:shd w:val="clear" w:color="auto" w:fill="auto"/>
            <w:vAlign w:val="center"/>
          </w:tcPr>
          <w:p w14:paraId="0E8628A9">
            <w:pPr>
              <w:keepNext/>
              <w:keepLines w:val="0"/>
              <w:widowControl/>
              <w:suppressLineNumbers w:val="0"/>
              <w:snapToGrid w:val="0"/>
              <w:spacing w:line="240" w:lineRule="auto"/>
              <w:ind w:left="0" w:leftChars="0" w:firstLine="0" w:firstLineChars="0"/>
              <w:jc w:val="both"/>
              <w:textAlignment w:val="center"/>
              <w:rPr>
                <w:rFonts w:hint="eastAsia" w:ascii="宋体" w:hAnsi="宋体" w:eastAsia="宋体" w:cs="宋体"/>
                <w:color w:val="auto"/>
                <w:kern w:val="2"/>
                <w:sz w:val="21"/>
                <w:szCs w:val="21"/>
                <w:highlight w:val="none"/>
                <w:lang w:eastAsia="zh-CN" w:bidi="ar-SA"/>
              </w:rPr>
            </w:pPr>
            <w:r>
              <w:rPr>
                <w:rFonts w:hint="eastAsia" w:ascii="宋体" w:hAnsi="宋体" w:eastAsia="宋体" w:cs="宋体"/>
                <w:i w:val="0"/>
                <w:iCs w:val="0"/>
                <w:color w:val="auto"/>
                <w:kern w:val="0"/>
                <w:sz w:val="21"/>
                <w:szCs w:val="21"/>
                <w:highlight w:val="none"/>
                <w:u w:val="none"/>
                <w:lang w:val="en-US" w:eastAsia="zh-CN" w:bidi="ar"/>
              </w:rPr>
              <w:t>本科及以上学历，10年以上物管工作经验，具有物业管理或工程技术相关证书，年龄45岁以下。</w:t>
            </w:r>
          </w:p>
        </w:tc>
      </w:tr>
      <w:tr w14:paraId="494D65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61" w:type="pct"/>
            <w:vMerge w:val="continue"/>
            <w:tcBorders>
              <w:tl2br w:val="nil"/>
              <w:tr2bl w:val="nil"/>
            </w:tcBorders>
            <w:shd w:val="clear" w:color="auto" w:fill="auto"/>
            <w:vAlign w:val="center"/>
          </w:tcPr>
          <w:p w14:paraId="0D2013E0">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bidi="ar-SA"/>
              </w:rPr>
            </w:pPr>
          </w:p>
        </w:tc>
        <w:tc>
          <w:tcPr>
            <w:tcW w:w="318" w:type="pct"/>
            <w:vMerge w:val="continue"/>
            <w:tcBorders>
              <w:tl2br w:val="nil"/>
              <w:tr2bl w:val="nil"/>
            </w:tcBorders>
            <w:shd w:val="clear" w:color="auto" w:fill="auto"/>
            <w:vAlign w:val="center"/>
          </w:tcPr>
          <w:p w14:paraId="7053ADAE">
            <w:pPr>
              <w:widowControl/>
              <w:spacing w:line="240" w:lineRule="auto"/>
              <w:ind w:firstLine="0" w:firstLineChars="0"/>
              <w:jc w:val="center"/>
              <w:rPr>
                <w:rFonts w:hint="eastAsia" w:ascii="宋体" w:hAnsi="宋体" w:eastAsia="宋体" w:cs="宋体"/>
                <w:color w:val="auto"/>
                <w:kern w:val="2"/>
                <w:sz w:val="21"/>
                <w:szCs w:val="21"/>
                <w:highlight w:val="none"/>
                <w:lang w:eastAsia="zh-CN" w:bidi="ar-SA"/>
              </w:rPr>
            </w:pPr>
          </w:p>
        </w:tc>
        <w:tc>
          <w:tcPr>
            <w:tcW w:w="378" w:type="pct"/>
            <w:tcBorders>
              <w:tl2br w:val="nil"/>
              <w:tr2bl w:val="nil"/>
            </w:tcBorders>
            <w:shd w:val="clear" w:color="auto" w:fill="auto"/>
            <w:vAlign w:val="center"/>
          </w:tcPr>
          <w:p w14:paraId="1D85F38E">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rPr>
              <w:t>财务</w:t>
            </w:r>
            <w:r>
              <w:rPr>
                <w:rFonts w:hint="eastAsia" w:ascii="宋体" w:hAnsi="宋体" w:eastAsia="宋体" w:cs="宋体"/>
                <w:color w:val="auto"/>
                <w:kern w:val="2"/>
                <w:sz w:val="21"/>
                <w:szCs w:val="21"/>
                <w:highlight w:val="none"/>
                <w:lang w:val="en-US" w:eastAsia="zh-CN"/>
              </w:rPr>
              <w:t>专员</w:t>
            </w:r>
          </w:p>
        </w:tc>
        <w:tc>
          <w:tcPr>
            <w:tcW w:w="407" w:type="pct"/>
            <w:tcBorders>
              <w:tl2br w:val="nil"/>
              <w:tr2bl w:val="nil"/>
            </w:tcBorders>
            <w:vAlign w:val="center"/>
          </w:tcPr>
          <w:p w14:paraId="256CAB26">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w:t>
            </w:r>
          </w:p>
        </w:tc>
        <w:tc>
          <w:tcPr>
            <w:tcW w:w="527" w:type="pct"/>
            <w:tcBorders>
              <w:tl2br w:val="nil"/>
              <w:tr2bl w:val="nil"/>
            </w:tcBorders>
            <w:shd w:val="clear" w:color="auto" w:fill="auto"/>
            <w:vAlign w:val="center"/>
          </w:tcPr>
          <w:p w14:paraId="446B9F7F">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bidi="ar-SA"/>
              </w:rPr>
            </w:pPr>
            <w:r>
              <w:rPr>
                <w:rFonts w:hint="eastAsia" w:ascii="宋体" w:hAnsi="宋体" w:eastAsia="宋体" w:cs="宋体"/>
                <w:color w:val="auto"/>
                <w:kern w:val="2"/>
                <w:sz w:val="21"/>
                <w:szCs w:val="21"/>
                <w:highlight w:val="none"/>
                <w:lang w:eastAsia="zh-CN"/>
              </w:rPr>
              <w:t>1</w:t>
            </w:r>
          </w:p>
        </w:tc>
        <w:tc>
          <w:tcPr>
            <w:tcW w:w="1785" w:type="pct"/>
            <w:tcBorders>
              <w:tl2br w:val="nil"/>
              <w:tr2bl w:val="nil"/>
            </w:tcBorders>
            <w:shd w:val="clear" w:color="auto" w:fill="auto"/>
            <w:vAlign w:val="center"/>
          </w:tcPr>
          <w:p w14:paraId="3250F80A">
            <w:pPr>
              <w:widowControl/>
              <w:spacing w:line="240" w:lineRule="auto"/>
              <w:ind w:firstLine="0" w:firstLineChars="0"/>
              <w:jc w:val="both"/>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物业收缴管理，物业费收支核算等财务工作。</w:t>
            </w:r>
          </w:p>
        </w:tc>
        <w:tc>
          <w:tcPr>
            <w:tcW w:w="1321" w:type="pct"/>
            <w:tcBorders>
              <w:tl2br w:val="nil"/>
              <w:tr2bl w:val="nil"/>
            </w:tcBorders>
            <w:shd w:val="clear" w:color="auto" w:fill="auto"/>
            <w:vAlign w:val="center"/>
          </w:tcPr>
          <w:p w14:paraId="1CE32262">
            <w:pPr>
              <w:keepNext/>
              <w:keepLines w:val="0"/>
              <w:widowControl/>
              <w:suppressLineNumbers w:val="0"/>
              <w:snapToGrid w:val="0"/>
              <w:spacing w:line="240" w:lineRule="auto"/>
              <w:ind w:left="0" w:leftChars="0" w:firstLine="0" w:firstLineChars="0"/>
              <w:jc w:val="both"/>
              <w:textAlignment w:val="center"/>
              <w:rPr>
                <w:rFonts w:hint="eastAsia" w:ascii="宋体" w:hAnsi="宋体" w:eastAsia="宋体" w:cs="宋体"/>
                <w:color w:val="auto"/>
                <w:kern w:val="2"/>
                <w:sz w:val="21"/>
                <w:szCs w:val="21"/>
                <w:highlight w:val="none"/>
                <w:lang w:eastAsia="zh-CN" w:bidi="ar-SA"/>
              </w:rPr>
            </w:pPr>
            <w:r>
              <w:rPr>
                <w:rFonts w:hint="eastAsia" w:ascii="宋体" w:hAnsi="宋体" w:eastAsia="宋体" w:cs="宋体"/>
                <w:i w:val="0"/>
                <w:iCs w:val="0"/>
                <w:color w:val="auto"/>
                <w:kern w:val="0"/>
                <w:sz w:val="21"/>
                <w:szCs w:val="21"/>
                <w:highlight w:val="none"/>
                <w:u w:val="none"/>
                <w:lang w:val="en-US" w:eastAsia="zh-CN" w:bidi="ar"/>
              </w:rPr>
              <w:t>应具备大专以上学历，2年以上财务工作经验，具备相关从业资格证。</w:t>
            </w:r>
          </w:p>
        </w:tc>
      </w:tr>
      <w:tr w14:paraId="4704E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2" w:hRule="atLeast"/>
          <w:jc w:val="center"/>
        </w:trPr>
        <w:tc>
          <w:tcPr>
            <w:tcW w:w="261" w:type="pct"/>
            <w:vMerge w:val="continue"/>
            <w:tcBorders>
              <w:tl2br w:val="nil"/>
              <w:tr2bl w:val="nil"/>
            </w:tcBorders>
            <w:shd w:val="clear" w:color="auto" w:fill="auto"/>
            <w:vAlign w:val="center"/>
          </w:tcPr>
          <w:p w14:paraId="71CA5423">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bidi="ar-SA"/>
              </w:rPr>
            </w:pPr>
          </w:p>
        </w:tc>
        <w:tc>
          <w:tcPr>
            <w:tcW w:w="318" w:type="pct"/>
            <w:vMerge w:val="continue"/>
            <w:tcBorders>
              <w:tl2br w:val="nil"/>
              <w:tr2bl w:val="nil"/>
            </w:tcBorders>
            <w:shd w:val="clear" w:color="auto" w:fill="auto"/>
            <w:vAlign w:val="center"/>
          </w:tcPr>
          <w:p w14:paraId="0171AA96">
            <w:pPr>
              <w:widowControl/>
              <w:spacing w:line="240" w:lineRule="auto"/>
              <w:ind w:firstLine="0" w:firstLineChars="0"/>
              <w:jc w:val="center"/>
              <w:rPr>
                <w:rFonts w:hint="eastAsia" w:ascii="宋体" w:hAnsi="宋体" w:eastAsia="宋体" w:cs="宋体"/>
                <w:color w:val="auto"/>
                <w:kern w:val="2"/>
                <w:sz w:val="21"/>
                <w:szCs w:val="21"/>
                <w:highlight w:val="none"/>
                <w:lang w:eastAsia="zh-CN" w:bidi="ar-SA"/>
              </w:rPr>
            </w:pPr>
          </w:p>
        </w:tc>
        <w:tc>
          <w:tcPr>
            <w:tcW w:w="378" w:type="pct"/>
            <w:tcBorders>
              <w:tl2br w:val="nil"/>
              <w:tr2bl w:val="nil"/>
            </w:tcBorders>
            <w:shd w:val="clear" w:color="auto" w:fill="auto"/>
            <w:vAlign w:val="center"/>
          </w:tcPr>
          <w:p w14:paraId="614795E0">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品质专员</w:t>
            </w:r>
          </w:p>
        </w:tc>
        <w:tc>
          <w:tcPr>
            <w:tcW w:w="407" w:type="pct"/>
            <w:tcBorders>
              <w:tl2br w:val="nil"/>
              <w:tr2bl w:val="nil"/>
            </w:tcBorders>
            <w:vAlign w:val="center"/>
          </w:tcPr>
          <w:p w14:paraId="0345B3C0">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w:t>
            </w:r>
          </w:p>
        </w:tc>
        <w:tc>
          <w:tcPr>
            <w:tcW w:w="527" w:type="pct"/>
            <w:tcBorders>
              <w:tl2br w:val="nil"/>
              <w:tr2bl w:val="nil"/>
            </w:tcBorders>
            <w:shd w:val="clear" w:color="auto" w:fill="auto"/>
            <w:vAlign w:val="center"/>
          </w:tcPr>
          <w:p w14:paraId="2CC51A9A">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bidi="ar-SA"/>
              </w:rPr>
            </w:pPr>
            <w:r>
              <w:rPr>
                <w:rFonts w:hint="eastAsia" w:ascii="宋体" w:hAnsi="宋体" w:eastAsia="宋体" w:cs="宋体"/>
                <w:color w:val="auto"/>
                <w:kern w:val="2"/>
                <w:sz w:val="21"/>
                <w:szCs w:val="21"/>
                <w:highlight w:val="none"/>
                <w:lang w:eastAsia="zh-CN"/>
              </w:rPr>
              <w:t>1</w:t>
            </w:r>
          </w:p>
        </w:tc>
        <w:tc>
          <w:tcPr>
            <w:tcW w:w="1785" w:type="pct"/>
            <w:tcBorders>
              <w:tl2br w:val="nil"/>
              <w:tr2bl w:val="nil"/>
            </w:tcBorders>
            <w:shd w:val="clear" w:color="auto" w:fill="auto"/>
            <w:vAlign w:val="center"/>
          </w:tcPr>
          <w:p w14:paraId="7E391C6E">
            <w:pPr>
              <w:keepNext/>
              <w:keepLines w:val="0"/>
              <w:widowControl/>
              <w:suppressLineNumbers w:val="0"/>
              <w:snapToGrid w:val="0"/>
              <w:spacing w:line="240" w:lineRule="auto"/>
              <w:ind w:left="0" w:leftChars="0" w:firstLine="0" w:firstLineChars="0"/>
              <w:jc w:val="left"/>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了解安全生产标准等体系相关知识；具有独立推动执行工作能力，具备现场安全检查、安全培训能力；有注册安全工程师证、安全管理员证、体系内审员证优先。</w:t>
            </w:r>
          </w:p>
        </w:tc>
        <w:tc>
          <w:tcPr>
            <w:tcW w:w="1321" w:type="pct"/>
            <w:tcBorders>
              <w:tl2br w:val="nil"/>
              <w:tr2bl w:val="nil"/>
            </w:tcBorders>
            <w:shd w:val="clear" w:color="auto" w:fill="auto"/>
            <w:vAlign w:val="center"/>
          </w:tcPr>
          <w:p w14:paraId="44D3EDB8">
            <w:pPr>
              <w:keepNext/>
              <w:keepLines w:val="0"/>
              <w:widowControl/>
              <w:suppressLineNumbers w:val="0"/>
              <w:snapToGrid w:val="0"/>
              <w:spacing w:line="240" w:lineRule="auto"/>
              <w:ind w:left="0" w:leftChars="0" w:firstLine="0" w:firstLineChars="0"/>
              <w:jc w:val="both"/>
              <w:textAlignment w:val="center"/>
              <w:rPr>
                <w:rFonts w:hint="eastAsia" w:ascii="宋体" w:hAnsi="宋体" w:eastAsia="宋体" w:cs="宋体"/>
                <w:color w:val="auto"/>
                <w:kern w:val="2"/>
                <w:sz w:val="21"/>
                <w:szCs w:val="21"/>
                <w:highlight w:val="none"/>
                <w:lang w:eastAsia="zh-CN" w:bidi="ar-SA"/>
              </w:rPr>
            </w:pPr>
            <w:r>
              <w:rPr>
                <w:rFonts w:hint="eastAsia" w:ascii="宋体" w:hAnsi="宋体" w:eastAsia="宋体" w:cs="宋体"/>
                <w:i w:val="0"/>
                <w:iCs w:val="0"/>
                <w:color w:val="auto"/>
                <w:kern w:val="0"/>
                <w:sz w:val="21"/>
                <w:szCs w:val="21"/>
                <w:highlight w:val="none"/>
                <w:u w:val="none"/>
                <w:lang w:val="en-US" w:eastAsia="zh-CN" w:bidi="ar"/>
              </w:rPr>
              <w:t>大专及以上学历，安全工程专业优先；45周岁以下，男女不限；3年及以上安全岗位工作经验。</w:t>
            </w:r>
          </w:p>
        </w:tc>
      </w:tr>
      <w:tr w14:paraId="69510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8" w:hRule="atLeast"/>
          <w:jc w:val="center"/>
        </w:trPr>
        <w:tc>
          <w:tcPr>
            <w:tcW w:w="261" w:type="pct"/>
            <w:vMerge w:val="restart"/>
            <w:tcBorders>
              <w:tl2br w:val="nil"/>
              <w:tr2bl w:val="nil"/>
            </w:tcBorders>
            <w:shd w:val="clear" w:color="auto" w:fill="auto"/>
            <w:vAlign w:val="center"/>
          </w:tcPr>
          <w:p w14:paraId="2B0F83A3">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bidi="ar-SA"/>
              </w:rPr>
            </w:pPr>
            <w:r>
              <w:rPr>
                <w:rFonts w:hint="eastAsia" w:ascii="宋体" w:hAnsi="宋体" w:eastAsia="宋体" w:cs="宋体"/>
                <w:color w:val="auto"/>
                <w:kern w:val="2"/>
                <w:sz w:val="21"/>
                <w:szCs w:val="21"/>
                <w:highlight w:val="none"/>
                <w:lang w:eastAsia="zh-CN"/>
              </w:rPr>
              <w:t>2</w:t>
            </w:r>
          </w:p>
        </w:tc>
        <w:tc>
          <w:tcPr>
            <w:tcW w:w="318" w:type="pct"/>
            <w:vMerge w:val="restart"/>
            <w:tcBorders>
              <w:tl2br w:val="nil"/>
              <w:tr2bl w:val="nil"/>
            </w:tcBorders>
            <w:shd w:val="clear" w:color="auto" w:fill="auto"/>
            <w:vAlign w:val="center"/>
          </w:tcPr>
          <w:p w14:paraId="740063D6">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bidi="ar-SA"/>
              </w:rPr>
            </w:pPr>
            <w:r>
              <w:rPr>
                <w:rFonts w:hint="eastAsia" w:ascii="宋体" w:hAnsi="宋体" w:eastAsia="宋体" w:cs="宋体"/>
                <w:color w:val="auto"/>
                <w:kern w:val="2"/>
                <w:sz w:val="21"/>
                <w:szCs w:val="21"/>
                <w:highlight w:val="none"/>
                <w:lang w:eastAsia="zh-CN"/>
              </w:rPr>
              <w:t>安保</w:t>
            </w:r>
          </w:p>
        </w:tc>
        <w:tc>
          <w:tcPr>
            <w:tcW w:w="378" w:type="pct"/>
            <w:tcBorders>
              <w:tl2br w:val="nil"/>
              <w:tr2bl w:val="nil"/>
            </w:tcBorders>
            <w:shd w:val="clear" w:color="auto" w:fill="auto"/>
            <w:vAlign w:val="center"/>
          </w:tcPr>
          <w:p w14:paraId="318935A9">
            <w:pPr>
              <w:widowControl/>
              <w:spacing w:line="240" w:lineRule="auto"/>
              <w:ind w:firstLine="0" w:firstLineChars="0"/>
              <w:jc w:val="both"/>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安保负责人</w:t>
            </w:r>
          </w:p>
        </w:tc>
        <w:tc>
          <w:tcPr>
            <w:tcW w:w="407" w:type="pct"/>
            <w:tcBorders>
              <w:tl2br w:val="nil"/>
              <w:tr2bl w:val="nil"/>
            </w:tcBorders>
            <w:vAlign w:val="center"/>
          </w:tcPr>
          <w:p w14:paraId="4B3767EA">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w:t>
            </w:r>
          </w:p>
        </w:tc>
        <w:tc>
          <w:tcPr>
            <w:tcW w:w="527" w:type="pct"/>
            <w:tcBorders>
              <w:tl2br w:val="nil"/>
              <w:tr2bl w:val="nil"/>
            </w:tcBorders>
            <w:shd w:val="clear" w:color="auto" w:fill="auto"/>
            <w:vAlign w:val="center"/>
          </w:tcPr>
          <w:p w14:paraId="307D67FA">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w:t>
            </w:r>
          </w:p>
        </w:tc>
        <w:tc>
          <w:tcPr>
            <w:tcW w:w="1785" w:type="pct"/>
            <w:tcBorders>
              <w:tl2br w:val="nil"/>
              <w:tr2bl w:val="nil"/>
            </w:tcBorders>
            <w:shd w:val="clear" w:color="auto" w:fill="FFFFFF"/>
            <w:vAlign w:val="center"/>
          </w:tcPr>
          <w:p w14:paraId="26F56A49">
            <w:pPr>
              <w:keepNext/>
              <w:keepLines w:val="0"/>
              <w:widowControl/>
              <w:suppressLineNumbers w:val="0"/>
              <w:snapToGrid w:val="0"/>
              <w:spacing w:line="240" w:lineRule="auto"/>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统筹现场安保管理相关工作，协调安保部工作</w:t>
            </w:r>
          </w:p>
        </w:tc>
        <w:tc>
          <w:tcPr>
            <w:tcW w:w="1321" w:type="pct"/>
            <w:tcBorders>
              <w:tl2br w:val="nil"/>
              <w:tr2bl w:val="nil"/>
            </w:tcBorders>
            <w:shd w:val="clear" w:color="auto" w:fill="FFFFFF"/>
            <w:vAlign w:val="center"/>
          </w:tcPr>
          <w:p w14:paraId="72516BD3">
            <w:pPr>
              <w:keepNext/>
              <w:keepLines w:val="0"/>
              <w:widowControl/>
              <w:suppressLineNumbers w:val="0"/>
              <w:snapToGrid w:val="0"/>
              <w:spacing w:line="240" w:lineRule="auto"/>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大专及以上学历，年龄45岁以下，身高≥175cm，5年以上安保工作经验，其中含3年以上相同岗位管理经验，退伍军人优先。</w:t>
            </w:r>
          </w:p>
        </w:tc>
      </w:tr>
      <w:tr w14:paraId="734A4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jc w:val="center"/>
        </w:trPr>
        <w:tc>
          <w:tcPr>
            <w:tcW w:w="261" w:type="pct"/>
            <w:vMerge w:val="continue"/>
            <w:tcBorders>
              <w:tl2br w:val="nil"/>
              <w:tr2bl w:val="nil"/>
            </w:tcBorders>
            <w:shd w:val="clear" w:color="auto" w:fill="auto"/>
            <w:vAlign w:val="center"/>
          </w:tcPr>
          <w:p w14:paraId="1547929F">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bidi="ar-SA"/>
              </w:rPr>
            </w:pPr>
          </w:p>
        </w:tc>
        <w:tc>
          <w:tcPr>
            <w:tcW w:w="318" w:type="pct"/>
            <w:vMerge w:val="continue"/>
            <w:tcBorders>
              <w:tl2br w:val="nil"/>
              <w:tr2bl w:val="nil"/>
            </w:tcBorders>
            <w:shd w:val="clear" w:color="auto" w:fill="auto"/>
            <w:vAlign w:val="center"/>
          </w:tcPr>
          <w:p w14:paraId="1D7E3744">
            <w:pPr>
              <w:widowControl/>
              <w:spacing w:line="240" w:lineRule="auto"/>
              <w:ind w:firstLine="0" w:firstLineChars="0"/>
              <w:jc w:val="center"/>
              <w:rPr>
                <w:rFonts w:hint="eastAsia" w:ascii="宋体" w:hAnsi="宋体" w:eastAsia="宋体" w:cs="宋体"/>
                <w:color w:val="auto"/>
                <w:kern w:val="2"/>
                <w:sz w:val="21"/>
                <w:szCs w:val="21"/>
                <w:highlight w:val="none"/>
                <w:lang w:eastAsia="zh-CN" w:bidi="ar-SA"/>
              </w:rPr>
            </w:pPr>
          </w:p>
        </w:tc>
        <w:tc>
          <w:tcPr>
            <w:tcW w:w="378" w:type="pct"/>
            <w:tcBorders>
              <w:tl2br w:val="nil"/>
              <w:tr2bl w:val="nil"/>
            </w:tcBorders>
            <w:shd w:val="clear" w:color="auto" w:fill="auto"/>
            <w:vAlign w:val="center"/>
          </w:tcPr>
          <w:p w14:paraId="2A58601A">
            <w:pPr>
              <w:widowControl/>
              <w:spacing w:line="240" w:lineRule="auto"/>
              <w:ind w:firstLine="0" w:firstLineChars="0"/>
              <w:jc w:val="both"/>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安全领班</w:t>
            </w:r>
          </w:p>
        </w:tc>
        <w:tc>
          <w:tcPr>
            <w:tcW w:w="407" w:type="pct"/>
            <w:tcBorders>
              <w:tl2br w:val="nil"/>
              <w:tr2bl w:val="nil"/>
            </w:tcBorders>
            <w:vAlign w:val="center"/>
          </w:tcPr>
          <w:p w14:paraId="6450FAA6">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2</w:t>
            </w:r>
          </w:p>
        </w:tc>
        <w:tc>
          <w:tcPr>
            <w:tcW w:w="527" w:type="pct"/>
            <w:tcBorders>
              <w:tl2br w:val="nil"/>
              <w:tr2bl w:val="nil"/>
            </w:tcBorders>
            <w:shd w:val="clear" w:color="auto" w:fill="auto"/>
            <w:vAlign w:val="center"/>
          </w:tcPr>
          <w:p w14:paraId="6A533B68">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2</w:t>
            </w:r>
          </w:p>
        </w:tc>
        <w:tc>
          <w:tcPr>
            <w:tcW w:w="1785" w:type="pct"/>
            <w:tcBorders>
              <w:tl2br w:val="nil"/>
              <w:tr2bl w:val="nil"/>
            </w:tcBorders>
            <w:shd w:val="clear" w:color="auto" w:fill="auto"/>
            <w:vAlign w:val="center"/>
          </w:tcPr>
          <w:p w14:paraId="0C61AA8D">
            <w:pPr>
              <w:keepNext/>
              <w:keepLines w:val="0"/>
              <w:widowControl/>
              <w:suppressLineNumbers w:val="0"/>
              <w:snapToGrid w:val="0"/>
              <w:spacing w:line="240" w:lineRule="auto"/>
              <w:ind w:left="0" w:leftChars="0" w:firstLine="0" w:firstLineChars="0"/>
              <w:jc w:val="both"/>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负责当班期间现场管理及班组内部管理</w:t>
            </w:r>
          </w:p>
        </w:tc>
        <w:tc>
          <w:tcPr>
            <w:tcW w:w="1321" w:type="pct"/>
            <w:vMerge w:val="restart"/>
            <w:tcBorders>
              <w:tl2br w:val="nil"/>
              <w:tr2bl w:val="nil"/>
            </w:tcBorders>
            <w:shd w:val="clear" w:color="auto" w:fill="auto"/>
            <w:vAlign w:val="center"/>
          </w:tcPr>
          <w:p w14:paraId="2730AE8E">
            <w:pPr>
              <w:keepNext/>
              <w:keepLines w:val="0"/>
              <w:widowControl/>
              <w:suppressLineNumbers w:val="0"/>
              <w:snapToGrid w:val="0"/>
              <w:spacing w:line="240" w:lineRule="auto"/>
              <w:ind w:left="0" w:leftChars="0" w:firstLine="0" w:firstLineChars="0"/>
              <w:jc w:val="both"/>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高中以上学历；形象较好，男性≥175cm，女性≥158cm；年龄18-35岁；大楼主要出入口岗位保安员语言表达能力较好；</w:t>
            </w:r>
            <w:r>
              <w:rPr>
                <w:rFonts w:hint="eastAsia" w:ascii="宋体" w:hAnsi="宋体" w:eastAsia="宋体" w:cs="宋体"/>
                <w:color w:val="auto"/>
                <w:kern w:val="2"/>
                <w:sz w:val="21"/>
                <w:szCs w:val="21"/>
                <w:highlight w:val="none"/>
                <w:lang w:eastAsia="zh-CN"/>
              </w:rPr>
              <w:t>安全领班</w:t>
            </w:r>
            <w:r>
              <w:rPr>
                <w:rFonts w:hint="eastAsia" w:ascii="宋体" w:hAnsi="宋体" w:eastAsia="宋体" w:cs="宋体"/>
                <w:i w:val="0"/>
                <w:iCs w:val="0"/>
                <w:color w:val="auto"/>
                <w:kern w:val="0"/>
                <w:sz w:val="21"/>
                <w:szCs w:val="21"/>
                <w:highlight w:val="none"/>
                <w:u w:val="none"/>
                <w:lang w:val="en-US" w:eastAsia="zh-CN" w:bidi="ar"/>
              </w:rPr>
              <w:t>物业管理工作经验不低于2年；无劣迹行为，无犯罪等不良记录。</w:t>
            </w:r>
          </w:p>
        </w:tc>
      </w:tr>
      <w:tr w14:paraId="116BD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2" w:hRule="atLeast"/>
          <w:jc w:val="center"/>
        </w:trPr>
        <w:tc>
          <w:tcPr>
            <w:tcW w:w="261" w:type="pct"/>
            <w:vMerge w:val="continue"/>
            <w:tcBorders>
              <w:tl2br w:val="nil"/>
              <w:tr2bl w:val="nil"/>
            </w:tcBorders>
            <w:shd w:val="clear" w:color="auto" w:fill="auto"/>
            <w:vAlign w:val="center"/>
          </w:tcPr>
          <w:p w14:paraId="7B6A6B74">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bidi="ar-SA"/>
              </w:rPr>
            </w:pPr>
          </w:p>
        </w:tc>
        <w:tc>
          <w:tcPr>
            <w:tcW w:w="318" w:type="pct"/>
            <w:vMerge w:val="continue"/>
            <w:tcBorders>
              <w:tl2br w:val="nil"/>
              <w:tr2bl w:val="nil"/>
            </w:tcBorders>
            <w:shd w:val="clear" w:color="auto" w:fill="auto"/>
            <w:vAlign w:val="center"/>
          </w:tcPr>
          <w:p w14:paraId="530067B1">
            <w:pPr>
              <w:widowControl/>
              <w:spacing w:line="240" w:lineRule="auto"/>
              <w:ind w:firstLine="0" w:firstLineChars="0"/>
              <w:jc w:val="center"/>
              <w:rPr>
                <w:rFonts w:hint="eastAsia" w:ascii="宋体" w:hAnsi="宋体" w:eastAsia="宋体" w:cs="宋体"/>
                <w:color w:val="auto"/>
                <w:kern w:val="2"/>
                <w:sz w:val="21"/>
                <w:szCs w:val="21"/>
                <w:highlight w:val="none"/>
                <w:lang w:eastAsia="zh-CN" w:bidi="ar-SA"/>
              </w:rPr>
            </w:pPr>
          </w:p>
        </w:tc>
        <w:tc>
          <w:tcPr>
            <w:tcW w:w="378" w:type="pct"/>
            <w:tcBorders>
              <w:tl2br w:val="nil"/>
              <w:tr2bl w:val="nil"/>
            </w:tcBorders>
            <w:shd w:val="clear" w:color="auto" w:fill="auto"/>
            <w:vAlign w:val="center"/>
          </w:tcPr>
          <w:p w14:paraId="5511B5CC">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安保员</w:t>
            </w:r>
          </w:p>
        </w:tc>
        <w:tc>
          <w:tcPr>
            <w:tcW w:w="407" w:type="pct"/>
            <w:tcBorders>
              <w:tl2br w:val="nil"/>
              <w:tr2bl w:val="nil"/>
            </w:tcBorders>
            <w:vAlign w:val="center"/>
          </w:tcPr>
          <w:p w14:paraId="0C025EEA">
            <w:pPr>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13</w:t>
            </w:r>
          </w:p>
        </w:tc>
        <w:tc>
          <w:tcPr>
            <w:tcW w:w="527" w:type="pct"/>
            <w:tcBorders>
              <w:tl2br w:val="nil"/>
              <w:tr2bl w:val="nil"/>
            </w:tcBorders>
            <w:shd w:val="clear" w:color="auto" w:fill="auto"/>
            <w:vAlign w:val="center"/>
          </w:tcPr>
          <w:p w14:paraId="093469C5">
            <w:pPr>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15</w:t>
            </w:r>
          </w:p>
        </w:tc>
        <w:tc>
          <w:tcPr>
            <w:tcW w:w="1785" w:type="pct"/>
            <w:tcBorders>
              <w:tl2br w:val="nil"/>
              <w:tr2bl w:val="nil"/>
            </w:tcBorders>
            <w:shd w:val="clear" w:color="auto" w:fill="FFFFFF"/>
            <w:vAlign w:val="center"/>
          </w:tcPr>
          <w:p w14:paraId="584BAD9C">
            <w:pPr>
              <w:keepNext/>
              <w:keepLines w:val="0"/>
              <w:widowControl/>
              <w:suppressLineNumbers w:val="0"/>
              <w:snapToGrid w:val="0"/>
              <w:spacing w:line="240" w:lineRule="auto"/>
              <w:ind w:left="0" w:leftChars="0" w:firstLine="0" w:firstLine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大门出入口来访管理</w:t>
            </w:r>
          </w:p>
          <w:p w14:paraId="48982795">
            <w:pPr>
              <w:keepNext/>
              <w:keepLines w:val="0"/>
              <w:widowControl/>
              <w:suppressLineNumbers w:val="0"/>
              <w:snapToGrid w:val="0"/>
              <w:spacing w:line="240" w:lineRule="auto"/>
              <w:ind w:left="0" w:leftChars="0" w:firstLine="0" w:firstLine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车辆进出引导及管理</w:t>
            </w:r>
          </w:p>
          <w:p w14:paraId="500BAA2F">
            <w:pPr>
              <w:keepNext/>
              <w:keepLines w:val="0"/>
              <w:widowControl/>
              <w:suppressLineNumbers w:val="0"/>
              <w:snapToGrid w:val="0"/>
              <w:spacing w:line="240" w:lineRule="auto"/>
              <w:ind w:left="0" w:leftChars="0" w:firstLine="0" w:firstLine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办事人员出入管控</w:t>
            </w:r>
          </w:p>
          <w:p w14:paraId="2B1B2784">
            <w:pPr>
              <w:keepNext/>
              <w:keepLines w:val="0"/>
              <w:widowControl/>
              <w:suppressLineNumbers w:val="0"/>
              <w:snapToGrid w:val="0"/>
              <w:spacing w:line="240" w:lineRule="auto"/>
              <w:ind w:left="0" w:leftChars="0" w:firstLine="0" w:firstLine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消防控制室值岗要求24h双人双岗，每班2人，(值班人员应具有建（构）筑物消防员资格证)</w:t>
            </w:r>
          </w:p>
          <w:p w14:paraId="42B220E2">
            <w:pPr>
              <w:keepNext/>
              <w:keepLines w:val="0"/>
              <w:widowControl/>
              <w:suppressLineNumbers w:val="0"/>
              <w:snapToGrid w:val="0"/>
              <w:spacing w:line="240" w:lineRule="auto"/>
              <w:ind w:left="0" w:leftChars="0" w:firstLine="0" w:firstLine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整体大楼及楼内巡逻</w:t>
            </w:r>
          </w:p>
          <w:p w14:paraId="73256CC1">
            <w:pPr>
              <w:keepNext/>
              <w:keepLines w:val="0"/>
              <w:widowControl/>
              <w:suppressLineNumbers w:val="0"/>
              <w:snapToGrid w:val="0"/>
              <w:spacing w:line="240" w:lineRule="auto"/>
              <w:ind w:left="0" w:leftChars="0" w:firstLine="0" w:firstLineChars="0"/>
              <w:jc w:val="both"/>
              <w:textAlignment w:val="center"/>
              <w:rPr>
                <w:rFonts w:hint="eastAsia" w:ascii="宋体" w:hAnsi="宋体" w:eastAsia="宋体" w:cs="宋体"/>
                <w:i w:val="0"/>
                <w:iCs w:val="0"/>
                <w:color w:val="auto"/>
                <w:sz w:val="21"/>
                <w:szCs w:val="21"/>
                <w:highlight w:val="none"/>
                <w:u w:val="none"/>
                <w:lang w:val="en-US" w:eastAsia="zh-CN" w:bidi="en-US"/>
              </w:rPr>
            </w:pPr>
            <w:r>
              <w:rPr>
                <w:rFonts w:hint="eastAsia" w:ascii="宋体" w:hAnsi="宋体" w:eastAsia="宋体" w:cs="宋体"/>
                <w:i w:val="0"/>
                <w:iCs w:val="0"/>
                <w:color w:val="auto"/>
                <w:kern w:val="0"/>
                <w:sz w:val="21"/>
                <w:szCs w:val="21"/>
                <w:highlight w:val="none"/>
                <w:u w:val="none"/>
                <w:lang w:val="en-US" w:eastAsia="zh-CN" w:bidi="ar"/>
              </w:rPr>
              <w:t>轮休顶岗</w:t>
            </w:r>
          </w:p>
        </w:tc>
        <w:tc>
          <w:tcPr>
            <w:tcW w:w="1321" w:type="pct"/>
            <w:vMerge w:val="continue"/>
            <w:tcBorders>
              <w:tl2br w:val="nil"/>
              <w:tr2bl w:val="nil"/>
            </w:tcBorders>
            <w:shd w:val="clear" w:color="auto" w:fill="auto"/>
            <w:vAlign w:val="center"/>
          </w:tcPr>
          <w:p w14:paraId="61B1B4D7">
            <w:pPr>
              <w:keepNext/>
              <w:keepLines w:val="0"/>
              <w:widowControl/>
              <w:suppressLineNumbers w:val="0"/>
              <w:snapToGrid w:val="0"/>
              <w:spacing w:line="240" w:lineRule="auto"/>
              <w:ind w:firstLine="420" w:firstLineChars="200"/>
              <w:jc w:val="center"/>
              <w:textAlignment w:val="center"/>
              <w:rPr>
                <w:rFonts w:hint="eastAsia" w:ascii="宋体" w:hAnsi="宋体" w:eastAsia="宋体" w:cs="宋体"/>
                <w:color w:val="auto"/>
                <w:kern w:val="2"/>
                <w:sz w:val="21"/>
                <w:szCs w:val="21"/>
                <w:highlight w:val="none"/>
                <w:lang w:eastAsia="zh-CN"/>
              </w:rPr>
            </w:pPr>
          </w:p>
        </w:tc>
      </w:tr>
      <w:tr w14:paraId="29016A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jc w:val="center"/>
        </w:trPr>
        <w:tc>
          <w:tcPr>
            <w:tcW w:w="261" w:type="pct"/>
            <w:vMerge w:val="restart"/>
            <w:tcBorders>
              <w:tl2br w:val="nil"/>
              <w:tr2bl w:val="nil"/>
            </w:tcBorders>
            <w:shd w:val="clear" w:color="auto" w:fill="auto"/>
            <w:vAlign w:val="center"/>
          </w:tcPr>
          <w:p w14:paraId="158D6110">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bidi="ar-SA"/>
              </w:rPr>
            </w:pPr>
            <w:r>
              <w:rPr>
                <w:rFonts w:hint="eastAsia" w:ascii="宋体" w:hAnsi="宋体" w:eastAsia="宋体" w:cs="宋体"/>
                <w:color w:val="auto"/>
                <w:kern w:val="2"/>
                <w:sz w:val="21"/>
                <w:szCs w:val="21"/>
                <w:highlight w:val="none"/>
                <w:lang w:eastAsia="zh-CN"/>
              </w:rPr>
              <w:t>3</w:t>
            </w:r>
          </w:p>
        </w:tc>
        <w:tc>
          <w:tcPr>
            <w:tcW w:w="318" w:type="pct"/>
            <w:vMerge w:val="restart"/>
            <w:tcBorders>
              <w:tl2br w:val="nil"/>
              <w:tr2bl w:val="nil"/>
            </w:tcBorders>
            <w:shd w:val="clear" w:color="auto" w:fill="auto"/>
            <w:vAlign w:val="center"/>
          </w:tcPr>
          <w:p w14:paraId="044ECCBC">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bidi="ar-SA"/>
              </w:rPr>
            </w:pPr>
            <w:r>
              <w:rPr>
                <w:rFonts w:hint="eastAsia" w:ascii="宋体" w:hAnsi="宋体" w:eastAsia="宋体" w:cs="宋体"/>
                <w:color w:val="auto"/>
                <w:kern w:val="2"/>
                <w:sz w:val="21"/>
                <w:szCs w:val="21"/>
                <w:highlight w:val="none"/>
                <w:lang w:eastAsia="zh-CN"/>
              </w:rPr>
              <w:t>环境</w:t>
            </w:r>
          </w:p>
        </w:tc>
        <w:tc>
          <w:tcPr>
            <w:tcW w:w="378" w:type="pct"/>
            <w:tcBorders>
              <w:tl2br w:val="nil"/>
              <w:tr2bl w:val="nil"/>
            </w:tcBorders>
            <w:shd w:val="clear" w:color="auto" w:fill="auto"/>
            <w:vAlign w:val="center"/>
          </w:tcPr>
          <w:p w14:paraId="4EF35941">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环境负责人</w:t>
            </w:r>
          </w:p>
        </w:tc>
        <w:tc>
          <w:tcPr>
            <w:tcW w:w="407" w:type="pct"/>
            <w:tcBorders>
              <w:tl2br w:val="nil"/>
              <w:tr2bl w:val="nil"/>
            </w:tcBorders>
            <w:vAlign w:val="center"/>
          </w:tcPr>
          <w:p w14:paraId="4FAD378B">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w:t>
            </w:r>
          </w:p>
        </w:tc>
        <w:tc>
          <w:tcPr>
            <w:tcW w:w="527" w:type="pct"/>
            <w:tcBorders>
              <w:tl2br w:val="nil"/>
              <w:tr2bl w:val="nil"/>
            </w:tcBorders>
            <w:shd w:val="clear" w:color="auto" w:fill="auto"/>
            <w:vAlign w:val="center"/>
          </w:tcPr>
          <w:p w14:paraId="665F8C5A">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w:t>
            </w:r>
          </w:p>
        </w:tc>
        <w:tc>
          <w:tcPr>
            <w:tcW w:w="1785" w:type="pct"/>
            <w:tcBorders>
              <w:tl2br w:val="nil"/>
              <w:tr2bl w:val="nil"/>
            </w:tcBorders>
            <w:shd w:val="clear" w:color="auto" w:fill="auto"/>
            <w:vAlign w:val="center"/>
          </w:tcPr>
          <w:p w14:paraId="63AB1A39">
            <w:pPr>
              <w:keepNext/>
              <w:keepLines w:val="0"/>
              <w:widowControl/>
              <w:suppressLineNumbers w:val="0"/>
              <w:snapToGrid w:val="0"/>
              <w:spacing w:line="240" w:lineRule="auto"/>
              <w:ind w:left="0" w:leftChars="0" w:firstLine="0" w:firstLineChars="0"/>
              <w:jc w:val="both"/>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全面统筹保洁、室内绿化服务工作</w:t>
            </w:r>
          </w:p>
        </w:tc>
        <w:tc>
          <w:tcPr>
            <w:tcW w:w="1321" w:type="pct"/>
            <w:tcBorders>
              <w:tl2br w:val="nil"/>
              <w:tr2bl w:val="nil"/>
            </w:tcBorders>
            <w:shd w:val="clear" w:color="auto" w:fill="auto"/>
            <w:vAlign w:val="center"/>
          </w:tcPr>
          <w:p w14:paraId="5DA90212">
            <w:pPr>
              <w:keepNext/>
              <w:snapToGrid w:val="0"/>
              <w:spacing w:line="240" w:lineRule="auto"/>
              <w:ind w:left="0" w:leftChars="0" w:firstLine="0" w:firstLineChars="0"/>
              <w:jc w:val="both"/>
              <w:rPr>
                <w:rFonts w:hint="eastAsia" w:ascii="宋体" w:hAnsi="宋体" w:eastAsia="宋体" w:cs="宋体"/>
                <w:color w:val="auto"/>
                <w:kern w:val="2"/>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高中及以上学历，年龄45岁以下，具备2年以上物业管理或物业环境品质管控工作经验。</w:t>
            </w:r>
          </w:p>
        </w:tc>
      </w:tr>
      <w:tr w14:paraId="02D61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6" w:hRule="atLeast"/>
          <w:jc w:val="center"/>
        </w:trPr>
        <w:tc>
          <w:tcPr>
            <w:tcW w:w="261" w:type="pct"/>
            <w:vMerge w:val="continue"/>
            <w:tcBorders>
              <w:tl2br w:val="nil"/>
              <w:tr2bl w:val="nil"/>
            </w:tcBorders>
            <w:shd w:val="clear" w:color="auto" w:fill="auto"/>
            <w:vAlign w:val="center"/>
          </w:tcPr>
          <w:p w14:paraId="6E389BED">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bidi="ar-SA"/>
              </w:rPr>
            </w:pPr>
          </w:p>
        </w:tc>
        <w:tc>
          <w:tcPr>
            <w:tcW w:w="318" w:type="pct"/>
            <w:vMerge w:val="continue"/>
            <w:tcBorders>
              <w:tl2br w:val="nil"/>
              <w:tr2bl w:val="nil"/>
            </w:tcBorders>
            <w:shd w:val="clear" w:color="auto" w:fill="auto"/>
            <w:vAlign w:val="center"/>
          </w:tcPr>
          <w:p w14:paraId="5E377282">
            <w:pPr>
              <w:widowControl/>
              <w:spacing w:line="240" w:lineRule="auto"/>
              <w:ind w:firstLine="0" w:firstLineChars="0"/>
              <w:jc w:val="center"/>
              <w:rPr>
                <w:rFonts w:hint="eastAsia" w:ascii="宋体" w:hAnsi="宋体" w:eastAsia="宋体" w:cs="宋体"/>
                <w:color w:val="auto"/>
                <w:kern w:val="2"/>
                <w:sz w:val="21"/>
                <w:szCs w:val="21"/>
                <w:highlight w:val="none"/>
                <w:lang w:eastAsia="zh-CN" w:bidi="ar-SA"/>
              </w:rPr>
            </w:pPr>
          </w:p>
        </w:tc>
        <w:tc>
          <w:tcPr>
            <w:tcW w:w="378" w:type="pct"/>
            <w:tcBorders>
              <w:tl2br w:val="nil"/>
              <w:tr2bl w:val="nil"/>
            </w:tcBorders>
            <w:shd w:val="clear" w:color="auto" w:fill="auto"/>
            <w:vAlign w:val="center"/>
          </w:tcPr>
          <w:p w14:paraId="5B7F0E90">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val="en-US" w:eastAsia="zh-CN"/>
              </w:rPr>
              <w:t>公区</w:t>
            </w:r>
            <w:r>
              <w:rPr>
                <w:rFonts w:hint="eastAsia" w:ascii="宋体" w:hAnsi="宋体" w:eastAsia="宋体" w:cs="宋体"/>
                <w:color w:val="auto"/>
                <w:kern w:val="2"/>
                <w:sz w:val="21"/>
                <w:szCs w:val="21"/>
                <w:highlight w:val="none"/>
                <w:lang w:eastAsia="zh-CN"/>
              </w:rPr>
              <w:t>保洁员</w:t>
            </w:r>
          </w:p>
        </w:tc>
        <w:tc>
          <w:tcPr>
            <w:tcW w:w="407" w:type="pct"/>
            <w:tcBorders>
              <w:tl2br w:val="nil"/>
              <w:tr2bl w:val="nil"/>
            </w:tcBorders>
            <w:vAlign w:val="center"/>
          </w:tcPr>
          <w:p w14:paraId="03390940">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10</w:t>
            </w:r>
          </w:p>
        </w:tc>
        <w:tc>
          <w:tcPr>
            <w:tcW w:w="527" w:type="pct"/>
            <w:tcBorders>
              <w:tl2br w:val="nil"/>
              <w:tr2bl w:val="nil"/>
            </w:tcBorders>
            <w:shd w:val="clear" w:color="auto" w:fill="auto"/>
            <w:vAlign w:val="center"/>
          </w:tcPr>
          <w:p w14:paraId="10E817EE">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12</w:t>
            </w:r>
          </w:p>
        </w:tc>
        <w:tc>
          <w:tcPr>
            <w:tcW w:w="1785" w:type="pct"/>
            <w:tcBorders>
              <w:tl2br w:val="nil"/>
              <w:tr2bl w:val="nil"/>
            </w:tcBorders>
            <w:shd w:val="clear" w:color="auto" w:fill="FFFFFF"/>
            <w:vAlign w:val="center"/>
          </w:tcPr>
          <w:p w14:paraId="13F07E2A">
            <w:pPr>
              <w:keepNext/>
              <w:keepLines w:val="0"/>
              <w:widowControl/>
              <w:suppressLineNumbers w:val="0"/>
              <w:snapToGrid w:val="0"/>
              <w:spacing w:line="240" w:lineRule="auto"/>
              <w:ind w:left="0" w:leftChars="0" w:firstLine="0" w:firstLineChars="0"/>
              <w:jc w:val="both"/>
              <w:textAlignment w:val="center"/>
              <w:rPr>
                <w:rFonts w:hint="eastAsia" w:ascii="宋体" w:hAnsi="宋体" w:eastAsia="宋体" w:cs="宋体"/>
                <w:i w:val="0"/>
                <w:iCs w:val="0"/>
                <w:color w:val="auto"/>
                <w:sz w:val="21"/>
                <w:szCs w:val="21"/>
                <w:highlight w:val="none"/>
                <w:u w:val="none"/>
                <w:lang w:val="en-US" w:eastAsia="zh-CN" w:bidi="en-US"/>
              </w:rPr>
            </w:pPr>
            <w:r>
              <w:rPr>
                <w:rFonts w:hint="eastAsia" w:ascii="宋体" w:hAnsi="宋体" w:eastAsia="宋体" w:cs="宋体"/>
                <w:i w:val="0"/>
                <w:iCs w:val="0"/>
                <w:color w:val="auto"/>
                <w:kern w:val="0"/>
                <w:sz w:val="21"/>
                <w:szCs w:val="21"/>
                <w:highlight w:val="none"/>
                <w:u w:val="none"/>
                <w:lang w:val="en-US" w:eastAsia="zh-CN" w:bidi="ar"/>
              </w:rPr>
              <w:t>公共区域及洗手间清洁；停车场及外围保洁；垃圾收集与清运。</w:t>
            </w:r>
          </w:p>
        </w:tc>
        <w:tc>
          <w:tcPr>
            <w:tcW w:w="1321" w:type="pct"/>
            <w:tcBorders>
              <w:tl2br w:val="nil"/>
              <w:tr2bl w:val="nil"/>
            </w:tcBorders>
            <w:shd w:val="clear" w:color="auto" w:fill="auto"/>
            <w:vAlign w:val="center"/>
          </w:tcPr>
          <w:p w14:paraId="3F5941E8">
            <w:pPr>
              <w:keepNext/>
              <w:snapToGrid w:val="0"/>
              <w:spacing w:line="240" w:lineRule="auto"/>
              <w:ind w:left="0" w:leftChars="0" w:firstLine="0" w:firstLineChars="0"/>
              <w:jc w:val="both"/>
              <w:rPr>
                <w:rFonts w:hint="eastAsia" w:ascii="宋体" w:hAnsi="宋体" w:eastAsia="宋体" w:cs="宋体"/>
                <w:color w:val="auto"/>
                <w:kern w:val="2"/>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初中以上学历；男性18-60岁，女性18-55岁。</w:t>
            </w:r>
          </w:p>
        </w:tc>
      </w:tr>
      <w:tr w14:paraId="614E2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61" w:type="pct"/>
            <w:vMerge w:val="continue"/>
            <w:tcBorders>
              <w:tl2br w:val="nil"/>
              <w:tr2bl w:val="nil"/>
            </w:tcBorders>
            <w:shd w:val="clear" w:color="auto" w:fill="auto"/>
            <w:vAlign w:val="center"/>
          </w:tcPr>
          <w:p w14:paraId="0C825CC8">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bidi="ar-SA"/>
              </w:rPr>
            </w:pPr>
          </w:p>
        </w:tc>
        <w:tc>
          <w:tcPr>
            <w:tcW w:w="318" w:type="pct"/>
            <w:vMerge w:val="continue"/>
            <w:tcBorders>
              <w:tl2br w:val="nil"/>
              <w:tr2bl w:val="nil"/>
            </w:tcBorders>
            <w:shd w:val="clear" w:color="auto" w:fill="auto"/>
            <w:vAlign w:val="center"/>
          </w:tcPr>
          <w:p w14:paraId="1D09875B">
            <w:pPr>
              <w:widowControl/>
              <w:spacing w:line="240" w:lineRule="auto"/>
              <w:ind w:firstLine="0" w:firstLineChars="0"/>
              <w:jc w:val="center"/>
              <w:rPr>
                <w:rFonts w:hint="eastAsia" w:ascii="宋体" w:hAnsi="宋体" w:eastAsia="宋体" w:cs="宋体"/>
                <w:color w:val="auto"/>
                <w:kern w:val="2"/>
                <w:sz w:val="21"/>
                <w:szCs w:val="21"/>
                <w:highlight w:val="none"/>
                <w:lang w:eastAsia="zh-CN" w:bidi="ar-SA"/>
              </w:rPr>
            </w:pPr>
          </w:p>
        </w:tc>
        <w:tc>
          <w:tcPr>
            <w:tcW w:w="378" w:type="pct"/>
            <w:tcBorders>
              <w:tl2br w:val="nil"/>
              <w:tr2bl w:val="nil"/>
            </w:tcBorders>
            <w:shd w:val="clear" w:color="auto" w:fill="auto"/>
            <w:vAlign w:val="center"/>
          </w:tcPr>
          <w:p w14:paraId="7D934DE6">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bidi="en-US"/>
              </w:rPr>
              <w:t>办公区域</w:t>
            </w:r>
            <w:r>
              <w:rPr>
                <w:rFonts w:hint="eastAsia" w:ascii="宋体" w:hAnsi="宋体" w:eastAsia="宋体" w:cs="宋体"/>
                <w:color w:val="auto"/>
                <w:kern w:val="2"/>
                <w:sz w:val="21"/>
                <w:szCs w:val="21"/>
                <w:highlight w:val="none"/>
                <w:lang w:val="en-US" w:eastAsia="zh-CN"/>
              </w:rPr>
              <w:t>保洁员</w:t>
            </w:r>
          </w:p>
        </w:tc>
        <w:tc>
          <w:tcPr>
            <w:tcW w:w="407" w:type="pct"/>
            <w:tcBorders>
              <w:tl2br w:val="nil"/>
              <w:tr2bl w:val="nil"/>
            </w:tcBorders>
            <w:vAlign w:val="center"/>
          </w:tcPr>
          <w:p w14:paraId="1A193B39">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18</w:t>
            </w:r>
          </w:p>
        </w:tc>
        <w:tc>
          <w:tcPr>
            <w:tcW w:w="527" w:type="pct"/>
            <w:tcBorders>
              <w:tl2br w:val="nil"/>
              <w:tr2bl w:val="nil"/>
            </w:tcBorders>
            <w:shd w:val="clear" w:color="auto" w:fill="auto"/>
            <w:vAlign w:val="center"/>
          </w:tcPr>
          <w:p w14:paraId="72D924EC">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18</w:t>
            </w:r>
          </w:p>
        </w:tc>
        <w:tc>
          <w:tcPr>
            <w:tcW w:w="1785" w:type="pct"/>
            <w:tcBorders>
              <w:tl2br w:val="nil"/>
              <w:tr2bl w:val="nil"/>
            </w:tcBorders>
            <w:shd w:val="clear" w:color="auto" w:fill="FFFFFF"/>
            <w:vAlign w:val="center"/>
          </w:tcPr>
          <w:p w14:paraId="2E8404CB">
            <w:pPr>
              <w:keepNext/>
              <w:keepLines w:val="0"/>
              <w:widowControl/>
              <w:suppressLineNumbers w:val="0"/>
              <w:snapToGrid w:val="0"/>
              <w:spacing w:line="240" w:lineRule="auto"/>
              <w:ind w:left="0" w:leftChars="0" w:firstLine="0" w:firstLine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u w:val="none"/>
                <w:lang w:val="en-US" w:eastAsia="zh-CN" w:bidi="ar"/>
              </w:rPr>
              <w:t>负责招标人集团内部各企业</w:t>
            </w:r>
            <w:r>
              <w:rPr>
                <w:rFonts w:hint="eastAsia" w:ascii="宋体" w:hAnsi="宋体" w:eastAsia="宋体" w:cs="宋体"/>
                <w:color w:val="auto"/>
                <w:sz w:val="21"/>
                <w:szCs w:val="21"/>
                <w:highlight w:val="none"/>
                <w:u w:val="none"/>
                <w:lang w:eastAsia="zh-CN" w:bidi="ar"/>
              </w:rPr>
              <w:t>办公区域</w:t>
            </w:r>
            <w:r>
              <w:rPr>
                <w:rFonts w:hint="eastAsia" w:ascii="宋体" w:hAnsi="宋体" w:eastAsia="宋体" w:cs="宋体"/>
                <w:color w:val="auto"/>
                <w:sz w:val="21"/>
                <w:szCs w:val="21"/>
                <w:highlight w:val="none"/>
                <w:u w:val="none"/>
                <w:lang w:val="en-US" w:eastAsia="zh-CN" w:bidi="ar"/>
              </w:rPr>
              <w:t>保洁</w:t>
            </w:r>
          </w:p>
        </w:tc>
        <w:tc>
          <w:tcPr>
            <w:tcW w:w="1321" w:type="pct"/>
            <w:tcBorders>
              <w:tl2br w:val="nil"/>
              <w:tr2bl w:val="nil"/>
            </w:tcBorders>
            <w:shd w:val="clear" w:color="auto" w:fill="auto"/>
            <w:vAlign w:val="center"/>
          </w:tcPr>
          <w:p w14:paraId="7081C5EF">
            <w:pPr>
              <w:keepNext/>
              <w:snapToGrid w:val="0"/>
              <w:spacing w:line="240" w:lineRule="auto"/>
              <w:ind w:left="0" w:leftChars="0" w:firstLine="0" w:firstLineChars="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初中以上学历；男性18-60岁，女性18-55岁。</w:t>
            </w:r>
          </w:p>
        </w:tc>
      </w:tr>
      <w:tr w14:paraId="0194D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261" w:type="pct"/>
            <w:vMerge w:val="continue"/>
            <w:tcBorders>
              <w:tl2br w:val="nil"/>
              <w:tr2bl w:val="nil"/>
            </w:tcBorders>
            <w:shd w:val="clear" w:color="auto" w:fill="auto"/>
            <w:vAlign w:val="center"/>
          </w:tcPr>
          <w:p w14:paraId="0F04A871">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bidi="ar-SA"/>
              </w:rPr>
            </w:pPr>
          </w:p>
        </w:tc>
        <w:tc>
          <w:tcPr>
            <w:tcW w:w="318" w:type="pct"/>
            <w:vMerge w:val="continue"/>
            <w:tcBorders>
              <w:tl2br w:val="nil"/>
              <w:tr2bl w:val="nil"/>
            </w:tcBorders>
            <w:shd w:val="clear" w:color="auto" w:fill="auto"/>
            <w:vAlign w:val="center"/>
          </w:tcPr>
          <w:p w14:paraId="6F660B9C">
            <w:pPr>
              <w:widowControl/>
              <w:spacing w:line="240" w:lineRule="auto"/>
              <w:ind w:firstLine="0" w:firstLineChars="0"/>
              <w:jc w:val="center"/>
              <w:rPr>
                <w:rFonts w:hint="eastAsia" w:ascii="宋体" w:hAnsi="宋体" w:eastAsia="宋体" w:cs="宋体"/>
                <w:color w:val="auto"/>
                <w:kern w:val="2"/>
                <w:sz w:val="21"/>
                <w:szCs w:val="21"/>
                <w:highlight w:val="none"/>
                <w:lang w:eastAsia="zh-CN" w:bidi="ar-SA"/>
              </w:rPr>
            </w:pPr>
          </w:p>
        </w:tc>
        <w:tc>
          <w:tcPr>
            <w:tcW w:w="378" w:type="pct"/>
            <w:tcBorders>
              <w:tl2br w:val="nil"/>
              <w:tr2bl w:val="nil"/>
            </w:tcBorders>
            <w:shd w:val="clear" w:color="auto" w:fill="auto"/>
            <w:vAlign w:val="center"/>
          </w:tcPr>
          <w:p w14:paraId="72AE257D">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bidi="ar-SA"/>
              </w:rPr>
            </w:pPr>
            <w:r>
              <w:rPr>
                <w:rFonts w:hint="eastAsia" w:ascii="宋体" w:hAnsi="宋体" w:eastAsia="宋体" w:cs="宋体"/>
                <w:color w:val="auto"/>
                <w:kern w:val="2"/>
                <w:sz w:val="21"/>
                <w:szCs w:val="21"/>
                <w:highlight w:val="none"/>
                <w:lang w:eastAsia="zh-CN"/>
              </w:rPr>
              <w:t>绿化养护</w:t>
            </w:r>
          </w:p>
        </w:tc>
        <w:tc>
          <w:tcPr>
            <w:tcW w:w="407" w:type="pct"/>
            <w:tcBorders>
              <w:tl2br w:val="nil"/>
              <w:tr2bl w:val="nil"/>
            </w:tcBorders>
            <w:vAlign w:val="center"/>
          </w:tcPr>
          <w:p w14:paraId="2BB20DB9">
            <w:pPr>
              <w:widowControl/>
              <w:spacing w:line="240" w:lineRule="auto"/>
              <w:ind w:firstLine="210" w:firstLineChars="100"/>
              <w:jc w:val="both"/>
              <w:textAlignment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w:t>
            </w:r>
          </w:p>
        </w:tc>
        <w:tc>
          <w:tcPr>
            <w:tcW w:w="527" w:type="pct"/>
            <w:tcBorders>
              <w:tl2br w:val="nil"/>
              <w:tr2bl w:val="nil"/>
            </w:tcBorders>
            <w:shd w:val="clear" w:color="auto" w:fill="auto"/>
            <w:vAlign w:val="center"/>
          </w:tcPr>
          <w:p w14:paraId="095F699F">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bidi="ar-SA"/>
              </w:rPr>
            </w:pPr>
            <w:r>
              <w:rPr>
                <w:rFonts w:hint="eastAsia" w:ascii="宋体" w:hAnsi="宋体" w:eastAsia="宋体" w:cs="宋体"/>
                <w:color w:val="auto"/>
                <w:kern w:val="2"/>
                <w:sz w:val="21"/>
                <w:szCs w:val="21"/>
                <w:highlight w:val="none"/>
                <w:lang w:eastAsia="zh-CN"/>
              </w:rPr>
              <w:t>1</w:t>
            </w:r>
          </w:p>
        </w:tc>
        <w:tc>
          <w:tcPr>
            <w:tcW w:w="1785" w:type="pct"/>
            <w:tcBorders>
              <w:tl2br w:val="nil"/>
              <w:tr2bl w:val="nil"/>
            </w:tcBorders>
            <w:shd w:val="clear" w:color="auto" w:fill="auto"/>
            <w:vAlign w:val="center"/>
          </w:tcPr>
          <w:p w14:paraId="4E92CF9F">
            <w:pPr>
              <w:keepNext/>
              <w:keepLines w:val="0"/>
              <w:widowControl/>
              <w:suppressLineNumbers w:val="0"/>
              <w:snapToGrid w:val="0"/>
              <w:spacing w:line="240" w:lineRule="auto"/>
              <w:ind w:left="0" w:leftChars="0" w:firstLine="0" w:firstLineChars="0"/>
              <w:jc w:val="both"/>
              <w:textAlignment w:val="center"/>
              <w:rPr>
                <w:rFonts w:hint="eastAsia" w:ascii="宋体" w:hAnsi="宋体" w:eastAsia="宋体" w:cs="宋体"/>
                <w:color w:val="auto"/>
                <w:kern w:val="2"/>
                <w:sz w:val="21"/>
                <w:szCs w:val="21"/>
                <w:highlight w:val="none"/>
                <w:lang w:eastAsia="zh-CN" w:bidi="ar-SA"/>
              </w:rPr>
            </w:pPr>
            <w:r>
              <w:rPr>
                <w:rFonts w:hint="eastAsia" w:ascii="宋体" w:hAnsi="宋体" w:eastAsia="宋体" w:cs="宋体"/>
                <w:i w:val="0"/>
                <w:iCs w:val="0"/>
                <w:color w:val="auto"/>
                <w:kern w:val="0"/>
                <w:sz w:val="21"/>
                <w:szCs w:val="21"/>
                <w:highlight w:val="none"/>
                <w:u w:val="none"/>
                <w:lang w:val="en-US" w:eastAsia="zh-CN" w:bidi="ar"/>
              </w:rPr>
              <w:t>园区绿化养护</w:t>
            </w:r>
          </w:p>
        </w:tc>
        <w:tc>
          <w:tcPr>
            <w:tcW w:w="1321" w:type="pct"/>
            <w:tcBorders>
              <w:tl2br w:val="nil"/>
              <w:tr2bl w:val="nil"/>
            </w:tcBorders>
            <w:shd w:val="clear" w:color="auto" w:fill="auto"/>
            <w:vAlign w:val="center"/>
          </w:tcPr>
          <w:p w14:paraId="301D4BB4">
            <w:pPr>
              <w:keepNext/>
              <w:keepLines w:val="0"/>
              <w:widowControl/>
              <w:suppressLineNumbers w:val="0"/>
              <w:snapToGrid w:val="0"/>
              <w:spacing w:line="240" w:lineRule="auto"/>
              <w:ind w:left="0" w:leftChars="0" w:firstLine="0" w:firstLineChars="0"/>
              <w:jc w:val="both"/>
              <w:textAlignment w:val="center"/>
              <w:rPr>
                <w:rFonts w:hint="eastAsia" w:ascii="宋体" w:hAnsi="宋体" w:eastAsia="宋体" w:cs="宋体"/>
                <w:color w:val="auto"/>
                <w:kern w:val="2"/>
                <w:sz w:val="21"/>
                <w:szCs w:val="21"/>
                <w:highlight w:val="none"/>
                <w:lang w:eastAsia="zh-CN" w:bidi="ar-SA"/>
              </w:rPr>
            </w:pPr>
            <w:r>
              <w:rPr>
                <w:rFonts w:hint="eastAsia" w:ascii="宋体" w:hAnsi="宋体" w:eastAsia="宋体" w:cs="宋体"/>
                <w:i w:val="0"/>
                <w:iCs w:val="0"/>
                <w:color w:val="auto"/>
                <w:kern w:val="0"/>
                <w:sz w:val="21"/>
                <w:szCs w:val="21"/>
                <w:highlight w:val="none"/>
                <w:u w:val="none"/>
                <w:lang w:val="en-US" w:eastAsia="zh-CN" w:bidi="ar"/>
              </w:rPr>
              <w:t>中专以上学历；男性18-60岁，女性18-55岁。</w:t>
            </w:r>
          </w:p>
        </w:tc>
      </w:tr>
      <w:tr w14:paraId="400B0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8" w:hRule="atLeast"/>
          <w:jc w:val="center"/>
        </w:trPr>
        <w:tc>
          <w:tcPr>
            <w:tcW w:w="261" w:type="pct"/>
            <w:vMerge w:val="restart"/>
            <w:tcBorders>
              <w:tl2br w:val="nil"/>
              <w:tr2bl w:val="nil"/>
            </w:tcBorders>
            <w:shd w:val="clear" w:color="auto" w:fill="auto"/>
            <w:vAlign w:val="center"/>
          </w:tcPr>
          <w:p w14:paraId="090D7A1F">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4</w:t>
            </w:r>
          </w:p>
        </w:tc>
        <w:tc>
          <w:tcPr>
            <w:tcW w:w="318" w:type="pct"/>
            <w:vMerge w:val="restart"/>
            <w:tcBorders>
              <w:tl2br w:val="nil"/>
              <w:tr2bl w:val="nil"/>
            </w:tcBorders>
            <w:shd w:val="clear" w:color="auto" w:fill="auto"/>
            <w:vAlign w:val="center"/>
          </w:tcPr>
          <w:p w14:paraId="2BC47C46">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bidi="ar-SA"/>
              </w:rPr>
            </w:pPr>
            <w:r>
              <w:rPr>
                <w:rFonts w:hint="eastAsia" w:ascii="宋体" w:hAnsi="宋体" w:eastAsia="宋体" w:cs="宋体"/>
                <w:color w:val="auto"/>
                <w:kern w:val="2"/>
                <w:sz w:val="21"/>
                <w:szCs w:val="21"/>
                <w:highlight w:val="none"/>
                <w:lang w:eastAsia="zh-CN"/>
              </w:rPr>
              <w:t>客服</w:t>
            </w:r>
          </w:p>
        </w:tc>
        <w:tc>
          <w:tcPr>
            <w:tcW w:w="378" w:type="pct"/>
            <w:tcBorders>
              <w:tl2br w:val="nil"/>
              <w:tr2bl w:val="nil"/>
            </w:tcBorders>
            <w:shd w:val="clear" w:color="auto" w:fill="auto"/>
            <w:vAlign w:val="center"/>
          </w:tcPr>
          <w:p w14:paraId="2D4523E7">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bidi="ar-SA"/>
              </w:rPr>
            </w:pPr>
            <w:r>
              <w:rPr>
                <w:rFonts w:hint="eastAsia" w:ascii="宋体" w:hAnsi="宋体" w:eastAsia="宋体" w:cs="宋体"/>
                <w:color w:val="auto"/>
                <w:kern w:val="2"/>
                <w:sz w:val="21"/>
                <w:szCs w:val="21"/>
                <w:highlight w:val="none"/>
                <w:lang w:eastAsia="zh-CN"/>
              </w:rPr>
              <w:t>客服负责人</w:t>
            </w:r>
          </w:p>
        </w:tc>
        <w:tc>
          <w:tcPr>
            <w:tcW w:w="407" w:type="pct"/>
            <w:tcBorders>
              <w:tl2br w:val="nil"/>
              <w:tr2bl w:val="nil"/>
            </w:tcBorders>
            <w:vAlign w:val="center"/>
          </w:tcPr>
          <w:p w14:paraId="4C3B4F63">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w:t>
            </w:r>
          </w:p>
        </w:tc>
        <w:tc>
          <w:tcPr>
            <w:tcW w:w="527" w:type="pct"/>
            <w:tcBorders>
              <w:tl2br w:val="nil"/>
              <w:tr2bl w:val="nil"/>
            </w:tcBorders>
            <w:shd w:val="clear" w:color="auto" w:fill="auto"/>
            <w:vAlign w:val="center"/>
          </w:tcPr>
          <w:p w14:paraId="2FE18547">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bidi="ar-SA"/>
              </w:rPr>
            </w:pPr>
            <w:r>
              <w:rPr>
                <w:rFonts w:hint="eastAsia" w:ascii="宋体" w:hAnsi="宋体" w:eastAsia="宋体" w:cs="宋体"/>
                <w:color w:val="auto"/>
                <w:kern w:val="2"/>
                <w:sz w:val="21"/>
                <w:szCs w:val="21"/>
                <w:highlight w:val="none"/>
                <w:lang w:eastAsia="zh-CN"/>
              </w:rPr>
              <w:t>1</w:t>
            </w:r>
          </w:p>
        </w:tc>
        <w:tc>
          <w:tcPr>
            <w:tcW w:w="1785" w:type="pct"/>
            <w:tcBorders>
              <w:tl2br w:val="nil"/>
              <w:tr2bl w:val="nil"/>
            </w:tcBorders>
            <w:shd w:val="clear" w:color="auto" w:fill="FFFFFF"/>
            <w:vAlign w:val="center"/>
          </w:tcPr>
          <w:p w14:paraId="71D45ACD">
            <w:pPr>
              <w:keepNext/>
              <w:keepLines w:val="0"/>
              <w:widowControl/>
              <w:suppressLineNumbers w:val="0"/>
              <w:snapToGrid w:val="0"/>
              <w:spacing w:line="240" w:lineRule="auto"/>
              <w:ind w:left="0" w:leftChars="0" w:firstLine="0" w:firstLineChars="0"/>
              <w:jc w:val="both"/>
              <w:textAlignment w:val="center"/>
              <w:rPr>
                <w:rFonts w:hint="eastAsia" w:ascii="宋体" w:hAnsi="宋体" w:eastAsia="宋体" w:cs="宋体"/>
                <w:i w:val="0"/>
                <w:iCs w:val="0"/>
                <w:color w:val="auto"/>
                <w:sz w:val="21"/>
                <w:szCs w:val="21"/>
                <w:highlight w:val="none"/>
                <w:u w:val="none"/>
                <w:lang w:val="en-US" w:eastAsia="zh-CN" w:bidi="en-US"/>
              </w:rPr>
            </w:pPr>
            <w:r>
              <w:rPr>
                <w:rFonts w:hint="eastAsia" w:ascii="宋体" w:hAnsi="宋体" w:eastAsia="宋体" w:cs="宋体"/>
                <w:i w:val="0"/>
                <w:iCs w:val="0"/>
                <w:color w:val="auto"/>
                <w:kern w:val="0"/>
                <w:sz w:val="21"/>
                <w:szCs w:val="21"/>
                <w:highlight w:val="none"/>
                <w:u w:val="none"/>
                <w:lang w:val="en-US" w:eastAsia="zh-CN" w:bidi="ar"/>
              </w:rPr>
              <w:t>客户诉求处理及关系维护，业务办理</w:t>
            </w:r>
          </w:p>
        </w:tc>
        <w:tc>
          <w:tcPr>
            <w:tcW w:w="1321" w:type="pct"/>
            <w:tcBorders>
              <w:tl2br w:val="nil"/>
              <w:tr2bl w:val="nil"/>
            </w:tcBorders>
            <w:shd w:val="clear" w:color="auto" w:fill="auto"/>
            <w:vAlign w:val="center"/>
          </w:tcPr>
          <w:p w14:paraId="00C5E422">
            <w:pPr>
              <w:keepNext/>
              <w:snapToGrid w:val="0"/>
              <w:spacing w:line="240" w:lineRule="auto"/>
              <w:ind w:left="0" w:leftChars="0" w:firstLine="0" w:firstLineChars="0"/>
              <w:jc w:val="both"/>
              <w:rPr>
                <w:rFonts w:hint="eastAsia" w:ascii="宋体" w:hAnsi="宋体" w:eastAsia="宋体" w:cs="宋体"/>
                <w:color w:val="auto"/>
                <w:kern w:val="2"/>
                <w:sz w:val="21"/>
                <w:szCs w:val="21"/>
                <w:highlight w:val="none"/>
                <w:lang w:eastAsia="zh-CN" w:bidi="ar-SA"/>
              </w:rPr>
            </w:pPr>
            <w:r>
              <w:rPr>
                <w:rFonts w:hint="eastAsia" w:ascii="宋体" w:hAnsi="宋体" w:eastAsia="宋体" w:cs="宋体"/>
                <w:i w:val="0"/>
                <w:iCs w:val="0"/>
                <w:color w:val="auto"/>
                <w:kern w:val="0"/>
                <w:sz w:val="21"/>
                <w:szCs w:val="21"/>
                <w:highlight w:val="none"/>
                <w:u w:val="none"/>
                <w:lang w:val="en-US" w:eastAsia="zh-CN" w:bidi="ar"/>
              </w:rPr>
              <w:t>专科及以上学历，年龄35岁以下，相貌端庄，举止大方，具备2年以上相同岗位管理经验。</w:t>
            </w:r>
          </w:p>
        </w:tc>
      </w:tr>
      <w:tr w14:paraId="0FA4A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9" w:hRule="atLeast"/>
          <w:jc w:val="center"/>
        </w:trPr>
        <w:tc>
          <w:tcPr>
            <w:tcW w:w="261" w:type="pct"/>
            <w:vMerge w:val="continue"/>
            <w:tcBorders>
              <w:tl2br w:val="nil"/>
              <w:tr2bl w:val="nil"/>
            </w:tcBorders>
            <w:shd w:val="clear" w:color="auto" w:fill="auto"/>
            <w:vAlign w:val="center"/>
          </w:tcPr>
          <w:p w14:paraId="6125D3AE">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rPr>
            </w:pPr>
          </w:p>
        </w:tc>
        <w:tc>
          <w:tcPr>
            <w:tcW w:w="318" w:type="pct"/>
            <w:vMerge w:val="continue"/>
            <w:tcBorders>
              <w:tl2br w:val="nil"/>
              <w:tr2bl w:val="nil"/>
            </w:tcBorders>
            <w:shd w:val="clear" w:color="auto" w:fill="auto"/>
            <w:vAlign w:val="center"/>
          </w:tcPr>
          <w:p w14:paraId="14C12639">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rPr>
            </w:pPr>
          </w:p>
        </w:tc>
        <w:tc>
          <w:tcPr>
            <w:tcW w:w="378" w:type="pct"/>
            <w:tcBorders>
              <w:tl2br w:val="nil"/>
              <w:tr2bl w:val="nil"/>
            </w:tcBorders>
            <w:shd w:val="clear" w:color="auto" w:fill="auto"/>
            <w:vAlign w:val="center"/>
          </w:tcPr>
          <w:p w14:paraId="487B8A4E">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大堂客服</w:t>
            </w:r>
          </w:p>
        </w:tc>
        <w:tc>
          <w:tcPr>
            <w:tcW w:w="407" w:type="pct"/>
            <w:tcBorders>
              <w:tl2br w:val="nil"/>
              <w:tr2bl w:val="nil"/>
            </w:tcBorders>
            <w:vAlign w:val="center"/>
          </w:tcPr>
          <w:p w14:paraId="089909F4">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4</w:t>
            </w:r>
          </w:p>
        </w:tc>
        <w:tc>
          <w:tcPr>
            <w:tcW w:w="527" w:type="pct"/>
            <w:tcBorders>
              <w:tl2br w:val="nil"/>
              <w:tr2bl w:val="nil"/>
            </w:tcBorders>
            <w:shd w:val="clear" w:color="auto" w:fill="auto"/>
            <w:vAlign w:val="center"/>
          </w:tcPr>
          <w:p w14:paraId="096747D8">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4</w:t>
            </w:r>
          </w:p>
        </w:tc>
        <w:tc>
          <w:tcPr>
            <w:tcW w:w="1785" w:type="pct"/>
            <w:tcBorders>
              <w:tl2br w:val="nil"/>
              <w:tr2bl w:val="nil"/>
            </w:tcBorders>
            <w:shd w:val="clear" w:color="auto" w:fill="FFFFFF"/>
            <w:vAlign w:val="center"/>
          </w:tcPr>
          <w:p w14:paraId="01400D80">
            <w:pPr>
              <w:keepNext/>
              <w:keepLines w:val="0"/>
              <w:widowControl/>
              <w:suppressLineNumbers w:val="0"/>
              <w:snapToGrid w:val="0"/>
              <w:spacing w:line="240" w:lineRule="auto"/>
              <w:ind w:left="0" w:leftChars="0" w:firstLine="0" w:firstLineChars="0"/>
              <w:jc w:val="both"/>
              <w:textAlignment w:val="center"/>
              <w:rPr>
                <w:rFonts w:hint="eastAsia" w:ascii="宋体" w:hAnsi="宋体" w:eastAsia="宋体" w:cs="宋体"/>
                <w:i w:val="0"/>
                <w:iCs w:val="0"/>
                <w:color w:val="auto"/>
                <w:sz w:val="21"/>
                <w:szCs w:val="21"/>
                <w:highlight w:val="none"/>
                <w:u w:val="none"/>
                <w:lang w:val="en-US" w:eastAsia="zh-CN" w:bidi="en-US"/>
              </w:rPr>
            </w:pPr>
            <w:r>
              <w:rPr>
                <w:rFonts w:hint="eastAsia" w:ascii="宋体" w:hAnsi="宋体" w:eastAsia="宋体" w:cs="宋体"/>
                <w:i w:val="0"/>
                <w:iCs w:val="0"/>
                <w:color w:val="auto"/>
                <w:kern w:val="0"/>
                <w:sz w:val="21"/>
                <w:szCs w:val="21"/>
                <w:highlight w:val="none"/>
                <w:u w:val="none"/>
                <w:lang w:val="en-US" w:eastAsia="zh-CN" w:bidi="ar"/>
              </w:rPr>
              <w:t>大堂前台值守，处理客户诉求，业务办理；二班制；大堂出入服务指引；</w:t>
            </w:r>
          </w:p>
        </w:tc>
        <w:tc>
          <w:tcPr>
            <w:tcW w:w="1321" w:type="pct"/>
            <w:tcBorders>
              <w:tl2br w:val="nil"/>
              <w:tr2bl w:val="nil"/>
            </w:tcBorders>
            <w:shd w:val="clear" w:color="auto" w:fill="auto"/>
            <w:vAlign w:val="center"/>
          </w:tcPr>
          <w:p w14:paraId="34AC0E72">
            <w:pPr>
              <w:keepNext/>
              <w:snapToGrid w:val="0"/>
              <w:spacing w:line="240" w:lineRule="auto"/>
              <w:ind w:left="0" w:leftChars="0" w:firstLine="0" w:firstLineChars="0"/>
              <w:jc w:val="both"/>
              <w:rPr>
                <w:rFonts w:hint="eastAsia" w:ascii="宋体" w:hAnsi="宋体" w:eastAsia="宋体" w:cs="宋体"/>
                <w:color w:val="auto"/>
                <w:kern w:val="2"/>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高中及以上学历，年龄18-35岁，身高男生≥175cm，女生≥165cm，形象好，气质佳；身心健康、五官端正、手臂腿部无纹身、无明显疤痕，发色无明显染色；口齿清楚，声音宏亮，具有良好的普通话、粤语表达沟通能力</w:t>
            </w:r>
          </w:p>
        </w:tc>
      </w:tr>
      <w:tr w14:paraId="27039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4" w:hRule="atLeast"/>
          <w:jc w:val="center"/>
        </w:trPr>
        <w:tc>
          <w:tcPr>
            <w:tcW w:w="261" w:type="pct"/>
            <w:vMerge w:val="restart"/>
            <w:tcBorders>
              <w:tl2br w:val="nil"/>
              <w:tr2bl w:val="nil"/>
            </w:tcBorders>
            <w:shd w:val="clear" w:color="auto" w:fill="auto"/>
            <w:vAlign w:val="center"/>
          </w:tcPr>
          <w:p w14:paraId="41EE1CA2">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bidi="ar-SA"/>
              </w:rPr>
            </w:pPr>
            <w:r>
              <w:rPr>
                <w:rFonts w:hint="eastAsia" w:ascii="宋体" w:hAnsi="宋体" w:eastAsia="宋体" w:cs="宋体"/>
                <w:color w:val="auto"/>
                <w:kern w:val="2"/>
                <w:sz w:val="21"/>
                <w:szCs w:val="21"/>
                <w:highlight w:val="none"/>
                <w:lang w:eastAsia="zh-CN"/>
              </w:rPr>
              <w:t>5</w:t>
            </w:r>
          </w:p>
        </w:tc>
        <w:tc>
          <w:tcPr>
            <w:tcW w:w="318" w:type="pct"/>
            <w:vMerge w:val="restart"/>
            <w:tcBorders>
              <w:tl2br w:val="nil"/>
              <w:tr2bl w:val="nil"/>
            </w:tcBorders>
            <w:shd w:val="clear" w:color="auto" w:fill="auto"/>
            <w:vAlign w:val="center"/>
          </w:tcPr>
          <w:p w14:paraId="418AABA1">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bidi="ar-SA"/>
              </w:rPr>
            </w:pPr>
            <w:r>
              <w:rPr>
                <w:rFonts w:hint="eastAsia" w:ascii="宋体" w:hAnsi="宋体" w:eastAsia="宋体" w:cs="宋体"/>
                <w:color w:val="auto"/>
                <w:kern w:val="2"/>
                <w:sz w:val="21"/>
                <w:szCs w:val="21"/>
                <w:highlight w:val="none"/>
                <w:lang w:eastAsia="zh-CN"/>
              </w:rPr>
              <w:t>工程</w:t>
            </w:r>
          </w:p>
        </w:tc>
        <w:tc>
          <w:tcPr>
            <w:tcW w:w="378" w:type="pct"/>
            <w:tcBorders>
              <w:tl2br w:val="nil"/>
              <w:tr2bl w:val="nil"/>
            </w:tcBorders>
            <w:shd w:val="clear" w:color="auto" w:fill="auto"/>
            <w:vAlign w:val="center"/>
          </w:tcPr>
          <w:p w14:paraId="0F4AB000">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bidi="ar-SA"/>
              </w:rPr>
            </w:pPr>
            <w:r>
              <w:rPr>
                <w:rFonts w:hint="eastAsia" w:ascii="宋体" w:hAnsi="宋体" w:eastAsia="宋体" w:cs="宋体"/>
                <w:color w:val="auto"/>
                <w:kern w:val="2"/>
                <w:sz w:val="21"/>
                <w:szCs w:val="21"/>
                <w:highlight w:val="none"/>
                <w:lang w:eastAsia="zh-CN"/>
              </w:rPr>
              <w:t>工程负责人</w:t>
            </w:r>
          </w:p>
        </w:tc>
        <w:tc>
          <w:tcPr>
            <w:tcW w:w="407" w:type="pct"/>
            <w:tcBorders>
              <w:tl2br w:val="nil"/>
              <w:tr2bl w:val="nil"/>
            </w:tcBorders>
            <w:vAlign w:val="center"/>
          </w:tcPr>
          <w:p w14:paraId="4261A82D">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w:t>
            </w:r>
          </w:p>
        </w:tc>
        <w:tc>
          <w:tcPr>
            <w:tcW w:w="527" w:type="pct"/>
            <w:tcBorders>
              <w:tl2br w:val="nil"/>
              <w:tr2bl w:val="nil"/>
            </w:tcBorders>
            <w:shd w:val="clear" w:color="auto" w:fill="auto"/>
            <w:vAlign w:val="center"/>
          </w:tcPr>
          <w:p w14:paraId="37CACF4F">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bidi="ar-SA"/>
              </w:rPr>
            </w:pPr>
            <w:r>
              <w:rPr>
                <w:rFonts w:hint="eastAsia" w:ascii="宋体" w:hAnsi="宋体" w:eastAsia="宋体" w:cs="宋体"/>
                <w:color w:val="auto"/>
                <w:kern w:val="2"/>
                <w:sz w:val="21"/>
                <w:szCs w:val="21"/>
                <w:highlight w:val="none"/>
                <w:lang w:eastAsia="zh-CN"/>
              </w:rPr>
              <w:t>1</w:t>
            </w:r>
          </w:p>
        </w:tc>
        <w:tc>
          <w:tcPr>
            <w:tcW w:w="1785" w:type="pct"/>
            <w:tcBorders>
              <w:tl2br w:val="nil"/>
              <w:tr2bl w:val="nil"/>
            </w:tcBorders>
            <w:shd w:val="clear" w:color="auto" w:fill="auto"/>
            <w:vAlign w:val="center"/>
          </w:tcPr>
          <w:p w14:paraId="5B6DD1EE">
            <w:pPr>
              <w:keepNext/>
              <w:keepLines w:val="0"/>
              <w:widowControl/>
              <w:suppressLineNumbers w:val="0"/>
              <w:snapToGrid w:val="0"/>
              <w:spacing w:line="240" w:lineRule="auto"/>
              <w:ind w:left="0" w:leftChars="0" w:firstLine="0" w:firstLineChars="0"/>
              <w:jc w:val="both"/>
              <w:textAlignment w:val="center"/>
              <w:rPr>
                <w:rFonts w:hint="eastAsia" w:ascii="宋体" w:hAnsi="宋体" w:eastAsia="宋体" w:cs="宋体"/>
                <w:color w:val="auto"/>
                <w:kern w:val="2"/>
                <w:sz w:val="21"/>
                <w:szCs w:val="21"/>
                <w:highlight w:val="none"/>
                <w:lang w:eastAsia="zh-CN" w:bidi="ar-SA"/>
              </w:rPr>
            </w:pPr>
            <w:r>
              <w:rPr>
                <w:rFonts w:hint="eastAsia" w:ascii="宋体" w:hAnsi="宋体" w:eastAsia="宋体" w:cs="宋体"/>
                <w:i w:val="0"/>
                <w:iCs w:val="0"/>
                <w:color w:val="auto"/>
                <w:kern w:val="0"/>
                <w:sz w:val="21"/>
                <w:szCs w:val="21"/>
                <w:highlight w:val="none"/>
                <w:u w:val="none"/>
                <w:lang w:val="en-US" w:eastAsia="zh-CN" w:bidi="ar"/>
              </w:rPr>
              <w:t>统筹现场工程技术相关工作</w:t>
            </w:r>
          </w:p>
        </w:tc>
        <w:tc>
          <w:tcPr>
            <w:tcW w:w="1321" w:type="pct"/>
            <w:tcBorders>
              <w:tl2br w:val="nil"/>
              <w:tr2bl w:val="nil"/>
            </w:tcBorders>
            <w:shd w:val="clear" w:color="auto" w:fill="auto"/>
            <w:vAlign w:val="center"/>
          </w:tcPr>
          <w:p w14:paraId="65F5DA06">
            <w:pPr>
              <w:keepNext/>
              <w:keepLines w:val="0"/>
              <w:widowControl/>
              <w:suppressLineNumbers w:val="0"/>
              <w:snapToGrid w:val="0"/>
              <w:spacing w:line="240" w:lineRule="auto"/>
              <w:ind w:left="0" w:leftChars="0" w:firstLine="0" w:firstLineChars="0"/>
              <w:jc w:val="both"/>
              <w:textAlignment w:val="center"/>
              <w:rPr>
                <w:rFonts w:hint="eastAsia" w:ascii="宋体" w:hAnsi="宋体" w:eastAsia="宋体" w:cs="宋体"/>
                <w:color w:val="auto"/>
                <w:kern w:val="2"/>
                <w:sz w:val="21"/>
                <w:szCs w:val="21"/>
                <w:highlight w:val="none"/>
                <w:lang w:eastAsia="zh-CN" w:bidi="ar-SA"/>
              </w:rPr>
            </w:pPr>
            <w:r>
              <w:rPr>
                <w:rFonts w:hint="eastAsia" w:ascii="宋体" w:hAnsi="宋体" w:eastAsia="宋体" w:cs="宋体"/>
                <w:i w:val="0"/>
                <w:iCs w:val="0"/>
                <w:color w:val="auto"/>
                <w:kern w:val="0"/>
                <w:sz w:val="21"/>
                <w:szCs w:val="21"/>
                <w:highlight w:val="none"/>
                <w:u w:val="none"/>
                <w:lang w:val="en-US" w:eastAsia="zh-CN" w:bidi="ar"/>
              </w:rPr>
              <w:t>机电工程、建筑工程、土木工程等相关专业大专及以上学历，年龄45岁以下，具有5年以上物业设施工作经验，其中3年以上相同岗位管理经验。</w:t>
            </w:r>
          </w:p>
        </w:tc>
      </w:tr>
      <w:tr w14:paraId="040E5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5" w:hRule="atLeast"/>
          <w:jc w:val="center"/>
        </w:trPr>
        <w:tc>
          <w:tcPr>
            <w:tcW w:w="261" w:type="pct"/>
            <w:vMerge w:val="continue"/>
            <w:tcBorders>
              <w:tl2br w:val="nil"/>
              <w:tr2bl w:val="nil"/>
            </w:tcBorders>
            <w:shd w:val="clear" w:color="auto" w:fill="auto"/>
            <w:vAlign w:val="center"/>
          </w:tcPr>
          <w:p w14:paraId="2951507C">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rPr>
            </w:pPr>
          </w:p>
        </w:tc>
        <w:tc>
          <w:tcPr>
            <w:tcW w:w="318" w:type="pct"/>
            <w:vMerge w:val="continue"/>
            <w:tcBorders>
              <w:tl2br w:val="nil"/>
              <w:tr2bl w:val="nil"/>
            </w:tcBorders>
            <w:shd w:val="clear" w:color="auto" w:fill="auto"/>
            <w:vAlign w:val="center"/>
          </w:tcPr>
          <w:p w14:paraId="00B82C99">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bidi="ar-SA"/>
              </w:rPr>
            </w:pPr>
          </w:p>
        </w:tc>
        <w:tc>
          <w:tcPr>
            <w:tcW w:w="378" w:type="pct"/>
            <w:tcBorders>
              <w:tl2br w:val="nil"/>
              <w:tr2bl w:val="nil"/>
            </w:tcBorders>
            <w:shd w:val="clear" w:color="auto" w:fill="FFFFFF"/>
            <w:vAlign w:val="center"/>
          </w:tcPr>
          <w:p w14:paraId="453F80D8">
            <w:pPr>
              <w:keepNext/>
              <w:keepLines w:val="0"/>
              <w:widowControl/>
              <w:suppressLineNumbers w:val="0"/>
              <w:snapToGrid w:val="0"/>
              <w:spacing w:line="240" w:lineRule="auto"/>
              <w:ind w:left="0" w:leftChars="0" w:firstLine="0" w:firstLineChars="0"/>
              <w:jc w:val="center"/>
              <w:textAlignment w:val="center"/>
              <w:rPr>
                <w:rFonts w:hint="eastAsia" w:ascii="宋体" w:hAnsi="宋体" w:eastAsia="宋体" w:cs="宋体"/>
                <w:i w:val="0"/>
                <w:iCs w:val="0"/>
                <w:color w:val="auto"/>
                <w:sz w:val="21"/>
                <w:szCs w:val="21"/>
                <w:highlight w:val="none"/>
                <w:u w:val="none"/>
                <w:lang w:val="en-US" w:eastAsia="zh-CN" w:bidi="en-US"/>
              </w:rPr>
            </w:pPr>
            <w:r>
              <w:rPr>
                <w:rFonts w:hint="eastAsia" w:ascii="宋体" w:hAnsi="宋体" w:eastAsia="宋体" w:cs="宋体"/>
                <w:i w:val="0"/>
                <w:iCs w:val="0"/>
                <w:color w:val="auto"/>
                <w:sz w:val="21"/>
                <w:szCs w:val="21"/>
                <w:highlight w:val="none"/>
                <w:u w:val="none"/>
                <w:lang w:val="en-US" w:eastAsia="zh-CN"/>
              </w:rPr>
              <w:t>工程主管</w:t>
            </w:r>
          </w:p>
        </w:tc>
        <w:tc>
          <w:tcPr>
            <w:tcW w:w="407" w:type="pct"/>
            <w:tcBorders>
              <w:tl2br w:val="nil"/>
              <w:tr2bl w:val="nil"/>
            </w:tcBorders>
            <w:shd w:val="clear" w:color="auto" w:fill="FFFFFF"/>
            <w:vAlign w:val="center"/>
          </w:tcPr>
          <w:p w14:paraId="14B84ED5">
            <w:pPr>
              <w:keepNext/>
              <w:keepLines w:val="0"/>
              <w:widowControl/>
              <w:suppressLineNumbers w:val="0"/>
              <w:snapToGrid w:val="0"/>
              <w:spacing w:line="240" w:lineRule="auto"/>
              <w:ind w:left="0" w:leftChars="0" w:firstLine="0" w:firstLineChars="0"/>
              <w:jc w:val="center"/>
              <w:textAlignment w:val="center"/>
              <w:rPr>
                <w:rFonts w:hint="eastAsia" w:ascii="宋体" w:hAnsi="宋体" w:eastAsia="宋体" w:cs="宋体"/>
                <w:i w:val="0"/>
                <w:iCs w:val="0"/>
                <w:color w:val="auto"/>
                <w:sz w:val="21"/>
                <w:szCs w:val="21"/>
                <w:highlight w:val="none"/>
                <w:u w:val="none"/>
                <w:lang w:val="en-US" w:eastAsia="zh-CN" w:bidi="en-US"/>
              </w:rPr>
            </w:pPr>
            <w:r>
              <w:rPr>
                <w:rFonts w:hint="eastAsia" w:ascii="宋体" w:hAnsi="宋体" w:eastAsia="宋体" w:cs="宋体"/>
                <w:i w:val="0"/>
                <w:iCs w:val="0"/>
                <w:color w:val="auto"/>
                <w:sz w:val="21"/>
                <w:szCs w:val="21"/>
                <w:highlight w:val="none"/>
                <w:u w:val="none"/>
                <w:lang w:val="en-US" w:eastAsia="zh-CN"/>
              </w:rPr>
              <w:t>1</w:t>
            </w:r>
          </w:p>
        </w:tc>
        <w:tc>
          <w:tcPr>
            <w:tcW w:w="527" w:type="pct"/>
            <w:tcBorders>
              <w:tl2br w:val="nil"/>
              <w:tr2bl w:val="nil"/>
            </w:tcBorders>
            <w:shd w:val="clear" w:color="auto" w:fill="FFFFFF"/>
            <w:vAlign w:val="center"/>
          </w:tcPr>
          <w:p w14:paraId="4CB8E06D">
            <w:pPr>
              <w:keepNext/>
              <w:keepLines w:val="0"/>
              <w:widowControl/>
              <w:suppressLineNumbers w:val="0"/>
              <w:snapToGrid w:val="0"/>
              <w:spacing w:line="240" w:lineRule="auto"/>
              <w:ind w:firstLine="420" w:firstLineChars="200"/>
              <w:jc w:val="both"/>
              <w:textAlignment w:val="center"/>
              <w:rPr>
                <w:rFonts w:hint="eastAsia" w:ascii="宋体" w:hAnsi="宋体" w:eastAsia="宋体" w:cs="宋体"/>
                <w:i w:val="0"/>
                <w:iCs w:val="0"/>
                <w:color w:val="auto"/>
                <w:sz w:val="21"/>
                <w:szCs w:val="21"/>
                <w:highlight w:val="none"/>
                <w:u w:val="none"/>
                <w:lang w:val="en-US" w:eastAsia="zh-CN" w:bidi="en-US"/>
              </w:rPr>
            </w:pPr>
            <w:r>
              <w:rPr>
                <w:rFonts w:hint="eastAsia" w:ascii="宋体" w:hAnsi="宋体" w:eastAsia="宋体" w:cs="宋体"/>
                <w:i w:val="0"/>
                <w:iCs w:val="0"/>
                <w:color w:val="auto"/>
                <w:sz w:val="21"/>
                <w:szCs w:val="21"/>
                <w:highlight w:val="none"/>
                <w:u w:val="none"/>
                <w:lang w:val="en-US" w:eastAsia="zh-CN"/>
              </w:rPr>
              <w:t>1</w:t>
            </w:r>
          </w:p>
        </w:tc>
        <w:tc>
          <w:tcPr>
            <w:tcW w:w="1785" w:type="pct"/>
            <w:tcBorders>
              <w:tl2br w:val="nil"/>
              <w:tr2bl w:val="nil"/>
            </w:tcBorders>
            <w:shd w:val="clear" w:color="auto" w:fill="FFFFFF"/>
            <w:vAlign w:val="center"/>
          </w:tcPr>
          <w:p w14:paraId="0B68FF56">
            <w:pPr>
              <w:keepNext/>
              <w:keepLines w:val="0"/>
              <w:widowControl/>
              <w:suppressLineNumbers w:val="0"/>
              <w:snapToGrid w:val="0"/>
              <w:spacing w:line="240" w:lineRule="auto"/>
              <w:ind w:left="0" w:leftChars="0" w:firstLine="0" w:firstLineChars="0"/>
              <w:jc w:val="both"/>
              <w:textAlignment w:val="center"/>
              <w:rPr>
                <w:rFonts w:hint="eastAsia" w:ascii="宋体" w:hAnsi="宋体" w:eastAsia="宋体" w:cs="宋体"/>
                <w:i w:val="0"/>
                <w:iCs w:val="0"/>
                <w:color w:val="auto"/>
                <w:sz w:val="21"/>
                <w:szCs w:val="21"/>
                <w:highlight w:val="none"/>
                <w:u w:val="none"/>
                <w:lang w:val="en-US" w:eastAsia="zh-CN" w:bidi="en-US"/>
              </w:rPr>
            </w:pPr>
            <w:r>
              <w:rPr>
                <w:rFonts w:hint="eastAsia" w:ascii="宋体" w:hAnsi="宋体" w:eastAsia="宋体" w:cs="宋体"/>
                <w:i w:val="0"/>
                <w:iCs w:val="0"/>
                <w:color w:val="auto"/>
                <w:sz w:val="21"/>
                <w:szCs w:val="21"/>
                <w:highlight w:val="none"/>
                <w:u w:val="none"/>
                <w:lang w:val="en-US" w:eastAsia="zh-CN"/>
              </w:rPr>
              <w:t>协助工程负责人开展日常工作，对接相关专项维保供方，</w:t>
            </w:r>
            <w:r>
              <w:rPr>
                <w:rFonts w:hint="eastAsia" w:ascii="宋体" w:hAnsi="宋体" w:eastAsia="宋体" w:cs="宋体"/>
                <w:i w:val="0"/>
                <w:iCs w:val="0"/>
                <w:color w:val="auto"/>
                <w:sz w:val="21"/>
                <w:szCs w:val="21"/>
                <w:highlight w:val="none"/>
                <w:u w:val="none"/>
              </w:rPr>
              <w:t>负责日常维修、设施设备维保和施工监管等工作</w:t>
            </w:r>
          </w:p>
        </w:tc>
        <w:tc>
          <w:tcPr>
            <w:tcW w:w="1321" w:type="pct"/>
            <w:tcBorders>
              <w:tl2br w:val="nil"/>
              <w:tr2bl w:val="nil"/>
            </w:tcBorders>
            <w:shd w:val="clear" w:color="auto" w:fill="FFFFFF"/>
            <w:vAlign w:val="center"/>
          </w:tcPr>
          <w:p w14:paraId="5992A971">
            <w:pPr>
              <w:keepNext/>
              <w:keepLines w:val="0"/>
              <w:widowControl/>
              <w:suppressLineNumbers w:val="0"/>
              <w:snapToGrid w:val="0"/>
              <w:spacing w:line="240" w:lineRule="auto"/>
              <w:ind w:left="0" w:leftChars="0" w:firstLine="0" w:firstLineChars="0"/>
              <w:jc w:val="both"/>
              <w:textAlignment w:val="center"/>
              <w:rPr>
                <w:rFonts w:hint="eastAsia" w:ascii="宋体" w:hAnsi="宋体" w:eastAsia="宋体" w:cs="宋体"/>
                <w:i w:val="0"/>
                <w:iCs w:val="0"/>
                <w:color w:val="auto"/>
                <w:sz w:val="21"/>
                <w:szCs w:val="21"/>
                <w:highlight w:val="none"/>
                <w:u w:val="none"/>
                <w:lang w:val="en-US" w:eastAsia="zh-CN" w:bidi="en-US"/>
              </w:rPr>
            </w:pPr>
            <w:r>
              <w:rPr>
                <w:rFonts w:hint="eastAsia" w:ascii="宋体" w:hAnsi="宋体" w:eastAsia="宋体" w:cs="宋体"/>
                <w:i w:val="0"/>
                <w:iCs w:val="0"/>
                <w:color w:val="auto"/>
                <w:kern w:val="0"/>
                <w:sz w:val="21"/>
                <w:szCs w:val="21"/>
                <w:highlight w:val="none"/>
                <w:u w:val="none"/>
                <w:lang w:val="en-US" w:eastAsia="zh-CN" w:bidi="ar"/>
              </w:rPr>
              <w:t>机电工程、建筑工程、土木工程等相关专业大专及以上学历，年龄45岁以下，具有3年以上物业设施工作经验</w:t>
            </w:r>
          </w:p>
        </w:tc>
      </w:tr>
      <w:tr w14:paraId="3EBE8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10" w:hRule="atLeast"/>
          <w:jc w:val="center"/>
        </w:trPr>
        <w:tc>
          <w:tcPr>
            <w:tcW w:w="261" w:type="pct"/>
            <w:vMerge w:val="continue"/>
            <w:tcBorders>
              <w:tl2br w:val="nil"/>
              <w:tr2bl w:val="nil"/>
            </w:tcBorders>
            <w:shd w:val="clear" w:color="auto" w:fill="auto"/>
            <w:vAlign w:val="center"/>
          </w:tcPr>
          <w:p w14:paraId="0932D703">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rPr>
            </w:pPr>
          </w:p>
        </w:tc>
        <w:tc>
          <w:tcPr>
            <w:tcW w:w="318" w:type="pct"/>
            <w:vMerge w:val="continue"/>
            <w:tcBorders>
              <w:tl2br w:val="nil"/>
              <w:tr2bl w:val="nil"/>
            </w:tcBorders>
            <w:shd w:val="clear" w:color="auto" w:fill="auto"/>
            <w:vAlign w:val="center"/>
          </w:tcPr>
          <w:p w14:paraId="69C8E577">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rPr>
            </w:pPr>
          </w:p>
        </w:tc>
        <w:tc>
          <w:tcPr>
            <w:tcW w:w="378" w:type="pct"/>
            <w:tcBorders>
              <w:tl2br w:val="nil"/>
              <w:tr2bl w:val="nil"/>
            </w:tcBorders>
            <w:shd w:val="clear" w:color="auto" w:fill="FFFFFF"/>
            <w:vAlign w:val="center"/>
          </w:tcPr>
          <w:p w14:paraId="1120E954">
            <w:pPr>
              <w:keepNext/>
              <w:keepLines w:val="0"/>
              <w:widowControl/>
              <w:suppressLineNumbers w:val="0"/>
              <w:snapToGrid w:val="0"/>
              <w:spacing w:line="240" w:lineRule="auto"/>
              <w:ind w:left="0" w:leftChars="0" w:firstLine="0" w:firstLineChars="0"/>
              <w:jc w:val="center"/>
              <w:textAlignment w:val="center"/>
              <w:rPr>
                <w:rFonts w:hint="eastAsia" w:ascii="宋体" w:hAnsi="宋体" w:eastAsia="宋体" w:cs="宋体"/>
                <w:i w:val="0"/>
                <w:iCs w:val="0"/>
                <w:color w:val="auto"/>
                <w:sz w:val="21"/>
                <w:szCs w:val="21"/>
                <w:highlight w:val="none"/>
                <w:u w:val="none"/>
                <w:lang w:val="en-US" w:eastAsia="zh-CN" w:bidi="en-US"/>
              </w:rPr>
            </w:pPr>
            <w:r>
              <w:rPr>
                <w:rFonts w:hint="eastAsia" w:ascii="宋体" w:hAnsi="宋体" w:eastAsia="宋体" w:cs="宋体"/>
                <w:i w:val="0"/>
                <w:iCs w:val="0"/>
                <w:color w:val="auto"/>
                <w:kern w:val="0"/>
                <w:sz w:val="21"/>
                <w:szCs w:val="21"/>
                <w:highlight w:val="none"/>
                <w:u w:val="none"/>
                <w:lang w:val="en-US" w:eastAsia="zh-CN" w:bidi="ar"/>
              </w:rPr>
              <w:t>工程管理人员</w:t>
            </w:r>
          </w:p>
        </w:tc>
        <w:tc>
          <w:tcPr>
            <w:tcW w:w="407" w:type="pct"/>
            <w:tcBorders>
              <w:tl2br w:val="nil"/>
              <w:tr2bl w:val="nil"/>
            </w:tcBorders>
            <w:shd w:val="clear" w:color="auto" w:fill="FFFFFF"/>
            <w:vAlign w:val="center"/>
          </w:tcPr>
          <w:p w14:paraId="68AC3F32">
            <w:pPr>
              <w:keepNext/>
              <w:keepLines w:val="0"/>
              <w:widowControl/>
              <w:suppressLineNumbers w:val="0"/>
              <w:snapToGrid w:val="0"/>
              <w:spacing w:line="240" w:lineRule="auto"/>
              <w:ind w:left="0" w:leftChars="0" w:firstLine="0" w:firstLineChars="0"/>
              <w:jc w:val="center"/>
              <w:textAlignment w:val="center"/>
              <w:rPr>
                <w:rFonts w:hint="eastAsia" w:ascii="宋体" w:hAnsi="宋体" w:eastAsia="宋体" w:cs="宋体"/>
                <w:i w:val="0"/>
                <w:iCs w:val="0"/>
                <w:color w:val="auto"/>
                <w:sz w:val="21"/>
                <w:szCs w:val="21"/>
                <w:highlight w:val="none"/>
                <w:u w:val="none"/>
                <w:lang w:val="en-US" w:eastAsia="zh-CN" w:bidi="en-US"/>
              </w:rPr>
            </w:pPr>
            <w:r>
              <w:rPr>
                <w:rFonts w:hint="eastAsia" w:ascii="宋体" w:hAnsi="宋体" w:eastAsia="宋体" w:cs="宋体"/>
                <w:i w:val="0"/>
                <w:iCs w:val="0"/>
                <w:color w:val="auto"/>
                <w:sz w:val="21"/>
                <w:szCs w:val="21"/>
                <w:highlight w:val="none"/>
                <w:u w:val="none"/>
                <w:lang w:val="en-US" w:eastAsia="zh-CN" w:bidi="en-US"/>
              </w:rPr>
              <w:t>4</w:t>
            </w:r>
          </w:p>
        </w:tc>
        <w:tc>
          <w:tcPr>
            <w:tcW w:w="527" w:type="pct"/>
            <w:tcBorders>
              <w:tl2br w:val="nil"/>
              <w:tr2bl w:val="nil"/>
            </w:tcBorders>
            <w:shd w:val="clear" w:color="auto" w:fill="FFFFFF"/>
            <w:vAlign w:val="center"/>
          </w:tcPr>
          <w:p w14:paraId="29C66E9A">
            <w:pPr>
              <w:keepNext/>
              <w:keepLines w:val="0"/>
              <w:widowControl/>
              <w:suppressLineNumbers w:val="0"/>
              <w:snapToGrid w:val="0"/>
              <w:spacing w:line="240" w:lineRule="auto"/>
              <w:ind w:firstLine="420" w:firstLineChars="200"/>
              <w:jc w:val="both"/>
              <w:textAlignment w:val="center"/>
              <w:rPr>
                <w:rFonts w:hint="eastAsia" w:ascii="宋体" w:hAnsi="宋体" w:eastAsia="宋体" w:cs="宋体"/>
                <w:i w:val="0"/>
                <w:iCs w:val="0"/>
                <w:color w:val="auto"/>
                <w:sz w:val="21"/>
                <w:szCs w:val="21"/>
                <w:highlight w:val="none"/>
                <w:u w:val="none"/>
                <w:lang w:val="en-US" w:eastAsia="zh-CN" w:bidi="en-US"/>
              </w:rPr>
            </w:pPr>
            <w:r>
              <w:rPr>
                <w:rFonts w:hint="eastAsia" w:ascii="宋体" w:hAnsi="宋体" w:eastAsia="宋体" w:cs="宋体"/>
                <w:i w:val="0"/>
                <w:iCs w:val="0"/>
                <w:color w:val="auto"/>
                <w:sz w:val="21"/>
                <w:szCs w:val="21"/>
                <w:highlight w:val="none"/>
                <w:u w:val="none"/>
                <w:lang w:val="en-US" w:eastAsia="zh-CN" w:bidi="en-US"/>
              </w:rPr>
              <w:t>5</w:t>
            </w:r>
          </w:p>
        </w:tc>
        <w:tc>
          <w:tcPr>
            <w:tcW w:w="1785" w:type="pct"/>
            <w:tcBorders>
              <w:tl2br w:val="nil"/>
              <w:tr2bl w:val="nil"/>
            </w:tcBorders>
            <w:shd w:val="clear" w:color="auto" w:fill="FFFFFF"/>
            <w:vAlign w:val="center"/>
          </w:tcPr>
          <w:p w14:paraId="1E555C72">
            <w:pPr>
              <w:keepNext/>
              <w:keepLines w:val="0"/>
              <w:widowControl/>
              <w:suppressLineNumbers w:val="0"/>
              <w:snapToGrid w:val="0"/>
              <w:spacing w:line="240" w:lineRule="auto"/>
              <w:ind w:left="0" w:leftChars="0" w:firstLine="0" w:firstLineChars="0"/>
              <w:jc w:val="both"/>
              <w:textAlignment w:val="center"/>
              <w:rPr>
                <w:rFonts w:hint="eastAsia" w:ascii="宋体" w:hAnsi="宋体" w:eastAsia="宋体" w:cs="宋体"/>
                <w:i w:val="0"/>
                <w:iCs w:val="0"/>
                <w:color w:val="auto"/>
                <w:sz w:val="21"/>
                <w:szCs w:val="21"/>
                <w:highlight w:val="none"/>
                <w:u w:val="none"/>
                <w:lang w:val="en-US" w:eastAsia="zh-CN" w:bidi="en-US"/>
              </w:rPr>
            </w:pPr>
            <w:r>
              <w:rPr>
                <w:rFonts w:hint="eastAsia" w:ascii="宋体" w:hAnsi="宋体" w:eastAsia="宋体" w:cs="宋体"/>
                <w:i w:val="0"/>
                <w:iCs w:val="0"/>
                <w:color w:val="auto"/>
                <w:kern w:val="0"/>
                <w:sz w:val="21"/>
                <w:szCs w:val="21"/>
                <w:highlight w:val="none"/>
                <w:u w:val="none"/>
                <w:lang w:val="en-US" w:eastAsia="zh-CN" w:bidi="ar"/>
              </w:rPr>
              <w:t>负责大厦空调、电梯、弱电系统、消防设备、机电设备等设备运营管理工作</w:t>
            </w:r>
          </w:p>
        </w:tc>
        <w:tc>
          <w:tcPr>
            <w:tcW w:w="1321" w:type="pct"/>
            <w:tcBorders>
              <w:tl2br w:val="nil"/>
              <w:tr2bl w:val="nil"/>
            </w:tcBorders>
            <w:shd w:val="clear" w:color="auto" w:fill="FFFFFF"/>
            <w:vAlign w:val="center"/>
          </w:tcPr>
          <w:p w14:paraId="62B24A89">
            <w:pPr>
              <w:keepNext/>
              <w:keepLines w:val="0"/>
              <w:widowControl/>
              <w:suppressLineNumbers w:val="0"/>
              <w:snapToGrid w:val="0"/>
              <w:spacing w:line="240" w:lineRule="auto"/>
              <w:ind w:left="0" w:leftChars="0" w:firstLine="0" w:firstLineChars="0"/>
              <w:jc w:val="both"/>
              <w:textAlignment w:val="center"/>
              <w:rPr>
                <w:rFonts w:hint="eastAsia" w:ascii="宋体" w:hAnsi="宋体" w:eastAsia="宋体" w:cs="宋体"/>
                <w:i w:val="0"/>
                <w:iCs w:val="0"/>
                <w:color w:val="auto"/>
                <w:sz w:val="21"/>
                <w:szCs w:val="21"/>
                <w:highlight w:val="none"/>
                <w:u w:val="none"/>
                <w:lang w:val="en-US" w:eastAsia="zh-CN" w:bidi="en-US"/>
              </w:rPr>
            </w:pPr>
            <w:r>
              <w:rPr>
                <w:rFonts w:hint="eastAsia" w:ascii="宋体" w:hAnsi="宋体" w:eastAsia="宋体" w:cs="宋体"/>
                <w:i w:val="0"/>
                <w:iCs w:val="0"/>
                <w:color w:val="auto"/>
                <w:kern w:val="0"/>
                <w:sz w:val="21"/>
                <w:szCs w:val="21"/>
                <w:highlight w:val="none"/>
                <w:u w:val="none"/>
                <w:lang w:val="en-US" w:eastAsia="zh-CN" w:bidi="ar"/>
              </w:rPr>
              <w:t>机电工程、建筑工程、土木工程等相关专业大专及以上学历，年龄45岁以下，具有3年以上物业设施工作经验。</w:t>
            </w:r>
          </w:p>
        </w:tc>
      </w:tr>
      <w:tr w14:paraId="6FE90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58" w:type="pct"/>
            <w:gridSpan w:val="3"/>
            <w:tcBorders>
              <w:tl2br w:val="nil"/>
              <w:tr2bl w:val="nil"/>
            </w:tcBorders>
            <w:shd w:val="clear" w:color="auto" w:fill="auto"/>
            <w:vAlign w:val="center"/>
          </w:tcPr>
          <w:p w14:paraId="39BF5176">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bidi="ar-SA"/>
              </w:rPr>
            </w:pPr>
            <w:r>
              <w:rPr>
                <w:rFonts w:hint="eastAsia" w:ascii="宋体" w:hAnsi="宋体" w:eastAsia="宋体" w:cs="宋体"/>
                <w:color w:val="auto"/>
                <w:kern w:val="2"/>
                <w:sz w:val="21"/>
                <w:szCs w:val="21"/>
                <w:highlight w:val="none"/>
                <w:lang w:eastAsia="zh-CN"/>
              </w:rPr>
              <w:t>配备人数小计</w:t>
            </w:r>
          </w:p>
        </w:tc>
        <w:tc>
          <w:tcPr>
            <w:tcW w:w="407" w:type="pct"/>
            <w:tcBorders>
              <w:tl2br w:val="nil"/>
              <w:tr2bl w:val="nil"/>
            </w:tcBorders>
            <w:vAlign w:val="center"/>
          </w:tcPr>
          <w:p w14:paraId="3BF89687">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val="en-US" w:eastAsia="zh-CN"/>
              </w:rPr>
              <w:t>60</w:t>
            </w:r>
          </w:p>
        </w:tc>
        <w:tc>
          <w:tcPr>
            <w:tcW w:w="527" w:type="pct"/>
            <w:tcBorders>
              <w:tl2br w:val="nil"/>
              <w:tr2bl w:val="nil"/>
            </w:tcBorders>
            <w:shd w:val="clear" w:color="auto" w:fill="auto"/>
            <w:vAlign w:val="center"/>
          </w:tcPr>
          <w:p w14:paraId="08C2242B">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65</w:t>
            </w:r>
          </w:p>
        </w:tc>
        <w:tc>
          <w:tcPr>
            <w:tcW w:w="3106" w:type="pct"/>
            <w:gridSpan w:val="2"/>
            <w:tcBorders>
              <w:tl2br w:val="nil"/>
              <w:tr2bl w:val="nil"/>
            </w:tcBorders>
            <w:shd w:val="clear" w:color="auto" w:fill="auto"/>
            <w:vAlign w:val="center"/>
          </w:tcPr>
          <w:p w14:paraId="5D06A83E">
            <w:pPr>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bidi="ar-SA"/>
              </w:rPr>
            </w:pPr>
          </w:p>
        </w:tc>
      </w:tr>
    </w:tbl>
    <w:p w14:paraId="263ABF6E">
      <w:pPr>
        <w:keepNext w:val="0"/>
        <w:keepLines w:val="0"/>
        <w:pageBreakBefore w:val="0"/>
        <w:widowControl w:val="0"/>
        <w:numPr>
          <w:ilvl w:val="0"/>
          <w:numId w:val="19"/>
        </w:numPr>
        <w:kinsoku/>
        <w:wordWrap/>
        <w:overflowPunct/>
        <w:topLinePunct w:val="0"/>
        <w:autoSpaceDE/>
        <w:autoSpaceDN/>
        <w:bidi w:val="0"/>
        <w:adjustRightInd w:val="0"/>
        <w:snapToGrid w:val="0"/>
        <w:spacing w:before="0" w:beforeLines="0"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中标人应组建完整的物业管理服务团队，中标人配备的工作人员应不低于上述岗位要求</w:t>
      </w:r>
      <w:r>
        <w:rPr>
          <w:rFonts w:hint="eastAsia" w:ascii="宋体" w:hAnsi="宋体" w:eastAsia="宋体" w:cs="宋体"/>
          <w:color w:val="auto"/>
          <w:sz w:val="21"/>
          <w:szCs w:val="21"/>
          <w:highlight w:val="none"/>
          <w:lang w:val="en-US" w:eastAsia="zh-CN"/>
        </w:rPr>
        <w:t>。</w:t>
      </w:r>
    </w:p>
    <w:p w14:paraId="53F59716">
      <w:pPr>
        <w:keepNext w:val="0"/>
        <w:keepLines w:val="0"/>
        <w:pageBreakBefore w:val="0"/>
        <w:widowControl w:val="0"/>
        <w:numPr>
          <w:ilvl w:val="0"/>
          <w:numId w:val="19"/>
        </w:numPr>
        <w:kinsoku/>
        <w:wordWrap/>
        <w:overflowPunct/>
        <w:topLinePunct w:val="0"/>
        <w:autoSpaceDE/>
        <w:autoSpaceDN/>
        <w:bidi w:val="0"/>
        <w:adjustRightInd w:val="0"/>
        <w:snapToGrid w:val="0"/>
        <w:spacing w:before="0" w:beforeLines="0"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本表各阶段人员配置以项目入驻率为依据计算，实际进场人数将以招标人及中标人视本项目入驻率共同协商确认，以招标人的书面通知为准，按照中标人的报价单据实结算。</w:t>
      </w:r>
    </w:p>
    <w:p w14:paraId="40906718">
      <w:pPr>
        <w:keepNext w:val="0"/>
        <w:keepLines w:val="0"/>
        <w:pageBreakBefore w:val="0"/>
        <w:widowControl w:val="0"/>
        <w:numPr>
          <w:ilvl w:val="0"/>
          <w:numId w:val="19"/>
        </w:numPr>
        <w:kinsoku/>
        <w:wordWrap/>
        <w:overflowPunct/>
        <w:topLinePunct w:val="0"/>
        <w:autoSpaceDE/>
        <w:autoSpaceDN/>
        <w:bidi w:val="0"/>
        <w:adjustRightInd w:val="0"/>
        <w:snapToGrid w:val="0"/>
        <w:spacing w:beforeLines="0" w:line="360" w:lineRule="auto"/>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中标人所聘用的物业管理人员应具备：</w:t>
      </w:r>
    </w:p>
    <w:p w14:paraId="70F2D36D">
      <w:pPr>
        <w:keepNext w:val="0"/>
        <w:keepLines w:val="0"/>
        <w:pageBreakBefore w:val="0"/>
        <w:widowControl w:val="0"/>
        <w:numPr>
          <w:ilvl w:val="0"/>
          <w:numId w:val="20"/>
        </w:numPr>
        <w:kinsoku/>
        <w:wordWrap/>
        <w:overflowPunct/>
        <w:topLinePunct w:val="0"/>
        <w:autoSpaceDE/>
        <w:autoSpaceDN/>
        <w:bidi w:val="0"/>
        <w:adjustRightInd w:val="0"/>
        <w:snapToGrid w:val="0"/>
        <w:spacing w:beforeLines="0" w:line="360" w:lineRule="auto"/>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遵纪守法、品行端正，具有良好的思想政治素质、敬业精神、工作责任心和履行本职工作的能力，无劣迹行为，无犯罪等不良记录。</w:t>
      </w:r>
    </w:p>
    <w:p w14:paraId="0466F177">
      <w:pPr>
        <w:keepNext w:val="0"/>
        <w:keepLines w:val="0"/>
        <w:pageBreakBefore w:val="0"/>
        <w:widowControl w:val="0"/>
        <w:numPr>
          <w:ilvl w:val="0"/>
          <w:numId w:val="20"/>
        </w:numPr>
        <w:kinsoku/>
        <w:wordWrap/>
        <w:overflowPunct/>
        <w:topLinePunct w:val="0"/>
        <w:autoSpaceDE/>
        <w:autoSpaceDN/>
        <w:bidi w:val="0"/>
        <w:adjustRightInd w:val="0"/>
        <w:snapToGrid w:val="0"/>
        <w:spacing w:beforeLines="0" w:line="360" w:lineRule="auto"/>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必须经过相应的知识教育和岗位培训，并具备相应的工作能力或持有相应的上岗资格证书。</w:t>
      </w:r>
    </w:p>
    <w:p w14:paraId="200D35E0">
      <w:pPr>
        <w:keepNext w:val="0"/>
        <w:keepLines w:val="0"/>
        <w:pageBreakBefore w:val="0"/>
        <w:widowControl w:val="0"/>
        <w:numPr>
          <w:ilvl w:val="0"/>
          <w:numId w:val="20"/>
        </w:numPr>
        <w:kinsoku/>
        <w:wordWrap/>
        <w:overflowPunct/>
        <w:topLinePunct w:val="0"/>
        <w:autoSpaceDE/>
        <w:autoSpaceDN/>
        <w:bidi w:val="0"/>
        <w:adjustRightInd w:val="0"/>
        <w:snapToGrid w:val="0"/>
        <w:spacing w:beforeLines="0" w:line="360" w:lineRule="auto"/>
        <w:ind w:left="0" w:leftChars="0" w:firstLine="420" w:firstLineChars="20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color w:val="auto"/>
          <w:sz w:val="21"/>
          <w:szCs w:val="21"/>
          <w:highlight w:val="none"/>
          <w:lang w:eastAsia="zh-CN"/>
        </w:rPr>
        <w:t>必须遵守保密规定，除正常的工作联系外，不得随意打探、议论、传播招标人单位及其工作人员的工作信</w:t>
      </w:r>
      <w:r>
        <w:rPr>
          <w:rFonts w:hint="eastAsia" w:ascii="宋体" w:hAnsi="宋体" w:eastAsia="宋体" w:cs="宋体"/>
          <w:b w:val="0"/>
          <w:bCs w:val="0"/>
          <w:color w:val="auto"/>
          <w:sz w:val="21"/>
          <w:szCs w:val="21"/>
          <w:highlight w:val="none"/>
          <w:lang w:eastAsia="zh-CN"/>
        </w:rPr>
        <w:t>息，散布有关不良言论，其中监控中心人员要严守秘密，严禁泄漏本项目监控点等安保方面的详细资料。</w:t>
      </w:r>
    </w:p>
    <w:p w14:paraId="7658EE47">
      <w:pPr>
        <w:keepNext w:val="0"/>
        <w:keepLines w:val="0"/>
        <w:pageBreakBefore w:val="0"/>
        <w:widowControl w:val="0"/>
        <w:numPr>
          <w:ilvl w:val="0"/>
          <w:numId w:val="20"/>
        </w:numPr>
        <w:kinsoku/>
        <w:wordWrap/>
        <w:overflowPunct/>
        <w:topLinePunct w:val="0"/>
        <w:autoSpaceDE/>
        <w:autoSpaceDN/>
        <w:bidi w:val="0"/>
        <w:adjustRightInd w:val="0"/>
        <w:snapToGrid w:val="0"/>
        <w:spacing w:beforeLines="0" w:line="360" w:lineRule="auto"/>
        <w:ind w:left="0" w:leftChars="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必须按岗位统一着装、佩带</w:t>
      </w:r>
      <w:r>
        <w:rPr>
          <w:rFonts w:hint="eastAsia" w:ascii="宋体" w:hAnsi="宋体" w:eastAsia="宋体" w:cs="宋体"/>
          <w:b w:val="0"/>
          <w:bCs w:val="0"/>
          <w:color w:val="auto"/>
          <w:sz w:val="21"/>
          <w:szCs w:val="21"/>
          <w:highlight w:val="none"/>
          <w:lang w:val="en-US" w:eastAsia="zh-CN"/>
        </w:rPr>
        <w:t>工牌</w:t>
      </w:r>
      <w:r>
        <w:rPr>
          <w:rFonts w:hint="eastAsia" w:ascii="宋体" w:hAnsi="宋体" w:eastAsia="宋体" w:cs="宋体"/>
          <w:b w:val="0"/>
          <w:bCs w:val="0"/>
          <w:color w:val="auto"/>
          <w:sz w:val="21"/>
          <w:szCs w:val="21"/>
          <w:highlight w:val="none"/>
          <w:lang w:eastAsia="zh-CN"/>
        </w:rPr>
        <w:t>、持证上岗，做到仪容整洁、精神饱满、语言文明、行为规范。在岗时不得擅离职守、喝酒或睡觉，不得在工作期间从事与本职工作无关的工作，严禁睡岗或溜岗。</w:t>
      </w:r>
      <w:r>
        <w:rPr>
          <w:rFonts w:hint="eastAsia" w:ascii="宋体" w:hAnsi="宋体" w:eastAsia="宋体" w:cs="宋体"/>
          <w:b w:val="0"/>
          <w:bCs w:val="0"/>
          <w:color w:val="auto"/>
          <w:sz w:val="21"/>
          <w:szCs w:val="21"/>
          <w:highlight w:val="none"/>
          <w:lang w:val="en-US" w:eastAsia="zh-CN"/>
        </w:rPr>
        <w:t>服装要求根据招标人需求执行，进场前提供相关服务模版由招标人进行选择。</w:t>
      </w:r>
    </w:p>
    <w:p w14:paraId="48C5DD40">
      <w:pPr>
        <w:keepNext w:val="0"/>
        <w:keepLines w:val="0"/>
        <w:pageBreakBefore w:val="0"/>
        <w:widowControl w:val="0"/>
        <w:numPr>
          <w:ilvl w:val="0"/>
          <w:numId w:val="19"/>
        </w:numPr>
        <w:kinsoku/>
        <w:wordWrap/>
        <w:overflowPunct/>
        <w:topLinePunct w:val="0"/>
        <w:autoSpaceDE/>
        <w:autoSpaceDN/>
        <w:bidi w:val="0"/>
        <w:adjustRightInd w:val="0"/>
        <w:snapToGrid w:val="0"/>
        <w:spacing w:before="0" w:beforeLines="0" w:line="360" w:lineRule="auto"/>
        <w:ind w:left="0" w:leftChars="0" w:firstLine="420" w:firstLineChars="20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相关违约要求</w:t>
      </w:r>
    </w:p>
    <w:p w14:paraId="63592EE9">
      <w:pPr>
        <w:pStyle w:val="18"/>
        <w:keepNext w:val="0"/>
        <w:keepLines w:val="0"/>
        <w:pageBreakBefore w:val="0"/>
        <w:widowControl w:val="0"/>
        <w:numPr>
          <w:ilvl w:val="0"/>
          <w:numId w:val="21"/>
        </w:numPr>
        <w:kinsoku/>
        <w:wordWrap/>
        <w:overflowPunct/>
        <w:topLinePunct w:val="0"/>
        <w:autoSpaceDE/>
        <w:autoSpaceDN/>
        <w:bidi w:val="0"/>
        <w:adjustRightInd/>
        <w:snapToGrid/>
        <w:spacing w:beforeLines="0" w:line="360" w:lineRule="auto"/>
        <w:ind w:left="0" w:leftChars="0" w:right="0"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中标人在服务过程中不可无故变更项目负责人，如确实需要变更，应提前1个月向招标人提出，经招标人同意后方可执行，与此同时，中标人应支付招标人15万元违约金</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如中标人一年内连续两次更换项目负责人，招标人有权终止合同。</w:t>
      </w:r>
    </w:p>
    <w:p w14:paraId="380B16BA">
      <w:pPr>
        <w:pStyle w:val="18"/>
        <w:numPr>
          <w:ilvl w:val="0"/>
          <w:numId w:val="21"/>
        </w:numPr>
        <w:adjustRightInd/>
        <w:snapToGrid/>
        <w:spacing w:beforeLines="0" w:after="0" w:line="360" w:lineRule="auto"/>
        <w:ind w:left="0" w:right="0" w:firstLine="420" w:firstLineChars="200"/>
        <w:jc w:val="left"/>
        <w:rPr>
          <w:rFonts w:hint="eastAsia" w:ascii="宋体" w:hAnsi="宋体" w:eastAsia="宋体" w:cs="宋体"/>
          <w:b w:val="0"/>
          <w:bCs w:val="0"/>
          <w:color w:val="auto"/>
          <w:kern w:val="2"/>
          <w:sz w:val="21"/>
          <w:szCs w:val="21"/>
          <w:highlight w:val="none"/>
          <w:lang w:eastAsia="zh-CN" w:bidi="ar-SA"/>
        </w:rPr>
      </w:pPr>
      <w:r>
        <w:rPr>
          <w:rFonts w:hint="eastAsia" w:ascii="宋体" w:hAnsi="宋体" w:eastAsia="宋体" w:cs="宋体"/>
          <w:b w:val="0"/>
          <w:bCs w:val="0"/>
          <w:color w:val="auto"/>
          <w:kern w:val="2"/>
          <w:sz w:val="21"/>
          <w:szCs w:val="21"/>
          <w:highlight w:val="none"/>
          <w:lang w:eastAsia="zh-CN" w:bidi="ar-SA"/>
        </w:rPr>
        <w:t>中标人应严格执行自己投标报价中的项目预算中的人工成本，如实际费用、实际成本支出严重超出投标预算，招标人有权拒绝相关费用的支付并要求中标人整改，如整改无效或拒绝整改，招标人有权立刻终止合同，且不视为招标人违约。因国家政策或临时突发事项导致的情况除外。</w:t>
      </w:r>
    </w:p>
    <w:p w14:paraId="309189A8">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kern w:val="2"/>
          <w:sz w:val="21"/>
          <w:szCs w:val="21"/>
          <w:highlight w:val="none"/>
          <w:u w:val="none"/>
          <w:lang w:val="en-US" w:eastAsia="zh-CN" w:bidi="ar-SA"/>
        </w:rPr>
        <w:t>注：</w:t>
      </w:r>
      <w:r>
        <w:rPr>
          <w:rFonts w:hint="eastAsia" w:ascii="宋体" w:hAnsi="宋体" w:eastAsia="宋体" w:cs="宋体"/>
          <w:b/>
          <w:bCs/>
          <w:color w:val="auto"/>
          <w:kern w:val="2"/>
          <w:sz w:val="21"/>
          <w:szCs w:val="21"/>
          <w:highlight w:val="none"/>
          <w:u w:val="single"/>
          <w:lang w:val="en-US" w:eastAsia="zh-CN" w:bidi="ar-SA"/>
        </w:rPr>
        <w:t>服务期内，招标人有权根据项目实施情况及招标人物业管理团队组建情况，将本项目物业管理运营岗位（工程负责人、安保负责人、环境负责人、客服负责人）调整为由招标人自行配置人员，调整配置岗位和实际配置人员以招标人书面通知为准，中标人须无条件配合进行人员交接工作，招标人实际配置人员后不再向中标人支付对应调整配置岗位的人工费用，中标人不得向招标人追讨任何其他费用、补偿或赔偿或主张任何权利和责任。招标人自配岗位人员后，该岗位对应的直接管理责任及履职后果由招标人负责；中标人不再对该岗位人员的行为及履职结果承担责任，但仍应就整体物业运营提供必要协调与技术支持。中标人参与本项目投标、递交投标报价，即视为清楚了解和接受本招标项目的风险，中标人同意并承诺不因前述风险事项的发生而向招标人追究违约责任或主张损失赔偿。</w:t>
      </w:r>
    </w:p>
    <w:bookmarkEnd w:id="685"/>
    <w:p w14:paraId="1B31120D">
      <w:pPr>
        <w:pStyle w:val="2"/>
        <w:adjustRightInd w:val="0"/>
        <w:snapToGrid w:val="0"/>
        <w:spacing w:line="360" w:lineRule="auto"/>
        <w:jc w:val="left"/>
        <w:rPr>
          <w:rFonts w:hint="eastAsia" w:ascii="宋体" w:hAnsi="宋体" w:eastAsia="宋体" w:cs="宋体"/>
          <w:b/>
          <w:bCs/>
          <w:color w:val="auto"/>
          <w:sz w:val="21"/>
          <w:szCs w:val="21"/>
          <w:highlight w:val="none"/>
          <w:lang w:val="en-US" w:eastAsia="zh-CN"/>
        </w:rPr>
      </w:pPr>
      <w:bookmarkStart w:id="691" w:name="_Toc2967"/>
      <w:bookmarkStart w:id="692" w:name="_Toc27030"/>
      <w:bookmarkStart w:id="693" w:name="_Toc30726"/>
      <w:bookmarkStart w:id="694" w:name="_Toc7540"/>
      <w:bookmarkStart w:id="695" w:name="_Toc32586"/>
      <w:r>
        <w:rPr>
          <w:rFonts w:hint="eastAsia" w:ascii="宋体" w:hAnsi="宋体" w:eastAsia="宋体" w:cs="宋体"/>
          <w:b/>
          <w:bCs/>
          <w:color w:val="auto"/>
          <w:sz w:val="21"/>
          <w:szCs w:val="21"/>
          <w:highlight w:val="none"/>
          <w:lang w:val="en-US" w:eastAsia="zh-CN"/>
        </w:rPr>
        <w:t>五、考核评价</w:t>
      </w:r>
      <w:bookmarkEnd w:id="691"/>
      <w:bookmarkEnd w:id="692"/>
      <w:bookmarkEnd w:id="693"/>
      <w:bookmarkEnd w:id="694"/>
      <w:bookmarkEnd w:id="695"/>
    </w:p>
    <w:p w14:paraId="25BB9F50">
      <w:pPr>
        <w:adjustRightInd w:val="0"/>
        <w:snapToGrid w:val="0"/>
        <w:spacing w:line="360" w:lineRule="auto"/>
        <w:ind w:firstLine="42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依据招标人提供的服务质量履约考核标准对中标人进行综合考评，体现以结果为导向，以满意度为牵引，有效驱动中标人管理质量的不断提升，考核的结果书面知会中标人（合同履行期间，招标人发布新的考核标准的，按新的考核标准执行）。</w:t>
      </w:r>
      <w:r>
        <w:rPr>
          <w:rFonts w:hint="eastAsia" w:ascii="宋体" w:hAnsi="宋体" w:eastAsia="宋体" w:cs="宋体"/>
          <w:b w:val="0"/>
          <w:bCs w:val="0"/>
          <w:color w:val="auto"/>
          <w:sz w:val="21"/>
          <w:szCs w:val="21"/>
          <w:highlight w:val="none"/>
          <w:lang w:val="en-US" w:eastAsia="zh-CN"/>
        </w:rPr>
        <w:t>具体考核如下：</w:t>
      </w:r>
    </w:p>
    <w:p w14:paraId="21ADA1B2">
      <w:pPr>
        <w:pStyle w:val="4"/>
        <w:bidi w:val="0"/>
        <w:spacing w:line="360" w:lineRule="auto"/>
        <w:ind w:firstLine="420" w:firstLineChars="200"/>
        <w:jc w:val="left"/>
        <w:rPr>
          <w:rFonts w:hint="eastAsia" w:ascii="宋体" w:hAnsi="宋体" w:eastAsia="宋体" w:cs="宋体"/>
          <w:b w:val="0"/>
          <w:bCs w:val="0"/>
          <w:color w:val="auto"/>
          <w:sz w:val="21"/>
          <w:szCs w:val="21"/>
          <w:highlight w:val="none"/>
          <w:lang w:val="en-US" w:eastAsia="zh-CN"/>
        </w:rPr>
      </w:pPr>
      <w:bookmarkStart w:id="696" w:name="_Toc304"/>
      <w:bookmarkStart w:id="697" w:name="_Toc995"/>
      <w:bookmarkStart w:id="698" w:name="_Toc8436"/>
      <w:bookmarkStart w:id="699" w:name="_Toc19383"/>
      <w:bookmarkStart w:id="700" w:name="_Toc24839"/>
      <w:r>
        <w:rPr>
          <w:rFonts w:hint="eastAsia" w:ascii="宋体" w:hAnsi="宋体" w:eastAsia="宋体" w:cs="宋体"/>
          <w:b w:val="0"/>
          <w:bCs w:val="0"/>
          <w:color w:val="auto"/>
          <w:sz w:val="21"/>
          <w:szCs w:val="21"/>
          <w:highlight w:val="none"/>
          <w:lang w:val="en-US" w:eastAsia="zh-CN"/>
        </w:rPr>
        <w:t>5.1</w:t>
      </w:r>
      <w:r>
        <w:rPr>
          <w:rFonts w:hint="eastAsia"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val="en-US" w:eastAsia="zh-CN"/>
        </w:rPr>
        <w:t>物业管理带教服务考核</w:t>
      </w:r>
      <w:bookmarkEnd w:id="696"/>
      <w:bookmarkEnd w:id="697"/>
      <w:bookmarkEnd w:id="698"/>
      <w:bookmarkEnd w:id="699"/>
      <w:bookmarkEnd w:id="700"/>
    </w:p>
    <w:p w14:paraId="056FB199">
      <w:pPr>
        <w:spacing w:line="360" w:lineRule="auto"/>
        <w:ind w:firstLine="420"/>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为确保对</w:t>
      </w:r>
      <w:r>
        <w:rPr>
          <w:rFonts w:hint="eastAsia" w:ascii="宋体" w:hAnsi="宋体" w:eastAsia="宋体" w:cs="宋体"/>
          <w:b w:val="0"/>
          <w:bCs w:val="0"/>
          <w:color w:val="auto"/>
          <w:sz w:val="21"/>
          <w:szCs w:val="21"/>
          <w:highlight w:val="none"/>
          <w:lang w:val="en-US" w:eastAsia="zh-CN"/>
        </w:rPr>
        <w:t>物业管理</w:t>
      </w:r>
      <w:r>
        <w:rPr>
          <w:rFonts w:hint="eastAsia" w:ascii="宋体" w:hAnsi="宋体" w:eastAsia="宋体" w:cs="宋体"/>
          <w:b w:val="0"/>
          <w:bCs w:val="0"/>
          <w:color w:val="auto"/>
          <w:sz w:val="21"/>
          <w:szCs w:val="21"/>
          <w:highlight w:val="none"/>
          <w:lang w:eastAsia="zh-CN"/>
        </w:rPr>
        <w:t>带教服务的</w:t>
      </w:r>
      <w:r>
        <w:rPr>
          <w:rFonts w:hint="eastAsia" w:ascii="宋体" w:hAnsi="宋体" w:eastAsia="宋体" w:cs="宋体"/>
          <w:b w:val="0"/>
          <w:bCs w:val="0"/>
          <w:color w:val="auto"/>
          <w:sz w:val="21"/>
          <w:szCs w:val="21"/>
          <w:highlight w:val="none"/>
          <w:lang w:val="en-US" w:eastAsia="zh-CN"/>
        </w:rPr>
        <w:t>带教过程</w:t>
      </w:r>
      <w:r>
        <w:rPr>
          <w:rFonts w:hint="eastAsia" w:ascii="宋体" w:hAnsi="宋体" w:eastAsia="宋体" w:cs="宋体"/>
          <w:b w:val="0"/>
          <w:bCs w:val="0"/>
          <w:color w:val="auto"/>
          <w:sz w:val="21"/>
          <w:szCs w:val="21"/>
          <w:highlight w:val="none"/>
          <w:lang w:eastAsia="zh-CN"/>
        </w:rPr>
        <w:t>与最终成果验收，过程考核</w:t>
      </w:r>
      <w:bookmarkStart w:id="701" w:name="OLE_LINK17"/>
      <w:r>
        <w:rPr>
          <w:rFonts w:hint="eastAsia" w:ascii="宋体" w:hAnsi="宋体" w:eastAsia="宋体" w:cs="宋体"/>
          <w:b w:val="0"/>
          <w:bCs w:val="0"/>
          <w:color w:val="auto"/>
          <w:sz w:val="21"/>
          <w:szCs w:val="21"/>
          <w:highlight w:val="none"/>
          <w:lang w:eastAsia="zh-CN"/>
        </w:rPr>
        <w:t>侧重于带教服务的执行过程、阶段性成果与学员成长</w:t>
      </w:r>
      <w:bookmarkEnd w:id="701"/>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最终</w:t>
      </w:r>
      <w:r>
        <w:rPr>
          <w:rFonts w:hint="eastAsia" w:ascii="宋体" w:hAnsi="宋体" w:eastAsia="宋体" w:cs="宋体"/>
          <w:b w:val="0"/>
          <w:bCs w:val="0"/>
          <w:color w:val="auto"/>
          <w:sz w:val="21"/>
          <w:szCs w:val="21"/>
          <w:highlight w:val="none"/>
          <w:lang w:eastAsia="zh-CN"/>
        </w:rPr>
        <w:t>考核侧重于带教服务的最终成果与整体目标达成率。</w:t>
      </w:r>
    </w:p>
    <w:p w14:paraId="7284C842">
      <w:pPr>
        <w:adjustRightInd w:val="0"/>
        <w:snapToGrid w:val="0"/>
        <w:spacing w:line="360" w:lineRule="auto"/>
        <w:ind w:firstLine="420"/>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5.1.1</w:t>
      </w:r>
      <w:r>
        <w:rPr>
          <w:rFonts w:hint="eastAsia" w:ascii="宋体" w:hAnsi="宋体" w:eastAsia="宋体" w:cs="宋体"/>
          <w:b w:val="0"/>
          <w:bCs w:val="0"/>
          <w:color w:val="auto"/>
          <w:sz w:val="21"/>
          <w:szCs w:val="21"/>
          <w:highlight w:val="none"/>
          <w:lang w:eastAsia="zh-CN"/>
        </w:rPr>
        <w:t>过程考核</w:t>
      </w:r>
    </w:p>
    <w:p w14:paraId="4A24DA0A">
      <w:pPr>
        <w:pStyle w:val="18"/>
        <w:spacing w:line="360" w:lineRule="auto"/>
        <w:ind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招标人依据双方确认的考核办法，</w:t>
      </w:r>
      <w:bookmarkStart w:id="702" w:name="OLE_LINK16"/>
      <w:r>
        <w:rPr>
          <w:rFonts w:hint="eastAsia" w:ascii="宋体" w:hAnsi="宋体" w:eastAsia="宋体" w:cs="宋体"/>
          <w:b w:val="0"/>
          <w:bCs w:val="0"/>
          <w:color w:val="auto"/>
          <w:sz w:val="21"/>
          <w:szCs w:val="21"/>
          <w:highlight w:val="none"/>
          <w:lang w:val="en-US" w:eastAsia="zh-CN"/>
        </w:rPr>
        <w:t>对带教服务的实施过程进行阶段性监督与考核；过程考核分3次考核，每5个月考核1次</w:t>
      </w:r>
      <w:bookmarkEnd w:id="702"/>
      <w:r>
        <w:rPr>
          <w:rFonts w:hint="eastAsia" w:ascii="宋体" w:hAnsi="宋体" w:eastAsia="宋体" w:cs="宋体"/>
          <w:b w:val="0"/>
          <w:bCs w:val="0"/>
          <w:color w:val="auto"/>
          <w:sz w:val="21"/>
          <w:szCs w:val="21"/>
          <w:highlight w:val="none"/>
          <w:lang w:val="en-US" w:eastAsia="zh-CN"/>
        </w:rPr>
        <w:t>（具体考核时间根据招标人的实际情况进行灵活调整）。</w:t>
      </w:r>
    </w:p>
    <w:p w14:paraId="5686D7B4">
      <w:pPr>
        <w:pStyle w:val="18"/>
        <w:spacing w:line="360" w:lineRule="auto"/>
        <w:ind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按照投标人提报培养计划，进行过程考核</w:t>
      </w:r>
      <w:r>
        <w:rPr>
          <w:rFonts w:hint="eastAsia" w:ascii="宋体" w:hAnsi="宋体" w:eastAsia="宋体" w:cs="宋体"/>
          <w:b w:val="0"/>
          <w:bCs w:val="0"/>
          <w:color w:val="auto"/>
          <w:sz w:val="21"/>
          <w:szCs w:val="21"/>
          <w:highlight w:val="none"/>
          <w:lang w:eastAsia="zh-CN"/>
        </w:rPr>
        <w:t>，满分100分，</w:t>
      </w:r>
      <w:r>
        <w:rPr>
          <w:rFonts w:hint="eastAsia" w:ascii="宋体" w:hAnsi="宋体" w:eastAsia="宋体" w:cs="宋体"/>
          <w:b w:val="0"/>
          <w:bCs w:val="0"/>
          <w:color w:val="auto"/>
          <w:sz w:val="21"/>
          <w:szCs w:val="21"/>
          <w:highlight w:val="none"/>
          <w:lang w:val="en-US" w:eastAsia="zh-CN"/>
        </w:rPr>
        <w:t>重点</w:t>
      </w:r>
      <w:r>
        <w:rPr>
          <w:rFonts w:hint="eastAsia" w:ascii="宋体" w:hAnsi="宋体" w:eastAsia="宋体" w:cs="宋体"/>
          <w:b w:val="0"/>
          <w:bCs w:val="0"/>
          <w:color w:val="auto"/>
          <w:sz w:val="21"/>
          <w:szCs w:val="21"/>
          <w:highlight w:val="none"/>
          <w:lang w:eastAsia="zh-CN"/>
        </w:rPr>
        <w:t>考核带教服务的实施过程与阶段性成效。过程考核评分细则（100分）</w:t>
      </w:r>
      <w:r>
        <w:rPr>
          <w:rFonts w:hint="eastAsia" w:ascii="宋体" w:hAnsi="宋体" w:eastAsia="宋体" w:cs="宋体"/>
          <w:b w:val="0"/>
          <w:bCs w:val="0"/>
          <w:color w:val="auto"/>
          <w:sz w:val="21"/>
          <w:szCs w:val="21"/>
          <w:highlight w:val="none"/>
          <w:lang w:val="en-US" w:eastAsia="zh-CN"/>
        </w:rPr>
        <w:t>如下：</w:t>
      </w:r>
    </w:p>
    <w:tbl>
      <w:tblPr>
        <w:tblStyle w:val="41"/>
        <w:tblW w:w="458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78"/>
        <w:gridCol w:w="2431"/>
        <w:gridCol w:w="874"/>
        <w:gridCol w:w="4135"/>
      </w:tblGrid>
      <w:tr w14:paraId="39F1A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jc w:val="center"/>
        </w:trPr>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4FE05">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考核大类</w:t>
            </w: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CD444">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考核细项</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45CC1">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分值</w:t>
            </w:r>
          </w:p>
        </w:tc>
        <w:tc>
          <w:tcPr>
            <w:tcW w:w="2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046EB">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扣分标准</w:t>
            </w:r>
          </w:p>
        </w:tc>
      </w:tr>
      <w:tr w14:paraId="78C82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4" w:hRule="atLeast"/>
          <w:jc w:val="center"/>
        </w:trPr>
        <w:tc>
          <w:tcPr>
            <w:tcW w:w="10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DE5E24">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一、带教方案与计划</w:t>
            </w:r>
            <w:r>
              <w:rPr>
                <w:rStyle w:val="120"/>
                <w:rFonts w:hint="eastAsia" w:ascii="宋体" w:hAnsi="宋体" w:eastAsia="宋体" w:cs="宋体"/>
                <w:b w:val="0"/>
                <w:bCs w:val="0"/>
                <w:color w:val="auto"/>
                <w:sz w:val="21"/>
                <w:szCs w:val="21"/>
                <w:lang w:val="en-US" w:eastAsia="zh-CN" w:bidi="ar"/>
              </w:rPr>
              <w:t xml:space="preserve"> (15</w:t>
            </w:r>
            <w:r>
              <w:rPr>
                <w:rStyle w:val="111"/>
                <w:rFonts w:hint="eastAsia" w:ascii="宋体" w:hAnsi="宋体" w:eastAsia="宋体" w:cs="宋体"/>
                <w:b w:val="0"/>
                <w:bCs w:val="0"/>
                <w:color w:val="auto"/>
                <w:sz w:val="21"/>
                <w:szCs w:val="21"/>
                <w:lang w:val="en-US" w:eastAsia="zh-CN" w:bidi="ar"/>
              </w:rPr>
              <w:t>分</w:t>
            </w:r>
            <w:r>
              <w:rPr>
                <w:rStyle w:val="120"/>
                <w:rFonts w:hint="eastAsia" w:ascii="宋体" w:hAnsi="宋体" w:eastAsia="宋体" w:cs="宋体"/>
                <w:b w:val="0"/>
                <w:bCs w:val="0"/>
                <w:color w:val="auto"/>
                <w:sz w:val="21"/>
                <w:szCs w:val="21"/>
                <w:lang w:val="en-US" w:eastAsia="zh-CN" w:bidi="ar"/>
              </w:rPr>
              <w:t>)</w:t>
            </w: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D2363">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方案的系统性与针对性</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4FCBB">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8</w:t>
            </w:r>
            <w:r>
              <w:rPr>
                <w:rStyle w:val="111"/>
                <w:rFonts w:hint="eastAsia" w:ascii="宋体" w:hAnsi="宋体" w:eastAsia="宋体" w:cs="宋体"/>
                <w:b w:val="0"/>
                <w:bCs w:val="0"/>
                <w:color w:val="auto"/>
                <w:sz w:val="21"/>
                <w:szCs w:val="21"/>
                <w:lang w:val="en-US" w:eastAsia="zh-CN" w:bidi="ar"/>
              </w:rPr>
              <w:t>分</w:t>
            </w:r>
          </w:p>
        </w:tc>
        <w:tc>
          <w:tcPr>
            <w:tcW w:w="2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3AC9D">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方案缺失核心知识模块，每缺一项扣</w:t>
            </w:r>
            <w:r>
              <w:rPr>
                <w:rStyle w:val="120"/>
                <w:rFonts w:hint="eastAsia" w:ascii="宋体" w:hAnsi="宋体" w:eastAsia="宋体" w:cs="宋体"/>
                <w:b w:val="0"/>
                <w:bCs w:val="0"/>
                <w:color w:val="auto"/>
                <w:sz w:val="21"/>
                <w:szCs w:val="21"/>
                <w:lang w:val="en-US" w:eastAsia="zh-CN" w:bidi="ar"/>
              </w:rPr>
              <w:t>2</w:t>
            </w:r>
            <w:r>
              <w:rPr>
                <w:rStyle w:val="111"/>
                <w:rFonts w:hint="eastAsia" w:ascii="宋体" w:hAnsi="宋体" w:eastAsia="宋体" w:cs="宋体"/>
                <w:b w:val="0"/>
                <w:bCs w:val="0"/>
                <w:color w:val="auto"/>
                <w:sz w:val="21"/>
                <w:szCs w:val="21"/>
                <w:lang w:val="en-US" w:eastAsia="zh-CN" w:bidi="ar"/>
              </w:rPr>
              <w:t>分；未体现不同岗位培养路径的差异性，扣</w:t>
            </w:r>
            <w:r>
              <w:rPr>
                <w:rStyle w:val="120"/>
                <w:rFonts w:hint="eastAsia" w:ascii="宋体" w:hAnsi="宋体" w:eastAsia="宋体" w:cs="宋体"/>
                <w:b w:val="0"/>
                <w:bCs w:val="0"/>
                <w:color w:val="auto"/>
                <w:sz w:val="21"/>
                <w:szCs w:val="21"/>
                <w:lang w:val="en-US" w:eastAsia="zh-CN" w:bidi="ar"/>
              </w:rPr>
              <w:t>3</w:t>
            </w:r>
            <w:r>
              <w:rPr>
                <w:rStyle w:val="111"/>
                <w:rFonts w:hint="eastAsia" w:ascii="宋体" w:hAnsi="宋体" w:eastAsia="宋体" w:cs="宋体"/>
                <w:b w:val="0"/>
                <w:bCs w:val="0"/>
                <w:color w:val="auto"/>
                <w:sz w:val="21"/>
                <w:szCs w:val="21"/>
                <w:lang w:val="en-US" w:eastAsia="zh-CN" w:bidi="ar"/>
              </w:rPr>
              <w:t>分。</w:t>
            </w:r>
          </w:p>
        </w:tc>
      </w:tr>
      <w:tr w14:paraId="3C1D6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3" w:hRule="atLeast"/>
          <w:jc w:val="center"/>
        </w:trPr>
        <w:tc>
          <w:tcPr>
            <w:tcW w:w="10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2FB67">
            <w:pPr>
              <w:spacing w:line="240" w:lineRule="auto"/>
              <w:jc w:val="center"/>
              <w:rPr>
                <w:rFonts w:hint="eastAsia" w:ascii="宋体" w:hAnsi="宋体" w:eastAsia="宋体" w:cs="宋体"/>
                <w:b w:val="0"/>
                <w:bCs w:val="0"/>
                <w:i w:val="0"/>
                <w:iCs w:val="0"/>
                <w:color w:val="auto"/>
                <w:sz w:val="21"/>
                <w:szCs w:val="21"/>
                <w:u w:val="none"/>
              </w:rPr>
            </w:pP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4E5D6">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导师团队配置与稳定性</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8C525">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7</w:t>
            </w:r>
            <w:r>
              <w:rPr>
                <w:rStyle w:val="111"/>
                <w:rFonts w:hint="eastAsia" w:ascii="宋体" w:hAnsi="宋体" w:eastAsia="宋体" w:cs="宋体"/>
                <w:b w:val="0"/>
                <w:bCs w:val="0"/>
                <w:color w:val="auto"/>
                <w:sz w:val="21"/>
                <w:szCs w:val="21"/>
                <w:lang w:val="en-US" w:eastAsia="zh-CN" w:bidi="ar"/>
              </w:rPr>
              <w:t>分</w:t>
            </w:r>
          </w:p>
        </w:tc>
        <w:tc>
          <w:tcPr>
            <w:tcW w:w="2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D6322">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核心导师资质不达标，每人扣</w:t>
            </w:r>
            <w:r>
              <w:rPr>
                <w:rStyle w:val="120"/>
                <w:rFonts w:hint="eastAsia" w:ascii="宋体" w:hAnsi="宋体" w:eastAsia="宋体" w:cs="宋体"/>
                <w:b w:val="0"/>
                <w:bCs w:val="0"/>
                <w:color w:val="auto"/>
                <w:sz w:val="21"/>
                <w:szCs w:val="21"/>
                <w:lang w:val="en-US" w:eastAsia="zh-CN" w:bidi="ar"/>
              </w:rPr>
              <w:t>2</w:t>
            </w:r>
            <w:r>
              <w:rPr>
                <w:rStyle w:val="111"/>
                <w:rFonts w:hint="eastAsia" w:ascii="宋体" w:hAnsi="宋体" w:eastAsia="宋体" w:cs="宋体"/>
                <w:b w:val="0"/>
                <w:bCs w:val="0"/>
                <w:color w:val="auto"/>
                <w:sz w:val="21"/>
                <w:szCs w:val="21"/>
                <w:lang w:val="en-US" w:eastAsia="zh-CN" w:bidi="ar"/>
              </w:rPr>
              <w:t>分；未经招标人同意擅自更换项目经理等核心导师，扣</w:t>
            </w:r>
            <w:r>
              <w:rPr>
                <w:rStyle w:val="120"/>
                <w:rFonts w:hint="eastAsia" w:ascii="宋体" w:hAnsi="宋体" w:eastAsia="宋体" w:cs="宋体"/>
                <w:b w:val="0"/>
                <w:bCs w:val="0"/>
                <w:color w:val="auto"/>
                <w:sz w:val="21"/>
                <w:szCs w:val="21"/>
                <w:lang w:val="en-US" w:eastAsia="zh-CN" w:bidi="ar"/>
              </w:rPr>
              <w:t>3</w:t>
            </w:r>
            <w:r>
              <w:rPr>
                <w:rStyle w:val="111"/>
                <w:rFonts w:hint="eastAsia" w:ascii="宋体" w:hAnsi="宋体" w:eastAsia="宋体" w:cs="宋体"/>
                <w:b w:val="0"/>
                <w:bCs w:val="0"/>
                <w:color w:val="auto"/>
                <w:sz w:val="21"/>
                <w:szCs w:val="21"/>
                <w:lang w:val="en-US" w:eastAsia="zh-CN" w:bidi="ar"/>
              </w:rPr>
              <w:t>分。</w:t>
            </w:r>
          </w:p>
        </w:tc>
      </w:tr>
      <w:tr w14:paraId="3A408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10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37117B">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二、带教过程实施</w:t>
            </w:r>
            <w:r>
              <w:rPr>
                <w:rStyle w:val="120"/>
                <w:rFonts w:hint="eastAsia" w:ascii="宋体" w:hAnsi="宋体" w:eastAsia="宋体" w:cs="宋体"/>
                <w:b w:val="0"/>
                <w:bCs w:val="0"/>
                <w:color w:val="auto"/>
                <w:sz w:val="21"/>
                <w:szCs w:val="21"/>
                <w:lang w:val="en-US" w:eastAsia="zh-CN" w:bidi="ar"/>
              </w:rPr>
              <w:t xml:space="preserve"> (40</w:t>
            </w:r>
            <w:r>
              <w:rPr>
                <w:rStyle w:val="111"/>
                <w:rFonts w:hint="eastAsia" w:ascii="宋体" w:hAnsi="宋体" w:eastAsia="宋体" w:cs="宋体"/>
                <w:b w:val="0"/>
                <w:bCs w:val="0"/>
                <w:color w:val="auto"/>
                <w:sz w:val="21"/>
                <w:szCs w:val="21"/>
                <w:lang w:val="en-US" w:eastAsia="zh-CN" w:bidi="ar"/>
              </w:rPr>
              <w:t>分</w:t>
            </w:r>
            <w:r>
              <w:rPr>
                <w:rStyle w:val="120"/>
                <w:rFonts w:hint="eastAsia" w:ascii="宋体" w:hAnsi="宋体" w:eastAsia="宋体" w:cs="宋体"/>
                <w:b w:val="0"/>
                <w:bCs w:val="0"/>
                <w:color w:val="auto"/>
                <w:sz w:val="21"/>
                <w:szCs w:val="21"/>
                <w:lang w:val="en-US" w:eastAsia="zh-CN" w:bidi="ar"/>
              </w:rPr>
              <w:t>)</w:t>
            </w: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AD309">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培训计划执行率</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D83EC">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15</w:t>
            </w:r>
            <w:r>
              <w:rPr>
                <w:rStyle w:val="111"/>
                <w:rFonts w:hint="eastAsia" w:ascii="宋体" w:hAnsi="宋体" w:eastAsia="宋体" w:cs="宋体"/>
                <w:b w:val="0"/>
                <w:bCs w:val="0"/>
                <w:color w:val="auto"/>
                <w:sz w:val="21"/>
                <w:szCs w:val="21"/>
                <w:lang w:val="en-US" w:eastAsia="zh-CN" w:bidi="ar"/>
              </w:rPr>
              <w:t>分</w:t>
            </w:r>
          </w:p>
        </w:tc>
        <w:tc>
          <w:tcPr>
            <w:tcW w:w="2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DA808">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每有一项计划内培训未执行或严重缩水，扣</w:t>
            </w:r>
            <w:r>
              <w:rPr>
                <w:rStyle w:val="120"/>
                <w:rFonts w:hint="eastAsia" w:ascii="宋体" w:hAnsi="宋体" w:eastAsia="宋体" w:cs="宋体"/>
                <w:b w:val="0"/>
                <w:bCs w:val="0"/>
                <w:color w:val="auto"/>
                <w:sz w:val="21"/>
                <w:szCs w:val="21"/>
                <w:lang w:val="en-US" w:eastAsia="zh-CN" w:bidi="ar"/>
              </w:rPr>
              <w:t>1</w:t>
            </w:r>
            <w:r>
              <w:rPr>
                <w:rStyle w:val="111"/>
                <w:rFonts w:hint="eastAsia" w:ascii="宋体" w:hAnsi="宋体" w:eastAsia="宋体" w:cs="宋体"/>
                <w:b w:val="0"/>
                <w:bCs w:val="0"/>
                <w:color w:val="auto"/>
                <w:sz w:val="21"/>
                <w:szCs w:val="21"/>
                <w:lang w:val="en-US" w:eastAsia="zh-CN" w:bidi="ar"/>
              </w:rPr>
              <w:t>分。</w:t>
            </w:r>
          </w:p>
        </w:tc>
      </w:tr>
      <w:tr w14:paraId="7EE9B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7" w:hRule="atLeast"/>
          <w:jc w:val="center"/>
        </w:trPr>
        <w:tc>
          <w:tcPr>
            <w:tcW w:w="10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3EFB5">
            <w:pPr>
              <w:spacing w:line="240" w:lineRule="auto"/>
              <w:jc w:val="center"/>
              <w:rPr>
                <w:rFonts w:hint="eastAsia" w:ascii="宋体" w:hAnsi="宋体" w:eastAsia="宋体" w:cs="宋体"/>
                <w:b w:val="0"/>
                <w:bCs w:val="0"/>
                <w:i w:val="0"/>
                <w:iCs w:val="0"/>
                <w:color w:val="auto"/>
                <w:sz w:val="21"/>
                <w:szCs w:val="21"/>
                <w:u w:val="none"/>
              </w:rPr>
            </w:pP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61525">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过程记录与沟通</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EC7E5">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15</w:t>
            </w:r>
            <w:r>
              <w:rPr>
                <w:rStyle w:val="111"/>
                <w:rFonts w:hint="eastAsia" w:ascii="宋体" w:hAnsi="宋体" w:eastAsia="宋体" w:cs="宋体"/>
                <w:b w:val="0"/>
                <w:bCs w:val="0"/>
                <w:color w:val="auto"/>
                <w:sz w:val="21"/>
                <w:szCs w:val="21"/>
                <w:lang w:val="en-US" w:eastAsia="zh-CN" w:bidi="ar"/>
              </w:rPr>
              <w:t>分</w:t>
            </w:r>
          </w:p>
        </w:tc>
        <w:tc>
          <w:tcPr>
            <w:tcW w:w="2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37F0A">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未建立或更新《个人学习档案》，扣</w:t>
            </w:r>
            <w:r>
              <w:rPr>
                <w:rStyle w:val="120"/>
                <w:rFonts w:hint="eastAsia" w:ascii="宋体" w:hAnsi="宋体" w:eastAsia="宋体" w:cs="宋体"/>
                <w:b w:val="0"/>
                <w:bCs w:val="0"/>
                <w:color w:val="auto"/>
                <w:sz w:val="21"/>
                <w:szCs w:val="21"/>
                <w:lang w:val="en-US" w:eastAsia="zh-CN" w:bidi="ar"/>
              </w:rPr>
              <w:t>5</w:t>
            </w:r>
            <w:r>
              <w:rPr>
                <w:rStyle w:val="111"/>
                <w:rFonts w:hint="eastAsia" w:ascii="宋体" w:hAnsi="宋体" w:eastAsia="宋体" w:cs="宋体"/>
                <w:b w:val="0"/>
                <w:bCs w:val="0"/>
                <w:color w:val="auto"/>
                <w:sz w:val="21"/>
                <w:szCs w:val="21"/>
                <w:lang w:val="en-US" w:eastAsia="zh-CN" w:bidi="ar"/>
              </w:rPr>
              <w:t>分；未定期提交《跟岗进展报告》，每次扣</w:t>
            </w:r>
            <w:r>
              <w:rPr>
                <w:rStyle w:val="120"/>
                <w:rFonts w:hint="eastAsia" w:ascii="宋体" w:hAnsi="宋体" w:eastAsia="宋体" w:cs="宋体"/>
                <w:b w:val="0"/>
                <w:bCs w:val="0"/>
                <w:color w:val="auto"/>
                <w:sz w:val="21"/>
                <w:szCs w:val="21"/>
                <w:lang w:val="en-US" w:eastAsia="zh-CN" w:bidi="ar"/>
              </w:rPr>
              <w:t>2</w:t>
            </w:r>
            <w:r>
              <w:rPr>
                <w:rStyle w:val="111"/>
                <w:rFonts w:hint="eastAsia" w:ascii="宋体" w:hAnsi="宋体" w:eastAsia="宋体" w:cs="宋体"/>
                <w:b w:val="0"/>
                <w:bCs w:val="0"/>
                <w:color w:val="auto"/>
                <w:sz w:val="21"/>
                <w:szCs w:val="21"/>
                <w:lang w:val="en-US" w:eastAsia="zh-CN" w:bidi="ar"/>
              </w:rPr>
              <w:t>分；未组织季度述职，扣</w:t>
            </w:r>
            <w:r>
              <w:rPr>
                <w:rStyle w:val="120"/>
                <w:rFonts w:hint="eastAsia" w:ascii="宋体" w:hAnsi="宋体" w:eastAsia="宋体" w:cs="宋体"/>
                <w:b w:val="0"/>
                <w:bCs w:val="0"/>
                <w:color w:val="auto"/>
                <w:sz w:val="21"/>
                <w:szCs w:val="21"/>
                <w:lang w:val="en-US" w:eastAsia="zh-CN" w:bidi="ar"/>
              </w:rPr>
              <w:t>3</w:t>
            </w:r>
            <w:r>
              <w:rPr>
                <w:rStyle w:val="111"/>
                <w:rFonts w:hint="eastAsia" w:ascii="宋体" w:hAnsi="宋体" w:eastAsia="宋体" w:cs="宋体"/>
                <w:b w:val="0"/>
                <w:bCs w:val="0"/>
                <w:color w:val="auto"/>
                <w:sz w:val="21"/>
                <w:szCs w:val="21"/>
                <w:lang w:val="en-US" w:eastAsia="zh-CN" w:bidi="ar"/>
              </w:rPr>
              <w:t>分。</w:t>
            </w:r>
          </w:p>
        </w:tc>
      </w:tr>
      <w:tr w14:paraId="0B5E9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10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8E2E2">
            <w:pPr>
              <w:spacing w:line="240" w:lineRule="auto"/>
              <w:jc w:val="center"/>
              <w:rPr>
                <w:rFonts w:hint="eastAsia" w:ascii="宋体" w:hAnsi="宋体" w:eastAsia="宋体" w:cs="宋体"/>
                <w:b w:val="0"/>
                <w:bCs w:val="0"/>
                <w:i w:val="0"/>
                <w:iCs w:val="0"/>
                <w:color w:val="auto"/>
                <w:sz w:val="21"/>
                <w:szCs w:val="21"/>
                <w:u w:val="none"/>
              </w:rPr>
            </w:pP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CBC9F">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资源投入保障</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ECEF3">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10</w:t>
            </w:r>
            <w:r>
              <w:rPr>
                <w:rStyle w:val="111"/>
                <w:rFonts w:hint="eastAsia" w:ascii="宋体" w:hAnsi="宋体" w:eastAsia="宋体" w:cs="宋体"/>
                <w:b w:val="0"/>
                <w:bCs w:val="0"/>
                <w:color w:val="auto"/>
                <w:sz w:val="21"/>
                <w:szCs w:val="21"/>
                <w:lang w:val="en-US" w:eastAsia="zh-CN" w:bidi="ar"/>
              </w:rPr>
              <w:t>分</w:t>
            </w:r>
          </w:p>
        </w:tc>
        <w:tc>
          <w:tcPr>
            <w:tcW w:w="2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D5CF1">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未按承诺投入课程、教材、实操设备等资源，缺少一项扣3分</w:t>
            </w:r>
            <w:r>
              <w:rPr>
                <w:rStyle w:val="111"/>
                <w:rFonts w:hint="eastAsia" w:ascii="宋体" w:hAnsi="宋体" w:eastAsia="宋体" w:cs="宋体"/>
                <w:b w:val="0"/>
                <w:bCs w:val="0"/>
                <w:color w:val="auto"/>
                <w:sz w:val="21"/>
                <w:szCs w:val="21"/>
                <w:lang w:val="en-US" w:eastAsia="zh-CN" w:bidi="ar"/>
              </w:rPr>
              <w:t>。</w:t>
            </w:r>
          </w:p>
        </w:tc>
      </w:tr>
      <w:tr w14:paraId="58D4B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10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5FD54A">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三、学员能力提升</w:t>
            </w:r>
            <w:r>
              <w:rPr>
                <w:rStyle w:val="120"/>
                <w:rFonts w:hint="eastAsia" w:ascii="宋体" w:hAnsi="宋体" w:eastAsia="宋体" w:cs="宋体"/>
                <w:b w:val="0"/>
                <w:bCs w:val="0"/>
                <w:color w:val="auto"/>
                <w:sz w:val="21"/>
                <w:szCs w:val="21"/>
                <w:lang w:val="en-US" w:eastAsia="zh-CN" w:bidi="ar"/>
              </w:rPr>
              <w:t xml:space="preserve"> (35</w:t>
            </w:r>
            <w:r>
              <w:rPr>
                <w:rStyle w:val="111"/>
                <w:rFonts w:hint="eastAsia" w:ascii="宋体" w:hAnsi="宋体" w:eastAsia="宋体" w:cs="宋体"/>
                <w:b w:val="0"/>
                <w:bCs w:val="0"/>
                <w:color w:val="auto"/>
                <w:sz w:val="21"/>
                <w:szCs w:val="21"/>
                <w:lang w:val="en-US" w:eastAsia="zh-CN" w:bidi="ar"/>
              </w:rPr>
              <w:t>分</w:t>
            </w:r>
            <w:r>
              <w:rPr>
                <w:rStyle w:val="120"/>
                <w:rFonts w:hint="eastAsia" w:ascii="宋体" w:hAnsi="宋体" w:eastAsia="宋体" w:cs="宋体"/>
                <w:b w:val="0"/>
                <w:bCs w:val="0"/>
                <w:color w:val="auto"/>
                <w:sz w:val="21"/>
                <w:szCs w:val="21"/>
                <w:lang w:val="en-US" w:eastAsia="zh-CN" w:bidi="ar"/>
              </w:rPr>
              <w:t>)</w:t>
            </w: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810CE">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阶段性考核通过率</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0B570">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20</w:t>
            </w:r>
            <w:r>
              <w:rPr>
                <w:rStyle w:val="111"/>
                <w:rFonts w:hint="eastAsia" w:ascii="宋体" w:hAnsi="宋体" w:eastAsia="宋体" w:cs="宋体"/>
                <w:b w:val="0"/>
                <w:bCs w:val="0"/>
                <w:color w:val="auto"/>
                <w:sz w:val="21"/>
                <w:szCs w:val="21"/>
                <w:lang w:val="en-US" w:eastAsia="zh-CN" w:bidi="ar"/>
              </w:rPr>
              <w:t>分</w:t>
            </w:r>
          </w:p>
        </w:tc>
        <w:tc>
          <w:tcPr>
            <w:tcW w:w="2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AD34D">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按计划组织季度</w:t>
            </w:r>
            <w:r>
              <w:rPr>
                <w:rStyle w:val="120"/>
                <w:rFonts w:hint="eastAsia" w:ascii="宋体" w:hAnsi="宋体" w:eastAsia="宋体" w:cs="宋体"/>
                <w:b w:val="0"/>
                <w:bCs w:val="0"/>
                <w:color w:val="auto"/>
                <w:sz w:val="21"/>
                <w:szCs w:val="21"/>
                <w:lang w:val="en-US" w:eastAsia="zh-CN" w:bidi="ar"/>
              </w:rPr>
              <w:t>/</w:t>
            </w:r>
            <w:r>
              <w:rPr>
                <w:rStyle w:val="111"/>
                <w:rFonts w:hint="eastAsia" w:ascii="宋体" w:hAnsi="宋体" w:eastAsia="宋体" w:cs="宋体"/>
                <w:b w:val="0"/>
                <w:bCs w:val="0"/>
                <w:color w:val="auto"/>
                <w:sz w:val="21"/>
                <w:szCs w:val="21"/>
                <w:lang w:val="en-US" w:eastAsia="zh-CN" w:bidi="ar"/>
              </w:rPr>
              <w:t>半年度考核，学员通过率每降低</w:t>
            </w:r>
            <w:r>
              <w:rPr>
                <w:rStyle w:val="120"/>
                <w:rFonts w:hint="eastAsia" w:ascii="宋体" w:hAnsi="宋体" w:eastAsia="宋体" w:cs="宋体"/>
                <w:b w:val="0"/>
                <w:bCs w:val="0"/>
                <w:color w:val="auto"/>
                <w:sz w:val="21"/>
                <w:szCs w:val="21"/>
                <w:lang w:val="en-US" w:eastAsia="zh-CN" w:bidi="ar"/>
              </w:rPr>
              <w:t>10%</w:t>
            </w:r>
            <w:r>
              <w:rPr>
                <w:rStyle w:val="111"/>
                <w:rFonts w:hint="eastAsia" w:ascii="宋体" w:hAnsi="宋体" w:eastAsia="宋体" w:cs="宋体"/>
                <w:b w:val="0"/>
                <w:bCs w:val="0"/>
                <w:color w:val="auto"/>
                <w:sz w:val="21"/>
                <w:szCs w:val="21"/>
                <w:lang w:val="en-US" w:eastAsia="zh-CN" w:bidi="ar"/>
              </w:rPr>
              <w:t>，扣</w:t>
            </w:r>
            <w:r>
              <w:rPr>
                <w:rStyle w:val="120"/>
                <w:rFonts w:hint="eastAsia" w:ascii="宋体" w:hAnsi="宋体" w:eastAsia="宋体" w:cs="宋体"/>
                <w:b w:val="0"/>
                <w:bCs w:val="0"/>
                <w:color w:val="auto"/>
                <w:sz w:val="21"/>
                <w:szCs w:val="21"/>
                <w:lang w:val="en-US" w:eastAsia="zh-CN" w:bidi="ar"/>
              </w:rPr>
              <w:t>3</w:t>
            </w:r>
            <w:r>
              <w:rPr>
                <w:rStyle w:val="111"/>
                <w:rFonts w:hint="eastAsia" w:ascii="宋体" w:hAnsi="宋体" w:eastAsia="宋体" w:cs="宋体"/>
                <w:b w:val="0"/>
                <w:bCs w:val="0"/>
                <w:color w:val="auto"/>
                <w:sz w:val="21"/>
                <w:szCs w:val="21"/>
                <w:lang w:val="en-US" w:eastAsia="zh-CN" w:bidi="ar"/>
              </w:rPr>
              <w:t>分。</w:t>
            </w:r>
          </w:p>
        </w:tc>
      </w:tr>
      <w:tr w14:paraId="5EE34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5" w:hRule="atLeast"/>
          <w:jc w:val="center"/>
        </w:trPr>
        <w:tc>
          <w:tcPr>
            <w:tcW w:w="10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51C9E">
            <w:pPr>
              <w:spacing w:line="240" w:lineRule="auto"/>
              <w:jc w:val="center"/>
              <w:rPr>
                <w:rFonts w:hint="eastAsia" w:ascii="宋体" w:hAnsi="宋体" w:eastAsia="宋体" w:cs="宋体"/>
                <w:b w:val="0"/>
                <w:bCs w:val="0"/>
                <w:i w:val="0"/>
                <w:iCs w:val="0"/>
                <w:color w:val="auto"/>
                <w:sz w:val="21"/>
                <w:szCs w:val="21"/>
                <w:u w:val="none"/>
              </w:rPr>
            </w:pP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4F634">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能力成长可见性</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F36AA">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15</w:t>
            </w:r>
            <w:r>
              <w:rPr>
                <w:rStyle w:val="111"/>
                <w:rFonts w:hint="eastAsia" w:ascii="宋体" w:hAnsi="宋体" w:eastAsia="宋体" w:cs="宋体"/>
                <w:b w:val="0"/>
                <w:bCs w:val="0"/>
                <w:color w:val="auto"/>
                <w:sz w:val="21"/>
                <w:szCs w:val="21"/>
                <w:lang w:val="en-US" w:eastAsia="zh-CN" w:bidi="ar"/>
              </w:rPr>
              <w:t>分</w:t>
            </w:r>
          </w:p>
        </w:tc>
        <w:tc>
          <w:tcPr>
            <w:tcW w:w="2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E5827">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通过访谈、实操观察，评估学员相较于上阶段的进步程度,若不达标考核要求，每人次扣</w:t>
            </w:r>
            <w:r>
              <w:rPr>
                <w:rStyle w:val="120"/>
                <w:rFonts w:hint="eastAsia" w:ascii="宋体" w:hAnsi="宋体" w:eastAsia="宋体" w:cs="宋体"/>
                <w:b w:val="0"/>
                <w:bCs w:val="0"/>
                <w:color w:val="auto"/>
                <w:sz w:val="21"/>
                <w:szCs w:val="21"/>
                <w:lang w:val="en-US" w:eastAsia="zh-CN" w:bidi="ar"/>
              </w:rPr>
              <w:t>2</w:t>
            </w:r>
            <w:r>
              <w:rPr>
                <w:rStyle w:val="111"/>
                <w:rFonts w:hint="eastAsia" w:ascii="宋体" w:hAnsi="宋体" w:eastAsia="宋体" w:cs="宋体"/>
                <w:b w:val="0"/>
                <w:bCs w:val="0"/>
                <w:color w:val="auto"/>
                <w:sz w:val="21"/>
                <w:szCs w:val="21"/>
                <w:lang w:val="en-US" w:eastAsia="zh-CN" w:bidi="ar"/>
              </w:rPr>
              <w:t>分。</w:t>
            </w:r>
          </w:p>
        </w:tc>
      </w:tr>
      <w:tr w14:paraId="3C2A3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4BB3B">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四、过程满意度</w:t>
            </w:r>
            <w:r>
              <w:rPr>
                <w:rStyle w:val="120"/>
                <w:rFonts w:hint="eastAsia" w:ascii="宋体" w:hAnsi="宋体" w:eastAsia="宋体" w:cs="宋体"/>
                <w:b w:val="0"/>
                <w:bCs w:val="0"/>
                <w:color w:val="auto"/>
                <w:sz w:val="21"/>
                <w:szCs w:val="21"/>
                <w:lang w:val="en-US" w:eastAsia="zh-CN" w:bidi="ar"/>
              </w:rPr>
              <w:t xml:space="preserve"> (10</w:t>
            </w:r>
            <w:r>
              <w:rPr>
                <w:rStyle w:val="111"/>
                <w:rFonts w:hint="eastAsia" w:ascii="宋体" w:hAnsi="宋体" w:eastAsia="宋体" w:cs="宋体"/>
                <w:b w:val="0"/>
                <w:bCs w:val="0"/>
                <w:color w:val="auto"/>
                <w:sz w:val="21"/>
                <w:szCs w:val="21"/>
                <w:lang w:val="en-US" w:eastAsia="zh-CN" w:bidi="ar"/>
              </w:rPr>
              <w:t>分</w:t>
            </w:r>
            <w:r>
              <w:rPr>
                <w:rStyle w:val="120"/>
                <w:rFonts w:hint="eastAsia" w:ascii="宋体" w:hAnsi="宋体" w:eastAsia="宋体" w:cs="宋体"/>
                <w:b w:val="0"/>
                <w:bCs w:val="0"/>
                <w:color w:val="auto"/>
                <w:sz w:val="21"/>
                <w:szCs w:val="21"/>
                <w:lang w:val="en-US" w:eastAsia="zh-CN" w:bidi="ar"/>
              </w:rPr>
              <w:t>)</w:t>
            </w: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16314">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auto"/>
                <w:sz w:val="21"/>
                <w:szCs w:val="21"/>
                <w:u w:val="none"/>
              </w:rPr>
            </w:pPr>
            <w:r>
              <w:rPr>
                <w:rStyle w:val="111"/>
                <w:rFonts w:hint="eastAsia" w:ascii="宋体" w:hAnsi="宋体" w:eastAsia="宋体" w:cs="宋体"/>
                <w:b w:val="0"/>
                <w:bCs w:val="0"/>
                <w:color w:val="auto"/>
                <w:sz w:val="21"/>
                <w:szCs w:val="21"/>
                <w:lang w:val="en-US" w:eastAsia="zh-CN" w:bidi="ar"/>
              </w:rPr>
              <w:t>学员过程满意度</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2E2C4">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10</w:t>
            </w:r>
            <w:r>
              <w:rPr>
                <w:rStyle w:val="111"/>
                <w:rFonts w:hint="eastAsia" w:ascii="宋体" w:hAnsi="宋体" w:eastAsia="宋体" w:cs="宋体"/>
                <w:b w:val="0"/>
                <w:bCs w:val="0"/>
                <w:color w:val="auto"/>
                <w:sz w:val="21"/>
                <w:szCs w:val="21"/>
                <w:lang w:val="en-US" w:eastAsia="zh-CN" w:bidi="ar"/>
              </w:rPr>
              <w:t>分</w:t>
            </w:r>
          </w:p>
        </w:tc>
        <w:tc>
          <w:tcPr>
            <w:tcW w:w="2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C830E">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匿名测评：满意度</w:t>
            </w:r>
            <w:r>
              <w:rPr>
                <w:rStyle w:val="120"/>
                <w:rFonts w:hint="eastAsia" w:ascii="宋体" w:hAnsi="宋体" w:eastAsia="宋体" w:cs="宋体"/>
                <w:b w:val="0"/>
                <w:bCs w:val="0"/>
                <w:color w:val="auto"/>
                <w:sz w:val="21"/>
                <w:szCs w:val="21"/>
                <w:lang w:val="en-US" w:eastAsia="zh-CN" w:bidi="ar"/>
              </w:rPr>
              <w:t>≥95%</w:t>
            </w:r>
            <w:r>
              <w:rPr>
                <w:rStyle w:val="111"/>
                <w:rFonts w:hint="eastAsia" w:ascii="宋体" w:hAnsi="宋体" w:eastAsia="宋体" w:cs="宋体"/>
                <w:b w:val="0"/>
                <w:bCs w:val="0"/>
                <w:color w:val="auto"/>
                <w:sz w:val="21"/>
                <w:szCs w:val="21"/>
                <w:lang w:val="en-US" w:eastAsia="zh-CN" w:bidi="ar"/>
              </w:rPr>
              <w:t>得</w:t>
            </w:r>
            <w:r>
              <w:rPr>
                <w:rStyle w:val="120"/>
                <w:rFonts w:hint="eastAsia" w:ascii="宋体" w:hAnsi="宋体" w:eastAsia="宋体" w:cs="宋体"/>
                <w:b w:val="0"/>
                <w:bCs w:val="0"/>
                <w:color w:val="auto"/>
                <w:sz w:val="21"/>
                <w:szCs w:val="21"/>
                <w:lang w:val="en-US" w:eastAsia="zh-CN" w:bidi="ar"/>
              </w:rPr>
              <w:t>10</w:t>
            </w:r>
            <w:r>
              <w:rPr>
                <w:rStyle w:val="111"/>
                <w:rFonts w:hint="eastAsia" w:ascii="宋体" w:hAnsi="宋体" w:eastAsia="宋体" w:cs="宋体"/>
                <w:b w:val="0"/>
                <w:bCs w:val="0"/>
                <w:color w:val="auto"/>
                <w:sz w:val="21"/>
                <w:szCs w:val="21"/>
                <w:lang w:val="en-US" w:eastAsia="zh-CN" w:bidi="ar"/>
              </w:rPr>
              <w:t>分；</w:t>
            </w:r>
            <w:r>
              <w:rPr>
                <w:rStyle w:val="120"/>
                <w:rFonts w:hint="eastAsia" w:ascii="宋体" w:hAnsi="宋体" w:eastAsia="宋体" w:cs="宋体"/>
                <w:b w:val="0"/>
                <w:bCs w:val="0"/>
                <w:color w:val="auto"/>
                <w:sz w:val="21"/>
                <w:szCs w:val="21"/>
                <w:lang w:val="en-US" w:eastAsia="zh-CN" w:bidi="ar"/>
              </w:rPr>
              <w:t>≥80%</w:t>
            </w:r>
            <w:r>
              <w:rPr>
                <w:rStyle w:val="111"/>
                <w:rFonts w:hint="eastAsia" w:ascii="宋体" w:hAnsi="宋体" w:eastAsia="宋体" w:cs="宋体"/>
                <w:b w:val="0"/>
                <w:bCs w:val="0"/>
                <w:color w:val="auto"/>
                <w:sz w:val="21"/>
                <w:szCs w:val="21"/>
                <w:lang w:val="en-US" w:eastAsia="zh-CN" w:bidi="ar"/>
              </w:rPr>
              <w:t>得</w:t>
            </w:r>
            <w:r>
              <w:rPr>
                <w:rStyle w:val="120"/>
                <w:rFonts w:hint="eastAsia" w:ascii="宋体" w:hAnsi="宋体" w:eastAsia="宋体" w:cs="宋体"/>
                <w:b w:val="0"/>
                <w:bCs w:val="0"/>
                <w:color w:val="auto"/>
                <w:sz w:val="21"/>
                <w:szCs w:val="21"/>
                <w:lang w:val="en-US" w:eastAsia="zh-CN" w:bidi="ar"/>
              </w:rPr>
              <w:t>8</w:t>
            </w:r>
            <w:r>
              <w:rPr>
                <w:rStyle w:val="111"/>
                <w:rFonts w:hint="eastAsia" w:ascii="宋体" w:hAnsi="宋体" w:eastAsia="宋体" w:cs="宋体"/>
                <w:b w:val="0"/>
                <w:bCs w:val="0"/>
                <w:color w:val="auto"/>
                <w:sz w:val="21"/>
                <w:szCs w:val="21"/>
                <w:lang w:val="en-US" w:eastAsia="zh-CN" w:bidi="ar"/>
              </w:rPr>
              <w:t>分；</w:t>
            </w:r>
            <w:r>
              <w:rPr>
                <w:rStyle w:val="120"/>
                <w:rFonts w:hint="eastAsia" w:ascii="宋体" w:hAnsi="宋体" w:eastAsia="宋体" w:cs="宋体"/>
                <w:b w:val="0"/>
                <w:bCs w:val="0"/>
                <w:color w:val="auto"/>
                <w:sz w:val="21"/>
                <w:szCs w:val="21"/>
                <w:lang w:val="en-US" w:eastAsia="zh-CN" w:bidi="ar"/>
              </w:rPr>
              <w:t>≥70%</w:t>
            </w:r>
            <w:r>
              <w:rPr>
                <w:rStyle w:val="111"/>
                <w:rFonts w:hint="eastAsia" w:ascii="宋体" w:hAnsi="宋体" w:eastAsia="宋体" w:cs="宋体"/>
                <w:b w:val="0"/>
                <w:bCs w:val="0"/>
                <w:color w:val="auto"/>
                <w:sz w:val="21"/>
                <w:szCs w:val="21"/>
                <w:lang w:val="en-US" w:eastAsia="zh-CN" w:bidi="ar"/>
              </w:rPr>
              <w:t>得</w:t>
            </w:r>
            <w:r>
              <w:rPr>
                <w:rStyle w:val="120"/>
                <w:rFonts w:hint="eastAsia" w:ascii="宋体" w:hAnsi="宋体" w:eastAsia="宋体" w:cs="宋体"/>
                <w:b w:val="0"/>
                <w:bCs w:val="0"/>
                <w:color w:val="auto"/>
                <w:sz w:val="21"/>
                <w:szCs w:val="21"/>
                <w:lang w:val="en-US" w:eastAsia="zh-CN" w:bidi="ar"/>
              </w:rPr>
              <w:t>6</w:t>
            </w:r>
            <w:r>
              <w:rPr>
                <w:rStyle w:val="111"/>
                <w:rFonts w:hint="eastAsia" w:ascii="宋体" w:hAnsi="宋体" w:eastAsia="宋体" w:cs="宋体"/>
                <w:b w:val="0"/>
                <w:bCs w:val="0"/>
                <w:color w:val="auto"/>
                <w:sz w:val="21"/>
                <w:szCs w:val="21"/>
                <w:lang w:val="en-US" w:eastAsia="zh-CN" w:bidi="ar"/>
              </w:rPr>
              <w:t>分；</w:t>
            </w:r>
            <w:r>
              <w:rPr>
                <w:rStyle w:val="120"/>
                <w:rFonts w:hint="eastAsia" w:ascii="宋体" w:hAnsi="宋体" w:eastAsia="宋体" w:cs="宋体"/>
                <w:b w:val="0"/>
                <w:bCs w:val="0"/>
                <w:color w:val="auto"/>
                <w:sz w:val="21"/>
                <w:szCs w:val="21"/>
                <w:lang w:val="en-US" w:eastAsia="zh-CN" w:bidi="ar"/>
              </w:rPr>
              <w:t>&lt;70%</w:t>
            </w:r>
            <w:r>
              <w:rPr>
                <w:rStyle w:val="111"/>
                <w:rFonts w:hint="eastAsia" w:ascii="宋体" w:hAnsi="宋体" w:eastAsia="宋体" w:cs="宋体"/>
                <w:b w:val="0"/>
                <w:bCs w:val="0"/>
                <w:color w:val="auto"/>
                <w:sz w:val="21"/>
                <w:szCs w:val="21"/>
                <w:lang w:val="en-US" w:eastAsia="zh-CN" w:bidi="ar"/>
              </w:rPr>
              <w:t>得</w:t>
            </w:r>
            <w:r>
              <w:rPr>
                <w:rStyle w:val="120"/>
                <w:rFonts w:hint="eastAsia" w:ascii="宋体" w:hAnsi="宋体" w:eastAsia="宋体" w:cs="宋体"/>
                <w:b w:val="0"/>
                <w:bCs w:val="0"/>
                <w:color w:val="auto"/>
                <w:sz w:val="21"/>
                <w:szCs w:val="21"/>
                <w:lang w:val="en-US" w:eastAsia="zh-CN" w:bidi="ar"/>
              </w:rPr>
              <w:t>0</w:t>
            </w:r>
            <w:r>
              <w:rPr>
                <w:rStyle w:val="111"/>
                <w:rFonts w:hint="eastAsia" w:ascii="宋体" w:hAnsi="宋体" w:eastAsia="宋体" w:cs="宋体"/>
                <w:b w:val="0"/>
                <w:bCs w:val="0"/>
                <w:color w:val="auto"/>
                <w:sz w:val="21"/>
                <w:szCs w:val="21"/>
                <w:lang w:val="en-US" w:eastAsia="zh-CN" w:bidi="ar"/>
              </w:rPr>
              <w:t>分。</w:t>
            </w:r>
          </w:p>
        </w:tc>
      </w:tr>
      <w:tr w14:paraId="3B294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jc w:val="center"/>
        </w:trPr>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DEC4D">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过程考核总分</w:t>
            </w: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C472E">
            <w:pPr>
              <w:spacing w:line="240" w:lineRule="auto"/>
              <w:jc w:val="center"/>
              <w:rPr>
                <w:rFonts w:hint="eastAsia" w:ascii="宋体" w:hAnsi="宋体" w:eastAsia="宋体" w:cs="宋体"/>
                <w:i w:val="0"/>
                <w:iCs w:val="0"/>
                <w:color w:val="auto"/>
                <w:sz w:val="21"/>
                <w:szCs w:val="21"/>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CBF6F">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t>
            </w:r>
            <w:r>
              <w:rPr>
                <w:rStyle w:val="111"/>
                <w:rFonts w:hint="eastAsia" w:ascii="宋体" w:hAnsi="宋体" w:eastAsia="宋体" w:cs="宋体"/>
                <w:color w:val="auto"/>
                <w:sz w:val="21"/>
                <w:szCs w:val="21"/>
                <w:lang w:val="en-US" w:eastAsia="zh-CN" w:bidi="ar"/>
              </w:rPr>
              <w:t>分</w:t>
            </w:r>
          </w:p>
        </w:tc>
        <w:tc>
          <w:tcPr>
            <w:tcW w:w="2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32DA4">
            <w:pPr>
              <w:spacing w:line="240" w:lineRule="auto"/>
              <w:jc w:val="center"/>
              <w:rPr>
                <w:rFonts w:hint="eastAsia" w:ascii="宋体" w:hAnsi="宋体" w:eastAsia="宋体" w:cs="宋体"/>
                <w:i w:val="0"/>
                <w:iCs w:val="0"/>
                <w:color w:val="auto"/>
                <w:sz w:val="21"/>
                <w:szCs w:val="21"/>
                <w:u w:val="none"/>
              </w:rPr>
            </w:pPr>
          </w:p>
        </w:tc>
      </w:tr>
      <w:tr w14:paraId="7CE4E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1"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90E5DC">
            <w:pPr>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p w14:paraId="7139C567">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结果考核得分 ≥ 90分：全额</w:t>
            </w:r>
            <w:r>
              <w:rPr>
                <w:rFonts w:hint="eastAsia" w:ascii="宋体" w:hAnsi="宋体" w:eastAsia="宋体" w:cs="宋体"/>
                <w:color w:val="auto"/>
                <w:sz w:val="21"/>
                <w:szCs w:val="21"/>
                <w:lang w:val="en-US" w:eastAsia="zh-CN"/>
              </w:rPr>
              <w:t>支付当期带教服务费用</w:t>
            </w:r>
            <w:r>
              <w:rPr>
                <w:rFonts w:hint="eastAsia" w:ascii="宋体" w:hAnsi="宋体" w:eastAsia="宋体" w:cs="宋体"/>
                <w:color w:val="auto"/>
                <w:sz w:val="21"/>
                <w:szCs w:val="21"/>
              </w:rPr>
              <w:t>。</w:t>
            </w:r>
          </w:p>
          <w:p w14:paraId="79A0116B">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80</w:t>
            </w:r>
            <w:r>
              <w:rPr>
                <w:rFonts w:hint="eastAsia" w:ascii="宋体" w:hAnsi="宋体" w:eastAsia="宋体" w:cs="宋体"/>
                <w:color w:val="auto"/>
                <w:sz w:val="21"/>
                <w:szCs w:val="21"/>
              </w:rPr>
              <w:t>分 ≤ 结果考核得分 &lt;</w:t>
            </w:r>
            <w:r>
              <w:rPr>
                <w:rFonts w:hint="eastAsia" w:ascii="宋体" w:hAnsi="宋体" w:eastAsia="宋体" w:cs="宋体"/>
                <w:color w:val="auto"/>
                <w:sz w:val="21"/>
                <w:szCs w:val="21"/>
                <w:lang w:val="en-US" w:eastAsia="zh-CN"/>
              </w:rPr>
              <w:t xml:space="preserve"> 90</w:t>
            </w:r>
            <w:r>
              <w:rPr>
                <w:rFonts w:hint="eastAsia" w:ascii="宋体" w:hAnsi="宋体" w:eastAsia="宋体" w:cs="宋体"/>
                <w:color w:val="auto"/>
                <w:sz w:val="21"/>
                <w:szCs w:val="21"/>
              </w:rPr>
              <w:t>分：按</w:t>
            </w:r>
            <w:r>
              <w:rPr>
                <w:rFonts w:hint="eastAsia" w:ascii="宋体" w:hAnsi="宋体" w:eastAsia="宋体" w:cs="宋体"/>
                <w:color w:val="auto"/>
                <w:sz w:val="21"/>
                <w:szCs w:val="21"/>
                <w:lang w:val="en-US" w:eastAsia="zh-CN"/>
              </w:rPr>
              <w:t>90%支付当期带教服务费</w:t>
            </w:r>
            <w:r>
              <w:rPr>
                <w:rFonts w:hint="eastAsia" w:ascii="宋体" w:hAnsi="宋体" w:eastAsia="宋体" w:cs="宋体"/>
                <w:color w:val="auto"/>
                <w:sz w:val="21"/>
                <w:szCs w:val="21"/>
              </w:rPr>
              <w:t>。</w:t>
            </w:r>
          </w:p>
          <w:p w14:paraId="60244748">
            <w:pPr>
              <w:spacing w:line="24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70</w:t>
            </w:r>
            <w:r>
              <w:rPr>
                <w:rFonts w:hint="eastAsia" w:ascii="宋体" w:hAnsi="宋体" w:eastAsia="宋体" w:cs="宋体"/>
                <w:color w:val="auto"/>
                <w:sz w:val="21"/>
                <w:szCs w:val="21"/>
                <w:lang w:eastAsia="zh-CN"/>
              </w:rPr>
              <w:t>分 ≤ 结果考核得分 &lt;</w:t>
            </w:r>
            <w:r>
              <w:rPr>
                <w:rFonts w:hint="eastAsia" w:ascii="宋体" w:hAnsi="宋体" w:eastAsia="宋体" w:cs="宋体"/>
                <w:color w:val="auto"/>
                <w:sz w:val="21"/>
                <w:szCs w:val="21"/>
                <w:lang w:val="en-US" w:eastAsia="zh-CN"/>
              </w:rPr>
              <w:t xml:space="preserve"> 80</w:t>
            </w:r>
            <w:r>
              <w:rPr>
                <w:rFonts w:hint="eastAsia" w:ascii="宋体" w:hAnsi="宋体" w:eastAsia="宋体" w:cs="宋体"/>
                <w:color w:val="auto"/>
                <w:sz w:val="21"/>
                <w:szCs w:val="21"/>
                <w:lang w:eastAsia="zh-CN"/>
              </w:rPr>
              <w:t>分：按</w:t>
            </w:r>
            <w:r>
              <w:rPr>
                <w:rFonts w:hint="eastAsia" w:ascii="宋体" w:hAnsi="宋体" w:eastAsia="宋体" w:cs="宋体"/>
                <w:color w:val="auto"/>
                <w:sz w:val="21"/>
                <w:szCs w:val="21"/>
                <w:lang w:val="en-US" w:eastAsia="zh-CN"/>
              </w:rPr>
              <w:t>80%支付当期带教服务费</w:t>
            </w:r>
            <w:r>
              <w:rPr>
                <w:rFonts w:hint="eastAsia" w:ascii="宋体" w:hAnsi="宋体" w:eastAsia="宋体" w:cs="宋体"/>
                <w:color w:val="auto"/>
                <w:sz w:val="21"/>
                <w:szCs w:val="21"/>
                <w:lang w:eastAsia="zh-CN"/>
              </w:rPr>
              <w:t>。</w:t>
            </w:r>
          </w:p>
          <w:p w14:paraId="3411442F">
            <w:pPr>
              <w:numPr>
                <w:ilvl w:val="0"/>
                <w:numId w:val="22"/>
              </w:num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结果考核得分 &lt; </w:t>
            </w:r>
            <w:r>
              <w:rPr>
                <w:rFonts w:hint="eastAsia" w:ascii="宋体" w:hAnsi="宋体" w:eastAsia="宋体" w:cs="宋体"/>
                <w:color w:val="auto"/>
                <w:sz w:val="21"/>
                <w:szCs w:val="21"/>
                <w:lang w:val="en-US" w:eastAsia="zh-CN"/>
              </w:rPr>
              <w:t>70</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，招标人无需支付当期物业管理带教服务费用</w:t>
            </w:r>
            <w:r>
              <w:rPr>
                <w:rFonts w:hint="eastAsia" w:ascii="宋体" w:hAnsi="宋体" w:eastAsia="宋体" w:cs="宋体"/>
                <w:color w:val="auto"/>
                <w:sz w:val="21"/>
                <w:szCs w:val="21"/>
              </w:rPr>
              <w:t>，</w:t>
            </w:r>
            <w:r>
              <w:rPr>
                <w:rFonts w:hint="eastAsia" w:ascii="宋体" w:hAnsi="宋体" w:eastAsia="宋体" w:cs="宋体"/>
                <w:color w:val="auto"/>
              </w:rPr>
              <w:t>同时</w:t>
            </w:r>
            <w:r>
              <w:rPr>
                <w:rFonts w:hint="eastAsia" w:ascii="宋体" w:hAnsi="宋体" w:eastAsia="宋体" w:cs="宋体"/>
                <w:color w:val="auto"/>
                <w:lang w:val="en-US" w:eastAsia="zh-CN"/>
              </w:rPr>
              <w:t>中标人</w:t>
            </w:r>
            <w:r>
              <w:rPr>
                <w:rFonts w:hint="eastAsia" w:ascii="宋体" w:hAnsi="宋体" w:eastAsia="宋体" w:cs="宋体"/>
                <w:color w:val="auto"/>
              </w:rPr>
              <w:t>还应向</w:t>
            </w:r>
            <w:r>
              <w:rPr>
                <w:rFonts w:hint="eastAsia" w:ascii="宋体" w:hAnsi="宋体" w:eastAsia="宋体" w:cs="宋体"/>
                <w:color w:val="auto"/>
                <w:lang w:val="en-US" w:eastAsia="zh-CN"/>
              </w:rPr>
              <w:t>招标人</w:t>
            </w:r>
            <w:r>
              <w:rPr>
                <w:rFonts w:hint="eastAsia" w:ascii="宋体" w:hAnsi="宋体" w:eastAsia="宋体" w:cs="宋体"/>
                <w:color w:val="auto"/>
              </w:rPr>
              <w:t>支付人民币</w:t>
            </w:r>
            <w:r>
              <w:rPr>
                <w:rFonts w:hint="eastAsia" w:ascii="宋体" w:hAnsi="宋体" w:eastAsia="宋体" w:cs="宋体"/>
                <w:color w:val="auto"/>
                <w:lang w:val="en-US" w:eastAsia="zh-CN"/>
              </w:rPr>
              <w:t>1</w:t>
            </w:r>
            <w:r>
              <w:rPr>
                <w:rFonts w:hint="eastAsia" w:ascii="宋体" w:hAnsi="宋体" w:eastAsia="宋体" w:cs="宋体"/>
                <w:color w:val="auto"/>
              </w:rPr>
              <w:t>00</w:t>
            </w:r>
            <w:r>
              <w:rPr>
                <w:rFonts w:hint="eastAsia" w:ascii="宋体" w:hAnsi="宋体" w:eastAsia="宋体" w:cs="宋体"/>
                <w:color w:val="auto"/>
                <w:lang w:val="en-US" w:eastAsia="zh-CN"/>
              </w:rPr>
              <w:t>,</w:t>
            </w:r>
            <w:r>
              <w:rPr>
                <w:rFonts w:hint="eastAsia" w:ascii="宋体" w:hAnsi="宋体" w:eastAsia="宋体" w:cs="宋体"/>
                <w:color w:val="auto"/>
              </w:rPr>
              <w:t>000.00元作为违约金</w:t>
            </w:r>
            <w:r>
              <w:rPr>
                <w:rFonts w:hint="eastAsia" w:ascii="宋体" w:hAnsi="宋体" w:eastAsia="宋体" w:cs="宋体"/>
                <w:color w:val="auto"/>
                <w:sz w:val="21"/>
                <w:szCs w:val="21"/>
              </w:rPr>
              <w:t>。</w:t>
            </w:r>
          </w:p>
        </w:tc>
      </w:tr>
    </w:tbl>
    <w:p w14:paraId="3B7F014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5.1.2最终</w:t>
      </w:r>
      <w:r>
        <w:rPr>
          <w:rFonts w:hint="eastAsia" w:ascii="宋体" w:hAnsi="宋体" w:eastAsia="宋体" w:cs="宋体"/>
          <w:color w:val="auto"/>
          <w:sz w:val="21"/>
          <w:szCs w:val="21"/>
        </w:rPr>
        <w:t>考核</w:t>
      </w:r>
    </w:p>
    <w:p w14:paraId="6CA6A34E">
      <w:pPr>
        <w:pStyle w:val="18"/>
        <w:spacing w:line="360" w:lineRule="auto"/>
        <w:ind w:firstLine="422"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带教服务期满，招标人组织对中标人最终交付的成果进行验收，并对照人才培养目标进行最终评估。验收结果将作为合同履行情况的重要依据。</w:t>
      </w:r>
      <w:r>
        <w:rPr>
          <w:rFonts w:hint="eastAsia" w:ascii="宋体" w:hAnsi="宋体" w:eastAsia="宋体" w:cs="宋体"/>
          <w:color w:val="auto"/>
          <w:sz w:val="21"/>
          <w:szCs w:val="21"/>
          <w:highlight w:val="none"/>
        </w:rPr>
        <w:t>结果考核评分细则（100分）</w:t>
      </w:r>
      <w:r>
        <w:rPr>
          <w:rFonts w:hint="eastAsia" w:ascii="宋体" w:hAnsi="宋体" w:eastAsia="宋体" w:cs="宋体"/>
          <w:color w:val="auto"/>
          <w:sz w:val="21"/>
          <w:szCs w:val="21"/>
          <w:highlight w:val="none"/>
          <w:lang w:val="en-US" w:eastAsia="zh-CN"/>
        </w:rPr>
        <w:t>如下：</w:t>
      </w:r>
    </w:p>
    <w:tbl>
      <w:tblPr>
        <w:tblStyle w:val="41"/>
        <w:tblW w:w="96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04"/>
        <w:gridCol w:w="1577"/>
        <w:gridCol w:w="1149"/>
        <w:gridCol w:w="5148"/>
      </w:tblGrid>
      <w:tr w14:paraId="18E1F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jc w:val="center"/>
        </w:trPr>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01DEC">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考核大类</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3B649">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考核细项</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8F199">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分值</w:t>
            </w:r>
          </w:p>
        </w:tc>
        <w:tc>
          <w:tcPr>
            <w:tcW w:w="5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C6B5D">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扣分标准</w:t>
            </w:r>
          </w:p>
        </w:tc>
      </w:tr>
      <w:tr w14:paraId="2161D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5" w:hRule="atLeast"/>
          <w:jc w:val="center"/>
        </w:trPr>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16090">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color w:val="auto"/>
                <w:kern w:val="0"/>
                <w:sz w:val="21"/>
                <w:szCs w:val="21"/>
                <w:u w:val="none"/>
                <w:lang w:val="en-US" w:eastAsia="zh-CN" w:bidi="ar"/>
              </w:rPr>
              <w:t>一、团队培养成果 (60分)</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ECDA7">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color w:val="auto"/>
                <w:kern w:val="0"/>
                <w:sz w:val="21"/>
                <w:szCs w:val="21"/>
                <w:u w:val="none"/>
                <w:lang w:val="en-US" w:eastAsia="zh-CN" w:bidi="ar"/>
              </w:rPr>
              <w:t>岗位胜任力认证</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026A2">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color w:val="auto"/>
                <w:kern w:val="0"/>
                <w:sz w:val="21"/>
                <w:szCs w:val="21"/>
                <w:u w:val="none"/>
                <w:lang w:val="en-US" w:eastAsia="zh-CN" w:bidi="ar"/>
              </w:rPr>
              <w:t>60分</w:t>
            </w:r>
          </w:p>
        </w:tc>
        <w:tc>
          <w:tcPr>
            <w:tcW w:w="5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E5495">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【核心指标】 由双方</w:t>
            </w:r>
            <w:r>
              <w:rPr>
                <w:rFonts w:hint="eastAsia" w:ascii="宋体" w:hAnsi="宋体" w:eastAsia="宋体" w:cs="宋体"/>
                <w:color w:val="auto"/>
                <w:sz w:val="21"/>
                <w:szCs w:val="21"/>
                <w:highlight w:val="none"/>
                <w:lang w:val="en-US" w:eastAsia="zh-CN"/>
              </w:rPr>
              <w:t>联合工作组</w:t>
            </w:r>
            <w:r>
              <w:rPr>
                <w:rFonts w:hint="eastAsia" w:ascii="宋体" w:hAnsi="宋体" w:eastAsia="宋体" w:cs="宋体"/>
                <w:i w:val="0"/>
                <w:color w:val="auto"/>
                <w:kern w:val="0"/>
                <w:sz w:val="21"/>
                <w:szCs w:val="21"/>
                <w:highlight w:val="none"/>
                <w:u w:val="none"/>
                <w:lang w:val="en-US" w:eastAsia="zh-CN" w:bidi="ar"/>
              </w:rPr>
              <w:t>通过现场实操（权重40%）、笔试（权重30%）、面试答辩（权重30%） 对5名学员进行综合考评（</w:t>
            </w:r>
            <w:r>
              <w:rPr>
                <w:rFonts w:hint="eastAsia" w:ascii="宋体" w:hAnsi="宋体" w:eastAsia="宋体" w:cs="宋体"/>
                <w:color w:val="auto"/>
                <w:sz w:val="21"/>
                <w:szCs w:val="21"/>
                <w:highlight w:val="none"/>
                <w:lang w:val="en-US" w:eastAsia="zh-CN"/>
              </w:rPr>
              <w:t>拟派驻人员培训时长不足6个月或中途工作调整的，不纳入考核范围</w:t>
            </w:r>
            <w:r>
              <w:rPr>
                <w:rFonts w:hint="eastAsia" w:ascii="宋体" w:hAnsi="宋体" w:eastAsia="宋体" w:cs="宋体"/>
                <w:i w:val="0"/>
                <w:color w:val="auto"/>
                <w:kern w:val="0"/>
                <w:sz w:val="21"/>
                <w:szCs w:val="21"/>
                <w:highlight w:val="none"/>
                <w:u w:val="none"/>
                <w:lang w:val="en-US" w:eastAsia="zh-CN" w:bidi="ar"/>
              </w:rPr>
              <w:t xml:space="preserve">）。                   </w:t>
            </w:r>
          </w:p>
          <w:p w14:paraId="62139518">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1、5名学员（含项目负责人）全部通过认证，得60分；</w:t>
            </w:r>
            <w:r>
              <w:rPr>
                <w:rFonts w:hint="eastAsia" w:ascii="宋体" w:hAnsi="宋体" w:eastAsia="宋体" w:cs="宋体"/>
                <w:i w:val="0"/>
                <w:color w:val="auto"/>
                <w:kern w:val="0"/>
                <w:sz w:val="21"/>
                <w:szCs w:val="21"/>
                <w:highlight w:val="none"/>
                <w:u w:val="none"/>
                <w:lang w:val="en-US" w:eastAsia="zh-CN" w:bidi="ar"/>
              </w:rPr>
              <w:br w:type="textWrapping"/>
            </w:r>
            <w:r>
              <w:rPr>
                <w:rFonts w:hint="eastAsia" w:ascii="宋体" w:hAnsi="宋体" w:eastAsia="宋体" w:cs="宋体"/>
                <w:i w:val="0"/>
                <w:color w:val="auto"/>
                <w:kern w:val="0"/>
                <w:sz w:val="21"/>
                <w:szCs w:val="21"/>
                <w:highlight w:val="none"/>
                <w:u w:val="none"/>
                <w:lang w:val="en-US" w:eastAsia="zh-CN" w:bidi="ar"/>
              </w:rPr>
              <w:t>2、4名学员（含项目负责人）通过认证，得40分；</w:t>
            </w:r>
            <w:r>
              <w:rPr>
                <w:rFonts w:hint="eastAsia" w:ascii="宋体" w:hAnsi="宋体" w:eastAsia="宋体" w:cs="宋体"/>
                <w:i w:val="0"/>
                <w:color w:val="auto"/>
                <w:kern w:val="0"/>
                <w:sz w:val="21"/>
                <w:szCs w:val="21"/>
                <w:highlight w:val="none"/>
                <w:u w:val="none"/>
                <w:lang w:val="en-US" w:eastAsia="zh-CN" w:bidi="ar"/>
              </w:rPr>
              <w:br w:type="textWrapping"/>
            </w:r>
            <w:r>
              <w:rPr>
                <w:rFonts w:hint="eastAsia" w:ascii="宋体" w:hAnsi="宋体" w:eastAsia="宋体" w:cs="宋体"/>
                <w:i w:val="0"/>
                <w:color w:val="auto"/>
                <w:kern w:val="0"/>
                <w:sz w:val="21"/>
                <w:szCs w:val="21"/>
                <w:highlight w:val="none"/>
                <w:u w:val="none"/>
                <w:lang w:val="en-US" w:eastAsia="zh-CN" w:bidi="ar"/>
              </w:rPr>
              <w:t>3、3名学员（含项目负责人）通过认证，得20分；</w:t>
            </w:r>
          </w:p>
          <w:p w14:paraId="0FD0FE7E">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color w:val="auto"/>
                <w:kern w:val="0"/>
                <w:sz w:val="21"/>
                <w:szCs w:val="21"/>
                <w:highlight w:val="none"/>
                <w:u w:val="none"/>
                <w:lang w:val="en-US" w:eastAsia="zh-CN" w:bidi="ar"/>
              </w:rPr>
              <w:t>4、2名学员（含项目负责人）或项目负责人未通过认证，得0分。</w:t>
            </w:r>
          </w:p>
        </w:tc>
      </w:tr>
      <w:tr w14:paraId="434D3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5" w:hRule="atLeast"/>
          <w:jc w:val="center"/>
        </w:trPr>
        <w:tc>
          <w:tcPr>
            <w:tcW w:w="1804" w:type="dxa"/>
            <w:vMerge w:val="restart"/>
            <w:tcBorders>
              <w:top w:val="single" w:color="000000" w:sz="4" w:space="0"/>
              <w:left w:val="single" w:color="000000" w:sz="4" w:space="0"/>
              <w:right w:val="single" w:color="000000" w:sz="4" w:space="0"/>
            </w:tcBorders>
            <w:shd w:val="clear" w:color="auto" w:fill="auto"/>
            <w:vAlign w:val="center"/>
          </w:tcPr>
          <w:p w14:paraId="07BD269C">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color w:val="auto"/>
                <w:kern w:val="0"/>
                <w:sz w:val="21"/>
                <w:szCs w:val="21"/>
                <w:u w:val="none"/>
                <w:lang w:val="en-US" w:eastAsia="zh-CN" w:bidi="ar"/>
              </w:rPr>
              <w:t>二、知识传承成果 (40分)</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C2A79">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color w:val="auto"/>
                <w:kern w:val="0"/>
                <w:sz w:val="21"/>
                <w:szCs w:val="21"/>
                <w:u w:val="none"/>
                <w:lang w:val="en-US" w:eastAsia="zh-CN" w:bidi="ar"/>
              </w:rPr>
              <w:t>体系文件完整性与质量</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E8DC0">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color w:val="auto"/>
                <w:kern w:val="0"/>
                <w:sz w:val="21"/>
                <w:szCs w:val="21"/>
                <w:u w:val="none"/>
                <w:lang w:val="en-US" w:eastAsia="zh-CN" w:bidi="ar"/>
              </w:rPr>
              <w:t>20分</w:t>
            </w:r>
          </w:p>
        </w:tc>
        <w:tc>
          <w:tcPr>
            <w:tcW w:w="5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102CD">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 xml:space="preserve">要求提供包括不限于以下文件：《项目运营管理知识体系文件》，全套《项目设施设备运维与应急处理手册》，《岗位胜任能力评估报告》，《项目全周期运营管理方案》，《物业服务各模块（客服、工程、秩序、环境）标准化作业程序》，《项目品质检查标准与考核办法》，《内部绩效考核与激励机制方案》，《各条线台账》 。        </w:t>
            </w:r>
          </w:p>
          <w:p w14:paraId="030E4181">
            <w:pPr>
              <w:keepNext w:val="0"/>
              <w:keepLines w:val="0"/>
              <w:widowControl/>
              <w:numPr>
                <w:ilvl w:val="0"/>
                <w:numId w:val="23"/>
              </w:numPr>
              <w:suppressLineNumbers w:val="0"/>
              <w:spacing w:line="240" w:lineRule="auto"/>
              <w:ind w:left="0" w:leftChars="0" w:firstLine="0" w:firstLineChars="0"/>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每缺失一项核心文件，扣3分。</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 xml:space="preserve">2、文件内容存在严重错误或与项目实际严重不符，每项扣2分。   </w:t>
            </w:r>
          </w:p>
          <w:p w14:paraId="4B745E99">
            <w:pPr>
              <w:keepNext w:val="0"/>
              <w:keepLines w:val="0"/>
              <w:widowControl/>
              <w:numPr>
                <w:ilvl w:val="0"/>
                <w:numId w:val="23"/>
              </w:numPr>
              <w:suppressLineNumbers w:val="0"/>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color w:val="auto"/>
                <w:kern w:val="0"/>
                <w:sz w:val="21"/>
                <w:szCs w:val="21"/>
                <w:u w:val="none"/>
                <w:lang w:val="en-US" w:eastAsia="zh-CN" w:bidi="ar"/>
              </w:rPr>
              <w:t>文件仅为通用模板，未针对本项目进行定制化修订，缺乏适用性，每项扣1分。                     分数扣完为止。</w:t>
            </w:r>
          </w:p>
        </w:tc>
      </w:tr>
      <w:tr w14:paraId="1AC1E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6" w:hRule="atLeast"/>
          <w:jc w:val="center"/>
        </w:trPr>
        <w:tc>
          <w:tcPr>
            <w:tcW w:w="1804" w:type="dxa"/>
            <w:vMerge w:val="continue"/>
            <w:tcBorders>
              <w:left w:val="single" w:color="000000" w:sz="4" w:space="0"/>
              <w:bottom w:val="single" w:color="000000" w:sz="4" w:space="0"/>
              <w:right w:val="single" w:color="000000" w:sz="4" w:space="0"/>
            </w:tcBorders>
            <w:shd w:val="clear" w:color="auto" w:fill="auto"/>
            <w:vAlign w:val="center"/>
          </w:tcPr>
          <w:p w14:paraId="74F72C8C">
            <w:pPr>
              <w:spacing w:line="240" w:lineRule="auto"/>
              <w:jc w:val="left"/>
              <w:rPr>
                <w:rFonts w:hint="eastAsia" w:ascii="宋体" w:hAnsi="宋体" w:eastAsia="宋体" w:cs="宋体"/>
                <w:i w:val="0"/>
                <w:iCs w:val="0"/>
                <w:color w:val="auto"/>
                <w:sz w:val="21"/>
                <w:szCs w:val="21"/>
                <w:u w:val="none"/>
              </w:rPr>
            </w:pPr>
          </w:p>
        </w:tc>
        <w:tc>
          <w:tcPr>
            <w:tcW w:w="1577" w:type="dxa"/>
            <w:vMerge w:val="restart"/>
            <w:tcBorders>
              <w:top w:val="single" w:color="000000" w:sz="4" w:space="0"/>
              <w:left w:val="single" w:color="000000" w:sz="4" w:space="0"/>
              <w:right w:val="single" w:color="000000" w:sz="4" w:space="0"/>
            </w:tcBorders>
            <w:shd w:val="clear" w:color="auto" w:fill="auto"/>
            <w:vAlign w:val="center"/>
          </w:tcPr>
          <w:p w14:paraId="60593DD4">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color w:val="auto"/>
                <w:kern w:val="0"/>
                <w:sz w:val="21"/>
                <w:szCs w:val="21"/>
                <w:u w:val="none"/>
                <w:lang w:val="en-US" w:eastAsia="zh-CN" w:bidi="ar"/>
              </w:rPr>
              <w:t>知识转移与授权</w:t>
            </w:r>
          </w:p>
        </w:tc>
        <w:tc>
          <w:tcPr>
            <w:tcW w:w="1149" w:type="dxa"/>
            <w:vMerge w:val="restart"/>
            <w:tcBorders>
              <w:top w:val="single" w:color="000000" w:sz="4" w:space="0"/>
              <w:left w:val="single" w:color="000000" w:sz="4" w:space="0"/>
              <w:right w:val="single" w:color="000000" w:sz="4" w:space="0"/>
            </w:tcBorders>
            <w:shd w:val="clear" w:color="auto" w:fill="auto"/>
            <w:vAlign w:val="center"/>
          </w:tcPr>
          <w:p w14:paraId="35F67B9E">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color w:val="auto"/>
                <w:kern w:val="0"/>
                <w:sz w:val="21"/>
                <w:szCs w:val="21"/>
                <w:u w:val="none"/>
                <w:lang w:val="en-US" w:eastAsia="zh-CN" w:bidi="ar"/>
              </w:rPr>
              <w:t>20分</w:t>
            </w:r>
          </w:p>
        </w:tc>
        <w:tc>
          <w:tcPr>
            <w:tcW w:w="5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B4303">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移交全部约定的管理体系文件、模板、图纸的电子版及纸质版，并确保其完整、可读写，得15分；否则一项扣5分。</w:t>
            </w:r>
          </w:p>
        </w:tc>
      </w:tr>
      <w:tr w14:paraId="47479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6" w:hRule="atLeast"/>
          <w:jc w:val="center"/>
        </w:trPr>
        <w:tc>
          <w:tcPr>
            <w:tcW w:w="1804" w:type="dxa"/>
            <w:vMerge w:val="continue"/>
            <w:tcBorders>
              <w:left w:val="single" w:color="000000" w:sz="4" w:space="0"/>
              <w:bottom w:val="single" w:color="000000" w:sz="4" w:space="0"/>
              <w:right w:val="single" w:color="000000" w:sz="4" w:space="0"/>
            </w:tcBorders>
            <w:shd w:val="clear" w:color="auto" w:fill="auto"/>
            <w:vAlign w:val="center"/>
          </w:tcPr>
          <w:p w14:paraId="65014F61">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color w:val="auto"/>
                <w:sz w:val="21"/>
                <w:szCs w:val="21"/>
              </w:rPr>
            </w:pPr>
          </w:p>
        </w:tc>
        <w:tc>
          <w:tcPr>
            <w:tcW w:w="1577" w:type="dxa"/>
            <w:vMerge w:val="continue"/>
            <w:tcBorders>
              <w:left w:val="single" w:color="000000" w:sz="4" w:space="0"/>
              <w:bottom w:val="single" w:color="000000" w:sz="4" w:space="0"/>
              <w:right w:val="single" w:color="000000" w:sz="4" w:space="0"/>
            </w:tcBorders>
            <w:shd w:val="clear" w:color="auto" w:fill="auto"/>
            <w:vAlign w:val="center"/>
          </w:tcPr>
          <w:p w14:paraId="39145797">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color w:val="auto"/>
                <w:sz w:val="21"/>
                <w:szCs w:val="21"/>
              </w:rPr>
            </w:pPr>
          </w:p>
        </w:tc>
        <w:tc>
          <w:tcPr>
            <w:tcW w:w="1149" w:type="dxa"/>
            <w:vMerge w:val="continue"/>
            <w:tcBorders>
              <w:left w:val="single" w:color="000000" w:sz="4" w:space="0"/>
              <w:bottom w:val="single" w:color="000000" w:sz="4" w:space="0"/>
              <w:right w:val="single" w:color="000000" w:sz="4" w:space="0"/>
            </w:tcBorders>
            <w:shd w:val="clear" w:color="auto" w:fill="auto"/>
            <w:vAlign w:val="center"/>
          </w:tcPr>
          <w:p w14:paraId="4F53D6BA">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color w:val="auto"/>
                <w:sz w:val="21"/>
                <w:szCs w:val="21"/>
              </w:rPr>
            </w:pPr>
          </w:p>
        </w:tc>
        <w:tc>
          <w:tcPr>
            <w:tcW w:w="5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FABDB">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i w:val="0"/>
                <w:caps w:val="0"/>
                <w:color w:val="auto"/>
                <w:spacing w:val="0"/>
                <w:sz w:val="21"/>
                <w:szCs w:val="21"/>
                <w:highlight w:val="none"/>
                <w:shd w:val="clear" w:fill="FFFFFF"/>
              </w:rPr>
              <w:t>明确授权招标人可在本项目后续运营中永久、无障碍使用全部交付成果，得5分；未签署或授权范围受限，本项不得分</w:t>
            </w:r>
            <w:r>
              <w:rPr>
                <w:rFonts w:hint="eastAsia" w:ascii="宋体" w:hAnsi="宋体" w:eastAsia="宋体" w:cs="宋体"/>
                <w:i w:val="0"/>
                <w:caps w:val="0"/>
                <w:color w:val="auto"/>
                <w:spacing w:val="0"/>
                <w:sz w:val="21"/>
                <w:szCs w:val="21"/>
                <w:highlight w:val="none"/>
                <w:shd w:val="clear" w:fill="FFFFFF"/>
                <w:lang w:eastAsia="zh-CN"/>
              </w:rPr>
              <w:t>。</w:t>
            </w:r>
          </w:p>
        </w:tc>
      </w:tr>
      <w:tr w14:paraId="283A8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FE5A5">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结果考核总分</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D0E7A">
            <w:pPr>
              <w:spacing w:line="240" w:lineRule="auto"/>
              <w:jc w:val="center"/>
              <w:rPr>
                <w:rFonts w:hint="eastAsia" w:ascii="宋体" w:hAnsi="宋体" w:eastAsia="宋体" w:cs="宋体"/>
                <w:i w:val="0"/>
                <w:iCs w:val="0"/>
                <w:color w:val="auto"/>
                <w:sz w:val="21"/>
                <w:szCs w:val="21"/>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D1978">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100分</w:t>
            </w:r>
          </w:p>
        </w:tc>
        <w:tc>
          <w:tcPr>
            <w:tcW w:w="5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365D5">
            <w:pPr>
              <w:spacing w:line="240" w:lineRule="auto"/>
              <w:jc w:val="center"/>
              <w:rPr>
                <w:rFonts w:hint="eastAsia" w:ascii="宋体" w:hAnsi="宋体" w:eastAsia="宋体" w:cs="宋体"/>
                <w:i w:val="0"/>
                <w:iCs w:val="0"/>
                <w:color w:val="auto"/>
                <w:sz w:val="21"/>
                <w:szCs w:val="21"/>
                <w:u w:val="none"/>
              </w:rPr>
            </w:pPr>
          </w:p>
        </w:tc>
      </w:tr>
      <w:tr w14:paraId="01AEF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3" w:hRule="atLeast"/>
          <w:jc w:val="center"/>
        </w:trPr>
        <w:tc>
          <w:tcPr>
            <w:tcW w:w="96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8F125B">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备注：</w:t>
            </w:r>
          </w:p>
          <w:p w14:paraId="0E87A977">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结果考核得分 ≥ 90分：</w:t>
            </w:r>
            <w:r>
              <w:rPr>
                <w:rFonts w:hint="eastAsia" w:ascii="宋体" w:hAnsi="宋体" w:eastAsia="宋体" w:cs="宋体"/>
                <w:color w:val="auto"/>
                <w:lang w:val="en-US" w:eastAsia="zh-CN"/>
              </w:rPr>
              <w:t>招标人全额支付当期物业管理带教服务费用</w:t>
            </w:r>
            <w:r>
              <w:rPr>
                <w:rFonts w:hint="eastAsia" w:ascii="宋体" w:hAnsi="宋体" w:eastAsia="宋体" w:cs="宋体"/>
                <w:color w:val="auto"/>
                <w:sz w:val="21"/>
                <w:szCs w:val="21"/>
              </w:rPr>
              <w:t>。</w:t>
            </w:r>
          </w:p>
          <w:p w14:paraId="5F3EF0EF">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80</w:t>
            </w:r>
            <w:r>
              <w:rPr>
                <w:rFonts w:hint="eastAsia" w:ascii="宋体" w:hAnsi="宋体" w:eastAsia="宋体" w:cs="宋体"/>
                <w:color w:val="auto"/>
                <w:sz w:val="21"/>
                <w:szCs w:val="21"/>
              </w:rPr>
              <w:t>分 ≤ 结果考核得分 &lt; 90分：</w:t>
            </w:r>
            <w:r>
              <w:rPr>
                <w:rFonts w:hint="eastAsia" w:ascii="宋体" w:hAnsi="宋体" w:eastAsia="宋体" w:cs="宋体"/>
                <w:color w:val="auto"/>
                <w:lang w:val="en-US" w:eastAsia="zh-CN"/>
              </w:rPr>
              <w:t>招标人最终支付当期物业管理带教服务费的90%</w:t>
            </w:r>
            <w:r>
              <w:rPr>
                <w:rFonts w:hint="eastAsia" w:ascii="宋体" w:hAnsi="宋体" w:eastAsia="宋体" w:cs="宋体"/>
                <w:color w:val="auto"/>
                <w:sz w:val="21"/>
                <w:szCs w:val="21"/>
              </w:rPr>
              <w:t>。</w:t>
            </w:r>
          </w:p>
          <w:p w14:paraId="44D497DE">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70</w:t>
            </w:r>
            <w:r>
              <w:rPr>
                <w:rFonts w:hint="eastAsia" w:ascii="宋体" w:hAnsi="宋体" w:eastAsia="宋体" w:cs="宋体"/>
                <w:color w:val="auto"/>
                <w:sz w:val="21"/>
                <w:szCs w:val="21"/>
              </w:rPr>
              <w:t>分 ≤ 结果考核得分 &lt;</w:t>
            </w:r>
            <w:r>
              <w:rPr>
                <w:rFonts w:hint="eastAsia" w:ascii="宋体" w:hAnsi="宋体" w:eastAsia="宋体" w:cs="宋体"/>
                <w:color w:val="auto"/>
                <w:sz w:val="21"/>
                <w:szCs w:val="21"/>
                <w:lang w:val="en-US" w:eastAsia="zh-CN"/>
              </w:rPr>
              <w:t xml:space="preserve"> 80</w:t>
            </w:r>
            <w:r>
              <w:rPr>
                <w:rFonts w:hint="eastAsia" w:ascii="宋体" w:hAnsi="宋体" w:eastAsia="宋体" w:cs="宋体"/>
                <w:color w:val="auto"/>
                <w:sz w:val="21"/>
                <w:szCs w:val="21"/>
              </w:rPr>
              <w:t>分：</w:t>
            </w:r>
            <w:r>
              <w:rPr>
                <w:rFonts w:hint="eastAsia" w:ascii="宋体" w:hAnsi="宋体" w:eastAsia="宋体" w:cs="宋体"/>
                <w:color w:val="auto"/>
                <w:lang w:val="en-US" w:eastAsia="zh-CN"/>
              </w:rPr>
              <w:t>招标人最终支付当期物业管理带教服务费的80%</w:t>
            </w:r>
            <w:r>
              <w:rPr>
                <w:rFonts w:hint="eastAsia" w:ascii="宋体" w:hAnsi="宋体" w:eastAsia="宋体" w:cs="宋体"/>
                <w:color w:val="auto"/>
                <w:sz w:val="21"/>
                <w:szCs w:val="21"/>
              </w:rPr>
              <w:t>。</w:t>
            </w:r>
          </w:p>
          <w:p w14:paraId="4E387D5C">
            <w:pPr>
              <w:spacing w:line="240" w:lineRule="auto"/>
              <w:rPr>
                <w:rFonts w:hint="eastAsia" w:ascii="宋体" w:hAnsi="宋体" w:eastAsia="宋体" w:cs="宋体"/>
                <w:i w:val="0"/>
                <w:iCs w:val="0"/>
                <w:color w:val="auto"/>
                <w:sz w:val="21"/>
                <w:szCs w:val="21"/>
                <w:u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结果考核得分 &lt; </w:t>
            </w:r>
            <w:r>
              <w:rPr>
                <w:rFonts w:hint="eastAsia" w:ascii="宋体" w:hAnsi="宋体" w:eastAsia="宋体" w:cs="宋体"/>
                <w:color w:val="auto"/>
                <w:sz w:val="21"/>
                <w:szCs w:val="21"/>
                <w:highlight w:val="none"/>
                <w:lang w:val="en-US" w:eastAsia="zh-CN"/>
              </w:rPr>
              <w:t>70</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lang w:val="en-US" w:eastAsia="zh-CN"/>
              </w:rPr>
              <w:t>招标人</w:t>
            </w:r>
            <w:r>
              <w:rPr>
                <w:rFonts w:hint="eastAsia" w:ascii="宋体" w:hAnsi="宋体" w:eastAsia="宋体" w:cs="宋体"/>
                <w:color w:val="auto"/>
              </w:rPr>
              <w:t>无需支付</w:t>
            </w:r>
            <w:r>
              <w:rPr>
                <w:rFonts w:hint="eastAsia" w:ascii="宋体" w:hAnsi="宋体" w:eastAsia="宋体" w:cs="宋体"/>
                <w:color w:val="auto"/>
                <w:lang w:val="en-US" w:eastAsia="zh-CN"/>
              </w:rPr>
              <w:t>当期物业管理带教服务费用</w:t>
            </w:r>
            <w:r>
              <w:rPr>
                <w:rFonts w:hint="eastAsia" w:ascii="宋体" w:hAnsi="宋体" w:eastAsia="宋体" w:cs="宋体"/>
                <w:color w:val="auto"/>
                <w:sz w:val="21"/>
                <w:szCs w:val="21"/>
                <w:highlight w:val="none"/>
              </w:rPr>
              <w:t>，</w:t>
            </w:r>
            <w:r>
              <w:rPr>
                <w:rFonts w:hint="eastAsia" w:ascii="宋体" w:hAnsi="宋体" w:eastAsia="宋体" w:cs="宋体"/>
                <w:color w:val="auto"/>
              </w:rPr>
              <w:t>同时</w:t>
            </w:r>
            <w:r>
              <w:rPr>
                <w:rFonts w:hint="eastAsia" w:ascii="宋体" w:hAnsi="宋体" w:eastAsia="宋体" w:cs="宋体"/>
                <w:color w:val="auto"/>
                <w:lang w:val="en-US" w:eastAsia="zh-CN"/>
              </w:rPr>
              <w:t>中标人</w:t>
            </w:r>
            <w:r>
              <w:rPr>
                <w:rFonts w:hint="eastAsia" w:ascii="宋体" w:hAnsi="宋体" w:eastAsia="宋体" w:cs="宋体"/>
                <w:color w:val="auto"/>
              </w:rPr>
              <w:t>还应向</w:t>
            </w:r>
            <w:r>
              <w:rPr>
                <w:rFonts w:hint="eastAsia" w:ascii="宋体" w:hAnsi="宋体" w:eastAsia="宋体" w:cs="宋体"/>
                <w:color w:val="auto"/>
                <w:lang w:val="en-US" w:eastAsia="zh-CN"/>
              </w:rPr>
              <w:t>招标人</w:t>
            </w:r>
            <w:r>
              <w:rPr>
                <w:rFonts w:hint="eastAsia" w:ascii="宋体" w:hAnsi="宋体" w:eastAsia="宋体" w:cs="宋体"/>
                <w:color w:val="auto"/>
              </w:rPr>
              <w:t>支付人民币</w:t>
            </w:r>
            <w:r>
              <w:rPr>
                <w:rFonts w:hint="eastAsia" w:ascii="宋体" w:hAnsi="宋体" w:eastAsia="宋体" w:cs="宋体"/>
                <w:color w:val="auto"/>
                <w:lang w:val="en-US" w:eastAsia="zh-CN"/>
              </w:rPr>
              <w:t>2</w:t>
            </w:r>
            <w:r>
              <w:rPr>
                <w:rFonts w:hint="eastAsia" w:ascii="宋体" w:hAnsi="宋体" w:eastAsia="宋体" w:cs="宋体"/>
                <w:color w:val="auto"/>
              </w:rPr>
              <w:t>00</w:t>
            </w:r>
            <w:r>
              <w:rPr>
                <w:rFonts w:hint="eastAsia" w:ascii="宋体" w:hAnsi="宋体" w:eastAsia="宋体" w:cs="宋体"/>
                <w:color w:val="auto"/>
                <w:lang w:val="en-US" w:eastAsia="zh-CN"/>
              </w:rPr>
              <w:t>,</w:t>
            </w:r>
            <w:r>
              <w:rPr>
                <w:rFonts w:hint="eastAsia" w:ascii="宋体" w:hAnsi="宋体" w:eastAsia="宋体" w:cs="宋体"/>
                <w:color w:val="auto"/>
              </w:rPr>
              <w:t>000.00元作为违约金</w:t>
            </w:r>
            <w:r>
              <w:rPr>
                <w:rFonts w:hint="eastAsia" w:ascii="宋体" w:hAnsi="宋体" w:eastAsia="宋体" w:cs="宋体"/>
                <w:color w:val="auto"/>
                <w:sz w:val="21"/>
                <w:szCs w:val="21"/>
                <w:highlight w:val="none"/>
              </w:rPr>
              <w:t>。</w:t>
            </w:r>
          </w:p>
        </w:tc>
      </w:tr>
    </w:tbl>
    <w:p w14:paraId="2D1BCEFF">
      <w:pPr>
        <w:pStyle w:val="4"/>
        <w:bidi w:val="0"/>
        <w:spacing w:line="360" w:lineRule="auto"/>
        <w:ind w:firstLine="420" w:firstLineChars="200"/>
        <w:rPr>
          <w:rFonts w:hint="eastAsia" w:ascii="宋体" w:hAnsi="宋体" w:eastAsia="宋体" w:cs="宋体"/>
          <w:color w:val="auto"/>
          <w:sz w:val="21"/>
          <w:szCs w:val="21"/>
          <w:highlight w:val="none"/>
          <w:lang w:val="en-US" w:eastAsia="zh-CN"/>
        </w:rPr>
      </w:pPr>
      <w:bookmarkStart w:id="703" w:name="_Toc2030"/>
      <w:bookmarkStart w:id="704" w:name="_Toc17361"/>
      <w:bookmarkStart w:id="705" w:name="_Toc28048"/>
      <w:bookmarkStart w:id="706" w:name="_Toc1200"/>
      <w:r>
        <w:rPr>
          <w:rFonts w:hint="eastAsia" w:ascii="宋体" w:hAnsi="宋体" w:eastAsia="宋体" w:cs="宋体"/>
          <w:color w:val="auto"/>
          <w:sz w:val="21"/>
          <w:szCs w:val="21"/>
          <w:highlight w:val="none"/>
          <w:lang w:val="en-US" w:eastAsia="zh-CN"/>
        </w:rPr>
        <w:t>5.2</w:t>
      </w:r>
      <w:r>
        <w:rPr>
          <w:rFonts w:hint="eastAsia"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物业管理运营服务考核</w:t>
      </w:r>
      <w:bookmarkEnd w:id="703"/>
      <w:bookmarkEnd w:id="704"/>
      <w:bookmarkEnd w:id="705"/>
      <w:bookmarkEnd w:id="706"/>
    </w:p>
    <w:p w14:paraId="50B02C20">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b w:val="0"/>
          <w:bCs/>
          <w:color w:val="auto"/>
          <w:sz w:val="21"/>
          <w:szCs w:val="21"/>
          <w:lang w:val="en-US" w:eastAsia="zh-CN"/>
        </w:rPr>
        <w:t>5.2.1考核指标如下（100分）</w:t>
      </w:r>
    </w:p>
    <w:tbl>
      <w:tblPr>
        <w:tblStyle w:val="42"/>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4493"/>
        <w:gridCol w:w="1392"/>
        <w:gridCol w:w="1365"/>
        <w:gridCol w:w="1396"/>
      </w:tblGrid>
      <w:tr w14:paraId="47358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11" w:type="dxa"/>
            <w:vAlign w:val="center"/>
          </w:tcPr>
          <w:p w14:paraId="4F738DB1">
            <w:pPr>
              <w:pStyle w:val="18"/>
              <w:adjustRightInd w:val="0"/>
              <w:snapToGrid w:val="0"/>
              <w:spacing w:after="0"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4493" w:type="dxa"/>
            <w:vAlign w:val="center"/>
          </w:tcPr>
          <w:p w14:paraId="2FC98A76">
            <w:pPr>
              <w:pStyle w:val="18"/>
              <w:adjustRightInd w:val="0"/>
              <w:snapToGrid w:val="0"/>
              <w:spacing w:after="0"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考核项目</w:t>
            </w:r>
          </w:p>
        </w:tc>
        <w:tc>
          <w:tcPr>
            <w:tcW w:w="1392" w:type="dxa"/>
            <w:vAlign w:val="center"/>
          </w:tcPr>
          <w:p w14:paraId="6BD685A6">
            <w:pPr>
              <w:pStyle w:val="18"/>
              <w:adjustRightInd w:val="0"/>
              <w:snapToGrid w:val="0"/>
              <w:spacing w:after="0"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总分值</w:t>
            </w:r>
          </w:p>
        </w:tc>
        <w:tc>
          <w:tcPr>
            <w:tcW w:w="1365" w:type="dxa"/>
            <w:vAlign w:val="center"/>
          </w:tcPr>
          <w:p w14:paraId="505988C2">
            <w:pPr>
              <w:pStyle w:val="18"/>
              <w:adjustRightInd w:val="0"/>
              <w:snapToGrid w:val="0"/>
              <w:spacing w:after="0"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权重占比</w:t>
            </w:r>
          </w:p>
        </w:tc>
        <w:tc>
          <w:tcPr>
            <w:tcW w:w="1396" w:type="dxa"/>
            <w:vAlign w:val="center"/>
          </w:tcPr>
          <w:p w14:paraId="2A947A1E">
            <w:pPr>
              <w:pStyle w:val="18"/>
              <w:adjustRightInd w:val="0"/>
              <w:snapToGrid w:val="0"/>
              <w:spacing w:after="0" w:line="240" w:lineRule="atLeas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合计得分</w:t>
            </w:r>
          </w:p>
        </w:tc>
      </w:tr>
      <w:tr w14:paraId="6FC73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557" w:type="dxa"/>
            <w:gridSpan w:val="5"/>
            <w:vAlign w:val="center"/>
          </w:tcPr>
          <w:p w14:paraId="0908E11A">
            <w:pPr>
              <w:pStyle w:val="18"/>
              <w:adjustRightInd w:val="0"/>
              <w:snapToGrid w:val="0"/>
              <w:spacing w:after="0" w:line="240" w:lineRule="atLeast"/>
              <w:ind w:firstLine="0" w:firstLineChars="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一、招标人对中标人考核</w:t>
            </w:r>
          </w:p>
        </w:tc>
      </w:tr>
      <w:tr w14:paraId="767C8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404" w:type="dxa"/>
            <w:gridSpan w:val="2"/>
            <w:vAlign w:val="center"/>
          </w:tcPr>
          <w:p w14:paraId="275689CF">
            <w:pPr>
              <w:pStyle w:val="18"/>
              <w:adjustRightInd w:val="0"/>
              <w:snapToGrid w:val="0"/>
              <w:spacing w:after="0" w:line="240" w:lineRule="atLeast"/>
              <w:ind w:firstLine="0" w:firstLine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（一）客户服务（分值</w:t>
            </w:r>
            <w:r>
              <w:rPr>
                <w:rFonts w:hint="eastAsia" w:ascii="宋体" w:hAnsi="宋体" w:eastAsia="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rPr>
              <w:t>分）</w:t>
            </w:r>
          </w:p>
        </w:tc>
        <w:tc>
          <w:tcPr>
            <w:tcW w:w="1392" w:type="dxa"/>
            <w:vMerge w:val="restart"/>
            <w:vAlign w:val="center"/>
          </w:tcPr>
          <w:p w14:paraId="47CF219A">
            <w:pPr>
              <w:pStyle w:val="18"/>
              <w:adjustRightInd w:val="0"/>
              <w:snapToGrid w:val="0"/>
              <w:spacing w:after="0" w:line="240" w:lineRule="atLeast"/>
              <w:ind w:firstLine="42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100分</w:t>
            </w:r>
          </w:p>
        </w:tc>
        <w:tc>
          <w:tcPr>
            <w:tcW w:w="1365" w:type="dxa"/>
            <w:vMerge w:val="restart"/>
            <w:vAlign w:val="center"/>
          </w:tcPr>
          <w:p w14:paraId="6D7CD508">
            <w:pPr>
              <w:pStyle w:val="18"/>
              <w:adjustRightInd w:val="0"/>
              <w:snapToGrid w:val="0"/>
              <w:spacing w:after="0" w:line="240" w:lineRule="atLeast"/>
              <w:ind w:firstLine="42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40%</w:t>
            </w:r>
          </w:p>
        </w:tc>
        <w:tc>
          <w:tcPr>
            <w:tcW w:w="1396" w:type="dxa"/>
            <w:vMerge w:val="restart"/>
            <w:vAlign w:val="center"/>
          </w:tcPr>
          <w:p w14:paraId="2E194BD1">
            <w:pPr>
              <w:pStyle w:val="18"/>
              <w:adjustRightInd w:val="0"/>
              <w:snapToGrid w:val="0"/>
              <w:spacing w:after="0" w:line="240" w:lineRule="atLeast"/>
              <w:ind w:firstLine="420"/>
              <w:jc w:val="center"/>
              <w:rPr>
                <w:rFonts w:hint="eastAsia" w:ascii="宋体" w:hAnsi="宋体" w:eastAsia="宋体" w:cs="宋体"/>
                <w:b w:val="0"/>
                <w:bCs w:val="0"/>
                <w:color w:val="auto"/>
                <w:sz w:val="21"/>
                <w:szCs w:val="21"/>
                <w:highlight w:val="none"/>
              </w:rPr>
            </w:pPr>
          </w:p>
        </w:tc>
      </w:tr>
      <w:tr w14:paraId="1CEC3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404" w:type="dxa"/>
            <w:gridSpan w:val="2"/>
            <w:vAlign w:val="center"/>
          </w:tcPr>
          <w:p w14:paraId="1D1AE456">
            <w:pPr>
              <w:pStyle w:val="18"/>
              <w:adjustRightInd w:val="0"/>
              <w:snapToGrid w:val="0"/>
              <w:spacing w:after="0" w:line="240" w:lineRule="atLeast"/>
              <w:ind w:firstLine="0" w:firstLine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（二）环境卫生（分值3</w:t>
            </w:r>
            <w:r>
              <w:rPr>
                <w:rFonts w:hint="eastAsia" w:ascii="宋体" w:hAnsi="宋体" w:eastAsia="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c>
          <w:tcPr>
            <w:tcW w:w="1392" w:type="dxa"/>
            <w:vMerge w:val="continue"/>
          </w:tcPr>
          <w:p w14:paraId="6A316968">
            <w:pPr>
              <w:pStyle w:val="18"/>
              <w:adjustRightInd w:val="0"/>
              <w:snapToGrid w:val="0"/>
              <w:spacing w:after="0" w:line="240" w:lineRule="atLeast"/>
              <w:ind w:firstLine="420"/>
              <w:rPr>
                <w:rFonts w:hint="eastAsia" w:ascii="宋体" w:hAnsi="宋体" w:eastAsia="宋体" w:cs="宋体"/>
                <w:b w:val="0"/>
                <w:bCs w:val="0"/>
                <w:color w:val="auto"/>
                <w:sz w:val="21"/>
                <w:szCs w:val="21"/>
                <w:highlight w:val="none"/>
              </w:rPr>
            </w:pPr>
          </w:p>
        </w:tc>
        <w:tc>
          <w:tcPr>
            <w:tcW w:w="1365" w:type="dxa"/>
            <w:vMerge w:val="continue"/>
          </w:tcPr>
          <w:p w14:paraId="560A6370">
            <w:pPr>
              <w:pStyle w:val="18"/>
              <w:adjustRightInd w:val="0"/>
              <w:snapToGrid w:val="0"/>
              <w:spacing w:after="0" w:line="240" w:lineRule="atLeast"/>
              <w:ind w:firstLine="420"/>
              <w:rPr>
                <w:rFonts w:hint="eastAsia" w:ascii="宋体" w:hAnsi="宋体" w:eastAsia="宋体" w:cs="宋体"/>
                <w:b w:val="0"/>
                <w:bCs w:val="0"/>
                <w:color w:val="auto"/>
                <w:sz w:val="21"/>
                <w:szCs w:val="21"/>
                <w:highlight w:val="none"/>
              </w:rPr>
            </w:pPr>
          </w:p>
        </w:tc>
        <w:tc>
          <w:tcPr>
            <w:tcW w:w="1396" w:type="dxa"/>
            <w:vMerge w:val="continue"/>
            <w:vAlign w:val="center"/>
          </w:tcPr>
          <w:p w14:paraId="5086E432">
            <w:pPr>
              <w:pStyle w:val="18"/>
              <w:adjustRightInd w:val="0"/>
              <w:snapToGrid w:val="0"/>
              <w:spacing w:after="0" w:line="240" w:lineRule="atLeast"/>
              <w:ind w:firstLine="420"/>
              <w:jc w:val="center"/>
              <w:rPr>
                <w:rFonts w:hint="eastAsia" w:ascii="宋体" w:hAnsi="宋体" w:eastAsia="宋体" w:cs="宋体"/>
                <w:b w:val="0"/>
                <w:bCs w:val="0"/>
                <w:color w:val="auto"/>
                <w:sz w:val="21"/>
                <w:szCs w:val="21"/>
                <w:highlight w:val="none"/>
              </w:rPr>
            </w:pPr>
          </w:p>
        </w:tc>
      </w:tr>
      <w:tr w14:paraId="00C00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404" w:type="dxa"/>
            <w:gridSpan w:val="2"/>
            <w:vAlign w:val="center"/>
          </w:tcPr>
          <w:p w14:paraId="193EE736">
            <w:pPr>
              <w:pStyle w:val="18"/>
              <w:adjustRightInd w:val="0"/>
              <w:snapToGrid w:val="0"/>
              <w:spacing w:after="0" w:line="240" w:lineRule="atLeast"/>
              <w:ind w:firstLine="0" w:firstLine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（三）会议服务（分值</w:t>
            </w:r>
            <w:r>
              <w:rPr>
                <w:rFonts w:hint="eastAsia" w:ascii="宋体" w:hAnsi="宋体" w:eastAsia="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rPr>
              <w:t>分）</w:t>
            </w:r>
          </w:p>
        </w:tc>
        <w:tc>
          <w:tcPr>
            <w:tcW w:w="1392" w:type="dxa"/>
            <w:vMerge w:val="continue"/>
          </w:tcPr>
          <w:p w14:paraId="44734878">
            <w:pPr>
              <w:pStyle w:val="18"/>
              <w:adjustRightInd w:val="0"/>
              <w:snapToGrid w:val="0"/>
              <w:spacing w:after="0" w:line="240" w:lineRule="atLeast"/>
              <w:ind w:firstLine="420"/>
              <w:rPr>
                <w:rFonts w:hint="eastAsia" w:ascii="宋体" w:hAnsi="宋体" w:eastAsia="宋体" w:cs="宋体"/>
                <w:b w:val="0"/>
                <w:bCs w:val="0"/>
                <w:color w:val="auto"/>
                <w:sz w:val="21"/>
                <w:szCs w:val="21"/>
                <w:highlight w:val="none"/>
              </w:rPr>
            </w:pPr>
          </w:p>
        </w:tc>
        <w:tc>
          <w:tcPr>
            <w:tcW w:w="1365" w:type="dxa"/>
            <w:vMerge w:val="continue"/>
          </w:tcPr>
          <w:p w14:paraId="613117AF">
            <w:pPr>
              <w:pStyle w:val="18"/>
              <w:adjustRightInd w:val="0"/>
              <w:snapToGrid w:val="0"/>
              <w:spacing w:after="0" w:line="240" w:lineRule="atLeast"/>
              <w:ind w:firstLine="420"/>
              <w:rPr>
                <w:rFonts w:hint="eastAsia" w:ascii="宋体" w:hAnsi="宋体" w:eastAsia="宋体" w:cs="宋体"/>
                <w:b w:val="0"/>
                <w:bCs w:val="0"/>
                <w:color w:val="auto"/>
                <w:sz w:val="21"/>
                <w:szCs w:val="21"/>
                <w:highlight w:val="none"/>
              </w:rPr>
            </w:pPr>
          </w:p>
        </w:tc>
        <w:tc>
          <w:tcPr>
            <w:tcW w:w="1396" w:type="dxa"/>
            <w:vMerge w:val="continue"/>
            <w:vAlign w:val="center"/>
          </w:tcPr>
          <w:p w14:paraId="0FE0B624">
            <w:pPr>
              <w:pStyle w:val="18"/>
              <w:adjustRightInd w:val="0"/>
              <w:snapToGrid w:val="0"/>
              <w:spacing w:after="0" w:line="240" w:lineRule="atLeast"/>
              <w:ind w:firstLine="420"/>
              <w:jc w:val="center"/>
              <w:rPr>
                <w:rFonts w:hint="eastAsia" w:ascii="宋体" w:hAnsi="宋体" w:eastAsia="宋体" w:cs="宋体"/>
                <w:b w:val="0"/>
                <w:bCs w:val="0"/>
                <w:color w:val="auto"/>
                <w:sz w:val="21"/>
                <w:szCs w:val="21"/>
                <w:highlight w:val="none"/>
              </w:rPr>
            </w:pPr>
          </w:p>
        </w:tc>
      </w:tr>
      <w:tr w14:paraId="31141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404" w:type="dxa"/>
            <w:gridSpan w:val="2"/>
            <w:vAlign w:val="center"/>
          </w:tcPr>
          <w:p w14:paraId="1943522B">
            <w:pPr>
              <w:pStyle w:val="18"/>
              <w:adjustRightInd w:val="0"/>
              <w:snapToGrid w:val="0"/>
              <w:spacing w:after="0" w:line="240" w:lineRule="atLeast"/>
              <w:ind w:firstLine="0" w:firstLine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（四）绿化养护工作（分值</w:t>
            </w:r>
            <w:r>
              <w:rPr>
                <w:rFonts w:hint="eastAsia" w:ascii="宋体" w:hAnsi="宋体" w:eastAsia="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rPr>
              <w:t>分）</w:t>
            </w:r>
          </w:p>
        </w:tc>
        <w:tc>
          <w:tcPr>
            <w:tcW w:w="1392" w:type="dxa"/>
            <w:vMerge w:val="continue"/>
          </w:tcPr>
          <w:p w14:paraId="396606DB">
            <w:pPr>
              <w:pStyle w:val="18"/>
              <w:adjustRightInd w:val="0"/>
              <w:snapToGrid w:val="0"/>
              <w:spacing w:after="0" w:line="240" w:lineRule="atLeast"/>
              <w:ind w:firstLine="420"/>
              <w:rPr>
                <w:rFonts w:hint="eastAsia" w:ascii="宋体" w:hAnsi="宋体" w:eastAsia="宋体" w:cs="宋体"/>
                <w:b w:val="0"/>
                <w:bCs w:val="0"/>
                <w:color w:val="auto"/>
                <w:sz w:val="21"/>
                <w:szCs w:val="21"/>
                <w:highlight w:val="none"/>
              </w:rPr>
            </w:pPr>
          </w:p>
        </w:tc>
        <w:tc>
          <w:tcPr>
            <w:tcW w:w="1365" w:type="dxa"/>
            <w:vMerge w:val="continue"/>
          </w:tcPr>
          <w:p w14:paraId="22F27C39">
            <w:pPr>
              <w:pStyle w:val="18"/>
              <w:adjustRightInd w:val="0"/>
              <w:snapToGrid w:val="0"/>
              <w:spacing w:after="0" w:line="240" w:lineRule="atLeast"/>
              <w:ind w:firstLine="420"/>
              <w:rPr>
                <w:rFonts w:hint="eastAsia" w:ascii="宋体" w:hAnsi="宋体" w:eastAsia="宋体" w:cs="宋体"/>
                <w:b w:val="0"/>
                <w:bCs w:val="0"/>
                <w:color w:val="auto"/>
                <w:sz w:val="21"/>
                <w:szCs w:val="21"/>
                <w:highlight w:val="none"/>
              </w:rPr>
            </w:pPr>
          </w:p>
        </w:tc>
        <w:tc>
          <w:tcPr>
            <w:tcW w:w="1396" w:type="dxa"/>
            <w:vMerge w:val="continue"/>
            <w:vAlign w:val="center"/>
          </w:tcPr>
          <w:p w14:paraId="6CC774B4">
            <w:pPr>
              <w:pStyle w:val="18"/>
              <w:adjustRightInd w:val="0"/>
              <w:snapToGrid w:val="0"/>
              <w:spacing w:after="0" w:line="240" w:lineRule="atLeast"/>
              <w:ind w:firstLine="420"/>
              <w:jc w:val="center"/>
              <w:rPr>
                <w:rFonts w:hint="eastAsia" w:ascii="宋体" w:hAnsi="宋体" w:eastAsia="宋体" w:cs="宋体"/>
                <w:b w:val="0"/>
                <w:bCs w:val="0"/>
                <w:color w:val="auto"/>
                <w:sz w:val="21"/>
                <w:szCs w:val="21"/>
                <w:highlight w:val="none"/>
              </w:rPr>
            </w:pPr>
          </w:p>
        </w:tc>
      </w:tr>
      <w:tr w14:paraId="1CD9D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404" w:type="dxa"/>
            <w:gridSpan w:val="2"/>
            <w:vAlign w:val="center"/>
          </w:tcPr>
          <w:p w14:paraId="29D5EA10">
            <w:pPr>
              <w:pStyle w:val="18"/>
              <w:adjustRightInd w:val="0"/>
              <w:snapToGrid w:val="0"/>
              <w:spacing w:after="0" w:line="240" w:lineRule="atLeast"/>
              <w:ind w:firstLine="0" w:firstLine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五</w:t>
            </w:r>
            <w:r>
              <w:rPr>
                <w:rFonts w:hint="eastAsia" w:ascii="宋体" w:hAnsi="宋体" w:eastAsia="宋体" w:cs="宋体"/>
                <w:b w:val="0"/>
                <w:bCs w:val="0"/>
                <w:color w:val="auto"/>
                <w:sz w:val="21"/>
                <w:szCs w:val="21"/>
                <w:highlight w:val="none"/>
              </w:rPr>
              <w:t>）突发事件处理（分值5分）</w:t>
            </w:r>
          </w:p>
        </w:tc>
        <w:tc>
          <w:tcPr>
            <w:tcW w:w="1392" w:type="dxa"/>
            <w:vMerge w:val="continue"/>
          </w:tcPr>
          <w:p w14:paraId="623DF938">
            <w:pPr>
              <w:pStyle w:val="18"/>
              <w:adjustRightInd w:val="0"/>
              <w:snapToGrid w:val="0"/>
              <w:spacing w:after="0" w:line="240" w:lineRule="atLeast"/>
              <w:ind w:firstLine="420"/>
              <w:rPr>
                <w:rFonts w:hint="eastAsia" w:ascii="宋体" w:hAnsi="宋体" w:eastAsia="宋体" w:cs="宋体"/>
                <w:b w:val="0"/>
                <w:bCs w:val="0"/>
                <w:color w:val="auto"/>
                <w:sz w:val="21"/>
                <w:szCs w:val="21"/>
                <w:highlight w:val="none"/>
              </w:rPr>
            </w:pPr>
          </w:p>
        </w:tc>
        <w:tc>
          <w:tcPr>
            <w:tcW w:w="1365" w:type="dxa"/>
            <w:vMerge w:val="continue"/>
          </w:tcPr>
          <w:p w14:paraId="341B5A4B">
            <w:pPr>
              <w:pStyle w:val="18"/>
              <w:adjustRightInd w:val="0"/>
              <w:snapToGrid w:val="0"/>
              <w:spacing w:after="0" w:line="240" w:lineRule="atLeast"/>
              <w:ind w:firstLine="420"/>
              <w:rPr>
                <w:rFonts w:hint="eastAsia" w:ascii="宋体" w:hAnsi="宋体" w:eastAsia="宋体" w:cs="宋体"/>
                <w:b w:val="0"/>
                <w:bCs w:val="0"/>
                <w:color w:val="auto"/>
                <w:sz w:val="21"/>
                <w:szCs w:val="21"/>
                <w:highlight w:val="none"/>
              </w:rPr>
            </w:pPr>
          </w:p>
        </w:tc>
        <w:tc>
          <w:tcPr>
            <w:tcW w:w="1396" w:type="dxa"/>
            <w:vMerge w:val="continue"/>
            <w:vAlign w:val="center"/>
          </w:tcPr>
          <w:p w14:paraId="5E57D5E0">
            <w:pPr>
              <w:pStyle w:val="18"/>
              <w:adjustRightInd w:val="0"/>
              <w:snapToGrid w:val="0"/>
              <w:spacing w:after="0" w:line="240" w:lineRule="atLeast"/>
              <w:ind w:firstLine="420"/>
              <w:jc w:val="center"/>
              <w:rPr>
                <w:rFonts w:hint="eastAsia" w:ascii="宋体" w:hAnsi="宋体" w:eastAsia="宋体" w:cs="宋体"/>
                <w:b w:val="0"/>
                <w:bCs w:val="0"/>
                <w:color w:val="auto"/>
                <w:sz w:val="21"/>
                <w:szCs w:val="21"/>
                <w:highlight w:val="none"/>
              </w:rPr>
            </w:pPr>
          </w:p>
        </w:tc>
      </w:tr>
      <w:tr w14:paraId="70444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404" w:type="dxa"/>
            <w:gridSpan w:val="2"/>
            <w:vAlign w:val="center"/>
          </w:tcPr>
          <w:p w14:paraId="3DD7E820">
            <w:pPr>
              <w:pStyle w:val="18"/>
              <w:adjustRightInd w:val="0"/>
              <w:snapToGrid w:val="0"/>
              <w:spacing w:after="0" w:line="240" w:lineRule="atLeast"/>
              <w:ind w:firstLine="0" w:firstLine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六</w:t>
            </w:r>
            <w:r>
              <w:rPr>
                <w:rFonts w:hint="eastAsia" w:ascii="宋体" w:hAnsi="宋体" w:eastAsia="宋体" w:cs="宋体"/>
                <w:b w:val="0"/>
                <w:bCs w:val="0"/>
                <w:color w:val="auto"/>
                <w:sz w:val="21"/>
                <w:szCs w:val="21"/>
                <w:highlight w:val="none"/>
              </w:rPr>
              <w:t>）日常巡检落实情况（分值30分）</w:t>
            </w:r>
          </w:p>
        </w:tc>
        <w:tc>
          <w:tcPr>
            <w:tcW w:w="1392" w:type="dxa"/>
            <w:vMerge w:val="restart"/>
            <w:vAlign w:val="center"/>
          </w:tcPr>
          <w:p w14:paraId="272002FA">
            <w:pPr>
              <w:pStyle w:val="18"/>
              <w:adjustRightInd w:val="0"/>
              <w:snapToGrid w:val="0"/>
              <w:spacing w:after="0" w:line="240" w:lineRule="atLeast"/>
              <w:ind w:firstLine="42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100分</w:t>
            </w:r>
          </w:p>
        </w:tc>
        <w:tc>
          <w:tcPr>
            <w:tcW w:w="1365" w:type="dxa"/>
            <w:vMerge w:val="restart"/>
            <w:vAlign w:val="center"/>
          </w:tcPr>
          <w:p w14:paraId="5AE5ED78">
            <w:pPr>
              <w:pStyle w:val="18"/>
              <w:adjustRightInd w:val="0"/>
              <w:snapToGrid w:val="0"/>
              <w:spacing w:after="0" w:line="240" w:lineRule="atLeast"/>
              <w:ind w:firstLine="42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30%</w:t>
            </w:r>
          </w:p>
        </w:tc>
        <w:tc>
          <w:tcPr>
            <w:tcW w:w="1396" w:type="dxa"/>
            <w:vMerge w:val="restart"/>
            <w:vAlign w:val="center"/>
          </w:tcPr>
          <w:p w14:paraId="4E915EEC">
            <w:pPr>
              <w:pStyle w:val="18"/>
              <w:adjustRightInd w:val="0"/>
              <w:snapToGrid w:val="0"/>
              <w:spacing w:after="0" w:line="240" w:lineRule="atLeast"/>
              <w:ind w:firstLine="420"/>
              <w:jc w:val="center"/>
              <w:rPr>
                <w:rFonts w:hint="eastAsia" w:ascii="宋体" w:hAnsi="宋体" w:eastAsia="宋体" w:cs="宋体"/>
                <w:b w:val="0"/>
                <w:bCs w:val="0"/>
                <w:color w:val="auto"/>
                <w:sz w:val="21"/>
                <w:szCs w:val="21"/>
                <w:highlight w:val="none"/>
              </w:rPr>
            </w:pPr>
          </w:p>
        </w:tc>
      </w:tr>
      <w:tr w14:paraId="7C883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404" w:type="dxa"/>
            <w:gridSpan w:val="2"/>
            <w:vAlign w:val="center"/>
          </w:tcPr>
          <w:p w14:paraId="520C9E15">
            <w:pPr>
              <w:pStyle w:val="18"/>
              <w:adjustRightInd w:val="0"/>
              <w:snapToGrid w:val="0"/>
              <w:spacing w:after="0" w:line="240" w:lineRule="atLeast"/>
              <w:ind w:firstLine="0" w:firstLine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七</w:t>
            </w:r>
            <w:r>
              <w:rPr>
                <w:rFonts w:hint="eastAsia" w:ascii="宋体" w:hAnsi="宋体" w:eastAsia="宋体" w:cs="宋体"/>
                <w:b w:val="0"/>
                <w:bCs w:val="0"/>
                <w:color w:val="auto"/>
                <w:sz w:val="21"/>
                <w:szCs w:val="21"/>
                <w:highlight w:val="none"/>
              </w:rPr>
              <w:t>）日常维保落实情况（分值10分）</w:t>
            </w:r>
          </w:p>
        </w:tc>
        <w:tc>
          <w:tcPr>
            <w:tcW w:w="1392" w:type="dxa"/>
            <w:vMerge w:val="continue"/>
          </w:tcPr>
          <w:p w14:paraId="35DF2C9C">
            <w:pPr>
              <w:pStyle w:val="18"/>
              <w:adjustRightInd w:val="0"/>
              <w:snapToGrid w:val="0"/>
              <w:spacing w:after="0" w:line="240" w:lineRule="atLeast"/>
              <w:ind w:firstLine="420"/>
              <w:rPr>
                <w:rFonts w:hint="eastAsia" w:ascii="宋体" w:hAnsi="宋体" w:eastAsia="宋体" w:cs="宋体"/>
                <w:b w:val="0"/>
                <w:bCs w:val="0"/>
                <w:color w:val="auto"/>
                <w:sz w:val="21"/>
                <w:szCs w:val="21"/>
                <w:highlight w:val="none"/>
              </w:rPr>
            </w:pPr>
          </w:p>
        </w:tc>
        <w:tc>
          <w:tcPr>
            <w:tcW w:w="1365" w:type="dxa"/>
            <w:vMerge w:val="continue"/>
          </w:tcPr>
          <w:p w14:paraId="3B32B03A">
            <w:pPr>
              <w:pStyle w:val="18"/>
              <w:adjustRightInd w:val="0"/>
              <w:snapToGrid w:val="0"/>
              <w:spacing w:after="0" w:line="240" w:lineRule="atLeast"/>
              <w:ind w:firstLine="420"/>
              <w:rPr>
                <w:rFonts w:hint="eastAsia" w:ascii="宋体" w:hAnsi="宋体" w:eastAsia="宋体" w:cs="宋体"/>
                <w:b w:val="0"/>
                <w:bCs w:val="0"/>
                <w:color w:val="auto"/>
                <w:sz w:val="21"/>
                <w:szCs w:val="21"/>
                <w:highlight w:val="none"/>
              </w:rPr>
            </w:pPr>
          </w:p>
        </w:tc>
        <w:tc>
          <w:tcPr>
            <w:tcW w:w="1396" w:type="dxa"/>
            <w:vMerge w:val="continue"/>
            <w:vAlign w:val="center"/>
          </w:tcPr>
          <w:p w14:paraId="2A1A826A">
            <w:pPr>
              <w:pStyle w:val="18"/>
              <w:adjustRightInd w:val="0"/>
              <w:snapToGrid w:val="0"/>
              <w:spacing w:after="0" w:line="240" w:lineRule="atLeast"/>
              <w:ind w:firstLine="420"/>
              <w:jc w:val="center"/>
              <w:rPr>
                <w:rFonts w:hint="eastAsia" w:ascii="宋体" w:hAnsi="宋体" w:eastAsia="宋体" w:cs="宋体"/>
                <w:b w:val="0"/>
                <w:bCs w:val="0"/>
                <w:color w:val="auto"/>
                <w:sz w:val="21"/>
                <w:szCs w:val="21"/>
                <w:highlight w:val="none"/>
              </w:rPr>
            </w:pPr>
          </w:p>
        </w:tc>
      </w:tr>
      <w:tr w14:paraId="5EF60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404" w:type="dxa"/>
            <w:gridSpan w:val="2"/>
            <w:vAlign w:val="center"/>
          </w:tcPr>
          <w:p w14:paraId="01DE9DB8">
            <w:pPr>
              <w:pStyle w:val="18"/>
              <w:adjustRightInd w:val="0"/>
              <w:snapToGrid w:val="0"/>
              <w:spacing w:after="0" w:line="240" w:lineRule="atLeast"/>
              <w:ind w:firstLine="0" w:firstLine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八</w:t>
            </w:r>
            <w:r>
              <w:rPr>
                <w:rFonts w:hint="eastAsia" w:ascii="宋体" w:hAnsi="宋体" w:eastAsia="宋体" w:cs="宋体"/>
                <w:b w:val="0"/>
                <w:bCs w:val="0"/>
                <w:color w:val="auto"/>
                <w:sz w:val="21"/>
                <w:szCs w:val="21"/>
                <w:highlight w:val="none"/>
              </w:rPr>
              <w:t>）服务响应时间（分值15分）</w:t>
            </w:r>
          </w:p>
        </w:tc>
        <w:tc>
          <w:tcPr>
            <w:tcW w:w="1392" w:type="dxa"/>
            <w:vMerge w:val="continue"/>
          </w:tcPr>
          <w:p w14:paraId="0244F828">
            <w:pPr>
              <w:pStyle w:val="18"/>
              <w:adjustRightInd w:val="0"/>
              <w:snapToGrid w:val="0"/>
              <w:spacing w:after="0" w:line="240" w:lineRule="atLeast"/>
              <w:ind w:firstLine="420"/>
              <w:rPr>
                <w:rFonts w:hint="eastAsia" w:ascii="宋体" w:hAnsi="宋体" w:eastAsia="宋体" w:cs="宋体"/>
                <w:b w:val="0"/>
                <w:bCs w:val="0"/>
                <w:color w:val="auto"/>
                <w:sz w:val="21"/>
                <w:szCs w:val="21"/>
                <w:highlight w:val="none"/>
              </w:rPr>
            </w:pPr>
          </w:p>
        </w:tc>
        <w:tc>
          <w:tcPr>
            <w:tcW w:w="1365" w:type="dxa"/>
            <w:vMerge w:val="continue"/>
          </w:tcPr>
          <w:p w14:paraId="775FA115">
            <w:pPr>
              <w:pStyle w:val="18"/>
              <w:adjustRightInd w:val="0"/>
              <w:snapToGrid w:val="0"/>
              <w:spacing w:after="0" w:line="240" w:lineRule="atLeast"/>
              <w:ind w:firstLine="420"/>
              <w:rPr>
                <w:rFonts w:hint="eastAsia" w:ascii="宋体" w:hAnsi="宋体" w:eastAsia="宋体" w:cs="宋体"/>
                <w:b w:val="0"/>
                <w:bCs w:val="0"/>
                <w:color w:val="auto"/>
                <w:sz w:val="21"/>
                <w:szCs w:val="21"/>
                <w:highlight w:val="none"/>
              </w:rPr>
            </w:pPr>
          </w:p>
        </w:tc>
        <w:tc>
          <w:tcPr>
            <w:tcW w:w="1396" w:type="dxa"/>
            <w:vMerge w:val="continue"/>
            <w:vAlign w:val="center"/>
          </w:tcPr>
          <w:p w14:paraId="091FC4E7">
            <w:pPr>
              <w:pStyle w:val="18"/>
              <w:adjustRightInd w:val="0"/>
              <w:snapToGrid w:val="0"/>
              <w:spacing w:after="0" w:line="240" w:lineRule="atLeast"/>
              <w:ind w:firstLine="420"/>
              <w:jc w:val="center"/>
              <w:rPr>
                <w:rFonts w:hint="eastAsia" w:ascii="宋体" w:hAnsi="宋体" w:eastAsia="宋体" w:cs="宋体"/>
                <w:b w:val="0"/>
                <w:bCs w:val="0"/>
                <w:color w:val="auto"/>
                <w:sz w:val="21"/>
                <w:szCs w:val="21"/>
                <w:highlight w:val="none"/>
              </w:rPr>
            </w:pPr>
          </w:p>
        </w:tc>
      </w:tr>
      <w:tr w14:paraId="56325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404" w:type="dxa"/>
            <w:gridSpan w:val="2"/>
            <w:vAlign w:val="center"/>
          </w:tcPr>
          <w:p w14:paraId="3C78F690">
            <w:pPr>
              <w:pStyle w:val="18"/>
              <w:adjustRightInd w:val="0"/>
              <w:snapToGrid w:val="0"/>
              <w:spacing w:after="0" w:line="240" w:lineRule="atLeast"/>
              <w:ind w:firstLine="0" w:firstLine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九</w:t>
            </w:r>
            <w:r>
              <w:rPr>
                <w:rFonts w:hint="eastAsia" w:ascii="宋体" w:hAnsi="宋体" w:eastAsia="宋体" w:cs="宋体"/>
                <w:b w:val="0"/>
                <w:bCs w:val="0"/>
                <w:color w:val="auto"/>
                <w:sz w:val="21"/>
                <w:szCs w:val="21"/>
                <w:highlight w:val="none"/>
              </w:rPr>
              <w:t>）故障应急处理（分值10分）</w:t>
            </w:r>
          </w:p>
        </w:tc>
        <w:tc>
          <w:tcPr>
            <w:tcW w:w="1392" w:type="dxa"/>
            <w:vMerge w:val="continue"/>
          </w:tcPr>
          <w:p w14:paraId="5A2E8793">
            <w:pPr>
              <w:pStyle w:val="18"/>
              <w:adjustRightInd w:val="0"/>
              <w:snapToGrid w:val="0"/>
              <w:spacing w:after="0" w:line="240" w:lineRule="atLeast"/>
              <w:ind w:firstLine="420"/>
              <w:rPr>
                <w:rFonts w:hint="eastAsia" w:ascii="宋体" w:hAnsi="宋体" w:eastAsia="宋体" w:cs="宋体"/>
                <w:b w:val="0"/>
                <w:bCs w:val="0"/>
                <w:color w:val="auto"/>
                <w:sz w:val="21"/>
                <w:szCs w:val="21"/>
                <w:highlight w:val="none"/>
              </w:rPr>
            </w:pPr>
          </w:p>
        </w:tc>
        <w:tc>
          <w:tcPr>
            <w:tcW w:w="1365" w:type="dxa"/>
            <w:vMerge w:val="continue"/>
          </w:tcPr>
          <w:p w14:paraId="62289D36">
            <w:pPr>
              <w:pStyle w:val="18"/>
              <w:adjustRightInd w:val="0"/>
              <w:snapToGrid w:val="0"/>
              <w:spacing w:after="0" w:line="240" w:lineRule="atLeast"/>
              <w:ind w:firstLine="420"/>
              <w:rPr>
                <w:rFonts w:hint="eastAsia" w:ascii="宋体" w:hAnsi="宋体" w:eastAsia="宋体" w:cs="宋体"/>
                <w:b w:val="0"/>
                <w:bCs w:val="0"/>
                <w:color w:val="auto"/>
                <w:sz w:val="21"/>
                <w:szCs w:val="21"/>
                <w:highlight w:val="none"/>
              </w:rPr>
            </w:pPr>
          </w:p>
        </w:tc>
        <w:tc>
          <w:tcPr>
            <w:tcW w:w="1396" w:type="dxa"/>
            <w:vMerge w:val="continue"/>
            <w:vAlign w:val="center"/>
          </w:tcPr>
          <w:p w14:paraId="19E362D1">
            <w:pPr>
              <w:pStyle w:val="18"/>
              <w:adjustRightInd w:val="0"/>
              <w:snapToGrid w:val="0"/>
              <w:spacing w:after="0" w:line="240" w:lineRule="atLeast"/>
              <w:ind w:firstLine="420"/>
              <w:jc w:val="center"/>
              <w:rPr>
                <w:rFonts w:hint="eastAsia" w:ascii="宋体" w:hAnsi="宋体" w:eastAsia="宋体" w:cs="宋体"/>
                <w:b w:val="0"/>
                <w:bCs w:val="0"/>
                <w:color w:val="auto"/>
                <w:sz w:val="21"/>
                <w:szCs w:val="21"/>
                <w:highlight w:val="none"/>
              </w:rPr>
            </w:pPr>
          </w:p>
        </w:tc>
      </w:tr>
      <w:tr w14:paraId="0DB5B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404" w:type="dxa"/>
            <w:gridSpan w:val="2"/>
            <w:vAlign w:val="center"/>
          </w:tcPr>
          <w:p w14:paraId="5BE7F17A">
            <w:pPr>
              <w:pStyle w:val="18"/>
              <w:adjustRightInd w:val="0"/>
              <w:snapToGrid w:val="0"/>
              <w:spacing w:after="0" w:line="240" w:lineRule="atLeast"/>
              <w:ind w:firstLine="0" w:firstLine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（十）投诉及处理（分值15分）</w:t>
            </w:r>
          </w:p>
        </w:tc>
        <w:tc>
          <w:tcPr>
            <w:tcW w:w="1392" w:type="dxa"/>
            <w:vMerge w:val="continue"/>
          </w:tcPr>
          <w:p w14:paraId="5BB900DF">
            <w:pPr>
              <w:pStyle w:val="18"/>
              <w:adjustRightInd w:val="0"/>
              <w:snapToGrid w:val="0"/>
              <w:spacing w:after="0" w:line="240" w:lineRule="atLeast"/>
              <w:ind w:firstLine="420"/>
              <w:rPr>
                <w:rFonts w:hint="eastAsia" w:ascii="宋体" w:hAnsi="宋体" w:eastAsia="宋体" w:cs="宋体"/>
                <w:b w:val="0"/>
                <w:bCs w:val="0"/>
                <w:color w:val="auto"/>
                <w:sz w:val="21"/>
                <w:szCs w:val="21"/>
                <w:highlight w:val="none"/>
              </w:rPr>
            </w:pPr>
          </w:p>
        </w:tc>
        <w:tc>
          <w:tcPr>
            <w:tcW w:w="1365" w:type="dxa"/>
            <w:vMerge w:val="continue"/>
          </w:tcPr>
          <w:p w14:paraId="1F80B00F">
            <w:pPr>
              <w:pStyle w:val="18"/>
              <w:adjustRightInd w:val="0"/>
              <w:snapToGrid w:val="0"/>
              <w:spacing w:after="0" w:line="240" w:lineRule="atLeast"/>
              <w:ind w:firstLine="420"/>
              <w:rPr>
                <w:rFonts w:hint="eastAsia" w:ascii="宋体" w:hAnsi="宋体" w:eastAsia="宋体" w:cs="宋体"/>
                <w:b w:val="0"/>
                <w:bCs w:val="0"/>
                <w:color w:val="auto"/>
                <w:sz w:val="21"/>
                <w:szCs w:val="21"/>
                <w:highlight w:val="none"/>
              </w:rPr>
            </w:pPr>
          </w:p>
        </w:tc>
        <w:tc>
          <w:tcPr>
            <w:tcW w:w="1396" w:type="dxa"/>
            <w:vMerge w:val="continue"/>
            <w:vAlign w:val="center"/>
          </w:tcPr>
          <w:p w14:paraId="15762AFA">
            <w:pPr>
              <w:pStyle w:val="18"/>
              <w:adjustRightInd w:val="0"/>
              <w:snapToGrid w:val="0"/>
              <w:spacing w:after="0" w:line="240" w:lineRule="atLeast"/>
              <w:ind w:firstLine="420"/>
              <w:jc w:val="center"/>
              <w:rPr>
                <w:rFonts w:hint="eastAsia" w:ascii="宋体" w:hAnsi="宋体" w:eastAsia="宋体" w:cs="宋体"/>
                <w:b w:val="0"/>
                <w:bCs w:val="0"/>
                <w:color w:val="auto"/>
                <w:sz w:val="21"/>
                <w:szCs w:val="21"/>
                <w:highlight w:val="none"/>
              </w:rPr>
            </w:pPr>
          </w:p>
        </w:tc>
      </w:tr>
      <w:tr w14:paraId="5F1A8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404" w:type="dxa"/>
            <w:gridSpan w:val="2"/>
            <w:vAlign w:val="center"/>
          </w:tcPr>
          <w:p w14:paraId="7AC6931E">
            <w:pPr>
              <w:pStyle w:val="18"/>
              <w:adjustRightInd w:val="0"/>
              <w:snapToGrid w:val="0"/>
              <w:spacing w:after="0" w:line="240" w:lineRule="atLeast"/>
              <w:ind w:firstLine="0" w:firstLine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（十</w:t>
            </w:r>
            <w:r>
              <w:rPr>
                <w:rFonts w:hint="eastAsia" w:ascii="宋体" w:hAnsi="宋体" w:eastAsia="宋体" w:cs="宋体"/>
                <w:b w:val="0"/>
                <w:bCs w:val="0"/>
                <w:color w:val="auto"/>
                <w:sz w:val="21"/>
                <w:szCs w:val="21"/>
                <w:highlight w:val="none"/>
                <w:lang w:val="en-US" w:eastAsia="zh-CN"/>
              </w:rPr>
              <w:t>一</w:t>
            </w:r>
            <w:r>
              <w:rPr>
                <w:rFonts w:hint="eastAsia" w:ascii="宋体" w:hAnsi="宋体" w:eastAsia="宋体" w:cs="宋体"/>
                <w:b w:val="0"/>
                <w:bCs w:val="0"/>
                <w:color w:val="auto"/>
                <w:sz w:val="21"/>
                <w:szCs w:val="21"/>
                <w:highlight w:val="none"/>
              </w:rPr>
              <w:t>）设备完好情况（分值20分）</w:t>
            </w:r>
          </w:p>
        </w:tc>
        <w:tc>
          <w:tcPr>
            <w:tcW w:w="1392" w:type="dxa"/>
            <w:vMerge w:val="continue"/>
          </w:tcPr>
          <w:p w14:paraId="4D7D1631">
            <w:pPr>
              <w:pStyle w:val="18"/>
              <w:adjustRightInd w:val="0"/>
              <w:snapToGrid w:val="0"/>
              <w:spacing w:after="0" w:line="240" w:lineRule="atLeast"/>
              <w:ind w:firstLine="420"/>
              <w:rPr>
                <w:rFonts w:hint="eastAsia" w:ascii="宋体" w:hAnsi="宋体" w:eastAsia="宋体" w:cs="宋体"/>
                <w:b w:val="0"/>
                <w:bCs w:val="0"/>
                <w:color w:val="auto"/>
                <w:sz w:val="21"/>
                <w:szCs w:val="21"/>
                <w:highlight w:val="none"/>
              </w:rPr>
            </w:pPr>
          </w:p>
        </w:tc>
        <w:tc>
          <w:tcPr>
            <w:tcW w:w="1365" w:type="dxa"/>
            <w:vMerge w:val="continue"/>
          </w:tcPr>
          <w:p w14:paraId="790F3D08">
            <w:pPr>
              <w:pStyle w:val="18"/>
              <w:adjustRightInd w:val="0"/>
              <w:snapToGrid w:val="0"/>
              <w:spacing w:after="0" w:line="240" w:lineRule="atLeast"/>
              <w:ind w:firstLine="420"/>
              <w:rPr>
                <w:rFonts w:hint="eastAsia" w:ascii="宋体" w:hAnsi="宋体" w:eastAsia="宋体" w:cs="宋体"/>
                <w:b w:val="0"/>
                <w:bCs w:val="0"/>
                <w:color w:val="auto"/>
                <w:sz w:val="21"/>
                <w:szCs w:val="21"/>
                <w:highlight w:val="none"/>
              </w:rPr>
            </w:pPr>
          </w:p>
        </w:tc>
        <w:tc>
          <w:tcPr>
            <w:tcW w:w="1396" w:type="dxa"/>
            <w:vMerge w:val="continue"/>
            <w:vAlign w:val="center"/>
          </w:tcPr>
          <w:p w14:paraId="42233816">
            <w:pPr>
              <w:pStyle w:val="18"/>
              <w:adjustRightInd w:val="0"/>
              <w:snapToGrid w:val="0"/>
              <w:spacing w:after="0" w:line="240" w:lineRule="atLeast"/>
              <w:ind w:firstLine="420"/>
              <w:jc w:val="center"/>
              <w:rPr>
                <w:rFonts w:hint="eastAsia" w:ascii="宋体" w:hAnsi="宋体" w:eastAsia="宋体" w:cs="宋体"/>
                <w:b w:val="0"/>
                <w:bCs w:val="0"/>
                <w:color w:val="auto"/>
                <w:sz w:val="21"/>
                <w:szCs w:val="21"/>
                <w:highlight w:val="none"/>
              </w:rPr>
            </w:pPr>
          </w:p>
        </w:tc>
      </w:tr>
      <w:tr w14:paraId="0509C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404" w:type="dxa"/>
            <w:gridSpan w:val="2"/>
            <w:vAlign w:val="center"/>
          </w:tcPr>
          <w:p w14:paraId="011D3518">
            <w:pPr>
              <w:pStyle w:val="18"/>
              <w:adjustRightInd w:val="0"/>
              <w:snapToGrid w:val="0"/>
              <w:spacing w:after="0" w:line="240" w:lineRule="atLeast"/>
              <w:ind w:firstLine="0" w:firstLine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（十</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）安全保卫管理（分值100分）</w:t>
            </w:r>
          </w:p>
        </w:tc>
        <w:tc>
          <w:tcPr>
            <w:tcW w:w="1392" w:type="dxa"/>
            <w:vAlign w:val="center"/>
          </w:tcPr>
          <w:p w14:paraId="4D9BB2FB">
            <w:pPr>
              <w:pStyle w:val="18"/>
              <w:adjustRightInd w:val="0"/>
              <w:snapToGrid w:val="0"/>
              <w:spacing w:after="0" w:line="240" w:lineRule="atLeast"/>
              <w:ind w:firstLine="42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100分</w:t>
            </w:r>
          </w:p>
        </w:tc>
        <w:tc>
          <w:tcPr>
            <w:tcW w:w="1365" w:type="dxa"/>
            <w:vAlign w:val="center"/>
          </w:tcPr>
          <w:p w14:paraId="3CA213E1">
            <w:pPr>
              <w:pStyle w:val="18"/>
              <w:adjustRightInd w:val="0"/>
              <w:snapToGrid w:val="0"/>
              <w:spacing w:after="0" w:line="240" w:lineRule="atLeast"/>
              <w:ind w:firstLine="42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20%</w:t>
            </w:r>
          </w:p>
        </w:tc>
        <w:tc>
          <w:tcPr>
            <w:tcW w:w="1396" w:type="dxa"/>
            <w:vAlign w:val="center"/>
          </w:tcPr>
          <w:p w14:paraId="3382E246">
            <w:pPr>
              <w:pStyle w:val="18"/>
              <w:adjustRightInd w:val="0"/>
              <w:snapToGrid w:val="0"/>
              <w:spacing w:after="0" w:line="240" w:lineRule="atLeast"/>
              <w:ind w:firstLine="420"/>
              <w:jc w:val="center"/>
              <w:rPr>
                <w:rFonts w:hint="eastAsia" w:ascii="宋体" w:hAnsi="宋体" w:eastAsia="宋体" w:cs="宋体"/>
                <w:b w:val="0"/>
                <w:bCs w:val="0"/>
                <w:color w:val="auto"/>
                <w:sz w:val="21"/>
                <w:szCs w:val="21"/>
                <w:highlight w:val="none"/>
              </w:rPr>
            </w:pPr>
          </w:p>
        </w:tc>
      </w:tr>
      <w:tr w14:paraId="5A666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404" w:type="dxa"/>
            <w:gridSpan w:val="2"/>
            <w:vAlign w:val="center"/>
          </w:tcPr>
          <w:p w14:paraId="436080D5">
            <w:pPr>
              <w:pStyle w:val="18"/>
              <w:adjustRightInd w:val="0"/>
              <w:snapToGrid w:val="0"/>
              <w:spacing w:after="0" w:line="240" w:lineRule="atLeast"/>
              <w:ind w:firstLine="0" w:firstLineChars="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二、水业大厦物业使用人意见调查表</w:t>
            </w:r>
          </w:p>
        </w:tc>
        <w:tc>
          <w:tcPr>
            <w:tcW w:w="1392" w:type="dxa"/>
            <w:vAlign w:val="center"/>
          </w:tcPr>
          <w:p w14:paraId="09318E6B">
            <w:pPr>
              <w:pStyle w:val="18"/>
              <w:adjustRightInd w:val="0"/>
              <w:snapToGrid w:val="0"/>
              <w:spacing w:after="0" w:line="240" w:lineRule="atLeast"/>
              <w:ind w:firstLine="42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100分</w:t>
            </w:r>
          </w:p>
        </w:tc>
        <w:tc>
          <w:tcPr>
            <w:tcW w:w="1365" w:type="dxa"/>
            <w:vAlign w:val="center"/>
          </w:tcPr>
          <w:p w14:paraId="4555E52E">
            <w:pPr>
              <w:pStyle w:val="18"/>
              <w:adjustRightInd w:val="0"/>
              <w:snapToGrid w:val="0"/>
              <w:spacing w:after="0" w:line="240" w:lineRule="atLeast"/>
              <w:ind w:firstLine="42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396" w:type="dxa"/>
            <w:vAlign w:val="center"/>
          </w:tcPr>
          <w:p w14:paraId="6E5B7B62">
            <w:pPr>
              <w:pStyle w:val="18"/>
              <w:adjustRightInd w:val="0"/>
              <w:snapToGrid w:val="0"/>
              <w:spacing w:after="0" w:line="240" w:lineRule="atLeast"/>
              <w:ind w:firstLine="420"/>
              <w:jc w:val="center"/>
              <w:rPr>
                <w:rFonts w:hint="eastAsia" w:ascii="宋体" w:hAnsi="宋体" w:eastAsia="宋体" w:cs="宋体"/>
                <w:color w:val="auto"/>
                <w:sz w:val="21"/>
                <w:szCs w:val="21"/>
                <w:highlight w:val="none"/>
              </w:rPr>
            </w:pPr>
          </w:p>
        </w:tc>
      </w:tr>
      <w:tr w14:paraId="09C82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161" w:type="dxa"/>
            <w:gridSpan w:val="4"/>
            <w:vAlign w:val="center"/>
          </w:tcPr>
          <w:p w14:paraId="60BB4775">
            <w:pPr>
              <w:pStyle w:val="18"/>
              <w:adjustRightInd w:val="0"/>
              <w:snapToGrid w:val="0"/>
              <w:spacing w:after="0" w:line="240" w:lineRule="atLeast"/>
              <w:ind w:firstLine="42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X年X月考核总得分：</w:t>
            </w:r>
          </w:p>
        </w:tc>
        <w:tc>
          <w:tcPr>
            <w:tcW w:w="1396" w:type="dxa"/>
            <w:vAlign w:val="center"/>
          </w:tcPr>
          <w:p w14:paraId="1AE26CF1">
            <w:pPr>
              <w:pStyle w:val="18"/>
              <w:adjustRightInd w:val="0"/>
              <w:snapToGrid w:val="0"/>
              <w:spacing w:after="0" w:line="240" w:lineRule="atLeast"/>
              <w:ind w:firstLine="420"/>
              <w:jc w:val="center"/>
              <w:rPr>
                <w:rFonts w:hint="eastAsia" w:ascii="宋体" w:hAnsi="宋体" w:eastAsia="宋体" w:cs="宋体"/>
                <w:color w:val="auto"/>
                <w:sz w:val="21"/>
                <w:szCs w:val="21"/>
                <w:highlight w:val="none"/>
              </w:rPr>
            </w:pPr>
          </w:p>
        </w:tc>
      </w:tr>
      <w:tr w14:paraId="07283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6" w:hRule="atLeast"/>
          <w:jc w:val="center"/>
        </w:trPr>
        <w:tc>
          <w:tcPr>
            <w:tcW w:w="9557" w:type="dxa"/>
            <w:gridSpan w:val="5"/>
            <w:vAlign w:val="center"/>
          </w:tcPr>
          <w:p w14:paraId="3967FF91">
            <w:pPr>
              <w:pStyle w:val="18"/>
              <w:numPr>
                <w:ilvl w:val="-1"/>
                <w:numId w:val="0"/>
              </w:numPr>
              <w:adjustRightInd w:val="0"/>
              <w:snapToGrid w:val="0"/>
              <w:spacing w:after="0" w:line="240" w:lineRule="auto"/>
              <w:ind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考核办法：</w:t>
            </w:r>
          </w:p>
          <w:p w14:paraId="7A1D88CA">
            <w:pPr>
              <w:pStyle w:val="18"/>
              <w:numPr>
                <w:ilvl w:val="-1"/>
                <w:numId w:val="0"/>
              </w:numPr>
              <w:adjustRightInd w:val="0"/>
              <w:snapToGrid w:val="0"/>
              <w:spacing w:after="0" w:line="240" w:lineRule="auto"/>
              <w:ind w:firstLine="0" w:firstLineChars="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每月月底由招标人组成考核小组，按该考核标准检查中标人服务质量：</w:t>
            </w:r>
          </w:p>
          <w:p w14:paraId="0761E3A6">
            <w:pPr>
              <w:pStyle w:val="18"/>
              <w:numPr>
                <w:ilvl w:val="-1"/>
                <w:numId w:val="0"/>
              </w:numPr>
              <w:adjustRightInd w:val="0"/>
              <w:snapToGrid w:val="0"/>
              <w:spacing w:after="0" w:line="240" w:lineRule="auto"/>
              <w:ind w:firstLine="0" w:firstLineChars="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（1）考核总得分≥90分为合格，不予扣罚，中标人须对扣分项目进行限期整改；</w:t>
            </w:r>
          </w:p>
          <w:p w14:paraId="786D7A93">
            <w:pPr>
              <w:pStyle w:val="18"/>
              <w:numPr>
                <w:ilvl w:val="-1"/>
                <w:numId w:val="0"/>
              </w:numPr>
              <w:adjustRightInd w:val="0"/>
              <w:snapToGrid w:val="0"/>
              <w:spacing w:after="0" w:line="240" w:lineRule="auto"/>
              <w:ind w:firstLine="0" w:firstLineChars="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（2）80≤考核得分＜90分的，招标人最终支付考核对应月份物业管理运营服务费用的90%；</w:t>
            </w:r>
          </w:p>
          <w:p w14:paraId="3EDFE8B9">
            <w:pPr>
              <w:pStyle w:val="18"/>
              <w:numPr>
                <w:ilvl w:val="-1"/>
                <w:numId w:val="0"/>
              </w:numPr>
              <w:adjustRightInd w:val="0"/>
              <w:snapToGrid w:val="0"/>
              <w:spacing w:after="0" w:line="240" w:lineRule="auto"/>
              <w:ind w:firstLine="0" w:firstLineChars="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（3）70≤考核得分＜80分的，招标人最终支付考核对应月份物业管理运营服务费用的</w:t>
            </w:r>
            <w:r>
              <w:rPr>
                <w:rFonts w:hint="eastAsia"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0%；</w:t>
            </w:r>
          </w:p>
          <w:p w14:paraId="640D8377">
            <w:pPr>
              <w:pStyle w:val="18"/>
              <w:numPr>
                <w:ilvl w:val="-1"/>
                <w:numId w:val="0"/>
              </w:numPr>
              <w:adjustRightInd w:val="0"/>
              <w:snapToGrid w:val="0"/>
              <w:spacing w:after="0" w:line="240" w:lineRule="auto"/>
              <w:ind w:firstLine="0" w:firstLineChars="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（4）60≤考核得分＜70分的，招标人最终支付考核对应月份物业管理运营服务费用的</w:t>
            </w:r>
            <w:r>
              <w:rPr>
                <w:rFonts w:hint="eastAsia"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0%；</w:t>
            </w:r>
          </w:p>
          <w:p w14:paraId="34D37779">
            <w:pPr>
              <w:pStyle w:val="18"/>
              <w:numPr>
                <w:ilvl w:val="0"/>
                <w:numId w:val="22"/>
              </w:numPr>
              <w:adjustRightInd w:val="0"/>
              <w:snapToGrid w:val="0"/>
              <w:spacing w:after="0" w:line="240" w:lineRule="auto"/>
              <w:ind w:firstLine="0" w:firstLineChars="0"/>
              <w:jc w:val="both"/>
              <w:rPr>
                <w:rFonts w:hint="eastAsia" w:hAnsi="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考核总得分＜60分</w:t>
            </w:r>
            <w:r>
              <w:rPr>
                <w:rFonts w:hint="eastAsia" w:hAnsi="宋体" w:cs="宋体"/>
                <w:b w:val="0"/>
                <w:bCs w:val="0"/>
                <w:color w:val="auto"/>
                <w:sz w:val="21"/>
                <w:szCs w:val="21"/>
                <w:highlight w:val="none"/>
                <w:lang w:eastAsia="zh-CN"/>
              </w:rPr>
              <w:t>，</w:t>
            </w:r>
            <w:r>
              <w:rPr>
                <w:rFonts w:hint="eastAsia" w:hAnsi="宋体" w:cs="宋体"/>
                <w:b w:val="0"/>
                <w:bCs w:val="0"/>
                <w:color w:val="auto"/>
                <w:sz w:val="21"/>
                <w:szCs w:val="21"/>
                <w:highlight w:val="none"/>
                <w:lang w:val="en-US" w:eastAsia="zh-CN"/>
              </w:rPr>
              <w:t>招标人</w:t>
            </w:r>
            <w:r>
              <w:rPr>
                <w:rFonts w:hint="eastAsia" w:ascii="宋体" w:hAnsi="宋体" w:eastAsia="宋体" w:cs="宋体"/>
                <w:b w:val="0"/>
                <w:bCs w:val="0"/>
                <w:color w:val="auto"/>
                <w:sz w:val="21"/>
                <w:szCs w:val="21"/>
                <w:highlight w:val="none"/>
              </w:rPr>
              <w:t>无需支付考核对应月份物业管理运营服务费用，同时</w:t>
            </w:r>
            <w:r>
              <w:rPr>
                <w:rFonts w:hint="eastAsia" w:hAnsi="宋体" w:cs="宋体"/>
                <w:b w:val="0"/>
                <w:bCs w:val="0"/>
                <w:color w:val="auto"/>
                <w:sz w:val="21"/>
                <w:szCs w:val="21"/>
                <w:highlight w:val="none"/>
                <w:lang w:val="en-US" w:eastAsia="zh-CN"/>
              </w:rPr>
              <w:t>中标人</w:t>
            </w:r>
            <w:r>
              <w:rPr>
                <w:rFonts w:hint="eastAsia" w:ascii="宋体" w:hAnsi="宋体" w:eastAsia="宋体" w:cs="宋体"/>
                <w:b w:val="0"/>
                <w:bCs w:val="0"/>
                <w:color w:val="auto"/>
                <w:sz w:val="21"/>
                <w:szCs w:val="21"/>
                <w:highlight w:val="none"/>
              </w:rPr>
              <w:t>还应向</w:t>
            </w:r>
            <w:r>
              <w:rPr>
                <w:rFonts w:hint="eastAsia" w:hAnsi="宋体" w:cs="宋体"/>
                <w:b w:val="0"/>
                <w:bCs w:val="0"/>
                <w:color w:val="auto"/>
                <w:sz w:val="21"/>
                <w:szCs w:val="21"/>
                <w:highlight w:val="none"/>
                <w:lang w:val="en-US" w:eastAsia="zh-CN"/>
              </w:rPr>
              <w:t>招标人</w:t>
            </w:r>
            <w:r>
              <w:rPr>
                <w:rFonts w:hint="eastAsia" w:ascii="宋体" w:hAnsi="宋体" w:eastAsia="宋体" w:cs="宋体"/>
                <w:b w:val="0"/>
                <w:bCs w:val="0"/>
                <w:color w:val="auto"/>
                <w:sz w:val="21"/>
                <w:szCs w:val="21"/>
                <w:highlight w:val="none"/>
              </w:rPr>
              <w:t>支付人民币100,000.00元作为违约金</w:t>
            </w:r>
            <w:r>
              <w:rPr>
                <w:rFonts w:hint="eastAsia" w:hAnsi="宋体" w:cs="宋体"/>
                <w:b w:val="0"/>
                <w:bCs w:val="0"/>
                <w:color w:val="auto"/>
                <w:sz w:val="21"/>
                <w:szCs w:val="21"/>
                <w:highlight w:val="none"/>
                <w:lang w:eastAsia="zh-CN"/>
              </w:rPr>
              <w:t>。</w:t>
            </w:r>
          </w:p>
          <w:p w14:paraId="7AD12620">
            <w:pPr>
              <w:pStyle w:val="18"/>
              <w:numPr>
                <w:ilvl w:val="-1"/>
                <w:numId w:val="0"/>
              </w:numPr>
              <w:adjustRightInd w:val="0"/>
              <w:snapToGrid w:val="0"/>
              <w:spacing w:after="0" w:line="240" w:lineRule="auto"/>
              <w:ind w:firstLine="0" w:firstLineChars="0"/>
              <w:jc w:val="both"/>
              <w:rPr>
                <w:rFonts w:hint="eastAsia" w:ascii="宋体" w:hAnsi="宋体" w:eastAsia="宋体" w:cs="宋体"/>
                <w:color w:val="auto"/>
                <w:sz w:val="21"/>
                <w:szCs w:val="21"/>
                <w:highlight w:val="none"/>
              </w:rPr>
            </w:pPr>
            <w:r>
              <w:rPr>
                <w:rFonts w:hint="eastAsia" w:hAnsi="宋体" w:cs="宋体"/>
                <w:b w:val="0"/>
                <w:bCs w:val="0"/>
                <w:color w:val="auto"/>
                <w:sz w:val="21"/>
                <w:szCs w:val="21"/>
                <w:highlight w:val="none"/>
                <w:lang w:eastAsia="zh-CN"/>
              </w:rPr>
              <w:t>（</w:t>
            </w:r>
            <w:r>
              <w:rPr>
                <w:rFonts w:hint="eastAsia" w:hAnsi="宋体" w:cs="宋体"/>
                <w:b w:val="0"/>
                <w:bCs w:val="0"/>
                <w:color w:val="auto"/>
                <w:sz w:val="21"/>
                <w:szCs w:val="21"/>
                <w:highlight w:val="none"/>
                <w:lang w:val="en-US" w:eastAsia="zh-CN"/>
              </w:rPr>
              <w:t>6</w:t>
            </w:r>
            <w:r>
              <w:rPr>
                <w:rFonts w:hint="eastAsia"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12个月内累计3次70≤考核总得分＜80分或6个月内累计2次60≤考核总得分＜70分的，招标人有权单方解除合同，且不承担任何违约责任。</w:t>
            </w:r>
          </w:p>
        </w:tc>
      </w:tr>
    </w:tbl>
    <w:p w14:paraId="556F0CE6">
      <w:pPr>
        <w:spacing w:line="360" w:lineRule="auto"/>
        <w:ind w:firstLine="420" w:firstLineChars="200"/>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5.2.2物业服务考核明细</w:t>
      </w:r>
    </w:p>
    <w:tbl>
      <w:tblPr>
        <w:tblStyle w:val="41"/>
        <w:tblW w:w="95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3"/>
        <w:gridCol w:w="4115"/>
        <w:gridCol w:w="585"/>
        <w:gridCol w:w="3225"/>
        <w:gridCol w:w="775"/>
      </w:tblGrid>
      <w:tr w14:paraId="75982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7" w:hRule="atLeast"/>
          <w:jc w:val="center"/>
        </w:trPr>
        <w:tc>
          <w:tcPr>
            <w:tcW w:w="9563" w:type="dxa"/>
            <w:gridSpan w:val="5"/>
            <w:vAlign w:val="center"/>
          </w:tcPr>
          <w:p w14:paraId="3893618F">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一、招标人对中标人考核</w:t>
            </w:r>
          </w:p>
        </w:tc>
      </w:tr>
      <w:tr w14:paraId="72361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4" w:hRule="atLeast"/>
          <w:jc w:val="center"/>
        </w:trPr>
        <w:tc>
          <w:tcPr>
            <w:tcW w:w="863" w:type="dxa"/>
            <w:vAlign w:val="center"/>
          </w:tcPr>
          <w:p w14:paraId="66169A3F">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内容</w:t>
            </w:r>
          </w:p>
        </w:tc>
        <w:tc>
          <w:tcPr>
            <w:tcW w:w="4115" w:type="dxa"/>
            <w:vAlign w:val="center"/>
          </w:tcPr>
          <w:p w14:paraId="40EE823B">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评分标准</w:t>
            </w:r>
          </w:p>
        </w:tc>
        <w:tc>
          <w:tcPr>
            <w:tcW w:w="585" w:type="dxa"/>
            <w:vAlign w:val="center"/>
          </w:tcPr>
          <w:p w14:paraId="5B7EE62F">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分值</w:t>
            </w:r>
          </w:p>
        </w:tc>
        <w:tc>
          <w:tcPr>
            <w:tcW w:w="3225" w:type="dxa"/>
            <w:vAlign w:val="center"/>
          </w:tcPr>
          <w:p w14:paraId="7F28B077">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扣分标准</w:t>
            </w:r>
          </w:p>
        </w:tc>
        <w:tc>
          <w:tcPr>
            <w:tcW w:w="775" w:type="dxa"/>
            <w:vAlign w:val="center"/>
          </w:tcPr>
          <w:p w14:paraId="28F10249">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得分</w:t>
            </w:r>
          </w:p>
        </w:tc>
      </w:tr>
      <w:tr w14:paraId="496522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3" w:hRule="atLeast"/>
          <w:jc w:val="center"/>
        </w:trPr>
        <w:tc>
          <w:tcPr>
            <w:tcW w:w="863" w:type="dxa"/>
            <w:vMerge w:val="restart"/>
            <w:vAlign w:val="center"/>
          </w:tcPr>
          <w:p w14:paraId="394DEBFB">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（一）客户服务（分值</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5分）</w:t>
            </w:r>
          </w:p>
        </w:tc>
        <w:tc>
          <w:tcPr>
            <w:tcW w:w="4115" w:type="dxa"/>
            <w:vAlign w:val="center"/>
          </w:tcPr>
          <w:p w14:paraId="1A0B3A40">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1.按合同要求配备管理人员、环境卫生、客服服务、会议服务人员；每月20号前提供当月人员名册。工作人员上岗时统一着装并佩戴工作牌；言行文明，注意仪容仪表。</w:t>
            </w:r>
          </w:p>
        </w:tc>
        <w:tc>
          <w:tcPr>
            <w:tcW w:w="585" w:type="dxa"/>
            <w:vAlign w:val="center"/>
          </w:tcPr>
          <w:p w14:paraId="7323EB33">
            <w:pPr>
              <w:adjustRightInd w:val="0"/>
              <w:snapToGrid w:val="0"/>
              <w:spacing w:line="240" w:lineRule="atLeast"/>
              <w:ind w:firstLine="0" w:firstLine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3225" w:type="dxa"/>
            <w:vAlign w:val="center"/>
          </w:tcPr>
          <w:p w14:paraId="06CB4106">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1）20号前未按合同配备人员，缺1人扣0.5分；</w:t>
            </w:r>
          </w:p>
          <w:p w14:paraId="32D0E62B">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2）发现言行着装不适当的，一处不合格扣0.5分。</w:t>
            </w:r>
          </w:p>
        </w:tc>
        <w:tc>
          <w:tcPr>
            <w:tcW w:w="775" w:type="dxa"/>
            <w:vAlign w:val="center"/>
          </w:tcPr>
          <w:p w14:paraId="7D2951DD">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2A0F9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63" w:type="dxa"/>
            <w:vMerge w:val="continue"/>
            <w:vAlign w:val="center"/>
          </w:tcPr>
          <w:p w14:paraId="7E6F1D67">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4115" w:type="dxa"/>
            <w:vAlign w:val="center"/>
          </w:tcPr>
          <w:p w14:paraId="07D5E3EA">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遵守岗位职责，不得出现无故缺勤、脱岗、空岗现象；认真完成布置的有关工作，按要求执行，工作到位，态度积极，不推诿，工作中无弄虚作假现象；按照疫情防控要求，严格做好项目内部员工防疫管理工作。</w:t>
            </w:r>
          </w:p>
        </w:tc>
        <w:tc>
          <w:tcPr>
            <w:tcW w:w="585" w:type="dxa"/>
            <w:vAlign w:val="center"/>
          </w:tcPr>
          <w:p w14:paraId="6BB43CF7">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w:t>
            </w:r>
          </w:p>
        </w:tc>
        <w:tc>
          <w:tcPr>
            <w:tcW w:w="3225" w:type="dxa"/>
            <w:vAlign w:val="center"/>
          </w:tcPr>
          <w:p w14:paraId="0DAFB1E9">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发现一处不合格扣0.5分。</w:t>
            </w:r>
          </w:p>
        </w:tc>
        <w:tc>
          <w:tcPr>
            <w:tcW w:w="775" w:type="dxa"/>
            <w:vAlign w:val="center"/>
          </w:tcPr>
          <w:p w14:paraId="31B1DA3A">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28557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63" w:type="dxa"/>
            <w:vMerge w:val="continue"/>
            <w:vAlign w:val="center"/>
          </w:tcPr>
          <w:p w14:paraId="385BDD64">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4115" w:type="dxa"/>
            <w:vAlign w:val="center"/>
          </w:tcPr>
          <w:p w14:paraId="3C76C545">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3.建立24小时客户服务体系，及时受理物业管理服务诉求，报修处理及时率达100%。</w:t>
            </w:r>
          </w:p>
        </w:tc>
        <w:tc>
          <w:tcPr>
            <w:tcW w:w="585" w:type="dxa"/>
            <w:vAlign w:val="center"/>
          </w:tcPr>
          <w:p w14:paraId="2640F334">
            <w:pPr>
              <w:adjustRightInd w:val="0"/>
              <w:snapToGrid w:val="0"/>
              <w:spacing w:line="240" w:lineRule="atLeast"/>
              <w:ind w:firstLine="0" w:firstLine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3225" w:type="dxa"/>
            <w:vAlign w:val="center"/>
          </w:tcPr>
          <w:p w14:paraId="0CE91375">
            <w:pPr>
              <w:numPr>
                <w:ilvl w:val="0"/>
                <w:numId w:val="24"/>
              </w:num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发现未能及时受理客户诉求，报修处理慢或维修不及时的，一次扣1分；</w:t>
            </w:r>
          </w:p>
          <w:p w14:paraId="22EF7687">
            <w:pPr>
              <w:numPr>
                <w:ilvl w:val="0"/>
                <w:numId w:val="24"/>
              </w:num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物业使用人反馈问题未及时整改的，一次扣1.5分；</w:t>
            </w:r>
          </w:p>
          <w:p w14:paraId="74486051">
            <w:pPr>
              <w:numPr>
                <w:ilvl w:val="0"/>
                <w:numId w:val="24"/>
              </w:num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招标人收到所属区域有关物业管理的有效投诉，一次扣5分。</w:t>
            </w:r>
          </w:p>
        </w:tc>
        <w:tc>
          <w:tcPr>
            <w:tcW w:w="775" w:type="dxa"/>
            <w:vAlign w:val="center"/>
          </w:tcPr>
          <w:p w14:paraId="3C08B2B5">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23732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0" w:hRule="atLeast"/>
          <w:jc w:val="center"/>
        </w:trPr>
        <w:tc>
          <w:tcPr>
            <w:tcW w:w="863" w:type="dxa"/>
            <w:vMerge w:val="restart"/>
            <w:vAlign w:val="center"/>
          </w:tcPr>
          <w:p w14:paraId="140BCEEA">
            <w:pPr>
              <w:adjustRightInd w:val="0"/>
              <w:snapToGrid w:val="0"/>
              <w:spacing w:line="240" w:lineRule="atLeas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（二）环境卫生（分值3</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lang w:eastAsia="zh-CN"/>
              </w:rPr>
              <w:t>分）</w:t>
            </w:r>
          </w:p>
        </w:tc>
        <w:tc>
          <w:tcPr>
            <w:tcW w:w="4115" w:type="dxa"/>
            <w:vAlign w:val="center"/>
          </w:tcPr>
          <w:p w14:paraId="2F0AE99A">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室外建筑包括广场及道路、栏杆、车库岗亭、雨棚、采光井等保持干净、无杂物；沟渠、污水井、井盖、化粪池、隔油池保持通畅、无异味。每年1次清洗外墙，外立面幕墙清洁、完整，没有明显斑迹，严格做好安全生产防范措施。</w:t>
            </w:r>
          </w:p>
        </w:tc>
        <w:tc>
          <w:tcPr>
            <w:tcW w:w="585" w:type="dxa"/>
            <w:vAlign w:val="center"/>
          </w:tcPr>
          <w:p w14:paraId="193DA83B">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w:t>
            </w:r>
          </w:p>
        </w:tc>
        <w:tc>
          <w:tcPr>
            <w:tcW w:w="3225" w:type="dxa"/>
            <w:vAlign w:val="center"/>
          </w:tcPr>
          <w:p w14:paraId="0A061270">
            <w:pPr>
              <w:numPr>
                <w:ilvl w:val="0"/>
                <w:numId w:val="25"/>
              </w:num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发现清洁不到位一次扣0.5分；</w:t>
            </w:r>
          </w:p>
          <w:p w14:paraId="07BC6102">
            <w:pPr>
              <w:numPr>
                <w:ilvl w:val="0"/>
                <w:numId w:val="25"/>
              </w:num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未定期清洗外墙一次扣1分；</w:t>
            </w:r>
          </w:p>
          <w:p w14:paraId="2CE96DA1">
            <w:pPr>
              <w:numPr>
                <w:ilvl w:val="0"/>
                <w:numId w:val="25"/>
              </w:num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被使用单位工作人员投诉一次扣1分。</w:t>
            </w:r>
          </w:p>
        </w:tc>
        <w:tc>
          <w:tcPr>
            <w:tcW w:w="775" w:type="dxa"/>
            <w:vAlign w:val="center"/>
          </w:tcPr>
          <w:p w14:paraId="0F748EAE">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5AE4B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atLeast"/>
          <w:jc w:val="center"/>
        </w:trPr>
        <w:tc>
          <w:tcPr>
            <w:tcW w:w="863" w:type="dxa"/>
            <w:vMerge w:val="continue"/>
            <w:vAlign w:val="center"/>
          </w:tcPr>
          <w:p w14:paraId="674FCFB5">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4115" w:type="dxa"/>
            <w:vAlign w:val="center"/>
          </w:tcPr>
          <w:p w14:paraId="2628DB48">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2.停车场（包括地下）设备房、楼梯、消防设备等保持干净、无杂物，每月最少一次冲洗地面。</w:t>
            </w:r>
          </w:p>
        </w:tc>
        <w:tc>
          <w:tcPr>
            <w:tcW w:w="585" w:type="dxa"/>
            <w:vAlign w:val="center"/>
          </w:tcPr>
          <w:p w14:paraId="24AF1D36">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w:t>
            </w:r>
          </w:p>
        </w:tc>
        <w:tc>
          <w:tcPr>
            <w:tcW w:w="3225" w:type="dxa"/>
            <w:vAlign w:val="center"/>
          </w:tcPr>
          <w:p w14:paraId="46B385C7">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发现清洁不到位一次扣0.5分。</w:t>
            </w:r>
          </w:p>
        </w:tc>
        <w:tc>
          <w:tcPr>
            <w:tcW w:w="775" w:type="dxa"/>
            <w:vAlign w:val="center"/>
          </w:tcPr>
          <w:p w14:paraId="7FE3ECAE">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2A885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7" w:hRule="atLeast"/>
          <w:jc w:val="center"/>
        </w:trPr>
        <w:tc>
          <w:tcPr>
            <w:tcW w:w="863" w:type="dxa"/>
            <w:vMerge w:val="continue"/>
            <w:vAlign w:val="center"/>
          </w:tcPr>
          <w:p w14:paraId="54CD4BB6">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4115" w:type="dxa"/>
            <w:vAlign w:val="center"/>
          </w:tcPr>
          <w:p w14:paraId="49D69D81">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3.室内地面、地毯、楼梯无杂物、无污渍、无水迹，通道无积水，下水道无阻塞；天花、墙面无灰尘、无蜘蛛网、无脱漆、无霉点石材定期翻新保养；门、窗无尘、无污渍；桌、椅无尘无污渍；天台无寄生。</w:t>
            </w:r>
          </w:p>
        </w:tc>
        <w:tc>
          <w:tcPr>
            <w:tcW w:w="585" w:type="dxa"/>
            <w:vAlign w:val="center"/>
          </w:tcPr>
          <w:p w14:paraId="0767DC25">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w:t>
            </w:r>
          </w:p>
        </w:tc>
        <w:tc>
          <w:tcPr>
            <w:tcW w:w="3225" w:type="dxa"/>
            <w:vAlign w:val="center"/>
          </w:tcPr>
          <w:p w14:paraId="38E7EFB5">
            <w:pPr>
              <w:numPr>
                <w:ilvl w:val="0"/>
                <w:numId w:val="26"/>
              </w:num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发现清洁不到位一次扣0.5分；</w:t>
            </w:r>
          </w:p>
          <w:p w14:paraId="60753EC2">
            <w:pPr>
              <w:numPr>
                <w:ilvl w:val="0"/>
                <w:numId w:val="26"/>
              </w:num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被使用单位工作人员投诉一次扣1分。</w:t>
            </w:r>
          </w:p>
        </w:tc>
        <w:tc>
          <w:tcPr>
            <w:tcW w:w="775" w:type="dxa"/>
            <w:vAlign w:val="center"/>
          </w:tcPr>
          <w:p w14:paraId="7925D7A8">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0F5D8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jc w:val="center"/>
        </w:trPr>
        <w:tc>
          <w:tcPr>
            <w:tcW w:w="863" w:type="dxa"/>
            <w:vMerge w:val="continue"/>
            <w:vAlign w:val="center"/>
          </w:tcPr>
          <w:p w14:paraId="7A35F80E">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4115" w:type="dxa"/>
            <w:vAlign w:val="center"/>
          </w:tcPr>
          <w:p w14:paraId="3408770F">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4.空调出风口、天花、垃圾桶、消防设施等保持干净、无尘无污渍；地毯、沙发、台布、窗帘及沙发套等定期清洗干净，没有污迹。</w:t>
            </w:r>
          </w:p>
        </w:tc>
        <w:tc>
          <w:tcPr>
            <w:tcW w:w="585" w:type="dxa"/>
            <w:vAlign w:val="center"/>
          </w:tcPr>
          <w:p w14:paraId="28144E4E">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w:t>
            </w:r>
          </w:p>
        </w:tc>
        <w:tc>
          <w:tcPr>
            <w:tcW w:w="3225" w:type="dxa"/>
            <w:vAlign w:val="center"/>
          </w:tcPr>
          <w:p w14:paraId="0BDEF445">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发现清洁不到位一次扣0.5分。</w:t>
            </w:r>
          </w:p>
        </w:tc>
        <w:tc>
          <w:tcPr>
            <w:tcW w:w="775" w:type="dxa"/>
            <w:vAlign w:val="center"/>
          </w:tcPr>
          <w:p w14:paraId="40FED5CE">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51D67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2" w:hRule="atLeast"/>
          <w:jc w:val="center"/>
        </w:trPr>
        <w:tc>
          <w:tcPr>
            <w:tcW w:w="863" w:type="dxa"/>
            <w:vMerge w:val="continue"/>
            <w:vAlign w:val="center"/>
          </w:tcPr>
          <w:p w14:paraId="21E5E17E">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4115" w:type="dxa"/>
            <w:vAlign w:val="center"/>
          </w:tcPr>
          <w:p w14:paraId="65126AE2">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5.卫生间洁净无异味，洗手盆无积水，墙身、门窗、边角无污迹。</w:t>
            </w:r>
          </w:p>
        </w:tc>
        <w:tc>
          <w:tcPr>
            <w:tcW w:w="585" w:type="dxa"/>
            <w:vAlign w:val="center"/>
          </w:tcPr>
          <w:p w14:paraId="5CFD2442">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w:t>
            </w:r>
          </w:p>
        </w:tc>
        <w:tc>
          <w:tcPr>
            <w:tcW w:w="3225" w:type="dxa"/>
            <w:vAlign w:val="center"/>
          </w:tcPr>
          <w:p w14:paraId="12BF6DFA">
            <w:pPr>
              <w:numPr>
                <w:ilvl w:val="0"/>
                <w:numId w:val="27"/>
              </w:num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发现清洁不到位一次扣0.5分；</w:t>
            </w:r>
          </w:p>
          <w:p w14:paraId="0EA50732">
            <w:pPr>
              <w:numPr>
                <w:ilvl w:val="0"/>
                <w:numId w:val="27"/>
              </w:num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被使用单位工作人员投诉一次扣1分。</w:t>
            </w:r>
          </w:p>
        </w:tc>
        <w:tc>
          <w:tcPr>
            <w:tcW w:w="775" w:type="dxa"/>
            <w:vAlign w:val="center"/>
          </w:tcPr>
          <w:p w14:paraId="5C15BD6A">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751FD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863" w:type="dxa"/>
            <w:vMerge w:val="continue"/>
            <w:vAlign w:val="center"/>
          </w:tcPr>
          <w:p w14:paraId="2AE684D7">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4115" w:type="dxa"/>
            <w:vAlign w:val="center"/>
          </w:tcPr>
          <w:p w14:paraId="23F3FD0A">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6.电梯轿厢不锈钢表面、轿箱地面、接钮、灯饰、箱顶无尘、光洁明亮、无污渍。</w:t>
            </w:r>
          </w:p>
        </w:tc>
        <w:tc>
          <w:tcPr>
            <w:tcW w:w="585" w:type="dxa"/>
            <w:vAlign w:val="center"/>
          </w:tcPr>
          <w:p w14:paraId="3BF13C71">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w:t>
            </w:r>
          </w:p>
        </w:tc>
        <w:tc>
          <w:tcPr>
            <w:tcW w:w="3225" w:type="dxa"/>
            <w:vAlign w:val="center"/>
          </w:tcPr>
          <w:p w14:paraId="7ADBE7AF">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发现清洁不到位一次扣0.5分。</w:t>
            </w:r>
          </w:p>
        </w:tc>
        <w:tc>
          <w:tcPr>
            <w:tcW w:w="775" w:type="dxa"/>
            <w:vAlign w:val="center"/>
          </w:tcPr>
          <w:p w14:paraId="616B8FBC">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7E1345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863" w:type="dxa"/>
            <w:vMerge w:val="continue"/>
            <w:vAlign w:val="center"/>
          </w:tcPr>
          <w:p w14:paraId="33E0E258">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4115" w:type="dxa"/>
            <w:vAlign w:val="center"/>
          </w:tcPr>
          <w:p w14:paraId="6903AAA2">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7.垃圾日产日清，垃圾收集点周围地面无散落垃圾、无污迹、无异味。</w:t>
            </w:r>
          </w:p>
        </w:tc>
        <w:tc>
          <w:tcPr>
            <w:tcW w:w="585" w:type="dxa"/>
            <w:vAlign w:val="center"/>
          </w:tcPr>
          <w:p w14:paraId="409B4DF7">
            <w:pPr>
              <w:adjustRightInd w:val="0"/>
              <w:snapToGrid w:val="0"/>
              <w:spacing w:line="240" w:lineRule="atLeas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3225" w:type="dxa"/>
            <w:vAlign w:val="center"/>
          </w:tcPr>
          <w:p w14:paraId="1A470FC3">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发现垃圾清运不及时，一次扣0.5分。</w:t>
            </w:r>
          </w:p>
        </w:tc>
        <w:tc>
          <w:tcPr>
            <w:tcW w:w="775" w:type="dxa"/>
            <w:vAlign w:val="center"/>
          </w:tcPr>
          <w:p w14:paraId="2B1D66C7">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38FAD3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4" w:hRule="atLeast"/>
          <w:jc w:val="center"/>
        </w:trPr>
        <w:tc>
          <w:tcPr>
            <w:tcW w:w="863" w:type="dxa"/>
            <w:vMerge w:val="continue"/>
            <w:vAlign w:val="center"/>
          </w:tcPr>
          <w:p w14:paraId="22400799">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4115" w:type="dxa"/>
            <w:vAlign w:val="center"/>
          </w:tcPr>
          <w:p w14:paraId="3D3479CC">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8.定期消杀，包括鼠、蟑、蚊、蝇、白蚁等害虫孳生，如繁殖季节加强消杀频次。</w:t>
            </w:r>
          </w:p>
        </w:tc>
        <w:tc>
          <w:tcPr>
            <w:tcW w:w="585" w:type="dxa"/>
            <w:vAlign w:val="center"/>
          </w:tcPr>
          <w:p w14:paraId="08DBC97C">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w:t>
            </w:r>
          </w:p>
        </w:tc>
        <w:tc>
          <w:tcPr>
            <w:tcW w:w="3225" w:type="dxa"/>
            <w:vAlign w:val="center"/>
          </w:tcPr>
          <w:p w14:paraId="593857D3">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发现定期作业没按时进行的，一次扣0.5分。</w:t>
            </w:r>
          </w:p>
        </w:tc>
        <w:tc>
          <w:tcPr>
            <w:tcW w:w="775" w:type="dxa"/>
            <w:vAlign w:val="center"/>
          </w:tcPr>
          <w:p w14:paraId="0F9339C1">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797EF0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4" w:hRule="atLeast"/>
          <w:jc w:val="center"/>
        </w:trPr>
        <w:tc>
          <w:tcPr>
            <w:tcW w:w="863" w:type="dxa"/>
            <w:vMerge w:val="continue"/>
            <w:vAlign w:val="center"/>
          </w:tcPr>
          <w:p w14:paraId="39328C5C">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4115" w:type="dxa"/>
            <w:vAlign w:val="center"/>
          </w:tcPr>
          <w:p w14:paraId="2DBEFF11">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9.清洁人员遵守岗位职责，严格纪律要求，不得出现泄密、破坏、偷窃等行为。</w:t>
            </w:r>
          </w:p>
        </w:tc>
        <w:tc>
          <w:tcPr>
            <w:tcW w:w="585" w:type="dxa"/>
            <w:vAlign w:val="center"/>
          </w:tcPr>
          <w:p w14:paraId="51B09698">
            <w:pPr>
              <w:adjustRightInd w:val="0"/>
              <w:snapToGrid w:val="0"/>
              <w:spacing w:line="240" w:lineRule="atLeas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3225" w:type="dxa"/>
            <w:vAlign w:val="center"/>
          </w:tcPr>
          <w:p w14:paraId="48387E24">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发现出现泄密、破坏、偷窃行为，一次扣3分。</w:t>
            </w:r>
          </w:p>
        </w:tc>
        <w:tc>
          <w:tcPr>
            <w:tcW w:w="775" w:type="dxa"/>
            <w:vAlign w:val="center"/>
          </w:tcPr>
          <w:p w14:paraId="65A4B537">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26FC2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22" w:hRule="atLeast"/>
          <w:jc w:val="center"/>
        </w:trPr>
        <w:tc>
          <w:tcPr>
            <w:tcW w:w="863" w:type="dxa"/>
            <w:vMerge w:val="continue"/>
            <w:vAlign w:val="center"/>
          </w:tcPr>
          <w:p w14:paraId="5E143B0D">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4115" w:type="dxa"/>
            <w:vAlign w:val="center"/>
          </w:tcPr>
          <w:p w14:paraId="1D18B1BC">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10.制定垃圾分类等管理制度和措施。按垃圾分类模式和要求配置分类收集容器，设置有害垃圾收集点、可回收物收集点；垃圾收集点（房）按要求设置垃圾分类宣传内容（垃圾四分类图、公示牌、管理制度、操作规范）；分类收集容器完好、整洁、容器颜色、标识规范清晰；做好垃圾分类培训并记录完备，按要求做好物业使用人垃圾分类落实情况统计。</w:t>
            </w:r>
          </w:p>
        </w:tc>
        <w:tc>
          <w:tcPr>
            <w:tcW w:w="585" w:type="dxa"/>
            <w:vAlign w:val="center"/>
          </w:tcPr>
          <w:p w14:paraId="2C560727">
            <w:pPr>
              <w:adjustRightInd w:val="0"/>
              <w:snapToGrid w:val="0"/>
              <w:spacing w:line="240" w:lineRule="atLeas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3225" w:type="dxa"/>
            <w:vAlign w:val="center"/>
          </w:tcPr>
          <w:p w14:paraId="4FE596C7">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1）垃圾分类宣传内容设置不全，垃圾分类收集不正确，一次扣1分；</w:t>
            </w:r>
          </w:p>
          <w:p w14:paraId="5CBE1D1D">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2）未按要求设置分类垃圾宣传内容或收集点扣1分；</w:t>
            </w:r>
          </w:p>
          <w:p w14:paraId="72E80AA7">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3）分类收集容器、标识不规范清晰扣0.5分；</w:t>
            </w:r>
          </w:p>
          <w:p w14:paraId="2C6D3F99">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4）不按要求开展垃圾分类培训或培训记录不全扣0.5分；</w:t>
            </w:r>
          </w:p>
          <w:p w14:paraId="3E9681C7">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5）统计台账不全扣0.5分。</w:t>
            </w:r>
          </w:p>
        </w:tc>
        <w:tc>
          <w:tcPr>
            <w:tcW w:w="775" w:type="dxa"/>
            <w:vAlign w:val="center"/>
          </w:tcPr>
          <w:p w14:paraId="2D201FCD">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5C767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0" w:hRule="atLeast"/>
          <w:jc w:val="center"/>
        </w:trPr>
        <w:tc>
          <w:tcPr>
            <w:tcW w:w="863" w:type="dxa"/>
            <w:vMerge w:val="continue"/>
            <w:vAlign w:val="center"/>
          </w:tcPr>
          <w:p w14:paraId="64346413">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4115" w:type="dxa"/>
            <w:vAlign w:val="center"/>
          </w:tcPr>
          <w:p w14:paraId="6261BCFE">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11.制定节电节水管理制度和措施。定期检查卫生间、茶水间水龙头等用水设备是否存在跑、冒、滴、漏等现象，并及时修理；检查下班后办公室空调、电器设备是否关闭。</w:t>
            </w:r>
          </w:p>
        </w:tc>
        <w:tc>
          <w:tcPr>
            <w:tcW w:w="585" w:type="dxa"/>
            <w:vAlign w:val="center"/>
          </w:tcPr>
          <w:p w14:paraId="57E71CA7">
            <w:pPr>
              <w:adjustRightInd w:val="0"/>
              <w:snapToGrid w:val="0"/>
              <w:spacing w:line="240" w:lineRule="atLeas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3225" w:type="dxa"/>
            <w:vAlign w:val="center"/>
          </w:tcPr>
          <w:p w14:paraId="1EE698B0">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1）发现水龙头等用水设备跑、冒、滴、漏现象维修不及时的，一次扣0.5分；</w:t>
            </w:r>
          </w:p>
          <w:p w14:paraId="3410EDA1">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2）遗漏一次扣0.5分。</w:t>
            </w:r>
          </w:p>
        </w:tc>
        <w:tc>
          <w:tcPr>
            <w:tcW w:w="775" w:type="dxa"/>
            <w:vAlign w:val="center"/>
          </w:tcPr>
          <w:p w14:paraId="268BC63F">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20198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jc w:val="center"/>
        </w:trPr>
        <w:tc>
          <w:tcPr>
            <w:tcW w:w="863" w:type="dxa"/>
            <w:vMerge w:val="continue"/>
            <w:vAlign w:val="center"/>
          </w:tcPr>
          <w:p w14:paraId="6CB9A12F">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4115" w:type="dxa"/>
            <w:vAlign w:val="center"/>
          </w:tcPr>
          <w:p w14:paraId="5EEBB3DC">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12.根据疫情防控要求，做好清洁消毒、室内通风等防疫工作。</w:t>
            </w:r>
          </w:p>
        </w:tc>
        <w:tc>
          <w:tcPr>
            <w:tcW w:w="585" w:type="dxa"/>
            <w:vAlign w:val="center"/>
          </w:tcPr>
          <w:p w14:paraId="6D5276DA">
            <w:pPr>
              <w:adjustRightInd w:val="0"/>
              <w:snapToGrid w:val="0"/>
              <w:spacing w:line="240" w:lineRule="atLeas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3225" w:type="dxa"/>
            <w:vAlign w:val="center"/>
          </w:tcPr>
          <w:p w14:paraId="5C37EDFA">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遗漏一处扣0.5分。</w:t>
            </w:r>
          </w:p>
        </w:tc>
        <w:tc>
          <w:tcPr>
            <w:tcW w:w="775" w:type="dxa"/>
            <w:vAlign w:val="center"/>
          </w:tcPr>
          <w:p w14:paraId="26214B2A">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5FE1E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9" w:hRule="atLeast"/>
          <w:jc w:val="center"/>
        </w:trPr>
        <w:tc>
          <w:tcPr>
            <w:tcW w:w="863" w:type="dxa"/>
            <w:vMerge w:val="restart"/>
            <w:vAlign w:val="center"/>
          </w:tcPr>
          <w:p w14:paraId="030ACF0B">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（三）会议服务（分值</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lang w:eastAsia="zh-CN"/>
              </w:rPr>
              <w:t>分）</w:t>
            </w:r>
          </w:p>
        </w:tc>
        <w:tc>
          <w:tcPr>
            <w:tcW w:w="4115" w:type="dxa"/>
            <w:vAlign w:val="center"/>
          </w:tcPr>
          <w:p w14:paraId="5B8DD77D">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1.做好会场区域、贵宾休息室日常清洁、检查工作。会议室家具干净、无灰尘；会议桌布、台裙干净平整无污迹、无折皱、无破损；地面洁净无垃圾、无残留物；杯具干净无茶迹，摆放整齐。</w:t>
            </w:r>
          </w:p>
        </w:tc>
        <w:tc>
          <w:tcPr>
            <w:tcW w:w="585" w:type="dxa"/>
            <w:vAlign w:val="center"/>
          </w:tcPr>
          <w:p w14:paraId="34BEBDBF">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p>
        </w:tc>
        <w:tc>
          <w:tcPr>
            <w:tcW w:w="3225" w:type="dxa"/>
            <w:vAlign w:val="center"/>
          </w:tcPr>
          <w:p w14:paraId="151B4514">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1）发现一处不合格扣0.5分；</w:t>
            </w:r>
          </w:p>
          <w:p w14:paraId="2EE44BCB">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2）使用单位投诉一次扣1分。</w:t>
            </w:r>
          </w:p>
        </w:tc>
        <w:tc>
          <w:tcPr>
            <w:tcW w:w="775" w:type="dxa"/>
            <w:vAlign w:val="center"/>
          </w:tcPr>
          <w:p w14:paraId="5E6E952C">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1492C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863" w:type="dxa"/>
            <w:vMerge w:val="continue"/>
            <w:vAlign w:val="center"/>
          </w:tcPr>
          <w:p w14:paraId="32AD0C52">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4115" w:type="dxa"/>
            <w:vAlign w:val="center"/>
          </w:tcPr>
          <w:p w14:paraId="273CC134">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2.做好会前标准化布置，包括横幅、指示牌、会议台、签到台、茶水、会议名牌、纸巾等。 </w:t>
            </w:r>
          </w:p>
        </w:tc>
        <w:tc>
          <w:tcPr>
            <w:tcW w:w="585" w:type="dxa"/>
            <w:vAlign w:val="center"/>
          </w:tcPr>
          <w:p w14:paraId="6E6AFD6D">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p>
        </w:tc>
        <w:tc>
          <w:tcPr>
            <w:tcW w:w="3225" w:type="dxa"/>
            <w:vAlign w:val="center"/>
          </w:tcPr>
          <w:p w14:paraId="7F0BEE86">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1）发现一处不合格扣0.5分；</w:t>
            </w:r>
          </w:p>
          <w:p w14:paraId="65E9B5D5">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2）使用单位投诉一次扣1分。</w:t>
            </w:r>
          </w:p>
        </w:tc>
        <w:tc>
          <w:tcPr>
            <w:tcW w:w="775" w:type="dxa"/>
            <w:vAlign w:val="center"/>
          </w:tcPr>
          <w:p w14:paraId="3605C2EB">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7D808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jc w:val="center"/>
        </w:trPr>
        <w:tc>
          <w:tcPr>
            <w:tcW w:w="863" w:type="dxa"/>
            <w:vMerge w:val="continue"/>
            <w:vAlign w:val="center"/>
          </w:tcPr>
          <w:p w14:paraId="5C0188E3">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4115" w:type="dxa"/>
            <w:vAlign w:val="center"/>
          </w:tcPr>
          <w:p w14:paraId="0F9558FF">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3.做好会中服务，会议期间会务员和音控人员不得擅自离岗，注意观察开会情况，根据会议情况续茶水，合理调整会议室的温度及音响效果。</w:t>
            </w:r>
          </w:p>
        </w:tc>
        <w:tc>
          <w:tcPr>
            <w:tcW w:w="585" w:type="dxa"/>
            <w:vAlign w:val="center"/>
          </w:tcPr>
          <w:p w14:paraId="4A005315">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p>
        </w:tc>
        <w:tc>
          <w:tcPr>
            <w:tcW w:w="3225" w:type="dxa"/>
            <w:vAlign w:val="center"/>
          </w:tcPr>
          <w:p w14:paraId="091F1A95">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1）发现一处不合格扣0.5分；</w:t>
            </w:r>
          </w:p>
          <w:p w14:paraId="220C30C9">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2）使用单位投诉一次扣1分。</w:t>
            </w:r>
          </w:p>
        </w:tc>
        <w:tc>
          <w:tcPr>
            <w:tcW w:w="775" w:type="dxa"/>
            <w:vAlign w:val="center"/>
          </w:tcPr>
          <w:p w14:paraId="265ED2A1">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32F4A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0" w:hRule="atLeast"/>
          <w:jc w:val="center"/>
        </w:trPr>
        <w:tc>
          <w:tcPr>
            <w:tcW w:w="863" w:type="dxa"/>
            <w:vMerge w:val="continue"/>
            <w:vAlign w:val="center"/>
          </w:tcPr>
          <w:p w14:paraId="73F66E13">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4115" w:type="dxa"/>
            <w:vAlign w:val="center"/>
          </w:tcPr>
          <w:p w14:paraId="67CB722B">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4.做好会后收场。会议结束60分钟内，完成会场清洁，收撤杯具、烟盅，并清洗、消毒后放回原处；收纳台裙台布；桌椅归位，关闭空调、照明、音响设备及门窗。</w:t>
            </w:r>
          </w:p>
        </w:tc>
        <w:tc>
          <w:tcPr>
            <w:tcW w:w="585" w:type="dxa"/>
            <w:vAlign w:val="center"/>
          </w:tcPr>
          <w:p w14:paraId="7B02EF85">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p>
        </w:tc>
        <w:tc>
          <w:tcPr>
            <w:tcW w:w="3225" w:type="dxa"/>
            <w:vAlign w:val="center"/>
          </w:tcPr>
          <w:p w14:paraId="390EA5C3">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发现一处不合格扣0.5分</w:t>
            </w:r>
          </w:p>
        </w:tc>
        <w:tc>
          <w:tcPr>
            <w:tcW w:w="775" w:type="dxa"/>
            <w:vAlign w:val="center"/>
          </w:tcPr>
          <w:p w14:paraId="17088B09">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552D0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jc w:val="center"/>
        </w:trPr>
        <w:tc>
          <w:tcPr>
            <w:tcW w:w="863" w:type="dxa"/>
            <w:vMerge w:val="continue"/>
            <w:vAlign w:val="center"/>
          </w:tcPr>
          <w:p w14:paraId="1658837E">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4115" w:type="dxa"/>
            <w:vAlign w:val="center"/>
          </w:tcPr>
          <w:p w14:paraId="6A44D574">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5.会议人员要服装整齐大方，仪容仪表符合规范，精神面貌佳，安排专人到场监督会务服务工作，巡查会议室准备情况和会议期间的需求情况。</w:t>
            </w:r>
          </w:p>
        </w:tc>
        <w:tc>
          <w:tcPr>
            <w:tcW w:w="585" w:type="dxa"/>
            <w:vAlign w:val="center"/>
          </w:tcPr>
          <w:p w14:paraId="48AA4977">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p>
        </w:tc>
        <w:tc>
          <w:tcPr>
            <w:tcW w:w="3225" w:type="dxa"/>
            <w:vAlign w:val="center"/>
          </w:tcPr>
          <w:p w14:paraId="0D44E738">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发现一处不合格扣0.5分</w:t>
            </w:r>
          </w:p>
        </w:tc>
        <w:tc>
          <w:tcPr>
            <w:tcW w:w="775" w:type="dxa"/>
            <w:vAlign w:val="center"/>
          </w:tcPr>
          <w:p w14:paraId="4BE6000B">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49E326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jc w:val="center"/>
        </w:trPr>
        <w:tc>
          <w:tcPr>
            <w:tcW w:w="863" w:type="dxa"/>
            <w:vMerge w:val="continue"/>
            <w:vAlign w:val="center"/>
          </w:tcPr>
          <w:p w14:paraId="6C78550A">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4115" w:type="dxa"/>
            <w:vAlign w:val="center"/>
          </w:tcPr>
          <w:p w14:paraId="06901604">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6.做好会议室用电设备节能检查，避免用电设备长时间无效耗能。</w:t>
            </w:r>
          </w:p>
        </w:tc>
        <w:tc>
          <w:tcPr>
            <w:tcW w:w="585" w:type="dxa"/>
            <w:vAlign w:val="center"/>
          </w:tcPr>
          <w:p w14:paraId="39E47892">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w:t>
            </w:r>
          </w:p>
        </w:tc>
        <w:tc>
          <w:tcPr>
            <w:tcW w:w="3225" w:type="dxa"/>
            <w:vAlign w:val="center"/>
          </w:tcPr>
          <w:p w14:paraId="7628695D">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发现一次不合格扣0.5分</w:t>
            </w:r>
          </w:p>
        </w:tc>
        <w:tc>
          <w:tcPr>
            <w:tcW w:w="775" w:type="dxa"/>
            <w:vAlign w:val="center"/>
          </w:tcPr>
          <w:p w14:paraId="66EEF846">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748E8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jc w:val="center"/>
        </w:trPr>
        <w:tc>
          <w:tcPr>
            <w:tcW w:w="863" w:type="dxa"/>
            <w:vMerge w:val="continue"/>
            <w:vAlign w:val="center"/>
          </w:tcPr>
          <w:p w14:paraId="78B0FE8A">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4115" w:type="dxa"/>
            <w:vAlign w:val="center"/>
          </w:tcPr>
          <w:p w14:paraId="6AD80D2C">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7.做好会议家具保管、维护、有序存放，存放点做好消防安全检查工作。</w:t>
            </w:r>
          </w:p>
        </w:tc>
        <w:tc>
          <w:tcPr>
            <w:tcW w:w="585" w:type="dxa"/>
            <w:vAlign w:val="center"/>
          </w:tcPr>
          <w:p w14:paraId="37FB9CEF">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w:t>
            </w:r>
          </w:p>
        </w:tc>
        <w:tc>
          <w:tcPr>
            <w:tcW w:w="3225" w:type="dxa"/>
            <w:vAlign w:val="center"/>
          </w:tcPr>
          <w:p w14:paraId="2B928C26">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1）因保管、维护、存放不当导致损坏，发现1件扣0.5分；</w:t>
            </w:r>
          </w:p>
          <w:p w14:paraId="7D252775">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2）阻塞消防通道或消防设备不齐全扣1分。</w:t>
            </w:r>
          </w:p>
        </w:tc>
        <w:tc>
          <w:tcPr>
            <w:tcW w:w="775" w:type="dxa"/>
            <w:vAlign w:val="center"/>
          </w:tcPr>
          <w:p w14:paraId="0C23116F">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750332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jc w:val="center"/>
        </w:trPr>
        <w:tc>
          <w:tcPr>
            <w:tcW w:w="863" w:type="dxa"/>
            <w:vMerge w:val="restart"/>
            <w:vAlign w:val="center"/>
          </w:tcPr>
          <w:p w14:paraId="72B43AAA">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lang w:eastAsia="zh-CN"/>
              </w:rPr>
              <w:t>）绿化养护工作（分值</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lang w:eastAsia="zh-CN"/>
              </w:rPr>
              <w:t>分）</w:t>
            </w:r>
          </w:p>
        </w:tc>
        <w:tc>
          <w:tcPr>
            <w:tcW w:w="4115" w:type="dxa"/>
            <w:vAlign w:val="center"/>
          </w:tcPr>
          <w:p w14:paraId="71C03A85">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1.绿植养护用水设备采用节水型设备，避免水资源浪费。</w:t>
            </w:r>
          </w:p>
        </w:tc>
        <w:tc>
          <w:tcPr>
            <w:tcW w:w="585" w:type="dxa"/>
            <w:vAlign w:val="center"/>
          </w:tcPr>
          <w:p w14:paraId="1AECA562">
            <w:pPr>
              <w:adjustRightInd w:val="0"/>
              <w:snapToGrid w:val="0"/>
              <w:spacing w:line="240" w:lineRule="atLeas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3225" w:type="dxa"/>
            <w:vAlign w:val="center"/>
          </w:tcPr>
          <w:p w14:paraId="2A52F54D">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发现一次不合格扣0.5分</w:t>
            </w:r>
          </w:p>
        </w:tc>
        <w:tc>
          <w:tcPr>
            <w:tcW w:w="775" w:type="dxa"/>
            <w:vAlign w:val="center"/>
          </w:tcPr>
          <w:p w14:paraId="04611D44">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0585E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jc w:val="center"/>
        </w:trPr>
        <w:tc>
          <w:tcPr>
            <w:tcW w:w="863" w:type="dxa"/>
            <w:vMerge w:val="continue"/>
            <w:vAlign w:val="center"/>
          </w:tcPr>
          <w:p w14:paraId="2CC56709">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4115" w:type="dxa"/>
            <w:vAlign w:val="center"/>
          </w:tcPr>
          <w:p w14:paraId="0458E9D8">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2.植物处于最佳观赏期，生长良好，葱绿茂盛，形态美观，叶面清洁无灰尘，无病害，无枯叶、残花等现象。</w:t>
            </w:r>
          </w:p>
        </w:tc>
        <w:tc>
          <w:tcPr>
            <w:tcW w:w="585" w:type="dxa"/>
            <w:vAlign w:val="center"/>
          </w:tcPr>
          <w:p w14:paraId="38C4ABA2">
            <w:pPr>
              <w:adjustRightInd w:val="0"/>
              <w:snapToGrid w:val="0"/>
              <w:spacing w:line="240" w:lineRule="atLeas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3225" w:type="dxa"/>
            <w:vAlign w:val="center"/>
          </w:tcPr>
          <w:p w14:paraId="0C477EB3">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发现一处不合格扣0.5分</w:t>
            </w:r>
          </w:p>
        </w:tc>
        <w:tc>
          <w:tcPr>
            <w:tcW w:w="775" w:type="dxa"/>
            <w:vAlign w:val="center"/>
          </w:tcPr>
          <w:p w14:paraId="5D9DF78D">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360F9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9" w:hRule="atLeast"/>
          <w:jc w:val="center"/>
        </w:trPr>
        <w:tc>
          <w:tcPr>
            <w:tcW w:w="863" w:type="dxa"/>
            <w:vMerge w:val="continue"/>
            <w:vAlign w:val="center"/>
          </w:tcPr>
          <w:p w14:paraId="2B574D71">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4115" w:type="dxa"/>
            <w:vAlign w:val="center"/>
          </w:tcPr>
          <w:p w14:paraId="7794B3ED">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3.定期防治病虫害，发现病虫害要及时采取有效措施防治，不要让其蔓延扩大；及时修剪枯病枝、伤害枝等，喷药时，要先行小量喷施试验后才大量试用，做到既除病虫害又保证花卉生长不受害。</w:t>
            </w:r>
          </w:p>
        </w:tc>
        <w:tc>
          <w:tcPr>
            <w:tcW w:w="585" w:type="dxa"/>
            <w:vAlign w:val="center"/>
          </w:tcPr>
          <w:p w14:paraId="5B3C31D0">
            <w:pPr>
              <w:adjustRightInd w:val="0"/>
              <w:snapToGrid w:val="0"/>
              <w:spacing w:line="240" w:lineRule="atLeas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3225" w:type="dxa"/>
            <w:vAlign w:val="center"/>
          </w:tcPr>
          <w:p w14:paraId="11ACC00B">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发现一处不合格扣0.5分</w:t>
            </w:r>
          </w:p>
        </w:tc>
        <w:tc>
          <w:tcPr>
            <w:tcW w:w="775" w:type="dxa"/>
            <w:vAlign w:val="center"/>
          </w:tcPr>
          <w:p w14:paraId="25B83B63">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27179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2" w:hRule="atLeast"/>
          <w:jc w:val="center"/>
        </w:trPr>
        <w:tc>
          <w:tcPr>
            <w:tcW w:w="863" w:type="dxa"/>
            <w:vMerge w:val="continue"/>
            <w:vAlign w:val="center"/>
          </w:tcPr>
          <w:p w14:paraId="054822DE">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4115" w:type="dxa"/>
            <w:vAlign w:val="center"/>
          </w:tcPr>
          <w:p w14:paraId="3E7CB8E2">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4.要做好养护登记表，并挂在植物不显眼的位置上，填写好植物的名称、摆放和更换时间、养护内容和时间等资料。</w:t>
            </w:r>
          </w:p>
        </w:tc>
        <w:tc>
          <w:tcPr>
            <w:tcW w:w="585" w:type="dxa"/>
            <w:vAlign w:val="center"/>
          </w:tcPr>
          <w:p w14:paraId="53E05E6E">
            <w:pPr>
              <w:adjustRightInd w:val="0"/>
              <w:snapToGrid w:val="0"/>
              <w:spacing w:line="240" w:lineRule="atLeas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3225" w:type="dxa"/>
            <w:vAlign w:val="center"/>
          </w:tcPr>
          <w:p w14:paraId="2AFF2AE5">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发现一处不合格扣0.5分</w:t>
            </w:r>
          </w:p>
        </w:tc>
        <w:tc>
          <w:tcPr>
            <w:tcW w:w="775" w:type="dxa"/>
            <w:vAlign w:val="center"/>
          </w:tcPr>
          <w:p w14:paraId="25E474C5">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2CC0B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5" w:hRule="atLeast"/>
          <w:jc w:val="center"/>
        </w:trPr>
        <w:tc>
          <w:tcPr>
            <w:tcW w:w="863" w:type="dxa"/>
            <w:vMerge w:val="continue"/>
            <w:vAlign w:val="center"/>
          </w:tcPr>
          <w:p w14:paraId="4CD9CC6D">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4115" w:type="dxa"/>
            <w:vAlign w:val="center"/>
          </w:tcPr>
          <w:p w14:paraId="3626AF9A">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5.做好补植工作。及时清理死苗、死树，在两周内补植回原来的苗和树，成活率95%以上。</w:t>
            </w:r>
          </w:p>
        </w:tc>
        <w:tc>
          <w:tcPr>
            <w:tcW w:w="585" w:type="dxa"/>
            <w:vAlign w:val="center"/>
          </w:tcPr>
          <w:p w14:paraId="7BB4F740">
            <w:pPr>
              <w:adjustRightInd w:val="0"/>
              <w:snapToGrid w:val="0"/>
              <w:spacing w:line="240" w:lineRule="atLeas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3225" w:type="dxa"/>
            <w:vAlign w:val="center"/>
          </w:tcPr>
          <w:p w14:paraId="6F07F5C8">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发现一处不合格扣0.5分</w:t>
            </w:r>
          </w:p>
        </w:tc>
        <w:tc>
          <w:tcPr>
            <w:tcW w:w="775" w:type="dxa"/>
            <w:vAlign w:val="center"/>
          </w:tcPr>
          <w:p w14:paraId="613E037D">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031BD1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4" w:hRule="atLeast"/>
          <w:jc w:val="center"/>
        </w:trPr>
        <w:tc>
          <w:tcPr>
            <w:tcW w:w="863" w:type="dxa"/>
            <w:vMerge w:val="continue"/>
            <w:vAlign w:val="center"/>
          </w:tcPr>
          <w:p w14:paraId="301F2098">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4115" w:type="dxa"/>
            <w:vAlign w:val="center"/>
          </w:tcPr>
          <w:p w14:paraId="11551348">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6.植物搭配要有艺术性且符合现场摆放需求，保持植物干净整洁，无脏物。</w:t>
            </w:r>
          </w:p>
        </w:tc>
        <w:tc>
          <w:tcPr>
            <w:tcW w:w="585" w:type="dxa"/>
            <w:vAlign w:val="center"/>
          </w:tcPr>
          <w:p w14:paraId="0624D4AB">
            <w:pPr>
              <w:adjustRightInd w:val="0"/>
              <w:snapToGrid w:val="0"/>
              <w:spacing w:line="240" w:lineRule="atLeas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3225" w:type="dxa"/>
            <w:vAlign w:val="center"/>
          </w:tcPr>
          <w:p w14:paraId="7FE90D2D">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发现一处不合格扣0.5分</w:t>
            </w:r>
          </w:p>
        </w:tc>
        <w:tc>
          <w:tcPr>
            <w:tcW w:w="775" w:type="dxa"/>
            <w:vAlign w:val="center"/>
          </w:tcPr>
          <w:p w14:paraId="63BDFED2">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5EAA66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6" w:hRule="atLeast"/>
          <w:jc w:val="center"/>
        </w:trPr>
        <w:tc>
          <w:tcPr>
            <w:tcW w:w="863" w:type="dxa"/>
            <w:vAlign w:val="center"/>
          </w:tcPr>
          <w:p w14:paraId="469E5D4D">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lang w:eastAsia="zh-CN"/>
              </w:rPr>
              <w:t>）突发事件处理（分值5分）</w:t>
            </w:r>
          </w:p>
        </w:tc>
        <w:tc>
          <w:tcPr>
            <w:tcW w:w="4115" w:type="dxa"/>
            <w:vAlign w:val="center"/>
          </w:tcPr>
          <w:p w14:paraId="00B005E4">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1.处理客服、会务、天气引起的环境保洁工作及其他突发事件。</w:t>
            </w:r>
          </w:p>
        </w:tc>
        <w:tc>
          <w:tcPr>
            <w:tcW w:w="585" w:type="dxa"/>
            <w:vAlign w:val="center"/>
          </w:tcPr>
          <w:p w14:paraId="769754D1">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w:t>
            </w:r>
          </w:p>
        </w:tc>
        <w:tc>
          <w:tcPr>
            <w:tcW w:w="3225" w:type="dxa"/>
            <w:vAlign w:val="center"/>
          </w:tcPr>
          <w:p w14:paraId="0187D83A">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处理不到位每次扣0.5分，因物业管理不善造成重大恶劣影响的一次扣5分。</w:t>
            </w:r>
          </w:p>
        </w:tc>
        <w:tc>
          <w:tcPr>
            <w:tcW w:w="775" w:type="dxa"/>
            <w:vAlign w:val="center"/>
          </w:tcPr>
          <w:p w14:paraId="07F69E22">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6579F5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47" w:hRule="atLeast"/>
          <w:jc w:val="center"/>
        </w:trPr>
        <w:tc>
          <w:tcPr>
            <w:tcW w:w="863" w:type="dxa"/>
            <w:vMerge w:val="restart"/>
            <w:vAlign w:val="center"/>
          </w:tcPr>
          <w:p w14:paraId="7F6821C2">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lang w:eastAsia="zh-CN"/>
              </w:rPr>
              <w:t>）</w:t>
            </w:r>
          </w:p>
          <w:p w14:paraId="055FE02F">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日常巡检落实情况（分值30分）</w:t>
            </w:r>
          </w:p>
        </w:tc>
        <w:tc>
          <w:tcPr>
            <w:tcW w:w="4115" w:type="dxa"/>
            <w:vAlign w:val="center"/>
          </w:tcPr>
          <w:p w14:paraId="1A2D12C1">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严格按照招标文件及合同要求，按章开展设施设备巡查工作，对建筑本体公共部分、供水、供电、会议系统、消防系统、电梯系统、空调、智能化系统、安防系统、节能监管平台等进行定期巡检，分项做好巡查记录和建立专项档案备查。</w:t>
            </w:r>
          </w:p>
        </w:tc>
        <w:tc>
          <w:tcPr>
            <w:tcW w:w="585" w:type="dxa"/>
            <w:vAlign w:val="center"/>
          </w:tcPr>
          <w:p w14:paraId="1FD62217">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w:t>
            </w:r>
          </w:p>
        </w:tc>
        <w:tc>
          <w:tcPr>
            <w:tcW w:w="3225" w:type="dxa"/>
            <w:vAlign w:val="center"/>
          </w:tcPr>
          <w:p w14:paraId="11E074C6">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1）未按规定巡检、记录或档案不完善的，每次扣1分；</w:t>
            </w:r>
          </w:p>
          <w:p w14:paraId="4722D7FC">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2）应当通过巡检发现建筑物存在的问题或设备故障而未及时发现，根据影响程度，每次扣1分或2分。</w:t>
            </w:r>
          </w:p>
        </w:tc>
        <w:tc>
          <w:tcPr>
            <w:tcW w:w="775" w:type="dxa"/>
            <w:vAlign w:val="center"/>
          </w:tcPr>
          <w:p w14:paraId="74AC6FFC">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06D5B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3" w:hRule="atLeast"/>
          <w:jc w:val="center"/>
        </w:trPr>
        <w:tc>
          <w:tcPr>
            <w:tcW w:w="863" w:type="dxa"/>
            <w:vMerge w:val="continue"/>
            <w:vAlign w:val="center"/>
          </w:tcPr>
          <w:p w14:paraId="111F2770">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p>
        </w:tc>
        <w:tc>
          <w:tcPr>
            <w:tcW w:w="4115" w:type="dxa"/>
            <w:vAlign w:val="center"/>
          </w:tcPr>
          <w:p w14:paraId="300E3E27">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日常巡检中发现的问题或设备故障，按照合同要求做好维修或上报工作，跟踪并记录修复整个流程，建立档案备查。建立设施设备的备件管理制度，使用由招标人购买的备件前须征得物管考核小组批同意，使用后做好相关登记。</w:t>
            </w:r>
          </w:p>
        </w:tc>
        <w:tc>
          <w:tcPr>
            <w:tcW w:w="585" w:type="dxa"/>
            <w:vAlign w:val="center"/>
          </w:tcPr>
          <w:p w14:paraId="6474C143">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w:t>
            </w:r>
          </w:p>
        </w:tc>
        <w:tc>
          <w:tcPr>
            <w:tcW w:w="3225" w:type="dxa"/>
            <w:vAlign w:val="center"/>
          </w:tcPr>
          <w:p w14:paraId="436993B9">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1）巡检中发现建筑物存在问题或设备故障，应当上报但未及时上报的，每次扣1分；</w:t>
            </w:r>
          </w:p>
          <w:p w14:paraId="2BC48BDC">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2）未建立设备维修维护台账的，每次扣1分；</w:t>
            </w:r>
          </w:p>
          <w:p w14:paraId="55AE4B44">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3）不按规定使用备件或未建立备件使用台账的，每次1分。</w:t>
            </w:r>
          </w:p>
        </w:tc>
        <w:tc>
          <w:tcPr>
            <w:tcW w:w="775" w:type="dxa"/>
            <w:vAlign w:val="center"/>
          </w:tcPr>
          <w:p w14:paraId="0943A2AB">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6A8FE9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2" w:hRule="atLeast"/>
          <w:jc w:val="center"/>
        </w:trPr>
        <w:tc>
          <w:tcPr>
            <w:tcW w:w="863" w:type="dxa"/>
            <w:vMerge w:val="continue"/>
            <w:vAlign w:val="center"/>
          </w:tcPr>
          <w:p w14:paraId="23F5508D">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p>
        </w:tc>
        <w:tc>
          <w:tcPr>
            <w:tcW w:w="4115" w:type="dxa"/>
            <w:vAlign w:val="center"/>
          </w:tcPr>
          <w:p w14:paraId="36D43052">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3.按合同要求配备技术人员和岗位，每月20号前提供当月人员名册和岗位情况。遵守岗位职责，不得无故缺勤。</w:t>
            </w:r>
          </w:p>
        </w:tc>
        <w:tc>
          <w:tcPr>
            <w:tcW w:w="585" w:type="dxa"/>
            <w:vAlign w:val="center"/>
          </w:tcPr>
          <w:p w14:paraId="56C9E0E2">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10</w:t>
            </w:r>
          </w:p>
        </w:tc>
        <w:tc>
          <w:tcPr>
            <w:tcW w:w="3225" w:type="dxa"/>
            <w:vAlign w:val="center"/>
          </w:tcPr>
          <w:p w14:paraId="3B00494D">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1）20号前未按合同配备人员和岗位的，缺1人（岗位）扣0.5分；</w:t>
            </w:r>
          </w:p>
          <w:p w14:paraId="4C1D7AFF">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2）发现一次无故缺勤，一次扣2分，因缺勤导致严重后果一次扣5分。</w:t>
            </w:r>
          </w:p>
        </w:tc>
        <w:tc>
          <w:tcPr>
            <w:tcW w:w="775" w:type="dxa"/>
            <w:vAlign w:val="center"/>
          </w:tcPr>
          <w:p w14:paraId="6B392D46">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6C7E8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7" w:hRule="atLeast"/>
          <w:jc w:val="center"/>
        </w:trPr>
        <w:tc>
          <w:tcPr>
            <w:tcW w:w="863" w:type="dxa"/>
            <w:vMerge w:val="continue"/>
            <w:vAlign w:val="center"/>
          </w:tcPr>
          <w:p w14:paraId="1DF8B505">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p>
        </w:tc>
        <w:tc>
          <w:tcPr>
            <w:tcW w:w="4115" w:type="dxa"/>
            <w:vAlign w:val="center"/>
          </w:tcPr>
          <w:p w14:paraId="784D707B">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4.疫情期间，按防疫要求对空调滤网进行清理，保证测温仪、空气净化器等防疫设备正常运行，并做好相关登记。</w:t>
            </w:r>
          </w:p>
        </w:tc>
        <w:tc>
          <w:tcPr>
            <w:tcW w:w="585" w:type="dxa"/>
            <w:vAlign w:val="center"/>
          </w:tcPr>
          <w:p w14:paraId="2C93163A">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w:t>
            </w:r>
          </w:p>
        </w:tc>
        <w:tc>
          <w:tcPr>
            <w:tcW w:w="3225" w:type="dxa"/>
            <w:vAlign w:val="center"/>
          </w:tcPr>
          <w:p w14:paraId="462093CE">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1）巡检中发现防疫设备存在问题或防疫设备故障，应当上报但未及时上报的，每次扣1分；</w:t>
            </w:r>
          </w:p>
          <w:p w14:paraId="0B0F0529">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2）未建立防疫设备维修维护台账的，每次扣1分。</w:t>
            </w:r>
          </w:p>
        </w:tc>
        <w:tc>
          <w:tcPr>
            <w:tcW w:w="775" w:type="dxa"/>
            <w:vAlign w:val="center"/>
          </w:tcPr>
          <w:p w14:paraId="57F3A969">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7FEB0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43" w:hRule="atLeast"/>
          <w:jc w:val="center"/>
        </w:trPr>
        <w:tc>
          <w:tcPr>
            <w:tcW w:w="863" w:type="dxa"/>
            <w:vMerge w:val="continue"/>
            <w:vAlign w:val="center"/>
          </w:tcPr>
          <w:p w14:paraId="187A3A1B">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p>
        </w:tc>
        <w:tc>
          <w:tcPr>
            <w:tcW w:w="4115" w:type="dxa"/>
            <w:vAlign w:val="center"/>
          </w:tcPr>
          <w:p w14:paraId="112CF520">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按《安全生产监督管理重点项目台账》和《安全隐患排查整治台账》进行重点巡查，并建立巡查台账。其中《安全生产监督管理重点项目台账》中的项目每月至少检查3次；《安全隐患排查整治台账》中的风险点，对一级风险点实行每天巡查一次、二级风险点实行每周巡查一次、三级风险点实行每月巡查一次。</w:t>
            </w:r>
          </w:p>
        </w:tc>
        <w:tc>
          <w:tcPr>
            <w:tcW w:w="585" w:type="dxa"/>
            <w:vAlign w:val="center"/>
          </w:tcPr>
          <w:p w14:paraId="4FD3311D">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w:t>
            </w:r>
          </w:p>
        </w:tc>
        <w:tc>
          <w:tcPr>
            <w:tcW w:w="3225" w:type="dxa"/>
            <w:vAlign w:val="center"/>
          </w:tcPr>
          <w:p w14:paraId="7D29E03C">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1）未按要求进行巡查并建立台账的，每次扣1分；</w:t>
            </w:r>
          </w:p>
          <w:p w14:paraId="7D18BB0C">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2)巡检中发现由物业进行维修的，未按时做处理的，每次扣1分；</w:t>
            </w:r>
          </w:p>
          <w:p w14:paraId="378A7CC7">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3)巡检中发现不在物业物业维修范围的，但未做好应急措施的，每次扣1分。</w:t>
            </w:r>
          </w:p>
        </w:tc>
        <w:tc>
          <w:tcPr>
            <w:tcW w:w="775" w:type="dxa"/>
            <w:vAlign w:val="center"/>
          </w:tcPr>
          <w:p w14:paraId="75736F16">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7ADC8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4" w:hRule="atLeast"/>
          <w:jc w:val="center"/>
        </w:trPr>
        <w:tc>
          <w:tcPr>
            <w:tcW w:w="863" w:type="dxa"/>
            <w:vAlign w:val="center"/>
          </w:tcPr>
          <w:p w14:paraId="6279E1A7">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lang w:eastAsia="zh-CN"/>
              </w:rPr>
              <w:t>）日常维保落实情况（分值10分）</w:t>
            </w:r>
          </w:p>
        </w:tc>
        <w:tc>
          <w:tcPr>
            <w:tcW w:w="4115" w:type="dxa"/>
            <w:vAlign w:val="center"/>
          </w:tcPr>
          <w:p w14:paraId="26E9D912">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所有设施设备的各项档案齐全完备，管理制度健全，做好维保工作计划，跟踪维保整个流程，建立档案备查。针对专业性较强的设备，如空调系统、消防系统、高压配电系统、智能化系统（包括门禁、监控、车场管理等系统）、外墙景观照明系统、电梯系统等，由具有相关资质的专业公司进行维保，监督维保公司严格按照合同要求，定期对设施设备进行维保工作，分项做好维保记录和建立专项档案备查。</w:t>
            </w:r>
          </w:p>
        </w:tc>
        <w:tc>
          <w:tcPr>
            <w:tcW w:w="585" w:type="dxa"/>
            <w:vAlign w:val="center"/>
          </w:tcPr>
          <w:p w14:paraId="49FEE897">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10</w:t>
            </w:r>
          </w:p>
        </w:tc>
        <w:tc>
          <w:tcPr>
            <w:tcW w:w="3225" w:type="dxa"/>
            <w:vAlign w:val="center"/>
          </w:tcPr>
          <w:p w14:paraId="36FA09BB">
            <w:pPr>
              <w:numPr>
                <w:ilvl w:val="0"/>
                <w:numId w:val="28"/>
              </w:num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发现空调主机、消防、供水、供电、电梯系统有1次不按规定维保扣3分；</w:t>
            </w:r>
          </w:p>
          <w:p w14:paraId="43C65290">
            <w:pPr>
              <w:numPr>
                <w:ilvl w:val="0"/>
                <w:numId w:val="28"/>
              </w:num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发现、智能化系统有1次不按规定维保扣2分；</w:t>
            </w:r>
          </w:p>
          <w:p w14:paraId="139A8846">
            <w:pPr>
              <w:numPr>
                <w:ilvl w:val="0"/>
                <w:numId w:val="28"/>
              </w:num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发现其他设施设备有1次不按规定维保扣1分；</w:t>
            </w:r>
          </w:p>
          <w:p w14:paraId="226BEE17">
            <w:pPr>
              <w:numPr>
                <w:ilvl w:val="0"/>
                <w:numId w:val="28"/>
              </w:num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所有设施设备由于不按规定维保造成较大影响或较大故障的1次扣5分，造成恶劣影响或重大故障的1次扣10分；</w:t>
            </w:r>
          </w:p>
          <w:p w14:paraId="327A06E3">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5）维保档案不完善，每发现一处扣1分。</w:t>
            </w:r>
          </w:p>
        </w:tc>
        <w:tc>
          <w:tcPr>
            <w:tcW w:w="775" w:type="dxa"/>
            <w:vAlign w:val="center"/>
          </w:tcPr>
          <w:p w14:paraId="2F0155F8">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46DD00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63" w:type="dxa"/>
            <w:vMerge w:val="restart"/>
            <w:vAlign w:val="center"/>
          </w:tcPr>
          <w:p w14:paraId="69AFA28F">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八</w:t>
            </w:r>
            <w:r>
              <w:rPr>
                <w:rFonts w:hint="eastAsia" w:ascii="宋体" w:hAnsi="宋体" w:eastAsia="宋体" w:cs="宋体"/>
                <w:color w:val="auto"/>
                <w:sz w:val="21"/>
                <w:szCs w:val="21"/>
                <w:highlight w:val="none"/>
                <w:lang w:eastAsia="zh-CN"/>
              </w:rPr>
              <w:t>）服务响应时间（分值15分）</w:t>
            </w:r>
          </w:p>
        </w:tc>
        <w:tc>
          <w:tcPr>
            <w:tcW w:w="4115" w:type="dxa"/>
            <w:vAlign w:val="center"/>
          </w:tcPr>
          <w:p w14:paraId="2F31432F">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1.收到设施设备报修信息后，技术人员到达现场处理故障的响应时间一般不超过15分钟，电梯、消防、空调、电力、智能化等设备响应时间不超过5分钟。</w:t>
            </w:r>
          </w:p>
        </w:tc>
        <w:tc>
          <w:tcPr>
            <w:tcW w:w="585" w:type="dxa"/>
            <w:vAlign w:val="center"/>
          </w:tcPr>
          <w:p w14:paraId="0648EEC8">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10</w:t>
            </w:r>
          </w:p>
        </w:tc>
        <w:tc>
          <w:tcPr>
            <w:tcW w:w="3225" w:type="dxa"/>
            <w:vAlign w:val="center"/>
          </w:tcPr>
          <w:p w14:paraId="790CF193">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每次故障按照技术人员响应时间进行扣分，超过响应时间未响应但在1小时以内响应的扣0.5分，超过1小时未响应但24小时内响应的扣2分，24小时以上没有响应的扣3分，由于没有响应造成较大影响或较大故障的1次扣5分，造成恶劣影响或重大故障的扣10分。</w:t>
            </w:r>
          </w:p>
        </w:tc>
        <w:tc>
          <w:tcPr>
            <w:tcW w:w="775" w:type="dxa"/>
            <w:vAlign w:val="center"/>
          </w:tcPr>
          <w:p w14:paraId="390BF65A">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01E81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9" w:hRule="atLeast"/>
          <w:jc w:val="center"/>
        </w:trPr>
        <w:tc>
          <w:tcPr>
            <w:tcW w:w="863" w:type="dxa"/>
            <w:vMerge w:val="continue"/>
            <w:vAlign w:val="center"/>
          </w:tcPr>
          <w:p w14:paraId="5FCAD6EF">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4115" w:type="dxa"/>
            <w:vAlign w:val="center"/>
          </w:tcPr>
          <w:p w14:paraId="25BCE843">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2.接到会议通知后，10分钟内响应设备使用人需求，按照要求布置会场；检查会场内灯光、音响、视频投影、空调等设备状况；会议期间至少保证有1名会议音控技术员全程跟进，确保会议顺利进行。</w:t>
            </w:r>
          </w:p>
        </w:tc>
        <w:tc>
          <w:tcPr>
            <w:tcW w:w="585" w:type="dxa"/>
            <w:vAlign w:val="center"/>
          </w:tcPr>
          <w:p w14:paraId="5818A3C5">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w:t>
            </w:r>
          </w:p>
        </w:tc>
        <w:tc>
          <w:tcPr>
            <w:tcW w:w="3225" w:type="dxa"/>
            <w:vAlign w:val="center"/>
          </w:tcPr>
          <w:p w14:paraId="0858EC4D">
            <w:pPr>
              <w:numPr>
                <w:ilvl w:val="0"/>
                <w:numId w:val="29"/>
              </w:num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发现人员响应不及时，一次扣1分；</w:t>
            </w:r>
          </w:p>
          <w:p w14:paraId="134FE9D3">
            <w:pPr>
              <w:numPr>
                <w:ilvl w:val="0"/>
                <w:numId w:val="29"/>
              </w:num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发现会议期间没有音控人员跟进的，一次扣2分。</w:t>
            </w:r>
          </w:p>
        </w:tc>
        <w:tc>
          <w:tcPr>
            <w:tcW w:w="775" w:type="dxa"/>
            <w:vAlign w:val="center"/>
          </w:tcPr>
          <w:p w14:paraId="43FC48B5">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66003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81" w:hRule="atLeast"/>
          <w:jc w:val="center"/>
        </w:trPr>
        <w:tc>
          <w:tcPr>
            <w:tcW w:w="863" w:type="dxa"/>
            <w:vAlign w:val="center"/>
          </w:tcPr>
          <w:p w14:paraId="15099584">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九</w:t>
            </w:r>
            <w:r>
              <w:rPr>
                <w:rFonts w:hint="eastAsia" w:ascii="宋体" w:hAnsi="宋体" w:eastAsia="宋体" w:cs="宋体"/>
                <w:color w:val="auto"/>
                <w:sz w:val="21"/>
                <w:szCs w:val="21"/>
                <w:highlight w:val="none"/>
                <w:lang w:eastAsia="zh-CN"/>
              </w:rPr>
              <w:t>）</w:t>
            </w:r>
          </w:p>
          <w:p w14:paraId="35FA035C">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故障应急处理（分值10分）</w:t>
            </w:r>
          </w:p>
        </w:tc>
        <w:tc>
          <w:tcPr>
            <w:tcW w:w="4115" w:type="dxa"/>
            <w:vAlign w:val="center"/>
          </w:tcPr>
          <w:p w14:paraId="2B372A08">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各项设施设备建立健全的故障应急管理制度并严格执行。故障发生后，设备责任人须迅速到场了解故障原因和影响，做好现场温馨提醒及受影响单位的解释工作，及时上报故障状况及抢修进展情况，加强与设备厂家（供应商或承建单位）的联系和沟通，尽快解决抢修过程中遇到的技术难题，并做好相关应急处置记录，建立档案备查。</w:t>
            </w:r>
          </w:p>
        </w:tc>
        <w:tc>
          <w:tcPr>
            <w:tcW w:w="585" w:type="dxa"/>
            <w:vAlign w:val="center"/>
          </w:tcPr>
          <w:p w14:paraId="3EBCFFB8">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10</w:t>
            </w:r>
          </w:p>
        </w:tc>
        <w:tc>
          <w:tcPr>
            <w:tcW w:w="3225" w:type="dxa"/>
            <w:vAlign w:val="center"/>
          </w:tcPr>
          <w:p w14:paraId="10135928">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发现处理不及时、没有及时上报的，每次扣1分，由于未做任何应急处理措施造成较大影响或较大故障的1次扣5分，造成恶劣影响或重大故障的扣10分。</w:t>
            </w:r>
          </w:p>
        </w:tc>
        <w:tc>
          <w:tcPr>
            <w:tcW w:w="775" w:type="dxa"/>
            <w:vAlign w:val="center"/>
          </w:tcPr>
          <w:p w14:paraId="49DD2984">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72072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5" w:hRule="atLeast"/>
          <w:jc w:val="center"/>
        </w:trPr>
        <w:tc>
          <w:tcPr>
            <w:tcW w:w="863" w:type="dxa"/>
            <w:vAlign w:val="center"/>
          </w:tcPr>
          <w:p w14:paraId="42FFFCD7">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（十）</w:t>
            </w:r>
          </w:p>
          <w:p w14:paraId="118BCA48">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投诉及处理（分值15分）</w:t>
            </w:r>
          </w:p>
        </w:tc>
        <w:tc>
          <w:tcPr>
            <w:tcW w:w="4115" w:type="dxa"/>
            <w:vAlign w:val="center"/>
          </w:tcPr>
          <w:p w14:paraId="5321C047">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及时处理服务对象提出设施设备存在问题，有规范的处置流程，并及时告知处理结果，不得以任何借口推诿、拖延和拒绝。能够即时处理的即时处理，不能即时处理的做好解释工作，并即时上报。做好相关处置记录，建立档案备查。</w:t>
            </w:r>
          </w:p>
        </w:tc>
        <w:tc>
          <w:tcPr>
            <w:tcW w:w="585" w:type="dxa"/>
            <w:vAlign w:val="center"/>
          </w:tcPr>
          <w:p w14:paraId="03077438">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15</w:t>
            </w:r>
          </w:p>
        </w:tc>
        <w:tc>
          <w:tcPr>
            <w:tcW w:w="3225" w:type="dxa"/>
            <w:vAlign w:val="center"/>
          </w:tcPr>
          <w:p w14:paraId="71869A3E">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发现没有及时处理投诉或没有及时上报处理情况的，每次扣0.5分，因未及时处理投诉导致投诉人向有关行政管理部门投诉的，每次扣1分，由于没有处理造成恶劣影响或重大故障的扣15分。</w:t>
            </w:r>
          </w:p>
        </w:tc>
        <w:tc>
          <w:tcPr>
            <w:tcW w:w="775" w:type="dxa"/>
            <w:vAlign w:val="center"/>
          </w:tcPr>
          <w:p w14:paraId="49EA4BCA">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108F0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30" w:hRule="atLeast"/>
          <w:jc w:val="center"/>
        </w:trPr>
        <w:tc>
          <w:tcPr>
            <w:tcW w:w="863" w:type="dxa"/>
            <w:vAlign w:val="center"/>
          </w:tcPr>
          <w:p w14:paraId="4898EE34">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（十</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lang w:eastAsia="zh-CN"/>
              </w:rPr>
              <w:t>）设备完好情况（分值20分）</w:t>
            </w:r>
          </w:p>
        </w:tc>
        <w:tc>
          <w:tcPr>
            <w:tcW w:w="4115" w:type="dxa"/>
            <w:vAlign w:val="center"/>
          </w:tcPr>
          <w:p w14:paraId="04AF597C">
            <w:pPr>
              <w:adjustRightInd w:val="0"/>
              <w:snapToGrid w:val="0"/>
              <w:spacing w:line="240" w:lineRule="atLeast"/>
              <w:ind w:firstLine="42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合同规定属于物业公司维修范围的项目需及时维修，重大故障（指直接影响服务质量，对服务对象造成明显影响的故障维修）需即时上报，并在约定的期限内完成维修；一般设施设备故障维修时间应不超过24小时。</w:t>
            </w:r>
          </w:p>
        </w:tc>
        <w:tc>
          <w:tcPr>
            <w:tcW w:w="585" w:type="dxa"/>
            <w:vAlign w:val="center"/>
          </w:tcPr>
          <w:p w14:paraId="47A82A11">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20</w:t>
            </w:r>
          </w:p>
          <w:p w14:paraId="3540C9CF">
            <w:pPr>
              <w:adjustRightInd w:val="0"/>
              <w:snapToGrid w:val="0"/>
              <w:spacing w:line="240" w:lineRule="atLeast"/>
              <w:ind w:firstLine="420"/>
              <w:jc w:val="center"/>
              <w:rPr>
                <w:rFonts w:hint="eastAsia" w:ascii="宋体" w:hAnsi="宋体" w:eastAsia="宋体" w:cs="宋体"/>
                <w:color w:val="auto"/>
                <w:sz w:val="21"/>
                <w:szCs w:val="21"/>
                <w:highlight w:val="none"/>
                <w:lang w:eastAsia="zh-CN"/>
              </w:rPr>
            </w:pPr>
          </w:p>
        </w:tc>
        <w:tc>
          <w:tcPr>
            <w:tcW w:w="3225" w:type="dxa"/>
            <w:vAlign w:val="center"/>
          </w:tcPr>
          <w:p w14:paraId="3ED08CCD">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（1）供配电系统</w:t>
            </w:r>
          </w:p>
          <w:p w14:paraId="0A7E54E2">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因物业管理不善引起的，影响物业使用人正常办公或经营活动，影响范围大于一间办公室或一间商铺的故障断电，抢修时间在0-4小时内的，扣0.5分/次；4-8小时，扣1分/次；8小时以上每超4小时增扣0.2分/次。 </w:t>
            </w:r>
          </w:p>
          <w:p w14:paraId="7A73D5D8">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（2）给排水系统</w:t>
            </w:r>
          </w:p>
          <w:p w14:paraId="287DE1C9">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因物业管理不善引起设备故障，造成用户端（一间办公室以上）停、用水0-4小时内的，扣0.5分/次；4-8小时，扣1分/次；超过8小时以上每超4小时增扣0.2分/次。</w:t>
            </w:r>
          </w:p>
          <w:p w14:paraId="4389EE01">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（3）电梯设备</w:t>
            </w:r>
          </w:p>
          <w:p w14:paraId="654D907C">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1)因物业管理不善引起，发生困人故障，困人时间在</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-15分钟的扣0.5分，15-30分钟的扣1分，超过30分钟每超15分钟增扣1分/次。</w:t>
            </w:r>
          </w:p>
          <w:p w14:paraId="7D1EB9F3">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2)因物业管理不善引起单台电梯停机故障，0-4小时的扣0.5分/次，4-8小时的扣1分/次，超过8小时每超4小时增扣0.2分/次。</w:t>
            </w:r>
          </w:p>
          <w:p w14:paraId="72805923">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（4）空调系统</w:t>
            </w:r>
          </w:p>
          <w:p w14:paraId="5CC131C2">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在规定正常提供服务的季节内，因物业管理不善引起设备故障而停用空调的，0-30分钟扣0.5分/次，30-60分钟的内扣1分/次，超过60分钟以后每超30分钟增扣0.2分。</w:t>
            </w:r>
          </w:p>
          <w:p w14:paraId="417FCE60">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（5）会议系统</w:t>
            </w:r>
          </w:p>
          <w:p w14:paraId="57FCF8AF">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会议期间，因物业管理不善引起设备故障，造成会议无法正常召开，扣10分/次；在非会议期间，因物业管理不善引起设备故障，0-4小时修复的扣0.5分/次，4-8小时修复的扣1分/次，超过8小时每超4小时修复的增扣0.2分。</w:t>
            </w:r>
          </w:p>
          <w:p w14:paraId="6F0A4909">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（6）照明系统</w:t>
            </w:r>
          </w:p>
          <w:p w14:paraId="7839C790">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主要道路照明，因物业管理不善引起故障造成夜间规定时间内不能开启的，扣0.5分/次，整个外围照明不能开启使用的，扣1分/次。楼内通道照明，在规定开启时间内不能使用，当天没有修复的，扣0.5分/次、层。楼内通道照明，未根据作息时间、天气变化及时开启灯具，扣0.5分/次、层。</w:t>
            </w:r>
          </w:p>
          <w:p w14:paraId="7705B950">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（7）消防系统</w:t>
            </w:r>
          </w:p>
          <w:p w14:paraId="23EAF7ED">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1)因物业管理问题引起故障，造成整个控制系统停用0—1小时的，扣2分/次，1—2小时的，扣4分/次，超过2小时每超1小时增扣0.5分/次。</w:t>
            </w:r>
          </w:p>
          <w:p w14:paraId="79265096">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2)因物业管理问题引起故障，造成消防水系统停用0—4小时的，扣0.5分/次，4—8小时间，扣1分/次，超过8小时每超4小时增扣0.2分。    </w:t>
            </w:r>
          </w:p>
          <w:p w14:paraId="4F2791F8">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（8）安保监控系统</w:t>
            </w:r>
          </w:p>
          <w:p w14:paraId="762687AD">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主要有视频监控设备、周界报警设备、门禁设备及汽车道闸设备。以上各类设备如不能使用或利用率低于90%当天无法修复时，扣0.5分/天，故障维修时间较长或备品、备件采购周期较长，中间已采取相应有效措施者，不扣分值，否则每天扣0.5分。</w:t>
            </w:r>
          </w:p>
          <w:p w14:paraId="3E86CD09">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除以上设备故障情形外，其他一般设施设备故障维修时间超过24小时，但不超过48小时的，扣0.5分或1分/次（备注：行政办事中心扣0.5分，其他区域扣1分），48小时以上每超24小时增扣0.2分或0.4分（备注：行政办事中心扣0.2分，其他区域扣0.4分）。</w:t>
            </w:r>
          </w:p>
        </w:tc>
        <w:tc>
          <w:tcPr>
            <w:tcW w:w="775" w:type="dxa"/>
            <w:vAlign w:val="center"/>
          </w:tcPr>
          <w:p w14:paraId="05EDA89E">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6DABE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31" w:hRule="atLeast"/>
          <w:jc w:val="center"/>
        </w:trPr>
        <w:tc>
          <w:tcPr>
            <w:tcW w:w="863" w:type="dxa"/>
            <w:vMerge w:val="restart"/>
            <w:vAlign w:val="bottom"/>
          </w:tcPr>
          <w:p w14:paraId="40C6EB15">
            <w:pPr>
              <w:adjustRightInd w:val="0"/>
              <w:snapToGrid w:val="0"/>
              <w:spacing w:line="240" w:lineRule="atLeast"/>
              <w:jc w:val="both"/>
              <w:rPr>
                <w:rFonts w:hint="eastAsia" w:ascii="宋体" w:hAnsi="宋体" w:eastAsia="宋体" w:cs="宋体"/>
                <w:b w:val="0"/>
                <w:bCs w:val="0"/>
                <w:color w:val="auto"/>
                <w:sz w:val="21"/>
                <w:szCs w:val="21"/>
                <w:highlight w:val="none"/>
                <w:lang w:eastAsia="zh-CN"/>
              </w:rPr>
            </w:pPr>
          </w:p>
          <w:p w14:paraId="19383DC5">
            <w:pPr>
              <w:adjustRightInd w:val="0"/>
              <w:snapToGrid w:val="0"/>
              <w:spacing w:line="240" w:lineRule="atLeast"/>
              <w:jc w:val="both"/>
              <w:rPr>
                <w:rFonts w:hint="eastAsia" w:ascii="宋体" w:hAnsi="宋体" w:eastAsia="宋体" w:cs="宋体"/>
                <w:b w:val="0"/>
                <w:bCs w:val="0"/>
                <w:color w:val="auto"/>
                <w:sz w:val="21"/>
                <w:szCs w:val="21"/>
                <w:highlight w:val="none"/>
                <w:lang w:eastAsia="zh-CN"/>
              </w:rPr>
            </w:pPr>
          </w:p>
          <w:p w14:paraId="251DF353">
            <w:pPr>
              <w:adjustRightInd w:val="0"/>
              <w:snapToGrid w:val="0"/>
              <w:spacing w:line="240" w:lineRule="atLeast"/>
              <w:jc w:val="both"/>
              <w:rPr>
                <w:rFonts w:hint="eastAsia" w:ascii="宋体" w:hAnsi="宋体" w:eastAsia="宋体" w:cs="宋体"/>
                <w:b w:val="0"/>
                <w:bCs w:val="0"/>
                <w:color w:val="auto"/>
                <w:sz w:val="21"/>
                <w:szCs w:val="21"/>
                <w:highlight w:val="none"/>
                <w:lang w:eastAsia="zh-CN"/>
              </w:rPr>
            </w:pPr>
          </w:p>
          <w:p w14:paraId="28F4CCDE">
            <w:pPr>
              <w:adjustRightInd w:val="0"/>
              <w:snapToGrid w:val="0"/>
              <w:spacing w:line="240" w:lineRule="atLeast"/>
              <w:jc w:val="both"/>
              <w:rPr>
                <w:rFonts w:hint="eastAsia" w:ascii="宋体" w:hAnsi="宋体" w:eastAsia="宋体" w:cs="宋体"/>
                <w:b w:val="0"/>
                <w:bCs w:val="0"/>
                <w:color w:val="auto"/>
                <w:sz w:val="21"/>
                <w:szCs w:val="21"/>
                <w:highlight w:val="none"/>
                <w:lang w:eastAsia="zh-CN"/>
              </w:rPr>
            </w:pPr>
          </w:p>
          <w:p w14:paraId="5E7E52A5">
            <w:pPr>
              <w:adjustRightInd w:val="0"/>
              <w:snapToGrid w:val="0"/>
              <w:spacing w:line="240" w:lineRule="atLeast"/>
              <w:jc w:val="both"/>
              <w:rPr>
                <w:rFonts w:hint="eastAsia" w:ascii="宋体" w:hAnsi="宋体" w:eastAsia="宋体" w:cs="宋体"/>
                <w:b w:val="0"/>
                <w:bCs w:val="0"/>
                <w:color w:val="auto"/>
                <w:sz w:val="21"/>
                <w:szCs w:val="21"/>
                <w:highlight w:val="none"/>
                <w:lang w:eastAsia="zh-CN"/>
              </w:rPr>
            </w:pPr>
          </w:p>
          <w:p w14:paraId="78D7B7FF">
            <w:pPr>
              <w:adjustRightInd w:val="0"/>
              <w:snapToGrid w:val="0"/>
              <w:spacing w:line="240" w:lineRule="atLeast"/>
              <w:jc w:val="both"/>
              <w:rPr>
                <w:rFonts w:hint="eastAsia" w:ascii="宋体" w:hAnsi="宋体" w:eastAsia="宋体" w:cs="宋体"/>
                <w:b w:val="0"/>
                <w:bCs w:val="0"/>
                <w:color w:val="auto"/>
                <w:sz w:val="21"/>
                <w:szCs w:val="21"/>
                <w:highlight w:val="none"/>
                <w:lang w:eastAsia="zh-CN"/>
              </w:rPr>
            </w:pPr>
          </w:p>
          <w:p w14:paraId="1B2CBC6B">
            <w:pPr>
              <w:adjustRightInd w:val="0"/>
              <w:snapToGrid w:val="0"/>
              <w:spacing w:line="240" w:lineRule="atLeast"/>
              <w:jc w:val="both"/>
              <w:rPr>
                <w:rFonts w:hint="eastAsia" w:ascii="宋体" w:hAnsi="宋体" w:eastAsia="宋体" w:cs="宋体"/>
                <w:b w:val="0"/>
                <w:bCs w:val="0"/>
                <w:color w:val="auto"/>
                <w:sz w:val="21"/>
                <w:szCs w:val="21"/>
                <w:highlight w:val="none"/>
                <w:lang w:eastAsia="zh-CN"/>
              </w:rPr>
            </w:pPr>
          </w:p>
          <w:p w14:paraId="384C3FD3">
            <w:pPr>
              <w:adjustRightInd w:val="0"/>
              <w:snapToGrid w:val="0"/>
              <w:spacing w:line="240" w:lineRule="atLeast"/>
              <w:jc w:val="both"/>
              <w:rPr>
                <w:rFonts w:hint="eastAsia" w:ascii="宋体" w:hAnsi="宋体" w:eastAsia="宋体" w:cs="宋体"/>
                <w:b w:val="0"/>
                <w:bCs w:val="0"/>
                <w:color w:val="auto"/>
                <w:sz w:val="21"/>
                <w:szCs w:val="21"/>
                <w:highlight w:val="none"/>
                <w:lang w:eastAsia="zh-CN"/>
              </w:rPr>
            </w:pPr>
          </w:p>
          <w:p w14:paraId="7FFF0CC6">
            <w:pPr>
              <w:adjustRightInd w:val="0"/>
              <w:snapToGrid w:val="0"/>
              <w:spacing w:line="240" w:lineRule="atLeast"/>
              <w:jc w:val="both"/>
              <w:rPr>
                <w:rFonts w:hint="eastAsia" w:ascii="宋体" w:hAnsi="宋体" w:eastAsia="宋体" w:cs="宋体"/>
                <w:b w:val="0"/>
                <w:bCs w:val="0"/>
                <w:color w:val="auto"/>
                <w:sz w:val="21"/>
                <w:szCs w:val="21"/>
                <w:highlight w:val="none"/>
                <w:lang w:eastAsia="zh-CN"/>
              </w:rPr>
            </w:pPr>
          </w:p>
          <w:p w14:paraId="74BDA80F">
            <w:pPr>
              <w:adjustRightInd w:val="0"/>
              <w:snapToGrid w:val="0"/>
              <w:spacing w:line="240" w:lineRule="atLeast"/>
              <w:jc w:val="both"/>
              <w:rPr>
                <w:rFonts w:hint="eastAsia" w:ascii="宋体" w:hAnsi="宋体" w:eastAsia="宋体" w:cs="宋体"/>
                <w:b w:val="0"/>
                <w:bCs w:val="0"/>
                <w:color w:val="auto"/>
                <w:sz w:val="21"/>
                <w:szCs w:val="21"/>
                <w:highlight w:val="none"/>
                <w:lang w:eastAsia="zh-CN"/>
              </w:rPr>
            </w:pPr>
          </w:p>
          <w:p w14:paraId="208AE771">
            <w:pPr>
              <w:adjustRightInd w:val="0"/>
              <w:snapToGrid w:val="0"/>
              <w:spacing w:line="240" w:lineRule="atLeast"/>
              <w:jc w:val="both"/>
              <w:rPr>
                <w:rFonts w:hint="eastAsia" w:ascii="宋体" w:hAnsi="宋体" w:eastAsia="宋体" w:cs="宋体"/>
                <w:b w:val="0"/>
                <w:bCs w:val="0"/>
                <w:color w:val="auto"/>
                <w:sz w:val="21"/>
                <w:szCs w:val="21"/>
                <w:highlight w:val="none"/>
                <w:lang w:eastAsia="zh-CN"/>
              </w:rPr>
            </w:pPr>
          </w:p>
          <w:p w14:paraId="62EBC68E">
            <w:pPr>
              <w:adjustRightInd w:val="0"/>
              <w:snapToGrid w:val="0"/>
              <w:spacing w:line="240" w:lineRule="atLeast"/>
              <w:jc w:val="both"/>
              <w:rPr>
                <w:rFonts w:hint="eastAsia" w:ascii="宋体" w:hAnsi="宋体" w:eastAsia="宋体" w:cs="宋体"/>
                <w:b w:val="0"/>
                <w:bCs w:val="0"/>
                <w:color w:val="auto"/>
                <w:sz w:val="21"/>
                <w:szCs w:val="21"/>
                <w:highlight w:val="none"/>
                <w:lang w:eastAsia="zh-CN"/>
              </w:rPr>
            </w:pPr>
          </w:p>
          <w:p w14:paraId="69A852A3">
            <w:pPr>
              <w:adjustRightInd w:val="0"/>
              <w:snapToGrid w:val="0"/>
              <w:spacing w:line="240" w:lineRule="atLeast"/>
              <w:jc w:val="both"/>
              <w:rPr>
                <w:rFonts w:hint="eastAsia" w:ascii="宋体" w:hAnsi="宋体" w:eastAsia="宋体" w:cs="宋体"/>
                <w:b w:val="0"/>
                <w:bCs w:val="0"/>
                <w:color w:val="auto"/>
                <w:sz w:val="21"/>
                <w:szCs w:val="21"/>
                <w:highlight w:val="none"/>
                <w:lang w:eastAsia="zh-CN"/>
              </w:rPr>
            </w:pPr>
          </w:p>
          <w:p w14:paraId="70BF5213">
            <w:pPr>
              <w:adjustRightInd w:val="0"/>
              <w:snapToGrid w:val="0"/>
              <w:spacing w:line="240" w:lineRule="atLeast"/>
              <w:jc w:val="both"/>
              <w:rPr>
                <w:rFonts w:hint="eastAsia" w:ascii="宋体" w:hAnsi="宋体" w:eastAsia="宋体" w:cs="宋体"/>
                <w:b w:val="0"/>
                <w:bCs w:val="0"/>
                <w:color w:val="auto"/>
                <w:sz w:val="21"/>
                <w:szCs w:val="21"/>
                <w:highlight w:val="none"/>
                <w:lang w:eastAsia="zh-CN"/>
              </w:rPr>
            </w:pPr>
          </w:p>
          <w:p w14:paraId="39D3B792">
            <w:pPr>
              <w:adjustRightInd w:val="0"/>
              <w:snapToGrid w:val="0"/>
              <w:spacing w:line="240" w:lineRule="atLeast"/>
              <w:jc w:val="both"/>
              <w:rPr>
                <w:rFonts w:hint="eastAsia" w:ascii="宋体" w:hAnsi="宋体" w:eastAsia="宋体" w:cs="宋体"/>
                <w:b w:val="0"/>
                <w:bCs w:val="0"/>
                <w:color w:val="auto"/>
                <w:sz w:val="21"/>
                <w:szCs w:val="21"/>
                <w:highlight w:val="none"/>
                <w:lang w:eastAsia="zh-CN"/>
              </w:rPr>
            </w:pPr>
          </w:p>
          <w:p w14:paraId="69CD4812">
            <w:pPr>
              <w:adjustRightInd w:val="0"/>
              <w:snapToGrid w:val="0"/>
              <w:spacing w:line="240" w:lineRule="atLeast"/>
              <w:jc w:val="both"/>
              <w:rPr>
                <w:rFonts w:hint="eastAsia" w:ascii="宋体" w:hAnsi="宋体" w:eastAsia="宋体" w:cs="宋体"/>
                <w:b w:val="0"/>
                <w:bCs w:val="0"/>
                <w:color w:val="auto"/>
                <w:sz w:val="21"/>
                <w:szCs w:val="21"/>
                <w:highlight w:val="none"/>
                <w:lang w:eastAsia="zh-CN"/>
              </w:rPr>
            </w:pPr>
          </w:p>
          <w:p w14:paraId="4229B2AC">
            <w:pPr>
              <w:adjustRightInd w:val="0"/>
              <w:snapToGrid w:val="0"/>
              <w:spacing w:line="240" w:lineRule="atLeast"/>
              <w:jc w:val="both"/>
              <w:rPr>
                <w:rFonts w:hint="eastAsia" w:ascii="宋体" w:hAnsi="宋体" w:eastAsia="宋体" w:cs="宋体"/>
                <w:b w:val="0"/>
                <w:bCs w:val="0"/>
                <w:color w:val="auto"/>
                <w:sz w:val="21"/>
                <w:szCs w:val="21"/>
                <w:highlight w:val="none"/>
                <w:lang w:eastAsia="zh-CN"/>
              </w:rPr>
            </w:pPr>
          </w:p>
          <w:p w14:paraId="2F5258EA">
            <w:pPr>
              <w:adjustRightInd w:val="0"/>
              <w:snapToGrid w:val="0"/>
              <w:spacing w:line="240" w:lineRule="atLeast"/>
              <w:jc w:val="both"/>
              <w:rPr>
                <w:rFonts w:hint="eastAsia" w:ascii="宋体" w:hAnsi="宋体" w:eastAsia="宋体" w:cs="宋体"/>
                <w:b w:val="0"/>
                <w:bCs w:val="0"/>
                <w:color w:val="auto"/>
                <w:sz w:val="21"/>
                <w:szCs w:val="21"/>
                <w:highlight w:val="none"/>
                <w:lang w:eastAsia="zh-CN"/>
              </w:rPr>
            </w:pPr>
          </w:p>
          <w:p w14:paraId="2F2A89BE">
            <w:pPr>
              <w:adjustRightInd w:val="0"/>
              <w:snapToGrid w:val="0"/>
              <w:spacing w:line="240" w:lineRule="atLeast"/>
              <w:jc w:val="both"/>
              <w:rPr>
                <w:rFonts w:hint="eastAsia" w:ascii="宋体" w:hAnsi="宋体" w:eastAsia="宋体" w:cs="宋体"/>
                <w:b w:val="0"/>
                <w:bCs w:val="0"/>
                <w:color w:val="auto"/>
                <w:sz w:val="21"/>
                <w:szCs w:val="21"/>
                <w:highlight w:val="none"/>
                <w:lang w:eastAsia="zh-CN"/>
              </w:rPr>
            </w:pPr>
          </w:p>
          <w:p w14:paraId="1389DD68">
            <w:pPr>
              <w:adjustRightInd w:val="0"/>
              <w:snapToGrid w:val="0"/>
              <w:spacing w:line="240" w:lineRule="atLeast"/>
              <w:jc w:val="both"/>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（十</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lang w:eastAsia="zh-CN"/>
              </w:rPr>
              <w:t>）安全保卫管理（分值100分）</w:t>
            </w:r>
          </w:p>
        </w:tc>
        <w:tc>
          <w:tcPr>
            <w:tcW w:w="4115" w:type="dxa"/>
            <w:vAlign w:val="center"/>
          </w:tcPr>
          <w:p w14:paraId="4C37C451">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安全生产管理：（1）成立安全生产管理工作领导小组，制定工作方案、突发事件应急处置预案；（2）明确责任分工，各小组指定专人负责，完成任命书；（3）每月组织开展一次安全生产专题会议，各小组每月完成一次专题会议纪要；（4）对高中风险隐患点落实风险隐患点、纳入安全生产监督管理重点项目台账的项目进行安全巡查。</w:t>
            </w:r>
          </w:p>
        </w:tc>
        <w:tc>
          <w:tcPr>
            <w:tcW w:w="585" w:type="dxa"/>
            <w:vAlign w:val="center"/>
          </w:tcPr>
          <w:p w14:paraId="29B1F6BC">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10</w:t>
            </w:r>
          </w:p>
        </w:tc>
        <w:tc>
          <w:tcPr>
            <w:tcW w:w="3225" w:type="dxa"/>
            <w:vAlign w:val="center"/>
          </w:tcPr>
          <w:p w14:paraId="464DB488">
            <w:pPr>
              <w:numPr>
                <w:ilvl w:val="0"/>
                <w:numId w:val="30"/>
              </w:num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检查台账、方案、预案不齐全的，一次扣1分；</w:t>
            </w:r>
          </w:p>
          <w:p w14:paraId="6C5C8FEC">
            <w:pPr>
              <w:numPr>
                <w:ilvl w:val="0"/>
                <w:numId w:val="30"/>
              </w:num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没有落实专题会议、完成会议纪要的一次扣1分；</w:t>
            </w:r>
          </w:p>
          <w:p w14:paraId="1880A23B">
            <w:pPr>
              <w:numPr>
                <w:ilvl w:val="0"/>
                <w:numId w:val="30"/>
              </w:num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风险隐患点整改不及时的，一次扣2分，本月未落实问题整改或重复出现此类问题的，按扣分值双倍扣分，以此类推。</w:t>
            </w:r>
          </w:p>
        </w:tc>
        <w:tc>
          <w:tcPr>
            <w:tcW w:w="775" w:type="dxa"/>
            <w:vAlign w:val="center"/>
          </w:tcPr>
          <w:p w14:paraId="1921E2E8">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3FA65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48" w:hRule="atLeast"/>
          <w:jc w:val="center"/>
        </w:trPr>
        <w:tc>
          <w:tcPr>
            <w:tcW w:w="863" w:type="dxa"/>
            <w:vMerge w:val="continue"/>
            <w:vAlign w:val="center"/>
          </w:tcPr>
          <w:p w14:paraId="2EF6E852">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4115" w:type="dxa"/>
            <w:vAlign w:val="center"/>
          </w:tcPr>
          <w:p w14:paraId="6A7B4335">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防疫管理：（1）制定物业公司防疫管理工作方案，异常人员应急处置操作流程；（2）制定物业公司内部员工每天体温测量登记表、离莞审批登记表、异常人员情况登记表；（3）在主要进出口、来访登记处是否设置更新宣传海报、中高风险地区名单（每周更新）；（4）岗位人员熟悉防疫操作规程情况、来访人员防疫操作流程；（5）配备医疗物资并设立临时隔离点。</w:t>
            </w:r>
          </w:p>
        </w:tc>
        <w:tc>
          <w:tcPr>
            <w:tcW w:w="585" w:type="dxa"/>
            <w:vAlign w:val="center"/>
          </w:tcPr>
          <w:p w14:paraId="758602C4">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10</w:t>
            </w:r>
          </w:p>
        </w:tc>
        <w:tc>
          <w:tcPr>
            <w:tcW w:w="3225" w:type="dxa"/>
            <w:vAlign w:val="center"/>
          </w:tcPr>
          <w:p w14:paraId="36003A0A">
            <w:pPr>
              <w:numPr>
                <w:ilvl w:val="0"/>
                <w:numId w:val="31"/>
              </w:num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相关台账不齐全的，一次扣1分；</w:t>
            </w:r>
          </w:p>
          <w:p w14:paraId="2B46AD70">
            <w:pPr>
              <w:numPr>
                <w:ilvl w:val="0"/>
                <w:numId w:val="31"/>
              </w:num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台账登记不完全的，一次扣1分；</w:t>
            </w:r>
          </w:p>
          <w:p w14:paraId="7D68E833">
            <w:pPr>
              <w:numPr>
                <w:ilvl w:val="0"/>
                <w:numId w:val="31"/>
              </w:num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防疫操作规程不熟悉的，一次扣1分；</w:t>
            </w:r>
          </w:p>
          <w:p w14:paraId="26AAA6EB">
            <w:pPr>
              <w:numPr>
                <w:ilvl w:val="0"/>
                <w:numId w:val="31"/>
              </w:num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没有临时隔离点的，一次扣2分；</w:t>
            </w:r>
          </w:p>
          <w:p w14:paraId="5B194731">
            <w:pPr>
              <w:numPr>
                <w:ilvl w:val="0"/>
                <w:numId w:val="31"/>
              </w:num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本月未落实问题整改或重复出现此类问题的，按扣分值双倍扣分，以此类推。</w:t>
            </w:r>
          </w:p>
        </w:tc>
        <w:tc>
          <w:tcPr>
            <w:tcW w:w="775" w:type="dxa"/>
            <w:vAlign w:val="center"/>
          </w:tcPr>
          <w:p w14:paraId="0277A850">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4170B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19" w:hRule="atLeast"/>
          <w:jc w:val="center"/>
        </w:trPr>
        <w:tc>
          <w:tcPr>
            <w:tcW w:w="863" w:type="dxa"/>
            <w:vMerge w:val="continue"/>
            <w:vAlign w:val="center"/>
          </w:tcPr>
          <w:p w14:paraId="3565327E">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4115" w:type="dxa"/>
            <w:vAlign w:val="center"/>
          </w:tcPr>
          <w:p w14:paraId="79ADCD17">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值班管理：（1）按合同要求配备安全岗位总数（分为24小时和12小时岗位）；（2）每月20号前提供当月人员和岗位安排表，保卫科每月开展不少于1次岗位检查，检查方式取用现场或视频检阅方式实施；（3）服务主动、热情、礼貌，形象佳，着装统一规范，统一配备对讲机，无斜靠、脱帽、抽烟、聊天等不文明现象，工作时间内不得玩手机。</w:t>
            </w:r>
          </w:p>
        </w:tc>
        <w:tc>
          <w:tcPr>
            <w:tcW w:w="585" w:type="dxa"/>
            <w:vAlign w:val="center"/>
          </w:tcPr>
          <w:p w14:paraId="1DE4C7C7">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w:t>
            </w:r>
          </w:p>
        </w:tc>
        <w:tc>
          <w:tcPr>
            <w:tcW w:w="3225" w:type="dxa"/>
            <w:vAlign w:val="center"/>
          </w:tcPr>
          <w:p w14:paraId="26C0FEAC">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1）20号前未按合同配备安全岗位总数（分为24小时和12小时岗位），缺1个岗位扣0.5分；</w:t>
            </w:r>
          </w:p>
          <w:p w14:paraId="05469EFB">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2）发现安保人员抽烟、聊天、玩手机等现象，一次扣0.5分；</w:t>
            </w:r>
          </w:p>
          <w:p w14:paraId="0E37AC40">
            <w:pPr>
              <w:numPr>
                <w:ilvl w:val="0"/>
                <w:numId w:val="29"/>
              </w:num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本月未落实问题整改或重复出现此类问题的，按扣分值双倍扣分，以此类推。</w:t>
            </w:r>
          </w:p>
        </w:tc>
        <w:tc>
          <w:tcPr>
            <w:tcW w:w="775" w:type="dxa"/>
            <w:vAlign w:val="center"/>
          </w:tcPr>
          <w:p w14:paraId="5DCD90B4">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42DB7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63" w:type="dxa"/>
            <w:vMerge w:val="continue"/>
            <w:vAlign w:val="center"/>
          </w:tcPr>
          <w:p w14:paraId="06EF5E64">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4115" w:type="dxa"/>
            <w:vAlign w:val="center"/>
          </w:tcPr>
          <w:p w14:paraId="49C93DDA">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4.来访人员管理：依照规定立岗和实施礼仪服务，对一般来访、办事人员有礼貌热情地接待询问，核实被访客人的姓名和单位，并与被访单位确认，做好记录。</w:t>
            </w:r>
          </w:p>
        </w:tc>
        <w:tc>
          <w:tcPr>
            <w:tcW w:w="585" w:type="dxa"/>
            <w:vAlign w:val="center"/>
          </w:tcPr>
          <w:p w14:paraId="70200BE1">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w:t>
            </w:r>
          </w:p>
        </w:tc>
        <w:tc>
          <w:tcPr>
            <w:tcW w:w="3225" w:type="dxa"/>
            <w:vAlign w:val="center"/>
          </w:tcPr>
          <w:p w14:paraId="51967C3E">
            <w:pPr>
              <w:numPr>
                <w:ilvl w:val="0"/>
                <w:numId w:val="32"/>
              </w:num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发现服务不按礼仪标准的，一次扣1分；</w:t>
            </w:r>
          </w:p>
          <w:p w14:paraId="3834EC84">
            <w:pPr>
              <w:numPr>
                <w:ilvl w:val="0"/>
                <w:numId w:val="32"/>
              </w:num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发现外来人员未按来访登记规定进入的一次扣3分；</w:t>
            </w:r>
          </w:p>
          <w:p w14:paraId="33A81166">
            <w:pPr>
              <w:numPr>
                <w:ilvl w:val="0"/>
                <w:numId w:val="32"/>
              </w:num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本月未落实问题整改或重复出现此类问题的，按扣分值双倍扣分，以此类推。发现未办理登记窜入办公区域的一次扣10分。</w:t>
            </w:r>
          </w:p>
        </w:tc>
        <w:tc>
          <w:tcPr>
            <w:tcW w:w="775" w:type="dxa"/>
            <w:vAlign w:val="center"/>
          </w:tcPr>
          <w:p w14:paraId="7A6B87F2">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0C0969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4" w:hRule="atLeast"/>
          <w:jc w:val="center"/>
        </w:trPr>
        <w:tc>
          <w:tcPr>
            <w:tcW w:w="863" w:type="dxa"/>
            <w:vMerge w:val="continue"/>
            <w:vAlign w:val="center"/>
          </w:tcPr>
          <w:p w14:paraId="14618DD6">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4115" w:type="dxa"/>
            <w:vAlign w:val="center"/>
          </w:tcPr>
          <w:p w14:paraId="2734B094">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5.货物进出管理：大件物品进出按规定进行必要的登记和盘查。</w:t>
            </w:r>
          </w:p>
        </w:tc>
        <w:tc>
          <w:tcPr>
            <w:tcW w:w="585" w:type="dxa"/>
            <w:vAlign w:val="center"/>
          </w:tcPr>
          <w:p w14:paraId="7F700DE3">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w:t>
            </w:r>
          </w:p>
        </w:tc>
        <w:tc>
          <w:tcPr>
            <w:tcW w:w="3225" w:type="dxa"/>
            <w:vAlign w:val="center"/>
          </w:tcPr>
          <w:p w14:paraId="1CEC5170">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发现未登记和盘查的，一次扣1分，本月未落实问题整改或重复出现此类问题的，按扣分值双倍扣分，以此类推。引发严重后果的，扣5分。</w:t>
            </w:r>
          </w:p>
        </w:tc>
        <w:tc>
          <w:tcPr>
            <w:tcW w:w="775" w:type="dxa"/>
            <w:vAlign w:val="center"/>
          </w:tcPr>
          <w:p w14:paraId="4CF1F9B6">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30ECB1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73" w:hRule="atLeast"/>
          <w:jc w:val="center"/>
        </w:trPr>
        <w:tc>
          <w:tcPr>
            <w:tcW w:w="863" w:type="dxa"/>
            <w:vMerge w:val="continue"/>
            <w:vAlign w:val="center"/>
          </w:tcPr>
          <w:p w14:paraId="57BCC2A8">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4115" w:type="dxa"/>
            <w:vAlign w:val="center"/>
          </w:tcPr>
          <w:p w14:paraId="24880915">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重点区域管理：在信访接待点、安检室、重点办公楼层落实专人值守，严格执行各项安全管理措施，并落实流动巡逻岗，每1小时至少巡查1次，并做好巡查记录；发现可疑人员应立即进行查问。在遇到异常情况或楼内人员紧急求助时，应在3分钟内赶到现场处理。</w:t>
            </w:r>
          </w:p>
        </w:tc>
        <w:tc>
          <w:tcPr>
            <w:tcW w:w="585" w:type="dxa"/>
            <w:vAlign w:val="center"/>
          </w:tcPr>
          <w:p w14:paraId="1C6BBF6D">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10</w:t>
            </w:r>
          </w:p>
        </w:tc>
        <w:tc>
          <w:tcPr>
            <w:tcW w:w="3225" w:type="dxa"/>
            <w:vAlign w:val="center"/>
          </w:tcPr>
          <w:p w14:paraId="79187BD0">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发现未按规定执行的，一次扣1分，本月未落实问题整改或重复出现此类问题的，按扣分值双倍扣分，以此类推。因未按规定执行引发一般性安全事件的，一次扣5分，引发重大事件的，一次扣10分。</w:t>
            </w:r>
          </w:p>
        </w:tc>
        <w:tc>
          <w:tcPr>
            <w:tcW w:w="775" w:type="dxa"/>
            <w:vAlign w:val="center"/>
          </w:tcPr>
          <w:p w14:paraId="3250B53D">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32433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9" w:hRule="atLeast"/>
          <w:jc w:val="center"/>
        </w:trPr>
        <w:tc>
          <w:tcPr>
            <w:tcW w:w="863" w:type="dxa"/>
            <w:vMerge w:val="continue"/>
            <w:vAlign w:val="center"/>
          </w:tcPr>
          <w:p w14:paraId="3B91B841">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4115" w:type="dxa"/>
            <w:vAlign w:val="center"/>
          </w:tcPr>
          <w:p w14:paraId="3822978F">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7.应急处置：接到值班室对讲机呼叫，立即赶到现场进行处理，并向上级报告，将处理结果反馈值班室；遇紧急情况按《应急预案》执行。</w:t>
            </w:r>
          </w:p>
        </w:tc>
        <w:tc>
          <w:tcPr>
            <w:tcW w:w="585" w:type="dxa"/>
            <w:vAlign w:val="center"/>
          </w:tcPr>
          <w:p w14:paraId="2404BAB9">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w:t>
            </w:r>
          </w:p>
        </w:tc>
        <w:tc>
          <w:tcPr>
            <w:tcW w:w="3225" w:type="dxa"/>
            <w:vAlign w:val="center"/>
          </w:tcPr>
          <w:p w14:paraId="4D475324">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发现紧急情况，未及时赶往现场的，一次扣2分，引发严重后果的，扣5分，本月未落实问题整改或重复出现此类问题的，按扣分值双倍扣分，以此类推。</w:t>
            </w:r>
          </w:p>
        </w:tc>
        <w:tc>
          <w:tcPr>
            <w:tcW w:w="775" w:type="dxa"/>
            <w:vAlign w:val="center"/>
          </w:tcPr>
          <w:p w14:paraId="1AF8ACDF">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5050F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19" w:hRule="atLeast"/>
          <w:jc w:val="center"/>
        </w:trPr>
        <w:tc>
          <w:tcPr>
            <w:tcW w:w="863" w:type="dxa"/>
            <w:vMerge w:val="continue"/>
            <w:vAlign w:val="center"/>
          </w:tcPr>
          <w:p w14:paraId="36BCB4B6">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4115" w:type="dxa"/>
            <w:vAlign w:val="center"/>
          </w:tcPr>
          <w:p w14:paraId="2BA2E3B1">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视频监控管理：坚守工作岗位，密切注视大楼内各摄像机的运行状态和监控情景；当监控系统收到故障报警时，立即通知技术人员处理；监控视频上发现可疑情况，要立即通知当值主管前去调查处理；发现各类违法犯罪活动时，要第一时间报警；准确、真实、清晰填写值班记录及报警记录。</w:t>
            </w:r>
          </w:p>
        </w:tc>
        <w:tc>
          <w:tcPr>
            <w:tcW w:w="585" w:type="dxa"/>
            <w:vAlign w:val="center"/>
          </w:tcPr>
          <w:p w14:paraId="5ABC571E">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10</w:t>
            </w:r>
          </w:p>
        </w:tc>
        <w:tc>
          <w:tcPr>
            <w:tcW w:w="3225" w:type="dxa"/>
            <w:vAlign w:val="center"/>
          </w:tcPr>
          <w:p w14:paraId="0AFD33DA">
            <w:pPr>
              <w:numPr>
                <w:ilvl w:val="0"/>
                <w:numId w:val="33"/>
              </w:num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发现监控人员缺岗的、未按时填写值班记录的，一次扣1分；</w:t>
            </w:r>
          </w:p>
          <w:p w14:paraId="7841138F">
            <w:pPr>
              <w:numPr>
                <w:ilvl w:val="0"/>
                <w:numId w:val="33"/>
              </w:num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发现可疑人员未上报的，一次扣1分；</w:t>
            </w:r>
          </w:p>
          <w:p w14:paraId="07B17710">
            <w:pPr>
              <w:numPr>
                <w:ilvl w:val="0"/>
                <w:numId w:val="33"/>
              </w:num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本月未落实问题整改或重复出现此类问题的，按扣分值双倍扣分，以此类推。引发严重后果的，扣10分。</w:t>
            </w:r>
          </w:p>
        </w:tc>
        <w:tc>
          <w:tcPr>
            <w:tcW w:w="775" w:type="dxa"/>
            <w:vAlign w:val="center"/>
          </w:tcPr>
          <w:p w14:paraId="0B66B55E">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0E2C6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31" w:hRule="atLeast"/>
          <w:jc w:val="center"/>
        </w:trPr>
        <w:tc>
          <w:tcPr>
            <w:tcW w:w="863" w:type="dxa"/>
            <w:vMerge w:val="continue"/>
            <w:vAlign w:val="center"/>
          </w:tcPr>
          <w:p w14:paraId="73E90EDF">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4115" w:type="dxa"/>
            <w:vAlign w:val="center"/>
          </w:tcPr>
          <w:p w14:paraId="2B12F79D">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9.消防安全管理：设立防火工作专责小组，全力配合相关部门做好防火工作；负责大楼所有门窗、照明、公用电器设备等的开、关，及时发现和排除各种安全隐患；确保火灾事故、刑事案件零发生。</w:t>
            </w:r>
          </w:p>
        </w:tc>
        <w:tc>
          <w:tcPr>
            <w:tcW w:w="585" w:type="dxa"/>
            <w:vAlign w:val="center"/>
          </w:tcPr>
          <w:p w14:paraId="04B42A45">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w:t>
            </w:r>
          </w:p>
        </w:tc>
        <w:tc>
          <w:tcPr>
            <w:tcW w:w="3225" w:type="dxa"/>
            <w:vAlign w:val="center"/>
          </w:tcPr>
          <w:p w14:paraId="6A854FA9">
            <w:pPr>
              <w:numPr>
                <w:ilvl w:val="0"/>
                <w:numId w:val="34"/>
              </w:num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发现安全隐患排查不到位的，一次扣1分；</w:t>
            </w:r>
          </w:p>
          <w:p w14:paraId="2F80A67B">
            <w:pPr>
              <w:numPr>
                <w:ilvl w:val="0"/>
                <w:numId w:val="34"/>
              </w:num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未配合相关部门做好防火工作的，一次扣5分；</w:t>
            </w:r>
          </w:p>
          <w:p w14:paraId="60F17CEF">
            <w:pPr>
              <w:numPr>
                <w:ilvl w:val="0"/>
                <w:numId w:val="34"/>
              </w:num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发现消防系统未按时修复的一次扣5分；</w:t>
            </w:r>
          </w:p>
          <w:p w14:paraId="6F266A36">
            <w:pPr>
              <w:numPr>
                <w:ilvl w:val="0"/>
                <w:numId w:val="34"/>
              </w:num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本月未落实问题整改或重复出现此类问题的，按扣分值双倍扣分，以此类推。</w:t>
            </w:r>
          </w:p>
        </w:tc>
        <w:tc>
          <w:tcPr>
            <w:tcW w:w="775" w:type="dxa"/>
            <w:vAlign w:val="center"/>
          </w:tcPr>
          <w:p w14:paraId="3BFFED53">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04C0E4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4" w:hRule="atLeast"/>
          <w:jc w:val="center"/>
        </w:trPr>
        <w:tc>
          <w:tcPr>
            <w:tcW w:w="863" w:type="dxa"/>
            <w:vMerge w:val="continue"/>
            <w:vAlign w:val="center"/>
          </w:tcPr>
          <w:p w14:paraId="08EB7462">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4115" w:type="dxa"/>
            <w:vAlign w:val="center"/>
          </w:tcPr>
          <w:p w14:paraId="6D3AF389">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10.应急处突管理：制定突发事件应急处理预案，加强应急处理预案演练；当遇到发生突发事件时，及时调配充足人员在规定时间内赶到现场处理，必要时及时报警并报告机关事务管理局，防止事态进一步恶化，协助保护现场。</w:t>
            </w:r>
          </w:p>
        </w:tc>
        <w:tc>
          <w:tcPr>
            <w:tcW w:w="585" w:type="dxa"/>
            <w:vAlign w:val="center"/>
          </w:tcPr>
          <w:p w14:paraId="53AA47D2">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w:t>
            </w:r>
          </w:p>
        </w:tc>
        <w:tc>
          <w:tcPr>
            <w:tcW w:w="3225" w:type="dxa"/>
            <w:vAlign w:val="center"/>
          </w:tcPr>
          <w:p w14:paraId="171E562B">
            <w:pPr>
              <w:numPr>
                <w:ilvl w:val="0"/>
                <w:numId w:val="35"/>
              </w:num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发现突发事件应急处理预案不完备的，一次扣1分；</w:t>
            </w:r>
          </w:p>
          <w:p w14:paraId="5352F533">
            <w:pPr>
              <w:numPr>
                <w:ilvl w:val="0"/>
                <w:numId w:val="35"/>
              </w:num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发生突发事件，人员未及时赶往现场的，一次扣2分；</w:t>
            </w:r>
          </w:p>
          <w:p w14:paraId="2A914ED6">
            <w:pPr>
              <w:numPr>
                <w:ilvl w:val="0"/>
                <w:numId w:val="35"/>
              </w:num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本月未落实问题整改或重复出现此类问题的，按扣分值双倍扣分，以此类推。引发严重后果的，扣8分。</w:t>
            </w:r>
          </w:p>
        </w:tc>
        <w:tc>
          <w:tcPr>
            <w:tcW w:w="775" w:type="dxa"/>
            <w:vAlign w:val="center"/>
          </w:tcPr>
          <w:p w14:paraId="3A6F0C6D">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385A2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3" w:hRule="atLeast"/>
          <w:jc w:val="center"/>
        </w:trPr>
        <w:tc>
          <w:tcPr>
            <w:tcW w:w="863" w:type="dxa"/>
            <w:vMerge w:val="continue"/>
            <w:vAlign w:val="center"/>
          </w:tcPr>
          <w:p w14:paraId="3E10D139">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4115" w:type="dxa"/>
            <w:vAlign w:val="center"/>
          </w:tcPr>
          <w:p w14:paraId="1EF83457">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11.秩序管理：制定人员、车辆、货物进出等管理制度；配合做好门禁系统管理工作。</w:t>
            </w:r>
          </w:p>
        </w:tc>
        <w:tc>
          <w:tcPr>
            <w:tcW w:w="585" w:type="dxa"/>
            <w:vAlign w:val="center"/>
          </w:tcPr>
          <w:p w14:paraId="12A44FD2">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w:t>
            </w:r>
          </w:p>
        </w:tc>
        <w:tc>
          <w:tcPr>
            <w:tcW w:w="3225" w:type="dxa"/>
            <w:vAlign w:val="center"/>
          </w:tcPr>
          <w:p w14:paraId="1D01FEAC">
            <w:pPr>
              <w:numPr>
                <w:ilvl w:val="0"/>
                <w:numId w:val="36"/>
              </w:num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未制定相关制度的及管理不到位，一次扣1分；</w:t>
            </w:r>
          </w:p>
          <w:p w14:paraId="64D2C19F">
            <w:pPr>
              <w:numPr>
                <w:ilvl w:val="0"/>
                <w:numId w:val="36"/>
              </w:num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发现门禁道闸系统维护保养不到位的一次扣5分；</w:t>
            </w:r>
          </w:p>
          <w:p w14:paraId="0023058E">
            <w:pPr>
              <w:numPr>
                <w:ilvl w:val="0"/>
                <w:numId w:val="36"/>
              </w:num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本月未落实问题整改或重复出现此类问题的，按扣分值双倍扣分，以此类推。</w:t>
            </w:r>
          </w:p>
        </w:tc>
        <w:tc>
          <w:tcPr>
            <w:tcW w:w="775" w:type="dxa"/>
            <w:vAlign w:val="center"/>
          </w:tcPr>
          <w:p w14:paraId="32A09773">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7DA1F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9" w:hRule="atLeast"/>
          <w:jc w:val="center"/>
        </w:trPr>
        <w:tc>
          <w:tcPr>
            <w:tcW w:w="863" w:type="dxa"/>
            <w:vMerge w:val="continue"/>
            <w:vAlign w:val="center"/>
          </w:tcPr>
          <w:p w14:paraId="402AB207">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4115" w:type="dxa"/>
            <w:vAlign w:val="center"/>
          </w:tcPr>
          <w:p w14:paraId="145766EA">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12.停车管理：做好停车指引，确保各类车辆按指定位置停放，做到安全有序、整齐规范。建立车辆信息档案，并及时更新。</w:t>
            </w:r>
          </w:p>
        </w:tc>
        <w:tc>
          <w:tcPr>
            <w:tcW w:w="585" w:type="dxa"/>
            <w:vAlign w:val="center"/>
          </w:tcPr>
          <w:p w14:paraId="2B4B4677">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w:t>
            </w:r>
          </w:p>
        </w:tc>
        <w:tc>
          <w:tcPr>
            <w:tcW w:w="3225" w:type="dxa"/>
            <w:vAlign w:val="center"/>
          </w:tcPr>
          <w:p w14:paraId="118B5B93">
            <w:pPr>
              <w:numPr>
                <w:ilvl w:val="0"/>
                <w:numId w:val="37"/>
              </w:num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发现指引工作不到位，车辆存在乱停乱放的，一次扣1分；</w:t>
            </w:r>
          </w:p>
          <w:p w14:paraId="657C13E1">
            <w:pPr>
              <w:numPr>
                <w:ilvl w:val="0"/>
                <w:numId w:val="37"/>
              </w:num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本月未落实问题整改或重复出现此类问题的，按扣分值双倍扣分，以此类推。</w:t>
            </w:r>
          </w:p>
        </w:tc>
        <w:tc>
          <w:tcPr>
            <w:tcW w:w="775" w:type="dxa"/>
            <w:vAlign w:val="center"/>
          </w:tcPr>
          <w:p w14:paraId="52822AFD">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49FF4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7" w:hRule="atLeast"/>
          <w:jc w:val="center"/>
        </w:trPr>
        <w:tc>
          <w:tcPr>
            <w:tcW w:w="863" w:type="dxa"/>
            <w:vMerge w:val="continue"/>
            <w:vAlign w:val="center"/>
          </w:tcPr>
          <w:p w14:paraId="666FF91D">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4115" w:type="dxa"/>
            <w:vAlign w:val="center"/>
          </w:tcPr>
          <w:p w14:paraId="53E344C4">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13.公司内部管理：做好公司内部劳资等纠纷，不得出现影响招标人管辖场所秩序的事件。</w:t>
            </w:r>
          </w:p>
        </w:tc>
        <w:tc>
          <w:tcPr>
            <w:tcW w:w="585" w:type="dxa"/>
            <w:vAlign w:val="center"/>
          </w:tcPr>
          <w:p w14:paraId="50F6066E">
            <w:pPr>
              <w:adjustRightInd w:val="0"/>
              <w:snapToGrid w:val="0"/>
              <w:spacing w:line="240" w:lineRule="atLeast"/>
              <w:ind w:firstLine="0" w:firstLineChars="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w:t>
            </w:r>
          </w:p>
        </w:tc>
        <w:tc>
          <w:tcPr>
            <w:tcW w:w="3225" w:type="dxa"/>
            <w:vAlign w:val="center"/>
          </w:tcPr>
          <w:p w14:paraId="46E90641">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因中标人内部劳资纠纷等问题影响招标人管辖场所秩序的事件，一次扣4分。</w:t>
            </w:r>
          </w:p>
        </w:tc>
        <w:tc>
          <w:tcPr>
            <w:tcW w:w="775" w:type="dxa"/>
            <w:vAlign w:val="center"/>
          </w:tcPr>
          <w:p w14:paraId="2ADB8446">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bl>
    <w:p w14:paraId="69D5CB72">
      <w:pPr>
        <w:spacing w:line="360" w:lineRule="auto"/>
        <w:ind w:firstLine="420" w:firstLineChars="200"/>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5.2.3水业大厦物业使用人意见调查表</w:t>
      </w:r>
    </w:p>
    <w:tbl>
      <w:tblPr>
        <w:tblStyle w:val="41"/>
        <w:tblW w:w="9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0"/>
        <w:gridCol w:w="3592"/>
        <w:gridCol w:w="827"/>
        <w:gridCol w:w="1043"/>
        <w:gridCol w:w="1061"/>
        <w:gridCol w:w="1058"/>
      </w:tblGrid>
      <w:tr w14:paraId="24F5C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exact"/>
          <w:jc w:val="center"/>
        </w:trPr>
        <w:tc>
          <w:tcPr>
            <w:tcW w:w="2110" w:type="dxa"/>
            <w:vMerge w:val="restart"/>
            <w:tcBorders>
              <w:top w:val="single" w:color="auto" w:sz="4" w:space="0"/>
            </w:tcBorders>
            <w:vAlign w:val="center"/>
          </w:tcPr>
          <w:p w14:paraId="50357C1F">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服务项目</w:t>
            </w:r>
          </w:p>
        </w:tc>
        <w:tc>
          <w:tcPr>
            <w:tcW w:w="3592" w:type="dxa"/>
            <w:vMerge w:val="restart"/>
            <w:tcBorders>
              <w:top w:val="single" w:color="auto" w:sz="4" w:space="0"/>
            </w:tcBorders>
            <w:vAlign w:val="center"/>
          </w:tcPr>
          <w:p w14:paraId="562F9AF4">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服务内容</w:t>
            </w:r>
          </w:p>
        </w:tc>
        <w:tc>
          <w:tcPr>
            <w:tcW w:w="3989" w:type="dxa"/>
            <w:gridSpan w:val="4"/>
            <w:tcBorders>
              <w:top w:val="single" w:color="auto" w:sz="4" w:space="0"/>
            </w:tcBorders>
            <w:vAlign w:val="center"/>
          </w:tcPr>
          <w:p w14:paraId="65E9B6F5">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评议意见</w:t>
            </w:r>
          </w:p>
        </w:tc>
      </w:tr>
      <w:tr w14:paraId="7FCE3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exact"/>
          <w:jc w:val="center"/>
        </w:trPr>
        <w:tc>
          <w:tcPr>
            <w:tcW w:w="2110" w:type="dxa"/>
            <w:vMerge w:val="continue"/>
            <w:vAlign w:val="center"/>
          </w:tcPr>
          <w:p w14:paraId="16397BEB">
            <w:pPr>
              <w:adjustRightInd w:val="0"/>
              <w:snapToGrid w:val="0"/>
              <w:spacing w:line="240" w:lineRule="atLeast"/>
              <w:ind w:firstLine="420"/>
              <w:jc w:val="center"/>
              <w:rPr>
                <w:rFonts w:hint="eastAsia" w:ascii="宋体" w:hAnsi="宋体" w:eastAsia="宋体" w:cs="宋体"/>
                <w:color w:val="auto"/>
                <w:sz w:val="21"/>
                <w:szCs w:val="21"/>
                <w:highlight w:val="none"/>
                <w:lang w:eastAsia="zh-CN"/>
              </w:rPr>
            </w:pPr>
          </w:p>
        </w:tc>
        <w:tc>
          <w:tcPr>
            <w:tcW w:w="3592" w:type="dxa"/>
            <w:vMerge w:val="continue"/>
            <w:vAlign w:val="center"/>
          </w:tcPr>
          <w:p w14:paraId="315028EA">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827" w:type="dxa"/>
            <w:vAlign w:val="center"/>
          </w:tcPr>
          <w:p w14:paraId="01AD686A">
            <w:pPr>
              <w:adjustRightInd w:val="0"/>
              <w:snapToGrid w:val="0"/>
              <w:spacing w:line="240" w:lineRule="atLeast"/>
              <w:ind w:left="0" w:leftChars="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优秀</w:t>
            </w:r>
          </w:p>
        </w:tc>
        <w:tc>
          <w:tcPr>
            <w:tcW w:w="1043" w:type="dxa"/>
            <w:vAlign w:val="center"/>
          </w:tcPr>
          <w:p w14:paraId="5F9175B2">
            <w:pPr>
              <w:adjustRightInd w:val="0"/>
              <w:snapToGrid w:val="0"/>
              <w:spacing w:line="240" w:lineRule="atLeast"/>
              <w:ind w:left="0" w:leftChars="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良好</w:t>
            </w:r>
          </w:p>
        </w:tc>
        <w:tc>
          <w:tcPr>
            <w:tcW w:w="1061" w:type="dxa"/>
            <w:vAlign w:val="center"/>
          </w:tcPr>
          <w:p w14:paraId="0EBCBB4E">
            <w:pPr>
              <w:adjustRightInd w:val="0"/>
              <w:snapToGrid w:val="0"/>
              <w:spacing w:line="240" w:lineRule="atLeast"/>
              <w:ind w:left="0" w:leftChars="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一般</w:t>
            </w:r>
          </w:p>
        </w:tc>
        <w:tc>
          <w:tcPr>
            <w:tcW w:w="1058" w:type="dxa"/>
            <w:vAlign w:val="center"/>
          </w:tcPr>
          <w:p w14:paraId="684E5381">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较差</w:t>
            </w:r>
          </w:p>
        </w:tc>
      </w:tr>
      <w:tr w14:paraId="56A5F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0" w:type="dxa"/>
            <w:vMerge w:val="restart"/>
            <w:vAlign w:val="center"/>
          </w:tcPr>
          <w:p w14:paraId="526EE62C">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秩序维护</w:t>
            </w:r>
          </w:p>
        </w:tc>
        <w:tc>
          <w:tcPr>
            <w:tcW w:w="3592" w:type="dxa"/>
            <w:vAlign w:val="center"/>
          </w:tcPr>
          <w:p w14:paraId="4208EA61">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1.安全员服务态度及仪容仪表</w:t>
            </w:r>
          </w:p>
        </w:tc>
        <w:tc>
          <w:tcPr>
            <w:tcW w:w="827" w:type="dxa"/>
          </w:tcPr>
          <w:p w14:paraId="7BE82AA7">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43" w:type="dxa"/>
          </w:tcPr>
          <w:p w14:paraId="296DF057">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61" w:type="dxa"/>
            <w:vAlign w:val="center"/>
          </w:tcPr>
          <w:p w14:paraId="0F700586">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58" w:type="dxa"/>
            <w:vAlign w:val="center"/>
          </w:tcPr>
          <w:p w14:paraId="15788B4C">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2E406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0" w:type="dxa"/>
            <w:vMerge w:val="continue"/>
            <w:vAlign w:val="center"/>
          </w:tcPr>
          <w:p w14:paraId="6C551B6D">
            <w:pPr>
              <w:adjustRightInd w:val="0"/>
              <w:snapToGrid w:val="0"/>
              <w:spacing w:line="240" w:lineRule="atLeast"/>
              <w:ind w:firstLine="420"/>
              <w:jc w:val="center"/>
              <w:rPr>
                <w:rFonts w:hint="eastAsia" w:ascii="宋体" w:hAnsi="宋体" w:eastAsia="宋体" w:cs="宋体"/>
                <w:color w:val="auto"/>
                <w:sz w:val="21"/>
                <w:szCs w:val="21"/>
                <w:highlight w:val="none"/>
                <w:lang w:eastAsia="zh-CN"/>
              </w:rPr>
            </w:pPr>
          </w:p>
        </w:tc>
        <w:tc>
          <w:tcPr>
            <w:tcW w:w="3592" w:type="dxa"/>
            <w:vAlign w:val="center"/>
          </w:tcPr>
          <w:p w14:paraId="54F3BC25">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2.出入道闸、来访登记</w:t>
            </w:r>
          </w:p>
        </w:tc>
        <w:tc>
          <w:tcPr>
            <w:tcW w:w="827" w:type="dxa"/>
          </w:tcPr>
          <w:p w14:paraId="2A4AE89C">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43" w:type="dxa"/>
          </w:tcPr>
          <w:p w14:paraId="567219B6">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61" w:type="dxa"/>
            <w:vAlign w:val="center"/>
          </w:tcPr>
          <w:p w14:paraId="00C8BE96">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58" w:type="dxa"/>
            <w:vAlign w:val="center"/>
          </w:tcPr>
          <w:p w14:paraId="7047E9F5">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1BE73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0" w:type="dxa"/>
            <w:vMerge w:val="continue"/>
            <w:vAlign w:val="center"/>
          </w:tcPr>
          <w:p w14:paraId="36A88BD7">
            <w:pPr>
              <w:adjustRightInd w:val="0"/>
              <w:snapToGrid w:val="0"/>
              <w:spacing w:line="240" w:lineRule="atLeast"/>
              <w:ind w:firstLine="420"/>
              <w:jc w:val="center"/>
              <w:rPr>
                <w:rFonts w:hint="eastAsia" w:ascii="宋体" w:hAnsi="宋体" w:eastAsia="宋体" w:cs="宋体"/>
                <w:color w:val="auto"/>
                <w:sz w:val="21"/>
                <w:szCs w:val="21"/>
                <w:highlight w:val="none"/>
                <w:lang w:eastAsia="zh-CN"/>
              </w:rPr>
            </w:pPr>
          </w:p>
        </w:tc>
        <w:tc>
          <w:tcPr>
            <w:tcW w:w="3592" w:type="dxa"/>
            <w:vAlign w:val="center"/>
          </w:tcPr>
          <w:p w14:paraId="323F2E0A">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3.车辆停放秩序管理</w:t>
            </w:r>
          </w:p>
        </w:tc>
        <w:tc>
          <w:tcPr>
            <w:tcW w:w="827" w:type="dxa"/>
          </w:tcPr>
          <w:p w14:paraId="43BB5BAE">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43" w:type="dxa"/>
          </w:tcPr>
          <w:p w14:paraId="5D714F56">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61" w:type="dxa"/>
            <w:vAlign w:val="center"/>
          </w:tcPr>
          <w:p w14:paraId="09BD6EE9">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58" w:type="dxa"/>
            <w:vAlign w:val="center"/>
          </w:tcPr>
          <w:p w14:paraId="00C3B584">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0DBB8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jc w:val="center"/>
        </w:trPr>
        <w:tc>
          <w:tcPr>
            <w:tcW w:w="2110" w:type="dxa"/>
            <w:vMerge w:val="restart"/>
            <w:vAlign w:val="center"/>
          </w:tcPr>
          <w:p w14:paraId="17010D39">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共用设施设备维修养护</w:t>
            </w:r>
          </w:p>
        </w:tc>
        <w:tc>
          <w:tcPr>
            <w:tcW w:w="3592" w:type="dxa"/>
            <w:vAlign w:val="center"/>
          </w:tcPr>
          <w:p w14:paraId="4F57CD94">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4.房屋墙面、地面、天花等公共部位维护</w:t>
            </w:r>
          </w:p>
        </w:tc>
        <w:tc>
          <w:tcPr>
            <w:tcW w:w="827" w:type="dxa"/>
          </w:tcPr>
          <w:p w14:paraId="31F2BFA2">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43" w:type="dxa"/>
          </w:tcPr>
          <w:p w14:paraId="216E5917">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61" w:type="dxa"/>
            <w:vAlign w:val="center"/>
          </w:tcPr>
          <w:p w14:paraId="7BC07F73">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58" w:type="dxa"/>
            <w:vAlign w:val="center"/>
          </w:tcPr>
          <w:p w14:paraId="3C7EBF63">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3562F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0" w:type="dxa"/>
            <w:vMerge w:val="continue"/>
            <w:vAlign w:val="center"/>
          </w:tcPr>
          <w:p w14:paraId="09A207C5">
            <w:pPr>
              <w:adjustRightInd w:val="0"/>
              <w:snapToGrid w:val="0"/>
              <w:spacing w:line="240" w:lineRule="atLeast"/>
              <w:ind w:firstLine="420"/>
              <w:jc w:val="center"/>
              <w:rPr>
                <w:rFonts w:hint="eastAsia" w:ascii="宋体" w:hAnsi="宋体" w:eastAsia="宋体" w:cs="宋体"/>
                <w:color w:val="auto"/>
                <w:sz w:val="21"/>
                <w:szCs w:val="21"/>
                <w:highlight w:val="none"/>
                <w:lang w:eastAsia="zh-CN"/>
              </w:rPr>
            </w:pPr>
          </w:p>
        </w:tc>
        <w:tc>
          <w:tcPr>
            <w:tcW w:w="3592" w:type="dxa"/>
            <w:vAlign w:val="center"/>
          </w:tcPr>
          <w:p w14:paraId="5A795CCD">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5.空调、电梯运行、维护</w:t>
            </w:r>
          </w:p>
        </w:tc>
        <w:tc>
          <w:tcPr>
            <w:tcW w:w="827" w:type="dxa"/>
          </w:tcPr>
          <w:p w14:paraId="176ED5B2">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43" w:type="dxa"/>
          </w:tcPr>
          <w:p w14:paraId="73044F44">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61" w:type="dxa"/>
            <w:vAlign w:val="center"/>
          </w:tcPr>
          <w:p w14:paraId="1EE28288">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58" w:type="dxa"/>
            <w:vAlign w:val="center"/>
          </w:tcPr>
          <w:p w14:paraId="0244D009">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11D5D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0" w:type="dxa"/>
            <w:vMerge w:val="continue"/>
            <w:vAlign w:val="center"/>
          </w:tcPr>
          <w:p w14:paraId="78E286BE">
            <w:pPr>
              <w:adjustRightInd w:val="0"/>
              <w:snapToGrid w:val="0"/>
              <w:spacing w:line="240" w:lineRule="atLeast"/>
              <w:ind w:firstLine="420"/>
              <w:jc w:val="center"/>
              <w:rPr>
                <w:rFonts w:hint="eastAsia" w:ascii="宋体" w:hAnsi="宋体" w:eastAsia="宋体" w:cs="宋体"/>
                <w:color w:val="auto"/>
                <w:sz w:val="21"/>
                <w:szCs w:val="21"/>
                <w:highlight w:val="none"/>
                <w:lang w:eastAsia="zh-CN"/>
              </w:rPr>
            </w:pPr>
          </w:p>
        </w:tc>
        <w:tc>
          <w:tcPr>
            <w:tcW w:w="3592" w:type="dxa"/>
            <w:vAlign w:val="center"/>
          </w:tcPr>
          <w:p w14:paraId="19B605A0">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6.电话、网络维护</w:t>
            </w:r>
          </w:p>
        </w:tc>
        <w:tc>
          <w:tcPr>
            <w:tcW w:w="827" w:type="dxa"/>
          </w:tcPr>
          <w:p w14:paraId="4AD166AF">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43" w:type="dxa"/>
          </w:tcPr>
          <w:p w14:paraId="3DA14CA8">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61" w:type="dxa"/>
            <w:vAlign w:val="center"/>
          </w:tcPr>
          <w:p w14:paraId="3A69F9D0">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58" w:type="dxa"/>
            <w:vAlign w:val="center"/>
          </w:tcPr>
          <w:p w14:paraId="0D1AA81E">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6F4E5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0" w:type="dxa"/>
            <w:vMerge w:val="continue"/>
            <w:vAlign w:val="center"/>
          </w:tcPr>
          <w:p w14:paraId="6E3E7054">
            <w:pPr>
              <w:adjustRightInd w:val="0"/>
              <w:snapToGrid w:val="0"/>
              <w:spacing w:line="240" w:lineRule="atLeast"/>
              <w:ind w:firstLine="420"/>
              <w:jc w:val="center"/>
              <w:rPr>
                <w:rFonts w:hint="eastAsia" w:ascii="宋体" w:hAnsi="宋体" w:eastAsia="宋体" w:cs="宋体"/>
                <w:color w:val="auto"/>
                <w:sz w:val="21"/>
                <w:szCs w:val="21"/>
                <w:highlight w:val="none"/>
                <w:lang w:eastAsia="zh-CN"/>
              </w:rPr>
            </w:pPr>
          </w:p>
        </w:tc>
        <w:tc>
          <w:tcPr>
            <w:tcW w:w="3592" w:type="dxa"/>
            <w:vAlign w:val="center"/>
          </w:tcPr>
          <w:p w14:paraId="098034AA">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7.公共照明维护</w:t>
            </w:r>
          </w:p>
        </w:tc>
        <w:tc>
          <w:tcPr>
            <w:tcW w:w="827" w:type="dxa"/>
          </w:tcPr>
          <w:p w14:paraId="3A7B3F82">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43" w:type="dxa"/>
          </w:tcPr>
          <w:p w14:paraId="3A1560D2">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61" w:type="dxa"/>
            <w:vAlign w:val="center"/>
          </w:tcPr>
          <w:p w14:paraId="5DFE7BF3">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58" w:type="dxa"/>
            <w:vAlign w:val="center"/>
          </w:tcPr>
          <w:p w14:paraId="4B0AEBBF">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0666B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0" w:type="dxa"/>
            <w:vMerge w:val="continue"/>
            <w:vAlign w:val="center"/>
          </w:tcPr>
          <w:p w14:paraId="23277915">
            <w:pPr>
              <w:adjustRightInd w:val="0"/>
              <w:snapToGrid w:val="0"/>
              <w:spacing w:line="240" w:lineRule="atLeast"/>
              <w:ind w:firstLine="420"/>
              <w:jc w:val="center"/>
              <w:rPr>
                <w:rFonts w:hint="eastAsia" w:ascii="宋体" w:hAnsi="宋体" w:eastAsia="宋体" w:cs="宋体"/>
                <w:color w:val="auto"/>
                <w:sz w:val="21"/>
                <w:szCs w:val="21"/>
                <w:highlight w:val="none"/>
                <w:lang w:eastAsia="zh-CN"/>
              </w:rPr>
            </w:pPr>
          </w:p>
        </w:tc>
        <w:tc>
          <w:tcPr>
            <w:tcW w:w="3592" w:type="dxa"/>
            <w:vAlign w:val="center"/>
          </w:tcPr>
          <w:p w14:paraId="4BE4BD61">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8.报修处理跟进</w:t>
            </w:r>
          </w:p>
        </w:tc>
        <w:tc>
          <w:tcPr>
            <w:tcW w:w="827" w:type="dxa"/>
          </w:tcPr>
          <w:p w14:paraId="2536914B">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43" w:type="dxa"/>
          </w:tcPr>
          <w:p w14:paraId="14DB7FEA">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61" w:type="dxa"/>
            <w:vAlign w:val="center"/>
          </w:tcPr>
          <w:p w14:paraId="6FD202C3">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58" w:type="dxa"/>
            <w:vAlign w:val="center"/>
          </w:tcPr>
          <w:p w14:paraId="124341BA">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23345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exact"/>
          <w:jc w:val="center"/>
        </w:trPr>
        <w:tc>
          <w:tcPr>
            <w:tcW w:w="2110" w:type="dxa"/>
            <w:vMerge w:val="restart"/>
            <w:vAlign w:val="center"/>
          </w:tcPr>
          <w:p w14:paraId="39B847DC">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卫生清洁</w:t>
            </w:r>
          </w:p>
          <w:p w14:paraId="0FC38F1C">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绿化养护</w:t>
            </w:r>
          </w:p>
        </w:tc>
        <w:tc>
          <w:tcPr>
            <w:tcW w:w="3592" w:type="dxa"/>
            <w:vAlign w:val="center"/>
          </w:tcPr>
          <w:p w14:paraId="67F45B82">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9.办公室卫生清洁</w:t>
            </w:r>
          </w:p>
        </w:tc>
        <w:tc>
          <w:tcPr>
            <w:tcW w:w="827" w:type="dxa"/>
          </w:tcPr>
          <w:p w14:paraId="71F83CD9">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43" w:type="dxa"/>
          </w:tcPr>
          <w:p w14:paraId="6431B809">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61" w:type="dxa"/>
            <w:vAlign w:val="center"/>
          </w:tcPr>
          <w:p w14:paraId="7F9FCDCB">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58" w:type="dxa"/>
            <w:vAlign w:val="center"/>
          </w:tcPr>
          <w:p w14:paraId="16144A8F">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6CA8B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0" w:type="dxa"/>
            <w:vMerge w:val="continue"/>
            <w:vAlign w:val="center"/>
          </w:tcPr>
          <w:p w14:paraId="6699CE45">
            <w:pPr>
              <w:adjustRightInd w:val="0"/>
              <w:snapToGrid w:val="0"/>
              <w:spacing w:line="240" w:lineRule="atLeast"/>
              <w:ind w:firstLine="420"/>
              <w:jc w:val="center"/>
              <w:rPr>
                <w:rFonts w:hint="eastAsia" w:ascii="宋体" w:hAnsi="宋体" w:eastAsia="宋体" w:cs="宋体"/>
                <w:color w:val="auto"/>
                <w:sz w:val="21"/>
                <w:szCs w:val="21"/>
                <w:highlight w:val="none"/>
                <w:lang w:eastAsia="zh-CN"/>
              </w:rPr>
            </w:pPr>
          </w:p>
        </w:tc>
        <w:tc>
          <w:tcPr>
            <w:tcW w:w="3592" w:type="dxa"/>
            <w:vAlign w:val="center"/>
          </w:tcPr>
          <w:p w14:paraId="7647F5EF">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10.楼梯、走廊卫生</w:t>
            </w:r>
          </w:p>
        </w:tc>
        <w:tc>
          <w:tcPr>
            <w:tcW w:w="827" w:type="dxa"/>
          </w:tcPr>
          <w:p w14:paraId="1F2E4593">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43" w:type="dxa"/>
          </w:tcPr>
          <w:p w14:paraId="272EBCB8">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61" w:type="dxa"/>
            <w:vAlign w:val="center"/>
          </w:tcPr>
          <w:p w14:paraId="08573863">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58" w:type="dxa"/>
            <w:vAlign w:val="center"/>
          </w:tcPr>
          <w:p w14:paraId="745A5B8C">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7FD46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0" w:type="dxa"/>
            <w:vMerge w:val="continue"/>
            <w:vAlign w:val="center"/>
          </w:tcPr>
          <w:p w14:paraId="511BC6DC">
            <w:pPr>
              <w:adjustRightInd w:val="0"/>
              <w:snapToGrid w:val="0"/>
              <w:spacing w:line="240" w:lineRule="atLeast"/>
              <w:ind w:firstLine="420"/>
              <w:jc w:val="center"/>
              <w:rPr>
                <w:rFonts w:hint="eastAsia" w:ascii="宋体" w:hAnsi="宋体" w:eastAsia="宋体" w:cs="宋体"/>
                <w:color w:val="auto"/>
                <w:sz w:val="21"/>
                <w:szCs w:val="21"/>
                <w:highlight w:val="none"/>
                <w:lang w:eastAsia="zh-CN"/>
              </w:rPr>
            </w:pPr>
          </w:p>
        </w:tc>
        <w:tc>
          <w:tcPr>
            <w:tcW w:w="3592" w:type="dxa"/>
            <w:vAlign w:val="center"/>
          </w:tcPr>
          <w:p w14:paraId="6F40CA3A">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11.卫生间卫生清洁</w:t>
            </w:r>
          </w:p>
        </w:tc>
        <w:tc>
          <w:tcPr>
            <w:tcW w:w="827" w:type="dxa"/>
          </w:tcPr>
          <w:p w14:paraId="7C000381">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43" w:type="dxa"/>
          </w:tcPr>
          <w:p w14:paraId="2D9BD14A">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61" w:type="dxa"/>
            <w:vAlign w:val="center"/>
          </w:tcPr>
          <w:p w14:paraId="2913D3BA">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58" w:type="dxa"/>
            <w:vAlign w:val="center"/>
          </w:tcPr>
          <w:p w14:paraId="54D65ED6">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278AE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0" w:type="dxa"/>
            <w:vMerge w:val="continue"/>
            <w:vAlign w:val="center"/>
          </w:tcPr>
          <w:p w14:paraId="21E26967">
            <w:pPr>
              <w:adjustRightInd w:val="0"/>
              <w:snapToGrid w:val="0"/>
              <w:spacing w:line="240" w:lineRule="atLeast"/>
              <w:ind w:firstLine="420"/>
              <w:jc w:val="center"/>
              <w:rPr>
                <w:rFonts w:hint="eastAsia" w:ascii="宋体" w:hAnsi="宋体" w:eastAsia="宋体" w:cs="宋体"/>
                <w:color w:val="auto"/>
                <w:sz w:val="21"/>
                <w:szCs w:val="21"/>
                <w:highlight w:val="none"/>
                <w:lang w:eastAsia="zh-CN"/>
              </w:rPr>
            </w:pPr>
          </w:p>
        </w:tc>
        <w:tc>
          <w:tcPr>
            <w:tcW w:w="3592" w:type="dxa"/>
            <w:vAlign w:val="center"/>
          </w:tcPr>
          <w:p w14:paraId="27AE2FE1">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12.车场环境卫生</w:t>
            </w:r>
          </w:p>
        </w:tc>
        <w:tc>
          <w:tcPr>
            <w:tcW w:w="827" w:type="dxa"/>
          </w:tcPr>
          <w:p w14:paraId="0D8F5319">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43" w:type="dxa"/>
          </w:tcPr>
          <w:p w14:paraId="3677EDD3">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61" w:type="dxa"/>
            <w:vAlign w:val="center"/>
          </w:tcPr>
          <w:p w14:paraId="2EBD9CBF">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58" w:type="dxa"/>
            <w:vAlign w:val="center"/>
          </w:tcPr>
          <w:p w14:paraId="68A76D12">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755AE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0" w:type="dxa"/>
            <w:vMerge w:val="continue"/>
            <w:vAlign w:val="center"/>
          </w:tcPr>
          <w:p w14:paraId="7D4D3274">
            <w:pPr>
              <w:adjustRightInd w:val="0"/>
              <w:snapToGrid w:val="0"/>
              <w:spacing w:line="240" w:lineRule="atLeast"/>
              <w:ind w:firstLine="420"/>
              <w:jc w:val="center"/>
              <w:rPr>
                <w:rFonts w:hint="eastAsia" w:ascii="宋体" w:hAnsi="宋体" w:eastAsia="宋体" w:cs="宋体"/>
                <w:color w:val="auto"/>
                <w:sz w:val="21"/>
                <w:szCs w:val="21"/>
                <w:highlight w:val="none"/>
                <w:lang w:eastAsia="zh-CN"/>
              </w:rPr>
            </w:pPr>
          </w:p>
        </w:tc>
        <w:tc>
          <w:tcPr>
            <w:tcW w:w="3592" w:type="dxa"/>
            <w:vAlign w:val="center"/>
          </w:tcPr>
          <w:p w14:paraId="7414BB6F">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13.路面环境卫生</w:t>
            </w:r>
          </w:p>
        </w:tc>
        <w:tc>
          <w:tcPr>
            <w:tcW w:w="827" w:type="dxa"/>
          </w:tcPr>
          <w:p w14:paraId="3AABB6B4">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43" w:type="dxa"/>
          </w:tcPr>
          <w:p w14:paraId="1144C4A4">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61" w:type="dxa"/>
            <w:vAlign w:val="center"/>
          </w:tcPr>
          <w:p w14:paraId="63A719F8">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58" w:type="dxa"/>
            <w:vAlign w:val="center"/>
          </w:tcPr>
          <w:p w14:paraId="7CB01520">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3FAD8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0" w:type="dxa"/>
            <w:vMerge w:val="continue"/>
            <w:vAlign w:val="center"/>
          </w:tcPr>
          <w:p w14:paraId="3BBD2D42">
            <w:pPr>
              <w:adjustRightInd w:val="0"/>
              <w:snapToGrid w:val="0"/>
              <w:spacing w:line="240" w:lineRule="atLeast"/>
              <w:ind w:firstLine="420"/>
              <w:jc w:val="center"/>
              <w:rPr>
                <w:rFonts w:hint="eastAsia" w:ascii="宋体" w:hAnsi="宋体" w:eastAsia="宋体" w:cs="宋体"/>
                <w:color w:val="auto"/>
                <w:sz w:val="21"/>
                <w:szCs w:val="21"/>
                <w:highlight w:val="none"/>
                <w:lang w:eastAsia="zh-CN"/>
              </w:rPr>
            </w:pPr>
          </w:p>
        </w:tc>
        <w:tc>
          <w:tcPr>
            <w:tcW w:w="3592" w:type="dxa"/>
            <w:vAlign w:val="center"/>
          </w:tcPr>
          <w:p w14:paraId="361B6BFB">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14.绿化日常养护</w:t>
            </w:r>
          </w:p>
        </w:tc>
        <w:tc>
          <w:tcPr>
            <w:tcW w:w="827" w:type="dxa"/>
          </w:tcPr>
          <w:p w14:paraId="556CAE24">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43" w:type="dxa"/>
          </w:tcPr>
          <w:p w14:paraId="0D31562F">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61" w:type="dxa"/>
            <w:vAlign w:val="center"/>
          </w:tcPr>
          <w:p w14:paraId="5BA9337E">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58" w:type="dxa"/>
            <w:vAlign w:val="center"/>
          </w:tcPr>
          <w:p w14:paraId="28A7D39C">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3812D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0" w:type="dxa"/>
            <w:vMerge w:val="continue"/>
            <w:vAlign w:val="center"/>
          </w:tcPr>
          <w:p w14:paraId="4AE011DF">
            <w:pPr>
              <w:adjustRightInd w:val="0"/>
              <w:snapToGrid w:val="0"/>
              <w:spacing w:line="240" w:lineRule="atLeast"/>
              <w:ind w:firstLine="420"/>
              <w:jc w:val="center"/>
              <w:rPr>
                <w:rFonts w:hint="eastAsia" w:ascii="宋体" w:hAnsi="宋体" w:eastAsia="宋体" w:cs="宋体"/>
                <w:color w:val="auto"/>
                <w:sz w:val="21"/>
                <w:szCs w:val="21"/>
                <w:highlight w:val="none"/>
                <w:lang w:eastAsia="zh-CN"/>
              </w:rPr>
            </w:pPr>
          </w:p>
        </w:tc>
        <w:tc>
          <w:tcPr>
            <w:tcW w:w="3592" w:type="dxa"/>
            <w:vAlign w:val="center"/>
          </w:tcPr>
          <w:p w14:paraId="38516817">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15.“四害”消杀工作</w:t>
            </w:r>
          </w:p>
        </w:tc>
        <w:tc>
          <w:tcPr>
            <w:tcW w:w="827" w:type="dxa"/>
          </w:tcPr>
          <w:p w14:paraId="63AA67CC">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43" w:type="dxa"/>
          </w:tcPr>
          <w:p w14:paraId="309D2D8E">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61" w:type="dxa"/>
            <w:vAlign w:val="center"/>
          </w:tcPr>
          <w:p w14:paraId="1F211DA9">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58" w:type="dxa"/>
            <w:vAlign w:val="center"/>
          </w:tcPr>
          <w:p w14:paraId="3C376463">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7EFFD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0" w:type="dxa"/>
            <w:vMerge w:val="restart"/>
            <w:vAlign w:val="center"/>
          </w:tcPr>
          <w:p w14:paraId="502F656E">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会议服务</w:t>
            </w:r>
          </w:p>
        </w:tc>
        <w:tc>
          <w:tcPr>
            <w:tcW w:w="3592" w:type="dxa"/>
            <w:vAlign w:val="center"/>
          </w:tcPr>
          <w:p w14:paraId="1DF45D13">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16.会务准备工作</w:t>
            </w:r>
          </w:p>
        </w:tc>
        <w:tc>
          <w:tcPr>
            <w:tcW w:w="827" w:type="dxa"/>
          </w:tcPr>
          <w:p w14:paraId="1AAE2CD9">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43" w:type="dxa"/>
          </w:tcPr>
          <w:p w14:paraId="2BE3300A">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61" w:type="dxa"/>
            <w:vAlign w:val="center"/>
          </w:tcPr>
          <w:p w14:paraId="2BF58BAF">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58" w:type="dxa"/>
            <w:vAlign w:val="center"/>
          </w:tcPr>
          <w:p w14:paraId="638F7E0D">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55ECC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0" w:type="dxa"/>
            <w:vMerge w:val="continue"/>
            <w:vAlign w:val="center"/>
          </w:tcPr>
          <w:p w14:paraId="680079CC">
            <w:pPr>
              <w:adjustRightInd w:val="0"/>
              <w:snapToGrid w:val="0"/>
              <w:spacing w:line="240" w:lineRule="atLeast"/>
              <w:ind w:firstLine="420"/>
              <w:jc w:val="center"/>
              <w:rPr>
                <w:rFonts w:hint="eastAsia" w:ascii="宋体" w:hAnsi="宋体" w:eastAsia="宋体" w:cs="宋体"/>
                <w:color w:val="auto"/>
                <w:sz w:val="21"/>
                <w:szCs w:val="21"/>
                <w:highlight w:val="none"/>
                <w:lang w:eastAsia="zh-CN"/>
              </w:rPr>
            </w:pPr>
          </w:p>
        </w:tc>
        <w:tc>
          <w:tcPr>
            <w:tcW w:w="3592" w:type="dxa"/>
            <w:vAlign w:val="center"/>
          </w:tcPr>
          <w:p w14:paraId="55E30664">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17.会务人员服务态度</w:t>
            </w:r>
          </w:p>
        </w:tc>
        <w:tc>
          <w:tcPr>
            <w:tcW w:w="827" w:type="dxa"/>
          </w:tcPr>
          <w:p w14:paraId="6467037E">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43" w:type="dxa"/>
          </w:tcPr>
          <w:p w14:paraId="70DEBA3B">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61" w:type="dxa"/>
            <w:vAlign w:val="center"/>
          </w:tcPr>
          <w:p w14:paraId="17E0838D">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58" w:type="dxa"/>
            <w:vAlign w:val="center"/>
          </w:tcPr>
          <w:p w14:paraId="673A035F">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38A04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0" w:type="dxa"/>
            <w:vMerge w:val="restart"/>
            <w:vAlign w:val="center"/>
          </w:tcPr>
          <w:p w14:paraId="7B7A01E7">
            <w:pPr>
              <w:adjustRightInd w:val="0"/>
              <w:snapToGrid w:val="0"/>
              <w:spacing w:line="240" w:lineRule="atLeas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综合服务</w:t>
            </w:r>
          </w:p>
        </w:tc>
        <w:tc>
          <w:tcPr>
            <w:tcW w:w="3592" w:type="dxa"/>
            <w:vAlign w:val="center"/>
          </w:tcPr>
          <w:p w14:paraId="3F2EE038">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18.服务人员态度及仪容仪表</w:t>
            </w:r>
          </w:p>
        </w:tc>
        <w:tc>
          <w:tcPr>
            <w:tcW w:w="827" w:type="dxa"/>
          </w:tcPr>
          <w:p w14:paraId="4451EC38">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43" w:type="dxa"/>
          </w:tcPr>
          <w:p w14:paraId="2C5623BC">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61" w:type="dxa"/>
            <w:vAlign w:val="center"/>
          </w:tcPr>
          <w:p w14:paraId="2FE7201D">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58" w:type="dxa"/>
            <w:vAlign w:val="center"/>
          </w:tcPr>
          <w:p w14:paraId="61EA3FAA">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37E25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0" w:type="dxa"/>
            <w:vMerge w:val="continue"/>
            <w:vAlign w:val="center"/>
          </w:tcPr>
          <w:p w14:paraId="5FAB3BC9">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3592" w:type="dxa"/>
            <w:vAlign w:val="center"/>
          </w:tcPr>
          <w:p w14:paraId="0171B9EE">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19.日常事务办理</w:t>
            </w:r>
          </w:p>
        </w:tc>
        <w:tc>
          <w:tcPr>
            <w:tcW w:w="827" w:type="dxa"/>
          </w:tcPr>
          <w:p w14:paraId="04196910">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43" w:type="dxa"/>
          </w:tcPr>
          <w:p w14:paraId="66D7FEDD">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61" w:type="dxa"/>
            <w:vAlign w:val="center"/>
          </w:tcPr>
          <w:p w14:paraId="78127A83">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58" w:type="dxa"/>
            <w:vAlign w:val="center"/>
          </w:tcPr>
          <w:p w14:paraId="36230289">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07ABD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0" w:type="dxa"/>
            <w:vMerge w:val="continue"/>
            <w:vAlign w:val="center"/>
          </w:tcPr>
          <w:p w14:paraId="3A5EBFBB">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3592" w:type="dxa"/>
            <w:vAlign w:val="center"/>
          </w:tcPr>
          <w:p w14:paraId="6FE12521">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20.物业工作人员自身职业操守</w:t>
            </w:r>
          </w:p>
        </w:tc>
        <w:tc>
          <w:tcPr>
            <w:tcW w:w="827" w:type="dxa"/>
          </w:tcPr>
          <w:p w14:paraId="6508DB95">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43" w:type="dxa"/>
          </w:tcPr>
          <w:p w14:paraId="631AC656">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61" w:type="dxa"/>
            <w:vAlign w:val="center"/>
          </w:tcPr>
          <w:p w14:paraId="286FAA65">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58" w:type="dxa"/>
            <w:vAlign w:val="center"/>
          </w:tcPr>
          <w:p w14:paraId="655C6D2A">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3E9E8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jc w:val="center"/>
        </w:trPr>
        <w:tc>
          <w:tcPr>
            <w:tcW w:w="2110" w:type="dxa"/>
            <w:vMerge w:val="continue"/>
            <w:vAlign w:val="center"/>
          </w:tcPr>
          <w:p w14:paraId="30CCF0EE">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3592" w:type="dxa"/>
            <w:vAlign w:val="center"/>
          </w:tcPr>
          <w:p w14:paraId="60854FD6">
            <w:pPr>
              <w:adjustRightInd w:val="0"/>
              <w:snapToGrid w:val="0"/>
              <w:spacing w:line="24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21.投诉、建议处理跟进</w:t>
            </w:r>
          </w:p>
        </w:tc>
        <w:tc>
          <w:tcPr>
            <w:tcW w:w="827" w:type="dxa"/>
          </w:tcPr>
          <w:p w14:paraId="468B144D">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43" w:type="dxa"/>
          </w:tcPr>
          <w:p w14:paraId="7D81FE73">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61" w:type="dxa"/>
            <w:vAlign w:val="center"/>
          </w:tcPr>
          <w:p w14:paraId="7C486D6B">
            <w:pPr>
              <w:adjustRightInd w:val="0"/>
              <w:snapToGrid w:val="0"/>
              <w:spacing w:line="240" w:lineRule="atLeast"/>
              <w:ind w:firstLine="420"/>
              <w:rPr>
                <w:rFonts w:hint="eastAsia" w:ascii="宋体" w:hAnsi="宋体" w:eastAsia="宋体" w:cs="宋体"/>
                <w:color w:val="auto"/>
                <w:sz w:val="21"/>
                <w:szCs w:val="21"/>
                <w:highlight w:val="none"/>
                <w:lang w:eastAsia="zh-CN"/>
              </w:rPr>
            </w:pPr>
          </w:p>
        </w:tc>
        <w:tc>
          <w:tcPr>
            <w:tcW w:w="1058" w:type="dxa"/>
            <w:vAlign w:val="center"/>
          </w:tcPr>
          <w:p w14:paraId="2807C9C8">
            <w:pPr>
              <w:adjustRightInd w:val="0"/>
              <w:snapToGrid w:val="0"/>
              <w:spacing w:line="240" w:lineRule="atLeast"/>
              <w:ind w:firstLine="420"/>
              <w:rPr>
                <w:rFonts w:hint="eastAsia" w:ascii="宋体" w:hAnsi="宋体" w:eastAsia="宋体" w:cs="宋体"/>
                <w:color w:val="auto"/>
                <w:sz w:val="21"/>
                <w:szCs w:val="21"/>
                <w:highlight w:val="none"/>
                <w:lang w:eastAsia="zh-CN"/>
              </w:rPr>
            </w:pPr>
          </w:p>
        </w:tc>
      </w:tr>
      <w:tr w14:paraId="19E98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exact"/>
          <w:jc w:val="center"/>
        </w:trPr>
        <w:tc>
          <w:tcPr>
            <w:tcW w:w="9691" w:type="dxa"/>
            <w:gridSpan w:val="6"/>
            <w:vAlign w:val="center"/>
          </w:tcPr>
          <w:p w14:paraId="190675CF">
            <w:pPr>
              <w:adjustRightInd w:val="0"/>
              <w:snapToGrid w:val="0"/>
              <w:spacing w:line="240" w:lineRule="atLeast"/>
              <w:ind w:firstLine="0" w:firstLineChars="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备注：</w:t>
            </w:r>
          </w:p>
          <w:p w14:paraId="047DA0F0">
            <w:pPr>
              <w:numPr>
                <w:ilvl w:val="0"/>
                <w:numId w:val="38"/>
              </w:numPr>
              <w:adjustRightInd w:val="0"/>
              <w:snapToGrid w:val="0"/>
              <w:spacing w:line="240" w:lineRule="atLeast"/>
              <w:ind w:firstLine="0" w:firstLineChars="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本表总分值100分，其计分方式为：分值=（A×1+B×0.85+C×0.75+D×0.6）÷（A+B+C+D）×100。其中，A为“优秀（</w:t>
            </w:r>
            <w:r>
              <w:rPr>
                <w:rFonts w:hint="eastAsia" w:ascii="宋体" w:hAnsi="宋体" w:eastAsia="宋体" w:cs="宋体"/>
                <w:color w:val="auto"/>
                <w:sz w:val="21"/>
                <w:szCs w:val="21"/>
                <w:highlight w:val="none"/>
                <w:lang w:val="en-US" w:eastAsia="zh-CN"/>
              </w:rPr>
              <w:t>得分≥90分</w:t>
            </w:r>
            <w:r>
              <w:rPr>
                <w:rFonts w:hint="eastAsia" w:ascii="宋体" w:hAnsi="宋体" w:eastAsia="宋体" w:cs="宋体"/>
                <w:color w:val="auto"/>
                <w:sz w:val="21"/>
                <w:szCs w:val="21"/>
                <w:highlight w:val="none"/>
                <w:lang w:eastAsia="zh-CN"/>
              </w:rPr>
              <w:t>）”个数，B为“良好（</w:t>
            </w:r>
            <w:r>
              <w:rPr>
                <w:rFonts w:hint="eastAsia" w:ascii="宋体" w:hAnsi="宋体" w:eastAsia="宋体" w:cs="宋体"/>
                <w:color w:val="auto"/>
                <w:sz w:val="21"/>
                <w:szCs w:val="21"/>
                <w:highlight w:val="none"/>
                <w:lang w:val="en-US" w:eastAsia="zh-CN"/>
              </w:rPr>
              <w:t>80≤得分＜90</w:t>
            </w:r>
            <w:r>
              <w:rPr>
                <w:rFonts w:hint="eastAsia" w:ascii="宋体" w:hAnsi="宋体" w:eastAsia="宋体" w:cs="宋体"/>
                <w:color w:val="auto"/>
                <w:sz w:val="21"/>
                <w:szCs w:val="21"/>
                <w:highlight w:val="none"/>
                <w:lang w:eastAsia="zh-CN"/>
              </w:rPr>
              <w:t>）”个数，C（</w:t>
            </w:r>
            <w:r>
              <w:rPr>
                <w:rFonts w:hint="eastAsia" w:ascii="宋体" w:hAnsi="宋体" w:eastAsia="宋体" w:cs="宋体"/>
                <w:color w:val="auto"/>
                <w:sz w:val="21"/>
                <w:szCs w:val="21"/>
                <w:highlight w:val="none"/>
                <w:lang w:val="en-US" w:eastAsia="zh-CN"/>
              </w:rPr>
              <w:t>70≤得分＜80</w:t>
            </w:r>
            <w:r>
              <w:rPr>
                <w:rFonts w:hint="eastAsia" w:ascii="宋体" w:hAnsi="宋体" w:eastAsia="宋体" w:cs="宋体"/>
                <w:color w:val="auto"/>
                <w:sz w:val="21"/>
                <w:szCs w:val="21"/>
                <w:highlight w:val="none"/>
                <w:lang w:eastAsia="zh-CN"/>
              </w:rPr>
              <w:t>）为“一般”个数，D（</w:t>
            </w:r>
            <w:r>
              <w:rPr>
                <w:rFonts w:hint="eastAsia" w:ascii="宋体" w:hAnsi="宋体" w:eastAsia="宋体" w:cs="宋体"/>
                <w:color w:val="auto"/>
                <w:sz w:val="21"/>
                <w:szCs w:val="21"/>
                <w:highlight w:val="none"/>
                <w:lang w:val="en-US" w:eastAsia="zh-CN"/>
              </w:rPr>
              <w:t>得分＜70</w:t>
            </w:r>
            <w:r>
              <w:rPr>
                <w:rFonts w:hint="eastAsia" w:ascii="宋体" w:hAnsi="宋体" w:eastAsia="宋体" w:cs="宋体"/>
                <w:color w:val="auto"/>
                <w:sz w:val="21"/>
                <w:szCs w:val="21"/>
                <w:highlight w:val="none"/>
                <w:lang w:eastAsia="zh-CN"/>
              </w:rPr>
              <w:t>）为“较差”个数，占比权重10%。</w:t>
            </w:r>
          </w:p>
          <w:p w14:paraId="475592EC">
            <w:pPr>
              <w:pStyle w:val="18"/>
              <w:adjustRightInd w:val="0"/>
              <w:snapToGrid w:val="0"/>
              <w:spacing w:after="0" w:line="240" w:lineRule="atLeast"/>
              <w:ind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（2）该调查表为每个月每个物业使用人填写一份。</w:t>
            </w:r>
          </w:p>
          <w:p w14:paraId="31949E54">
            <w:pPr>
              <w:adjustRightInd w:val="0"/>
              <w:snapToGrid w:val="0"/>
              <w:spacing w:line="240" w:lineRule="atLeast"/>
              <w:ind w:firstLine="0"/>
              <w:jc w:val="both"/>
              <w:rPr>
                <w:rFonts w:hint="eastAsia" w:ascii="宋体" w:hAnsi="宋体" w:eastAsia="宋体" w:cs="宋体"/>
                <w:color w:val="auto"/>
                <w:sz w:val="21"/>
                <w:szCs w:val="21"/>
                <w:highlight w:val="none"/>
                <w:lang w:eastAsia="zh-CN"/>
              </w:rPr>
            </w:pPr>
          </w:p>
        </w:tc>
      </w:tr>
    </w:tbl>
    <w:p w14:paraId="0C905D10">
      <w:pPr>
        <w:pStyle w:val="2"/>
        <w:adjustRightInd w:val="0"/>
        <w:snapToGrid w:val="0"/>
        <w:spacing w:line="360" w:lineRule="auto"/>
        <w:jc w:val="left"/>
        <w:rPr>
          <w:rFonts w:hint="eastAsia" w:ascii="宋体" w:hAnsi="宋体" w:eastAsia="宋体" w:cs="宋体"/>
          <w:b/>
          <w:bCs/>
          <w:color w:val="auto"/>
          <w:sz w:val="21"/>
          <w:szCs w:val="21"/>
          <w:highlight w:val="none"/>
          <w:lang w:val="en-US" w:eastAsia="zh-CN"/>
        </w:rPr>
      </w:pPr>
      <w:bookmarkStart w:id="707" w:name="_Toc24347"/>
      <w:bookmarkStart w:id="708" w:name="_Toc31890"/>
      <w:bookmarkStart w:id="709" w:name="_Toc13828"/>
      <w:bookmarkStart w:id="710" w:name="_Toc17610"/>
      <w:bookmarkStart w:id="711" w:name="_Toc14291"/>
      <w:bookmarkStart w:id="712" w:name="_Toc6051"/>
      <w:bookmarkStart w:id="713" w:name="_Toc4483"/>
      <w:bookmarkStart w:id="714" w:name="_Toc20335"/>
      <w:bookmarkStart w:id="715" w:name="_Toc10094"/>
      <w:bookmarkStart w:id="716" w:name="_Toc3742"/>
      <w:r>
        <w:rPr>
          <w:rFonts w:hint="eastAsia" w:hAnsi="宋体" w:cs="宋体"/>
          <w:b/>
          <w:bCs/>
          <w:color w:val="auto"/>
          <w:sz w:val="21"/>
          <w:szCs w:val="21"/>
          <w:highlight w:val="none"/>
          <w:lang w:val="en-US" w:eastAsia="zh-CN"/>
        </w:rPr>
        <w:t>六</w:t>
      </w:r>
      <w:r>
        <w:rPr>
          <w:rFonts w:hint="eastAsia" w:ascii="宋体" w:hAnsi="宋体" w:eastAsia="宋体" w:cs="宋体"/>
          <w:b/>
          <w:bCs/>
          <w:color w:val="auto"/>
          <w:sz w:val="21"/>
          <w:szCs w:val="21"/>
          <w:highlight w:val="none"/>
          <w:lang w:val="en-US" w:eastAsia="zh-CN"/>
        </w:rPr>
        <w:t>、重要提醒</w:t>
      </w:r>
      <w:bookmarkEnd w:id="707"/>
      <w:bookmarkEnd w:id="708"/>
      <w:bookmarkEnd w:id="709"/>
      <w:bookmarkEnd w:id="710"/>
      <w:bookmarkEnd w:id="711"/>
      <w:bookmarkEnd w:id="712"/>
      <w:bookmarkEnd w:id="713"/>
    </w:p>
    <w:p w14:paraId="3054147C">
      <w:pPr>
        <w:adjustRightInd w:val="0"/>
        <w:snapToGrid w:val="0"/>
        <w:spacing w:line="360" w:lineRule="auto"/>
        <w:ind w:firstLine="560"/>
        <w:jc w:val="left"/>
        <w:rPr>
          <w:rFonts w:hint="eastAsia" w:ascii="宋体" w:hAnsi="宋体" w:eastAsia="宋体" w:cs="宋体"/>
          <w:b w:val="0"/>
          <w:bCs w:val="0"/>
          <w:color w:val="auto"/>
          <w:kern w:val="0"/>
          <w:sz w:val="21"/>
          <w:szCs w:val="21"/>
          <w:highlight w:val="none"/>
          <w:lang w:val="en-US" w:eastAsia="zh-CN" w:bidi="en-US"/>
        </w:rPr>
      </w:pPr>
      <w:r>
        <w:rPr>
          <w:rFonts w:hint="eastAsia" w:ascii="宋体" w:hAnsi="宋体" w:eastAsia="宋体" w:cs="宋体"/>
          <w:b w:val="0"/>
          <w:bCs w:val="0"/>
          <w:color w:val="auto"/>
          <w:kern w:val="0"/>
          <w:sz w:val="21"/>
          <w:szCs w:val="21"/>
          <w:highlight w:val="none"/>
          <w:lang w:val="en-US" w:eastAsia="zh-CN" w:bidi="en-US"/>
        </w:rPr>
        <w:t>6.1本项目涉及服务内容，原则上要求中标人自行完成，未经招标人书面同意，中标人原则上不得将管理本物业的权利义务转让、分包或转包给第三方，否则，招标人有权单方解除合同、不予支付合同款项；经双方约定的特殊服务（如电梯、消防、空调、保洁等特殊服务项目）的除外。</w:t>
      </w:r>
    </w:p>
    <w:p w14:paraId="66205295">
      <w:pPr>
        <w:adjustRightInd w:val="0"/>
        <w:snapToGrid w:val="0"/>
        <w:spacing w:line="360" w:lineRule="auto"/>
        <w:ind w:firstLine="560"/>
        <w:jc w:val="left"/>
        <w:rPr>
          <w:rFonts w:hint="eastAsia" w:ascii="宋体" w:hAnsi="宋体" w:eastAsia="宋体" w:cs="宋体"/>
          <w:b w:val="0"/>
          <w:bCs w:val="0"/>
          <w:color w:val="auto"/>
          <w:kern w:val="0"/>
          <w:sz w:val="21"/>
          <w:szCs w:val="21"/>
          <w:highlight w:val="none"/>
          <w:lang w:val="en-US" w:eastAsia="zh-CN" w:bidi="en-US"/>
        </w:rPr>
      </w:pPr>
      <w:r>
        <w:rPr>
          <w:rFonts w:hint="eastAsia" w:ascii="宋体" w:hAnsi="宋体" w:eastAsia="宋体" w:cs="宋体"/>
          <w:b w:val="0"/>
          <w:bCs w:val="0"/>
          <w:color w:val="auto"/>
          <w:kern w:val="0"/>
          <w:sz w:val="21"/>
          <w:szCs w:val="21"/>
          <w:highlight w:val="none"/>
          <w:lang w:val="en-US" w:eastAsia="zh-CN" w:bidi="en-US"/>
        </w:rPr>
        <w:t>6.2其他要求</w:t>
      </w:r>
    </w:p>
    <w:p w14:paraId="6F23FD59">
      <w:pPr>
        <w:adjustRightInd w:val="0"/>
        <w:snapToGrid w:val="0"/>
        <w:spacing w:line="360" w:lineRule="auto"/>
        <w:ind w:firstLine="560"/>
        <w:jc w:val="left"/>
        <w:rPr>
          <w:rFonts w:hint="eastAsia" w:ascii="宋体" w:hAnsi="宋体" w:eastAsia="宋体" w:cs="宋体"/>
          <w:b w:val="0"/>
          <w:bCs w:val="0"/>
          <w:color w:val="auto"/>
          <w:kern w:val="0"/>
          <w:sz w:val="21"/>
          <w:szCs w:val="21"/>
          <w:highlight w:val="none"/>
          <w:lang w:val="en-US" w:eastAsia="zh-CN" w:bidi="en-US"/>
        </w:rPr>
      </w:pPr>
      <w:r>
        <w:rPr>
          <w:rFonts w:hint="eastAsia" w:ascii="宋体" w:hAnsi="宋体" w:eastAsia="宋体" w:cs="宋体"/>
          <w:b w:val="0"/>
          <w:bCs w:val="0"/>
          <w:color w:val="auto"/>
          <w:kern w:val="0"/>
          <w:sz w:val="21"/>
          <w:szCs w:val="21"/>
          <w:highlight w:val="none"/>
          <w:lang w:val="en-US" w:eastAsia="zh-CN" w:bidi="en-US"/>
        </w:rPr>
        <w:t>6.2.1招标人委托管理的事项中，除按照国家有关规定必须由具备相应资质的专业机构进行服务保障的项目外，未经招标人书面同意，中标人不得将本项目的部分或全部管理责任转让给第三方，更不得将管理项目进行分拆、分包或转包。</w:t>
      </w:r>
    </w:p>
    <w:p w14:paraId="01C13C80">
      <w:pPr>
        <w:adjustRightInd w:val="0"/>
        <w:snapToGrid w:val="0"/>
        <w:spacing w:line="360" w:lineRule="auto"/>
        <w:ind w:firstLine="560"/>
        <w:jc w:val="left"/>
        <w:rPr>
          <w:rFonts w:hint="eastAsia" w:ascii="宋体" w:hAnsi="宋体" w:eastAsia="宋体" w:cs="宋体"/>
          <w:b w:val="0"/>
          <w:bCs w:val="0"/>
          <w:color w:val="auto"/>
          <w:kern w:val="0"/>
          <w:sz w:val="21"/>
          <w:szCs w:val="21"/>
          <w:highlight w:val="none"/>
          <w:lang w:val="en-US" w:eastAsia="zh-CN" w:bidi="en-US"/>
        </w:rPr>
      </w:pPr>
      <w:r>
        <w:rPr>
          <w:rFonts w:hint="eastAsia" w:ascii="宋体" w:hAnsi="宋体" w:eastAsia="宋体" w:cs="宋体"/>
          <w:b w:val="0"/>
          <w:bCs w:val="0"/>
          <w:color w:val="auto"/>
          <w:kern w:val="0"/>
          <w:sz w:val="21"/>
          <w:szCs w:val="21"/>
          <w:highlight w:val="none"/>
          <w:lang w:val="en-US" w:eastAsia="zh-CN" w:bidi="en-US"/>
        </w:rPr>
        <w:t>6.2.2中标人应按招标人要求提供相应的工作报表，包括但不限定提供物业使用人的物业费收缴情况、能耗数据、工单数据以及客户满意度等统计报表。</w:t>
      </w:r>
    </w:p>
    <w:p w14:paraId="344FB2C3">
      <w:pPr>
        <w:adjustRightInd w:val="0"/>
        <w:snapToGrid w:val="0"/>
        <w:spacing w:line="360" w:lineRule="auto"/>
        <w:ind w:firstLine="560"/>
        <w:jc w:val="left"/>
        <w:rPr>
          <w:rFonts w:hint="eastAsia" w:ascii="宋体" w:hAnsi="宋体" w:eastAsia="宋体" w:cs="宋体"/>
          <w:b w:val="0"/>
          <w:bCs w:val="0"/>
          <w:color w:val="auto"/>
          <w:kern w:val="0"/>
          <w:sz w:val="21"/>
          <w:szCs w:val="21"/>
          <w:highlight w:val="none"/>
          <w:lang w:val="en-US" w:eastAsia="zh-CN" w:bidi="en-US"/>
        </w:rPr>
      </w:pPr>
      <w:r>
        <w:rPr>
          <w:rFonts w:hint="eastAsia" w:ascii="宋体" w:hAnsi="宋体" w:eastAsia="宋体" w:cs="宋体"/>
          <w:b w:val="0"/>
          <w:bCs w:val="0"/>
          <w:color w:val="auto"/>
          <w:kern w:val="0"/>
          <w:sz w:val="21"/>
          <w:szCs w:val="21"/>
          <w:highlight w:val="none"/>
          <w:lang w:val="en-US" w:eastAsia="zh-CN" w:bidi="en-US"/>
        </w:rPr>
        <w:t>6.2.3在合同履约过程中，国家、地方或行业及招标人有发布新的物业管理规定的，按新发布的管理规定执行，中标人不得以任何理由要求招标人额外增加任何费用。</w:t>
      </w:r>
    </w:p>
    <w:p w14:paraId="00244424">
      <w:pPr>
        <w:adjustRightInd w:val="0"/>
        <w:snapToGrid w:val="0"/>
        <w:spacing w:line="360" w:lineRule="auto"/>
        <w:ind w:firstLine="560"/>
        <w:jc w:val="left"/>
        <w:rPr>
          <w:rFonts w:hint="eastAsia" w:ascii="宋体" w:hAnsi="宋体" w:eastAsia="宋体" w:cs="宋体"/>
          <w:b w:val="0"/>
          <w:bCs w:val="0"/>
          <w:color w:val="auto"/>
          <w:kern w:val="0"/>
          <w:sz w:val="21"/>
          <w:szCs w:val="21"/>
          <w:highlight w:val="none"/>
          <w:lang w:val="en-US" w:eastAsia="zh-CN" w:bidi="en-US"/>
        </w:rPr>
      </w:pPr>
      <w:r>
        <w:rPr>
          <w:rFonts w:hint="eastAsia" w:ascii="宋体" w:hAnsi="宋体" w:eastAsia="宋体" w:cs="宋体"/>
          <w:b w:val="0"/>
          <w:bCs w:val="0"/>
          <w:color w:val="auto"/>
          <w:kern w:val="0"/>
          <w:sz w:val="21"/>
          <w:szCs w:val="21"/>
          <w:highlight w:val="none"/>
          <w:lang w:val="en-US" w:eastAsia="zh-CN" w:bidi="en-US"/>
        </w:rPr>
        <w:t>6.2.4中标人投标时承诺自愿免费投入本项目使用的设备及软件系统不得以任何理由向招标人申请额外支付任何费用，后续实际运营过程中根据项目实际运营情况添置的设备和软件系统从对应的分项报价费用项目中按实列支。</w:t>
      </w:r>
    </w:p>
    <w:p w14:paraId="2D5DDB29">
      <w:pPr>
        <w:adjustRightInd w:val="0"/>
        <w:snapToGrid w:val="0"/>
        <w:spacing w:line="360" w:lineRule="auto"/>
        <w:ind w:firstLine="560"/>
        <w:jc w:val="left"/>
        <w:rPr>
          <w:rFonts w:hint="eastAsia" w:ascii="宋体" w:hAnsi="宋体" w:eastAsia="宋体" w:cs="宋体"/>
          <w:b w:val="0"/>
          <w:bCs w:val="0"/>
          <w:color w:val="auto"/>
          <w:kern w:val="0"/>
          <w:sz w:val="21"/>
          <w:szCs w:val="21"/>
          <w:highlight w:val="none"/>
          <w:lang w:val="en-US" w:eastAsia="zh-CN" w:bidi="en-US"/>
        </w:rPr>
      </w:pPr>
      <w:r>
        <w:rPr>
          <w:rFonts w:hint="eastAsia" w:ascii="宋体" w:hAnsi="宋体" w:eastAsia="宋体" w:cs="宋体"/>
          <w:b w:val="0"/>
          <w:bCs w:val="0"/>
          <w:color w:val="auto"/>
          <w:kern w:val="0"/>
          <w:sz w:val="21"/>
          <w:szCs w:val="21"/>
          <w:highlight w:val="none"/>
          <w:lang w:val="en-US" w:eastAsia="zh-CN" w:bidi="en-US"/>
        </w:rPr>
        <w:t>6.2.5 在合同履约过程中，物业共用部位、共用设施设备的日常维护、大修、中修和更新、改造中，单次</w:t>
      </w:r>
      <w:r>
        <w:rPr>
          <w:rFonts w:hint="eastAsia" w:ascii="宋体" w:hAnsi="宋体" w:eastAsia="宋体" w:cs="宋体"/>
          <w:b w:val="0"/>
          <w:bCs w:val="0"/>
          <w:color w:val="auto"/>
          <w:kern w:val="2"/>
          <w:sz w:val="21"/>
          <w:szCs w:val="21"/>
          <w:highlight w:val="none"/>
          <w:lang w:eastAsia="zh-CN" w:bidi="ar-SA"/>
        </w:rPr>
        <w:t>工器具及材料</w:t>
      </w:r>
      <w:r>
        <w:rPr>
          <w:rFonts w:hint="eastAsia" w:ascii="宋体" w:hAnsi="宋体" w:eastAsia="宋体" w:cs="宋体"/>
          <w:b w:val="0"/>
          <w:bCs w:val="0"/>
          <w:color w:val="auto"/>
          <w:kern w:val="0"/>
          <w:sz w:val="21"/>
          <w:szCs w:val="21"/>
          <w:highlight w:val="none"/>
          <w:lang w:val="en-US" w:eastAsia="zh-CN" w:bidi="en-US"/>
        </w:rPr>
        <w:t>费用不超过5000元，由中标人在工器具及材料费用费用中列支；单次</w:t>
      </w:r>
      <w:r>
        <w:rPr>
          <w:rFonts w:hint="eastAsia" w:ascii="宋体" w:hAnsi="宋体" w:eastAsia="宋体" w:cs="宋体"/>
          <w:b w:val="0"/>
          <w:bCs w:val="0"/>
          <w:color w:val="auto"/>
          <w:kern w:val="2"/>
          <w:sz w:val="21"/>
          <w:szCs w:val="21"/>
          <w:highlight w:val="none"/>
          <w:lang w:eastAsia="zh-CN" w:bidi="ar-SA"/>
        </w:rPr>
        <w:t>工器具及材料</w:t>
      </w:r>
      <w:r>
        <w:rPr>
          <w:rFonts w:hint="eastAsia" w:ascii="宋体" w:hAnsi="宋体" w:eastAsia="宋体" w:cs="宋体"/>
          <w:b w:val="0"/>
          <w:bCs w:val="0"/>
          <w:color w:val="auto"/>
          <w:kern w:val="0"/>
          <w:sz w:val="21"/>
          <w:szCs w:val="21"/>
          <w:highlight w:val="none"/>
          <w:lang w:val="en-US" w:eastAsia="zh-CN" w:bidi="en-US"/>
        </w:rPr>
        <w:t>费用超过5000元，由招标人负责或招标委托中标人采购，单独列支，不在工器具及材料费用费用中列支。</w:t>
      </w:r>
    </w:p>
    <w:p w14:paraId="4C41BC58">
      <w:pPr>
        <w:adjustRightInd w:val="0"/>
        <w:snapToGrid w:val="0"/>
        <w:spacing w:line="360" w:lineRule="auto"/>
        <w:ind w:firstLine="560"/>
        <w:jc w:val="left"/>
        <w:rPr>
          <w:rFonts w:hint="eastAsia" w:ascii="宋体" w:hAnsi="宋体" w:eastAsia="宋体" w:cs="宋体"/>
          <w:b w:val="0"/>
          <w:bCs w:val="0"/>
          <w:color w:val="auto"/>
          <w:kern w:val="0"/>
          <w:sz w:val="21"/>
          <w:szCs w:val="21"/>
          <w:highlight w:val="none"/>
          <w:lang w:val="en-US" w:eastAsia="zh-CN" w:bidi="en-US"/>
        </w:rPr>
      </w:pPr>
      <w:r>
        <w:rPr>
          <w:rFonts w:hint="eastAsia" w:ascii="宋体" w:hAnsi="宋体" w:eastAsia="宋体" w:cs="宋体"/>
          <w:b w:val="0"/>
          <w:bCs w:val="0"/>
          <w:color w:val="auto"/>
          <w:kern w:val="0"/>
          <w:sz w:val="21"/>
          <w:szCs w:val="21"/>
          <w:highlight w:val="none"/>
          <w:lang w:val="en-US" w:eastAsia="zh-CN" w:bidi="en-US"/>
        </w:rPr>
        <w:t>6.2.6原则上本项目所涉及到的物资均由中标人实施，招标人负责对实际运营过程中的费用据实支付。因双方另行约定的除外。</w:t>
      </w:r>
      <w:bookmarkEnd w:id="714"/>
      <w:bookmarkEnd w:id="715"/>
      <w:bookmarkEnd w:id="716"/>
    </w:p>
    <w:p w14:paraId="56BBEB7B">
      <w:pPr>
        <w:pageBreakBefore/>
        <w:tabs>
          <w:tab w:val="left" w:pos="1080"/>
        </w:tabs>
        <w:autoSpaceDE w:val="0"/>
        <w:autoSpaceDN w:val="0"/>
        <w:adjustRightInd w:val="0"/>
        <w:spacing w:line="360" w:lineRule="auto"/>
        <w:ind w:left="357" w:leftChars="-100" w:hanging="567"/>
        <w:jc w:val="center"/>
        <w:outlineLvl w:val="1"/>
        <w:rPr>
          <w:rFonts w:hint="eastAsia" w:ascii="宋体" w:hAnsi="宋体" w:eastAsia="宋体" w:cs="宋体"/>
          <w:b/>
          <w:bCs/>
          <w:color w:val="auto"/>
          <w:kern w:val="44"/>
          <w:sz w:val="32"/>
          <w:szCs w:val="32"/>
          <w:highlight w:val="none"/>
          <w:lang w:val="zh-CN"/>
        </w:rPr>
      </w:pPr>
      <w:bookmarkStart w:id="717" w:name="_Toc30747"/>
      <w:bookmarkStart w:id="718" w:name="_Toc23633"/>
      <w:r>
        <w:rPr>
          <w:rFonts w:hint="eastAsia" w:ascii="宋体" w:hAnsi="宋体" w:eastAsia="宋体" w:cs="宋体"/>
          <w:b/>
          <w:bCs/>
          <w:color w:val="auto"/>
          <w:kern w:val="44"/>
          <w:sz w:val="32"/>
          <w:szCs w:val="32"/>
          <w:highlight w:val="none"/>
          <w:lang w:val="zh-CN"/>
        </w:rPr>
        <w:t>第四篇 合同条款格式</w:t>
      </w:r>
      <w:bookmarkEnd w:id="717"/>
      <w:bookmarkEnd w:id="718"/>
    </w:p>
    <w:p w14:paraId="1A67E9E8">
      <w:pPr>
        <w:spacing w:line="360" w:lineRule="auto"/>
        <w:ind w:firstLine="0" w:firstLineChars="0"/>
        <w:jc w:val="center"/>
        <w:rPr>
          <w:rFonts w:hint="eastAsia" w:hAnsi="宋体" w:cs="宋体"/>
          <w:b/>
          <w:bCs/>
          <w:color w:val="auto"/>
          <w:sz w:val="44"/>
          <w:szCs w:val="44"/>
        </w:rPr>
      </w:pPr>
    </w:p>
    <w:p w14:paraId="2666CECF">
      <w:pPr>
        <w:spacing w:line="360" w:lineRule="auto"/>
        <w:ind w:firstLine="0" w:firstLineChars="0"/>
        <w:jc w:val="center"/>
        <w:rPr>
          <w:rFonts w:hint="eastAsia" w:hAnsi="宋体" w:cs="宋体"/>
          <w:b/>
          <w:bCs/>
          <w:color w:val="auto"/>
          <w:sz w:val="44"/>
          <w:szCs w:val="44"/>
        </w:rPr>
      </w:pPr>
    </w:p>
    <w:p w14:paraId="617B3469">
      <w:pPr>
        <w:spacing w:line="360" w:lineRule="auto"/>
        <w:ind w:firstLine="0" w:firstLineChars="0"/>
        <w:jc w:val="center"/>
        <w:rPr>
          <w:rFonts w:hint="eastAsia" w:ascii="宋体" w:hAnsi="宋体" w:eastAsia="宋体" w:cs="宋体"/>
          <w:bCs/>
          <w:color w:val="auto"/>
          <w:sz w:val="32"/>
          <w:szCs w:val="32"/>
          <w:lang w:val="en-US" w:eastAsia="zh-CN"/>
        </w:rPr>
      </w:pPr>
      <w:r>
        <w:rPr>
          <w:rFonts w:hint="eastAsia" w:ascii="宋体" w:hAnsi="宋体" w:eastAsia="宋体" w:cs="宋体"/>
          <w:b/>
          <w:bCs/>
          <w:color w:val="auto"/>
          <w:sz w:val="44"/>
          <w:szCs w:val="44"/>
          <w:lang w:eastAsia="zh-CN"/>
        </w:rPr>
        <w:t>东莞市置拓投资有限公司水业大厦2026-2027年度物业管理服务采购项目</w:t>
      </w:r>
    </w:p>
    <w:p w14:paraId="363B8028">
      <w:pPr>
        <w:spacing w:line="360" w:lineRule="auto"/>
        <w:ind w:firstLine="0" w:firstLineChars="0"/>
        <w:jc w:val="center"/>
        <w:rPr>
          <w:rFonts w:hint="eastAsia" w:ascii="宋体" w:hAnsi="宋体" w:eastAsia="宋体" w:cs="宋体"/>
          <w:bCs/>
          <w:color w:val="auto"/>
          <w:sz w:val="32"/>
          <w:szCs w:val="32"/>
        </w:rPr>
      </w:pPr>
    </w:p>
    <w:p w14:paraId="78B82AC2">
      <w:pPr>
        <w:spacing w:line="360" w:lineRule="auto"/>
        <w:ind w:left="0" w:leftChars="0" w:firstLine="0" w:firstLineChars="0"/>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采购合同</w:t>
      </w:r>
    </w:p>
    <w:p w14:paraId="7E0D1C65">
      <w:pPr>
        <w:spacing w:line="360" w:lineRule="auto"/>
        <w:jc w:val="center"/>
        <w:rPr>
          <w:rFonts w:hint="eastAsia" w:ascii="宋体" w:hAnsi="宋体" w:eastAsia="宋体" w:cs="宋体"/>
          <w:b/>
          <w:bCs/>
          <w:color w:val="auto"/>
          <w:kern w:val="0"/>
          <w:sz w:val="24"/>
          <w:szCs w:val="21"/>
          <w:highlight w:val="none"/>
        </w:rPr>
      </w:pPr>
    </w:p>
    <w:p w14:paraId="73F33FFB">
      <w:pPr>
        <w:spacing w:line="360" w:lineRule="auto"/>
        <w:jc w:val="center"/>
        <w:rPr>
          <w:rFonts w:hint="eastAsia" w:ascii="宋体" w:hAnsi="宋体" w:eastAsia="宋体" w:cs="宋体"/>
          <w:b/>
          <w:color w:val="auto"/>
          <w:sz w:val="52"/>
          <w:szCs w:val="52"/>
          <w:highlight w:val="none"/>
        </w:rPr>
      </w:pPr>
      <w:r>
        <w:rPr>
          <w:rFonts w:hint="eastAsia" w:ascii="宋体" w:hAnsi="宋体" w:eastAsia="宋体" w:cs="宋体"/>
          <w:b/>
          <w:bCs/>
          <w:color w:val="auto"/>
          <w:kern w:val="0"/>
          <w:sz w:val="24"/>
          <w:szCs w:val="21"/>
          <w:highlight w:val="none"/>
        </w:rPr>
        <w:t>（合同编号：       ）</w:t>
      </w:r>
    </w:p>
    <w:p w14:paraId="1263C9DE">
      <w:pPr>
        <w:spacing w:line="360" w:lineRule="auto"/>
        <w:ind w:firstLine="0" w:firstLineChars="0"/>
        <w:jc w:val="center"/>
        <w:rPr>
          <w:rFonts w:hint="eastAsia" w:ascii="宋体" w:hAnsi="宋体" w:eastAsia="宋体" w:cs="宋体"/>
          <w:bCs/>
          <w:color w:val="auto"/>
          <w:sz w:val="32"/>
          <w:szCs w:val="32"/>
        </w:rPr>
      </w:pPr>
    </w:p>
    <w:p w14:paraId="1D66CB65">
      <w:pPr>
        <w:spacing w:line="360" w:lineRule="auto"/>
        <w:ind w:firstLine="0" w:firstLineChars="0"/>
        <w:jc w:val="center"/>
        <w:rPr>
          <w:rFonts w:hint="eastAsia" w:ascii="宋体" w:hAnsi="宋体" w:eastAsia="宋体" w:cs="宋体"/>
          <w:bCs/>
          <w:color w:val="auto"/>
          <w:sz w:val="32"/>
          <w:szCs w:val="32"/>
        </w:rPr>
      </w:pPr>
    </w:p>
    <w:p w14:paraId="0EE3FC4E">
      <w:pPr>
        <w:spacing w:line="360" w:lineRule="auto"/>
        <w:ind w:firstLine="0" w:firstLineChars="0"/>
        <w:jc w:val="center"/>
        <w:rPr>
          <w:rFonts w:hint="eastAsia" w:ascii="宋体" w:hAnsi="宋体" w:eastAsia="宋体" w:cs="宋体"/>
          <w:bCs/>
          <w:color w:val="auto"/>
          <w:sz w:val="32"/>
          <w:szCs w:val="32"/>
        </w:rPr>
      </w:pPr>
    </w:p>
    <w:p w14:paraId="64422FF7">
      <w:pPr>
        <w:spacing w:line="360" w:lineRule="auto"/>
        <w:ind w:firstLine="0" w:firstLineChars="0"/>
        <w:jc w:val="center"/>
        <w:rPr>
          <w:rFonts w:hint="eastAsia" w:ascii="宋体" w:hAnsi="宋体" w:eastAsia="宋体" w:cs="宋体"/>
          <w:bCs/>
          <w:color w:val="auto"/>
          <w:sz w:val="32"/>
          <w:szCs w:val="32"/>
        </w:rPr>
      </w:pPr>
    </w:p>
    <w:p w14:paraId="0E7FDAF3">
      <w:pPr>
        <w:spacing w:line="360" w:lineRule="auto"/>
        <w:ind w:firstLine="0" w:firstLineChars="0"/>
        <w:jc w:val="center"/>
        <w:rPr>
          <w:rFonts w:hint="eastAsia" w:ascii="宋体" w:hAnsi="宋体" w:eastAsia="宋体" w:cs="宋体"/>
          <w:bCs/>
          <w:color w:val="auto"/>
          <w:sz w:val="32"/>
          <w:szCs w:val="32"/>
        </w:rPr>
      </w:pPr>
    </w:p>
    <w:p w14:paraId="588AF4F7">
      <w:pPr>
        <w:spacing w:line="360" w:lineRule="auto"/>
        <w:ind w:firstLine="0" w:firstLineChars="0"/>
        <w:jc w:val="center"/>
        <w:rPr>
          <w:rFonts w:hint="eastAsia" w:ascii="宋体" w:hAnsi="宋体" w:eastAsia="宋体" w:cs="宋体"/>
          <w:color w:val="auto"/>
          <w:sz w:val="30"/>
          <w:szCs w:val="30"/>
        </w:rPr>
      </w:pPr>
    </w:p>
    <w:p w14:paraId="35C05CEC">
      <w:pPr>
        <w:spacing w:line="360" w:lineRule="auto"/>
        <w:ind w:firstLine="2660" w:firstLineChars="95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甲  方</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东莞市置拓投资有限公司</w:t>
      </w:r>
    </w:p>
    <w:p w14:paraId="36B9125B">
      <w:pPr>
        <w:spacing w:line="360" w:lineRule="auto"/>
        <w:ind w:firstLine="2660" w:firstLineChars="950"/>
        <w:rPr>
          <w:rFonts w:hint="eastAsia" w:ascii="宋体" w:hAnsi="宋体" w:eastAsia="宋体" w:cs="宋体"/>
          <w:color w:val="auto"/>
          <w:sz w:val="28"/>
          <w:szCs w:val="28"/>
          <w:u w:val="single"/>
        </w:rPr>
      </w:pPr>
      <w:r>
        <w:rPr>
          <w:rFonts w:hint="eastAsia" w:ascii="宋体" w:hAnsi="宋体" w:eastAsia="宋体" w:cs="宋体"/>
          <w:color w:val="auto"/>
          <w:sz w:val="28"/>
          <w:szCs w:val="28"/>
          <w:lang w:val="en-US" w:eastAsia="zh-CN"/>
        </w:rPr>
        <w:t>乙  方</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p>
    <w:p w14:paraId="58008594">
      <w:pPr>
        <w:spacing w:line="360" w:lineRule="auto"/>
        <w:ind w:firstLine="0" w:firstLineChars="0"/>
        <w:jc w:val="center"/>
        <w:rPr>
          <w:rFonts w:hint="eastAsia" w:ascii="宋体" w:hAnsi="宋体" w:eastAsia="宋体" w:cs="宋体"/>
          <w:bCs/>
          <w:color w:val="auto"/>
          <w:sz w:val="32"/>
          <w:szCs w:val="32"/>
        </w:rPr>
      </w:pPr>
    </w:p>
    <w:p w14:paraId="0518A3A7">
      <w:pPr>
        <w:spacing w:line="360" w:lineRule="auto"/>
        <w:ind w:firstLine="0" w:firstLineChars="0"/>
        <w:jc w:val="center"/>
        <w:rPr>
          <w:rFonts w:hint="eastAsia" w:ascii="宋体" w:hAnsi="宋体" w:eastAsia="宋体" w:cs="宋体"/>
          <w:bCs/>
          <w:color w:val="auto"/>
          <w:sz w:val="28"/>
          <w:szCs w:val="28"/>
        </w:rPr>
      </w:pPr>
      <w:r>
        <w:rPr>
          <w:rFonts w:hint="eastAsia" w:ascii="宋体" w:hAnsi="宋体" w:eastAsia="宋体" w:cs="宋体"/>
          <w:bCs/>
          <w:color w:val="auto"/>
          <w:sz w:val="28"/>
          <w:szCs w:val="28"/>
          <w:lang w:val="en-US" w:eastAsia="zh-CN"/>
        </w:rPr>
        <w:t>签订日期：</w:t>
      </w:r>
      <w:r>
        <w:rPr>
          <w:rFonts w:hint="eastAsia" w:ascii="宋体" w:hAnsi="宋体" w:eastAsia="宋体" w:cs="宋体"/>
          <w:bCs/>
          <w:color w:val="auto"/>
          <w:sz w:val="28"/>
          <w:szCs w:val="28"/>
        </w:rPr>
        <w:t>年    月   日</w:t>
      </w:r>
      <w:bookmarkStart w:id="719" w:name="_Toc530347186"/>
      <w:bookmarkStart w:id="720" w:name="_Toc527954757"/>
      <w:bookmarkStart w:id="721" w:name="_Toc532553118"/>
      <w:bookmarkStart w:id="722" w:name="_Toc527955001"/>
      <w:bookmarkStart w:id="723" w:name="_Toc531850338"/>
      <w:bookmarkStart w:id="724" w:name="_Toc532553044"/>
      <w:bookmarkStart w:id="725" w:name="_Toc97403565"/>
    </w:p>
    <w:p w14:paraId="49A7CC9E">
      <w:pPr>
        <w:spacing w:line="360" w:lineRule="auto"/>
        <w:ind w:firstLine="0" w:firstLineChars="0"/>
        <w:jc w:val="both"/>
        <w:rPr>
          <w:rFonts w:hint="eastAsia" w:hAnsi="宋体" w:cs="宋体"/>
          <w:color w:val="auto"/>
        </w:rPr>
      </w:pPr>
    </w:p>
    <w:bookmarkEnd w:id="719"/>
    <w:bookmarkEnd w:id="720"/>
    <w:bookmarkEnd w:id="721"/>
    <w:bookmarkEnd w:id="722"/>
    <w:bookmarkEnd w:id="723"/>
    <w:bookmarkEnd w:id="724"/>
    <w:bookmarkEnd w:id="725"/>
    <w:p w14:paraId="19E474EE">
      <w:pPr>
        <w:snapToGrid w:val="0"/>
        <w:spacing w:line="360" w:lineRule="auto"/>
        <w:ind w:firstLine="420"/>
        <w:rPr>
          <w:rFonts w:hint="eastAsia" w:ascii="宋体" w:hAnsi="宋体" w:eastAsia="宋体" w:cs="宋体"/>
          <w:color w:val="auto"/>
          <w:szCs w:val="21"/>
        </w:rPr>
      </w:pPr>
    </w:p>
    <w:p w14:paraId="6BC00EEC">
      <w:pPr>
        <w:autoSpaceDE/>
        <w:autoSpaceDN/>
        <w:adjustRightInd/>
        <w:snapToGrid w:val="0"/>
        <w:spacing w:line="360" w:lineRule="auto"/>
        <w:ind w:firstLine="0" w:firstLineChars="0"/>
        <w:jc w:val="both"/>
        <w:outlineLvl w:val="9"/>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甲方：东莞市置拓投资有限公司</w:t>
      </w:r>
    </w:p>
    <w:p w14:paraId="2C421676">
      <w:pPr>
        <w:snapToGrid w:val="0"/>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统一社会信用代码：</w:t>
      </w:r>
      <w:r>
        <w:rPr>
          <w:rFonts w:hint="eastAsia" w:ascii="宋体" w:hAnsi="宋体" w:eastAsia="宋体" w:cs="宋体"/>
          <w:color w:val="auto"/>
          <w:sz w:val="21"/>
          <w:szCs w:val="21"/>
          <w:u w:val="single"/>
        </w:rPr>
        <w:t xml:space="preserve">               </w:t>
      </w:r>
    </w:p>
    <w:p w14:paraId="48DBF30B">
      <w:pPr>
        <w:snapToGrid w:val="0"/>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住所：</w:t>
      </w:r>
      <w:r>
        <w:rPr>
          <w:rFonts w:hint="eastAsia" w:ascii="宋体" w:hAnsi="宋体" w:eastAsia="宋体" w:cs="宋体"/>
          <w:color w:val="auto"/>
          <w:sz w:val="21"/>
          <w:szCs w:val="21"/>
          <w:u w:val="single"/>
        </w:rPr>
        <w:t xml:space="preserve">              </w:t>
      </w:r>
    </w:p>
    <w:p w14:paraId="4703F59B">
      <w:pPr>
        <w:snapToGrid w:val="0"/>
        <w:spacing w:line="360" w:lineRule="auto"/>
        <w:ind w:firstLine="420"/>
        <w:rPr>
          <w:rFonts w:hint="eastAsia" w:ascii="宋体" w:hAnsi="宋体" w:eastAsia="宋体" w:cs="宋体"/>
          <w:color w:val="auto"/>
          <w:sz w:val="21"/>
          <w:szCs w:val="21"/>
          <w:u w:val="single"/>
        </w:rPr>
      </w:pPr>
      <w:r>
        <w:rPr>
          <w:rFonts w:hint="eastAsia" w:ascii="宋体" w:hAnsi="宋体" w:eastAsia="宋体" w:cs="宋体"/>
          <w:color w:val="auto"/>
          <w:sz w:val="21"/>
          <w:szCs w:val="21"/>
        </w:rPr>
        <w:t>法定代表人：</w:t>
      </w:r>
      <w:r>
        <w:rPr>
          <w:rFonts w:hint="eastAsia" w:ascii="宋体" w:hAnsi="宋体" w:eastAsia="宋体" w:cs="宋体"/>
          <w:color w:val="auto"/>
          <w:sz w:val="21"/>
          <w:szCs w:val="21"/>
          <w:u w:val="single"/>
        </w:rPr>
        <w:t xml:space="preserve">              </w:t>
      </w:r>
    </w:p>
    <w:p w14:paraId="1C6F963B">
      <w:pPr>
        <w:snapToGrid w:val="0"/>
        <w:spacing w:line="360" w:lineRule="auto"/>
        <w:ind w:firstLine="0" w:firstLineChars="0"/>
        <w:rPr>
          <w:rFonts w:hint="eastAsia" w:ascii="宋体" w:hAnsi="宋体" w:eastAsia="宋体" w:cs="宋体"/>
          <w:color w:val="auto"/>
          <w:sz w:val="21"/>
          <w:szCs w:val="21"/>
        </w:rPr>
      </w:pPr>
    </w:p>
    <w:p w14:paraId="7E2F27FB">
      <w:pPr>
        <w:widowControl/>
        <w:autoSpaceDE/>
        <w:autoSpaceDN/>
        <w:adjustRightInd/>
        <w:snapToGrid w:val="0"/>
        <w:spacing w:line="360" w:lineRule="auto"/>
        <w:ind w:firstLine="0" w:firstLineChars="0"/>
        <w:jc w:val="both"/>
        <w:outlineLvl w:val="9"/>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 xml:space="preserve">乙方：              </w:t>
      </w:r>
    </w:p>
    <w:p w14:paraId="6878820A">
      <w:pPr>
        <w:snapToGrid w:val="0"/>
        <w:spacing w:line="360" w:lineRule="auto"/>
        <w:ind w:firstLine="420"/>
        <w:rPr>
          <w:rFonts w:hint="eastAsia" w:ascii="宋体" w:hAnsi="宋体" w:eastAsia="宋体" w:cs="宋体"/>
          <w:color w:val="auto"/>
          <w:sz w:val="21"/>
          <w:szCs w:val="21"/>
          <w:u w:val="single"/>
        </w:rPr>
      </w:pPr>
      <w:r>
        <w:rPr>
          <w:rFonts w:hint="eastAsia" w:ascii="宋体" w:hAnsi="宋体" w:eastAsia="宋体" w:cs="宋体"/>
          <w:color w:val="auto"/>
          <w:sz w:val="21"/>
          <w:szCs w:val="21"/>
        </w:rPr>
        <w:t>统一社会信用代码：</w:t>
      </w:r>
      <w:r>
        <w:rPr>
          <w:rFonts w:hint="eastAsia" w:ascii="宋体" w:hAnsi="宋体" w:eastAsia="宋体" w:cs="宋体"/>
          <w:color w:val="auto"/>
          <w:sz w:val="21"/>
          <w:szCs w:val="21"/>
          <w:u w:val="single"/>
        </w:rPr>
        <w:t xml:space="preserve">              </w:t>
      </w:r>
    </w:p>
    <w:p w14:paraId="59DCFE23">
      <w:pPr>
        <w:snapToGrid w:val="0"/>
        <w:spacing w:line="360" w:lineRule="auto"/>
        <w:ind w:firstLine="420"/>
        <w:rPr>
          <w:rFonts w:hint="eastAsia" w:ascii="宋体" w:hAnsi="宋体" w:eastAsia="宋体" w:cs="宋体"/>
          <w:b w:val="0"/>
          <w:bCs w:val="0"/>
          <w:color w:val="auto"/>
          <w:sz w:val="21"/>
          <w:szCs w:val="21"/>
          <w:u w:val="single"/>
        </w:rPr>
      </w:pPr>
      <w:r>
        <w:rPr>
          <w:rFonts w:hint="eastAsia" w:ascii="宋体" w:hAnsi="宋体" w:eastAsia="宋体" w:cs="宋体"/>
          <w:b w:val="0"/>
          <w:bCs w:val="0"/>
          <w:color w:val="auto"/>
          <w:sz w:val="21"/>
          <w:szCs w:val="21"/>
        </w:rPr>
        <w:t>住所：</w:t>
      </w:r>
      <w:r>
        <w:rPr>
          <w:rFonts w:hint="eastAsia" w:ascii="宋体" w:hAnsi="宋体" w:eastAsia="宋体" w:cs="宋体"/>
          <w:b w:val="0"/>
          <w:bCs w:val="0"/>
          <w:color w:val="auto"/>
          <w:sz w:val="21"/>
          <w:szCs w:val="21"/>
          <w:u w:val="single"/>
        </w:rPr>
        <w:t xml:space="preserve">              </w:t>
      </w:r>
    </w:p>
    <w:p w14:paraId="55F85BBE">
      <w:pPr>
        <w:pStyle w:val="18"/>
        <w:ind w:firstLine="420"/>
        <w:jc w:val="left"/>
        <w:rPr>
          <w:rFonts w:hint="eastAsia" w:ascii="宋体" w:hAnsi="宋体" w:eastAsia="宋体" w:cs="宋体"/>
          <w:b w:val="0"/>
          <w:bCs w:val="0"/>
          <w:color w:val="auto"/>
          <w:sz w:val="21"/>
          <w:szCs w:val="21"/>
          <w:u w:val="single"/>
          <w:lang w:val="en-US"/>
        </w:rPr>
      </w:pPr>
      <w:r>
        <w:rPr>
          <w:rFonts w:hint="eastAsia" w:ascii="宋体" w:hAnsi="宋体" w:eastAsia="宋体" w:cs="宋体"/>
          <w:b w:val="0"/>
          <w:bCs w:val="0"/>
          <w:color w:val="auto"/>
          <w:sz w:val="21"/>
          <w:szCs w:val="21"/>
        </w:rPr>
        <w:t>法定代表人：</w:t>
      </w:r>
      <w:r>
        <w:rPr>
          <w:rFonts w:hint="eastAsia" w:ascii="宋体" w:hAnsi="宋体" w:eastAsia="宋体" w:cs="宋体"/>
          <w:b w:val="0"/>
          <w:bCs w:val="0"/>
          <w:color w:val="auto"/>
          <w:sz w:val="21"/>
          <w:szCs w:val="21"/>
          <w:u w:val="single"/>
          <w:lang w:val="en-US"/>
        </w:rPr>
        <w:t xml:space="preserve">              </w:t>
      </w:r>
    </w:p>
    <w:p w14:paraId="39CDDD7A">
      <w:pPr>
        <w:spacing w:line="360" w:lineRule="auto"/>
        <w:ind w:firstLine="420"/>
        <w:rPr>
          <w:rFonts w:hint="eastAsia" w:ascii="宋体" w:hAnsi="宋体" w:eastAsia="宋体" w:cs="宋体"/>
          <w:color w:val="auto"/>
          <w:sz w:val="21"/>
          <w:szCs w:val="21"/>
        </w:rPr>
      </w:pPr>
    </w:p>
    <w:p w14:paraId="6EB4B7E5">
      <w:pPr>
        <w:numPr>
          <w:ilvl w:val="0"/>
          <w:numId w:val="39"/>
        </w:numPr>
        <w:spacing w:line="360" w:lineRule="auto"/>
        <w:ind w:firstLine="420"/>
        <w:jc w:val="left"/>
        <w:rPr>
          <w:rFonts w:hint="eastAsia" w:ascii="宋体" w:hAnsi="宋体" w:eastAsia="宋体" w:cs="宋体"/>
          <w:color w:val="auto"/>
          <w:szCs w:val="21"/>
          <w:highlight w:val="none"/>
          <w:lang w:val="en-US" w:eastAsia="zh-CN"/>
        </w:rPr>
      </w:pPr>
      <w:r>
        <w:rPr>
          <w:rFonts w:hint="eastAsia" w:ascii="宋体" w:hAnsi="宋体" w:eastAsia="宋体" w:cs="宋体"/>
          <w:b/>
          <w:bCs/>
          <w:color w:val="auto"/>
          <w:szCs w:val="21"/>
          <w:highlight w:val="none"/>
          <w:lang w:val="en-US" w:eastAsia="zh-CN"/>
        </w:rPr>
        <w:t>服务内容</w:t>
      </w:r>
    </w:p>
    <w:p w14:paraId="1B262E40">
      <w:pPr>
        <w:numPr>
          <w:ilvl w:val="-1"/>
          <w:numId w:val="0"/>
        </w:numPr>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color w:val="auto"/>
          <w:szCs w:val="21"/>
          <w:highlight w:val="none"/>
          <w:lang w:val="en-US" w:eastAsia="zh-CN"/>
        </w:rPr>
        <w:t xml:space="preserve">1.1 </w:t>
      </w:r>
      <w:r>
        <w:rPr>
          <w:rFonts w:hint="eastAsia" w:ascii="宋体" w:hAnsi="宋体" w:eastAsia="宋体" w:cs="宋体"/>
          <w:color w:val="auto"/>
          <w:szCs w:val="21"/>
          <w:highlight w:val="none"/>
        </w:rPr>
        <w:t>水业大厦物业管理服务分为</w:t>
      </w:r>
      <w:r>
        <w:rPr>
          <w:rFonts w:hint="eastAsia" w:ascii="宋体" w:hAnsi="宋体" w:eastAsia="宋体" w:cs="宋体"/>
          <w:color w:val="auto"/>
          <w:szCs w:val="21"/>
          <w:highlight w:val="none"/>
          <w:lang w:val="en-US" w:eastAsia="zh-CN"/>
        </w:rPr>
        <w:t>物业管理带教</w:t>
      </w:r>
      <w:r>
        <w:rPr>
          <w:rFonts w:hint="eastAsia" w:ascii="宋体" w:hAnsi="宋体" w:eastAsia="宋体" w:cs="宋体"/>
          <w:color w:val="auto"/>
          <w:szCs w:val="21"/>
          <w:highlight w:val="none"/>
        </w:rPr>
        <w:t>服务和物业管理</w:t>
      </w:r>
      <w:r>
        <w:rPr>
          <w:rFonts w:hint="eastAsia" w:ascii="宋体" w:hAnsi="宋体" w:eastAsia="宋体" w:cs="宋体"/>
          <w:color w:val="auto"/>
          <w:szCs w:val="21"/>
          <w:highlight w:val="none"/>
          <w:lang w:val="en-US" w:eastAsia="zh-CN"/>
        </w:rPr>
        <w:t>运营</w:t>
      </w:r>
      <w:r>
        <w:rPr>
          <w:rFonts w:hint="eastAsia" w:ascii="宋体" w:hAnsi="宋体" w:eastAsia="宋体" w:cs="宋体"/>
          <w:color w:val="auto"/>
          <w:szCs w:val="21"/>
          <w:highlight w:val="none"/>
        </w:rPr>
        <w:t>服务，物业管理</w:t>
      </w:r>
      <w:r>
        <w:rPr>
          <w:rFonts w:hint="eastAsia" w:ascii="宋体" w:hAnsi="宋体" w:eastAsia="宋体" w:cs="宋体"/>
          <w:color w:val="auto"/>
          <w:szCs w:val="21"/>
          <w:highlight w:val="none"/>
          <w:lang w:val="en-US" w:eastAsia="zh-CN"/>
        </w:rPr>
        <w:t>带教</w:t>
      </w:r>
      <w:r>
        <w:rPr>
          <w:rFonts w:hint="eastAsia" w:ascii="宋体" w:hAnsi="宋体" w:eastAsia="宋体" w:cs="宋体"/>
          <w:color w:val="auto"/>
          <w:szCs w:val="21"/>
          <w:highlight w:val="none"/>
        </w:rPr>
        <w:t>服务</w:t>
      </w:r>
      <w:r>
        <w:rPr>
          <w:rFonts w:hint="eastAsia" w:ascii="宋体" w:hAnsi="宋体" w:eastAsia="宋体" w:cs="宋体"/>
          <w:color w:val="auto"/>
          <w:szCs w:val="21"/>
          <w:highlight w:val="none"/>
          <w:lang w:val="en-US" w:eastAsia="zh-CN"/>
        </w:rPr>
        <w:t>由乙方对甲方委派的学员进行系统化的带教，使学员全面掌握写字楼物业项目的运营管理知识与技能，具备独立处理复杂问题、带领团队、达成业绩指标的能力，带教服务</w:t>
      </w:r>
      <w:r>
        <w:rPr>
          <w:rFonts w:hint="eastAsia" w:ascii="宋体" w:hAnsi="宋体" w:eastAsia="宋体" w:cs="宋体"/>
          <w:color w:val="auto"/>
          <w:szCs w:val="21"/>
          <w:highlight w:val="none"/>
        </w:rPr>
        <w:t>内容包括但不限于</w:t>
      </w:r>
      <w:r>
        <w:rPr>
          <w:rFonts w:hint="eastAsia" w:ascii="宋体" w:hAnsi="宋体" w:eastAsia="宋体" w:cs="宋体"/>
          <w:color w:val="auto"/>
          <w:szCs w:val="21"/>
          <w:highlight w:val="none"/>
          <w:lang w:val="en-US" w:eastAsia="zh-CN"/>
        </w:rPr>
        <w:t>项目管理体系、客户服务与关系维护、工程运维管理、秩序维护与环境管理、运营管理与财务知识、管理能力与领导力等</w:t>
      </w:r>
      <w:r>
        <w:rPr>
          <w:rFonts w:hint="eastAsia" w:ascii="宋体" w:hAnsi="宋体" w:eastAsia="宋体" w:cs="宋体"/>
          <w:color w:val="auto"/>
          <w:szCs w:val="21"/>
          <w:highlight w:val="none"/>
        </w:rPr>
        <w:t>工作。物业管理</w:t>
      </w:r>
      <w:r>
        <w:rPr>
          <w:rFonts w:hint="eastAsia" w:ascii="宋体" w:hAnsi="宋体" w:eastAsia="宋体" w:cs="宋体"/>
          <w:color w:val="auto"/>
          <w:szCs w:val="21"/>
          <w:highlight w:val="none"/>
          <w:lang w:val="en-US" w:eastAsia="zh-CN"/>
        </w:rPr>
        <w:t>运营</w:t>
      </w:r>
      <w:r>
        <w:rPr>
          <w:rFonts w:hint="eastAsia" w:ascii="宋体" w:hAnsi="宋体" w:eastAsia="宋体" w:cs="宋体"/>
          <w:color w:val="auto"/>
          <w:szCs w:val="21"/>
          <w:highlight w:val="none"/>
        </w:rPr>
        <w:t>服务内容包括但不限于</w:t>
      </w:r>
      <w:r>
        <w:rPr>
          <w:rFonts w:hint="eastAsia" w:ascii="宋体" w:hAnsi="宋体" w:eastAsia="宋体" w:cs="宋体"/>
          <w:color w:val="auto"/>
          <w:szCs w:val="21"/>
          <w:highlight w:val="none"/>
          <w:lang w:val="en-US" w:eastAsia="zh-CN"/>
        </w:rPr>
        <w:t>水业大厦的客户服务管理、安全保卫管理、清洁卫生管理、园林绿化养护和管理、空调系统维护保养管理、消防系统维护保养管理、供配电系统维护保养管理、给排水系统维护保养管理、智能化系统维护与保养管理、电梯系统维护与保养管理、突发应急管理、楼宇主体及其附属设施、公共配套设施维护与保养、日常物业维修及物业使用人装修管理、其他服务</w:t>
      </w:r>
      <w:r>
        <w:rPr>
          <w:rFonts w:hint="eastAsia" w:ascii="宋体" w:hAnsi="宋体" w:eastAsia="宋体" w:cs="宋体"/>
          <w:bCs/>
          <w:color w:val="auto"/>
          <w:szCs w:val="21"/>
          <w:highlight w:val="none"/>
        </w:rPr>
        <w:t>等工作。具体服务内容及要求详见附件3《用户需求书》。</w:t>
      </w:r>
    </w:p>
    <w:p w14:paraId="589DE7DE">
      <w:pPr>
        <w:spacing w:line="360" w:lineRule="auto"/>
        <w:ind w:firstLine="420"/>
        <w:jc w:val="left"/>
        <w:rPr>
          <w:rFonts w:hint="eastAsia" w:ascii="宋体" w:hAnsi="宋体" w:eastAsia="宋体" w:cs="宋体"/>
          <w:color w:val="auto"/>
          <w:szCs w:val="21"/>
          <w:highlight w:val="none"/>
          <w:lang w:val="en-US" w:eastAsia="zh-CN"/>
        </w:rPr>
      </w:pPr>
      <w:r>
        <w:rPr>
          <w:rFonts w:hint="eastAsia" w:ascii="宋体" w:hAnsi="宋体" w:eastAsia="宋体" w:cs="宋体"/>
          <w:b/>
          <w:bCs w:val="0"/>
          <w:color w:val="auto"/>
          <w:szCs w:val="21"/>
          <w:highlight w:val="none"/>
          <w:u w:val="single"/>
          <w:lang w:val="en-US" w:eastAsia="zh-CN"/>
        </w:rPr>
        <w:t>1.2 合同服务期内，甲方有权根据项目实施情况及甲方物业管理团队组建情况，将本项目物业管理运营岗位（工程负责人、安保负责人、环境负责人、客服负责人）调整为由甲方自行配置人员，调整配置岗位和实际配置人员以甲方书面通知为准，乙方须无条件配合进行人员交接工作，甲方实际配置人员后不再向乙方支付对应调整配置岗位的人工费用，乙方不得向甲方追讨任何其他费用、补偿或赔偿或主张任何权利和责任。甲方自配岗位人员后，该岗位对应的直接管理责任及履职后果由甲方负责；乙方不再对该岗位人员的行为及履职结果承担责任，但仍应就整体物业运营提供必要协调与技术支持。乙方参与本项目投标、递交投标报价，即视为清楚了解和接受本招标项目的风险，乙方同意并承诺不因前述风险事项的发生而向甲方追究违约责任或主张损失赔偿</w:t>
      </w:r>
      <w:r>
        <w:rPr>
          <w:rFonts w:hint="eastAsia" w:ascii="宋体" w:hAnsi="宋体" w:eastAsia="宋体" w:cs="宋体"/>
          <w:bCs/>
          <w:color w:val="auto"/>
          <w:szCs w:val="21"/>
          <w:highlight w:val="none"/>
          <w:lang w:val="en-US" w:eastAsia="zh-CN"/>
        </w:rPr>
        <w:t>。</w:t>
      </w:r>
    </w:p>
    <w:p w14:paraId="0CA2798F">
      <w:pPr>
        <w:spacing w:line="360" w:lineRule="auto"/>
        <w:ind w:firstLine="42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第二条 服务期限</w:t>
      </w:r>
    </w:p>
    <w:p w14:paraId="22F88CF3">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2.1 本合同服务期限：</w:t>
      </w:r>
      <w:r>
        <w:rPr>
          <w:rFonts w:hint="eastAsia" w:ascii="宋体" w:hAnsi="宋体" w:eastAsia="宋体" w:cs="宋体"/>
          <w:color w:val="auto"/>
          <w:szCs w:val="21"/>
          <w:highlight w:val="none"/>
          <w:lang w:val="en-US" w:eastAsia="zh-CN"/>
        </w:rPr>
        <w:t>自甲方书面通知乙方进场之日起至2027年12月31日</w:t>
      </w:r>
      <w:r>
        <w:rPr>
          <w:rFonts w:hint="eastAsia" w:ascii="宋体" w:hAnsi="宋体" w:eastAsia="宋体" w:cs="宋体"/>
          <w:color w:val="auto"/>
          <w:szCs w:val="21"/>
          <w:highlight w:val="none"/>
        </w:rPr>
        <w:t>。</w:t>
      </w:r>
    </w:p>
    <w:p w14:paraId="2B83E796">
      <w:pPr>
        <w:spacing w:line="360" w:lineRule="auto"/>
        <w:ind w:firstLine="42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第三条 合同价款</w:t>
      </w:r>
    </w:p>
    <w:p w14:paraId="5045AD4A">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3.1 服务期内暂定合同总价（不含乙方销项税额）为¥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元（大写人民币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）。其中：</w:t>
      </w:r>
    </w:p>
    <w:p w14:paraId="777BDFC1">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物业管理带教服务费</w:t>
      </w:r>
      <w:r>
        <w:rPr>
          <w:rFonts w:hint="eastAsia" w:ascii="宋体" w:hAnsi="宋体" w:eastAsia="宋体" w:cs="宋体"/>
          <w:color w:val="auto"/>
          <w:szCs w:val="21"/>
          <w:highlight w:val="none"/>
        </w:rPr>
        <w:t>（不含乙方销项税额）为¥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元（大写人民币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7C0E1729">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物业管理运营服务费（</w:t>
      </w:r>
      <w:r>
        <w:rPr>
          <w:rFonts w:hint="eastAsia" w:ascii="宋体" w:hAnsi="宋体" w:eastAsia="宋体" w:cs="宋体"/>
          <w:color w:val="auto"/>
          <w:szCs w:val="21"/>
          <w:highlight w:val="none"/>
        </w:rPr>
        <w:t>不含乙方销项税额）</w:t>
      </w:r>
      <w:r>
        <w:rPr>
          <w:rFonts w:hint="eastAsia" w:ascii="宋体" w:hAnsi="宋体" w:eastAsia="宋体" w:cs="宋体"/>
          <w:color w:val="auto"/>
          <w:szCs w:val="21"/>
          <w:highlight w:val="none"/>
          <w:lang w:val="en-US" w:eastAsia="zh-CN"/>
        </w:rPr>
        <w:t>最高限额</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元（大写人民币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物业管理运营服务费中的</w:t>
      </w:r>
      <w:r>
        <w:rPr>
          <w:rFonts w:hint="eastAsia" w:ascii="宋体" w:hAnsi="宋体" w:eastAsia="宋体" w:cs="宋体"/>
          <w:color w:val="auto"/>
          <w:szCs w:val="21"/>
          <w:highlight w:val="none"/>
        </w:rPr>
        <w:t>运营</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rPr>
        <w:t>人工费用（不含乙方销项税额）最高限额为¥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元（大写人民币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2C0ACE9">
      <w:pPr>
        <w:pStyle w:val="53"/>
        <w:spacing w:line="360" w:lineRule="auto"/>
        <w:ind w:left="0" w:firstLine="420"/>
        <w:jc w:val="left"/>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rPr>
        <w:t>3.2 合同履约过程中，</w:t>
      </w:r>
      <w:r>
        <w:rPr>
          <w:rFonts w:hint="eastAsia" w:ascii="宋体" w:hAnsi="宋体" w:eastAsia="宋体" w:cs="宋体"/>
          <w:color w:val="auto"/>
          <w:szCs w:val="21"/>
          <w:highlight w:val="none"/>
          <w:lang w:val="en-US" w:eastAsia="zh-CN"/>
        </w:rPr>
        <w:t>物业管理带教服务费用</w:t>
      </w:r>
      <w:r>
        <w:rPr>
          <w:rFonts w:hint="eastAsia" w:ascii="宋体" w:hAnsi="宋体" w:eastAsia="宋体" w:cs="宋体"/>
          <w:color w:val="auto"/>
          <w:szCs w:val="21"/>
          <w:highlight w:val="none"/>
          <w:lang w:val="en-US"/>
        </w:rPr>
        <w:t>固定不变，甲方将结合考核结果进行支付；</w:t>
      </w:r>
      <w:r>
        <w:rPr>
          <w:rFonts w:hint="eastAsia" w:ascii="宋体" w:hAnsi="宋体" w:eastAsia="宋体" w:cs="宋体"/>
          <w:color w:val="auto"/>
          <w:szCs w:val="21"/>
          <w:highlight w:val="none"/>
          <w:lang w:val="en-US" w:eastAsia="zh-CN"/>
        </w:rPr>
        <w:t>物业管理运营服务费用仅</w:t>
      </w:r>
      <w:r>
        <w:rPr>
          <w:rFonts w:hint="eastAsia" w:ascii="宋体" w:hAnsi="宋体" w:eastAsia="宋体" w:cs="宋体"/>
          <w:color w:val="auto"/>
          <w:szCs w:val="21"/>
          <w:highlight w:val="none"/>
          <w:lang w:val="en-US"/>
        </w:rPr>
        <w:t>在</w:t>
      </w:r>
      <w:r>
        <w:rPr>
          <w:rFonts w:hint="eastAsia" w:ascii="宋体" w:hAnsi="宋体" w:eastAsia="宋体" w:cs="宋体"/>
          <w:color w:val="auto"/>
          <w:szCs w:val="21"/>
          <w:highlight w:val="none"/>
          <w:lang w:val="en-US" w:eastAsia="zh-CN"/>
        </w:rPr>
        <w:t>乙方投标报价所</w:t>
      </w:r>
      <w:r>
        <w:rPr>
          <w:rFonts w:hint="eastAsia" w:ascii="宋体" w:hAnsi="宋体" w:eastAsia="宋体" w:cs="宋体"/>
          <w:color w:val="auto"/>
          <w:szCs w:val="21"/>
          <w:highlight w:val="none"/>
          <w:lang w:val="en-US"/>
        </w:rPr>
        <w:t>列各分项最高限额内据实结算，实际支付金额（不含销项税额）均不得超过乙方投标报价表及分项报价表报价金额，任何超出最高限额的费用，无论是否实际发生，均视为乙方自愿承担，甲方无支付义务。乙方不得因材料、劳务成本、运输成本、服务的行业标准或国家标准的变动或其他任何理由予以变更。其中，对于乙方投标时承诺自愿免费投入本项目使用的设备及软件</w:t>
      </w:r>
      <w:r>
        <w:rPr>
          <w:rFonts w:hint="eastAsia" w:ascii="宋体" w:hAnsi="宋体" w:eastAsia="宋体" w:cs="宋体"/>
          <w:color w:val="auto"/>
          <w:szCs w:val="21"/>
          <w:highlight w:val="none"/>
          <w:lang w:val="en-US" w:eastAsia="zh-CN"/>
        </w:rPr>
        <w:t>系统（含服务期内的检测、维护等费用）</w:t>
      </w:r>
      <w:r>
        <w:rPr>
          <w:rFonts w:hint="eastAsia" w:ascii="宋体" w:hAnsi="宋体" w:eastAsia="宋体" w:cs="宋体"/>
          <w:color w:val="auto"/>
          <w:szCs w:val="21"/>
          <w:highlight w:val="none"/>
          <w:lang w:val="en-US"/>
        </w:rPr>
        <w:t>，不得以任何理由向甲方申请额外支付任何费用，后续实际运营过程中根据项目实际运营情况添置的设备和软件从对应的分项报价费用项目中按实列支。</w:t>
      </w:r>
      <w:r>
        <w:rPr>
          <w:rFonts w:hint="eastAsia" w:ascii="宋体" w:hAnsi="宋体" w:eastAsia="宋体" w:cs="宋体"/>
          <w:color w:val="auto"/>
          <w:szCs w:val="21"/>
          <w:highlight w:val="none"/>
          <w:lang w:val="en-US" w:eastAsia="zh-CN"/>
        </w:rPr>
        <w:t>物业管理带教服务费用</w:t>
      </w:r>
      <w:r>
        <w:rPr>
          <w:rFonts w:hint="eastAsia" w:ascii="宋体" w:hAnsi="宋体" w:eastAsia="宋体" w:cs="宋体"/>
          <w:color w:val="auto"/>
          <w:szCs w:val="21"/>
          <w:highlight w:val="none"/>
          <w:lang w:val="en-US"/>
        </w:rPr>
        <w:t>、</w:t>
      </w:r>
      <w:r>
        <w:rPr>
          <w:rFonts w:hint="eastAsia" w:ascii="宋体" w:hAnsi="宋体" w:eastAsia="宋体" w:cs="宋体"/>
          <w:color w:val="auto"/>
          <w:szCs w:val="21"/>
          <w:highlight w:val="none"/>
          <w:lang w:val="en-US" w:eastAsia="zh-CN"/>
        </w:rPr>
        <w:t>物业管理</w:t>
      </w:r>
      <w:r>
        <w:rPr>
          <w:rFonts w:hint="eastAsia" w:ascii="宋体" w:hAnsi="宋体" w:eastAsia="宋体" w:cs="宋体"/>
          <w:color w:val="auto"/>
          <w:szCs w:val="21"/>
          <w:highlight w:val="none"/>
          <w:lang w:val="en-US"/>
        </w:rPr>
        <w:t>运营</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lang w:val="en-US"/>
        </w:rPr>
        <w:t>费用最高限额包括但不限于以下内容涉及的费用：</w:t>
      </w:r>
    </w:p>
    <w:p w14:paraId="6EC5AC97">
      <w:pPr>
        <w:pStyle w:val="53"/>
        <w:spacing w:line="360" w:lineRule="auto"/>
        <w:ind w:left="0" w:firstLine="420"/>
        <w:jc w:val="left"/>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rPr>
        <w:t>（1）</w:t>
      </w:r>
      <w:r>
        <w:rPr>
          <w:rFonts w:hint="eastAsia" w:ascii="宋体" w:hAnsi="宋体" w:eastAsia="宋体" w:cs="宋体"/>
          <w:color w:val="auto"/>
          <w:szCs w:val="21"/>
          <w:highlight w:val="none"/>
          <w:lang w:val="en-US" w:eastAsia="zh-CN"/>
        </w:rPr>
        <w:t>物业管理带教服务费用</w:t>
      </w:r>
      <w:r>
        <w:rPr>
          <w:rFonts w:hint="eastAsia" w:ascii="宋体" w:hAnsi="宋体" w:eastAsia="宋体" w:cs="宋体"/>
          <w:color w:val="auto"/>
          <w:szCs w:val="21"/>
          <w:highlight w:val="none"/>
          <w:lang w:val="en-US"/>
        </w:rPr>
        <w:t>：甲方按乙方投标报价的</w:t>
      </w:r>
      <w:r>
        <w:rPr>
          <w:rFonts w:hint="eastAsia" w:ascii="宋体" w:hAnsi="宋体" w:eastAsia="宋体" w:cs="宋体"/>
          <w:color w:val="auto"/>
          <w:szCs w:val="21"/>
          <w:highlight w:val="none"/>
          <w:lang w:val="en-US" w:eastAsia="zh-CN"/>
        </w:rPr>
        <w:t>金额结合考核结果分期向乙方支付</w:t>
      </w:r>
      <w:r>
        <w:rPr>
          <w:rFonts w:hint="eastAsia" w:ascii="宋体" w:hAnsi="宋体" w:eastAsia="宋体" w:cs="宋体"/>
          <w:color w:val="auto"/>
          <w:szCs w:val="21"/>
          <w:highlight w:val="none"/>
          <w:lang w:val="en-US"/>
        </w:rPr>
        <w:t>，包括但不限于：</w:t>
      </w:r>
      <w:r>
        <w:rPr>
          <w:rFonts w:hint="eastAsia" w:ascii="宋体" w:hAnsi="宋体" w:eastAsia="宋体" w:cs="宋体"/>
          <w:color w:val="auto"/>
          <w:szCs w:val="21"/>
          <w:highlight w:val="none"/>
          <w:lang w:val="en-US" w:eastAsia="zh-CN"/>
        </w:rPr>
        <w:t>乙方对甲方委派的学员进行系统化的带教，使学员全面掌握写字楼物业项目的运营管理知识与技能，具备独立处理复杂问题、带领团队、达成业绩指标的能力等相关费用，开展项目管理体系、客户服务与关系维护、工程运维管理、秩序维护与环境管理、运营管理与财务知识、管理能力与领导力等带教内容，以及制定专项培养计划、组建带教团队、投入培训资源、带教过程实施、带教成果资料交付、带教考核验收等带教</w:t>
      </w:r>
      <w:r>
        <w:rPr>
          <w:rFonts w:hint="eastAsia" w:ascii="宋体" w:hAnsi="宋体" w:eastAsia="宋体" w:cs="宋体"/>
          <w:color w:val="auto"/>
          <w:szCs w:val="21"/>
          <w:highlight w:val="none"/>
        </w:rPr>
        <w:t>工作</w:t>
      </w:r>
      <w:r>
        <w:rPr>
          <w:rFonts w:hint="eastAsia" w:ascii="宋体" w:hAnsi="宋体" w:eastAsia="宋体" w:cs="宋体"/>
          <w:color w:val="auto"/>
          <w:szCs w:val="21"/>
          <w:highlight w:val="none"/>
          <w:lang w:val="en-US" w:eastAsia="zh-CN"/>
        </w:rPr>
        <w:t>相关费用</w:t>
      </w:r>
      <w:r>
        <w:rPr>
          <w:rFonts w:hint="eastAsia" w:ascii="宋体" w:hAnsi="宋体" w:eastAsia="宋体" w:cs="宋体"/>
          <w:color w:val="auto"/>
          <w:szCs w:val="21"/>
          <w:highlight w:val="none"/>
          <w:lang w:val="en-US"/>
        </w:rPr>
        <w:t>；合理利润、乙方销项税额以外的税费等；法律法规、商业公认、招标文件规定由乙方承担的其他直接及间接费用</w:t>
      </w:r>
      <w:r>
        <w:rPr>
          <w:rFonts w:hint="eastAsia" w:ascii="宋体" w:hAnsi="宋体" w:eastAsia="宋体" w:cs="宋体"/>
          <w:color w:val="auto"/>
          <w:szCs w:val="21"/>
          <w:highlight w:val="none"/>
        </w:rPr>
        <w:t>。</w:t>
      </w:r>
    </w:p>
    <w:p w14:paraId="08F2E0BC">
      <w:pPr>
        <w:pStyle w:val="53"/>
        <w:spacing w:line="360" w:lineRule="auto"/>
        <w:ind w:left="0" w:firstLine="420"/>
        <w:jc w:val="left"/>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en-US"/>
        </w:rPr>
        <w:t>）</w:t>
      </w:r>
      <w:r>
        <w:rPr>
          <w:rFonts w:hint="eastAsia" w:ascii="宋体" w:hAnsi="宋体" w:eastAsia="宋体" w:cs="宋体"/>
          <w:color w:val="auto"/>
          <w:szCs w:val="21"/>
          <w:highlight w:val="none"/>
          <w:lang w:val="en-US" w:eastAsia="zh-CN"/>
        </w:rPr>
        <w:t>物业管理</w:t>
      </w:r>
      <w:r>
        <w:rPr>
          <w:rFonts w:hint="eastAsia" w:ascii="宋体" w:hAnsi="宋体" w:eastAsia="宋体" w:cs="宋体"/>
          <w:color w:val="auto"/>
          <w:szCs w:val="21"/>
          <w:highlight w:val="none"/>
          <w:lang w:val="en-US"/>
        </w:rPr>
        <w:t>运营</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lang w:val="en-US"/>
        </w:rPr>
        <w:t>费用最高限额：是指完成包括但不限于客户服务管理、安全保卫管理、清洁卫生管理、园林绿化的养护和管理、空调系统维护保养管理、消防系统维护保养管理、供配电系统维护保养管理、给排水系统维护保养管理、智能化系统维护与保养管理、电梯系统维护与保养管理、</w:t>
      </w:r>
      <w:r>
        <w:rPr>
          <w:rFonts w:hint="eastAsia" w:ascii="宋体" w:hAnsi="宋体" w:eastAsia="宋体" w:cs="宋体"/>
          <w:color w:val="auto"/>
          <w:szCs w:val="21"/>
          <w:highlight w:val="none"/>
          <w:lang w:val="en-US" w:eastAsia="zh-CN"/>
        </w:rPr>
        <w:t>突发应急管理、</w:t>
      </w:r>
      <w:r>
        <w:rPr>
          <w:rFonts w:hint="eastAsia" w:ascii="宋体" w:hAnsi="宋体" w:eastAsia="宋体" w:cs="宋体"/>
          <w:color w:val="auto"/>
          <w:szCs w:val="21"/>
          <w:highlight w:val="none"/>
          <w:lang w:val="en-US"/>
        </w:rPr>
        <w:t>楼宇主体及其附属设施、公共配套设施维护与保养、日常物业维修及物业使用人装修管理、</w:t>
      </w:r>
      <w:r>
        <w:rPr>
          <w:rFonts w:hint="eastAsia" w:ascii="宋体" w:hAnsi="宋体" w:eastAsia="宋体" w:cs="宋体"/>
          <w:color w:val="auto"/>
          <w:szCs w:val="21"/>
          <w:highlight w:val="none"/>
          <w:lang w:val="en-US" w:eastAsia="zh-CN"/>
        </w:rPr>
        <w:t>其他</w:t>
      </w:r>
      <w:r>
        <w:rPr>
          <w:rFonts w:hint="eastAsia" w:ascii="宋体" w:hAnsi="宋体" w:eastAsia="宋体" w:cs="宋体"/>
          <w:color w:val="auto"/>
          <w:szCs w:val="21"/>
          <w:highlight w:val="none"/>
          <w:lang w:val="en-US"/>
        </w:rPr>
        <w:t>服务等服务</w:t>
      </w:r>
      <w:r>
        <w:rPr>
          <w:rFonts w:hint="eastAsia" w:ascii="宋体" w:hAnsi="宋体" w:eastAsia="宋体" w:cs="宋体"/>
          <w:color w:val="auto"/>
          <w:szCs w:val="21"/>
          <w:highlight w:val="none"/>
          <w:lang w:val="en-US" w:eastAsia="zh-CN"/>
        </w:rPr>
        <w:t>以及对应人工</w:t>
      </w:r>
      <w:r>
        <w:rPr>
          <w:rFonts w:hint="eastAsia" w:ascii="宋体" w:hAnsi="宋体" w:eastAsia="宋体" w:cs="宋体"/>
          <w:color w:val="auto"/>
          <w:szCs w:val="21"/>
          <w:highlight w:val="none"/>
          <w:lang w:val="en-US"/>
        </w:rPr>
        <w:t>的费用最高限额。</w:t>
      </w:r>
      <w:r>
        <w:rPr>
          <w:rFonts w:hint="eastAsia" w:ascii="宋体" w:hAnsi="宋体" w:eastAsia="宋体" w:cs="宋体"/>
          <w:color w:val="auto"/>
          <w:szCs w:val="21"/>
          <w:highlight w:val="none"/>
          <w:lang w:val="en-US" w:eastAsia="zh-CN"/>
        </w:rPr>
        <w:t>物业管理</w:t>
      </w:r>
      <w:r>
        <w:rPr>
          <w:rFonts w:hint="eastAsia" w:ascii="宋体" w:hAnsi="宋体" w:eastAsia="宋体" w:cs="宋体"/>
          <w:color w:val="auto"/>
          <w:szCs w:val="21"/>
          <w:highlight w:val="none"/>
          <w:lang w:val="en-US"/>
        </w:rPr>
        <w:t>运营</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lang w:val="en-US"/>
        </w:rPr>
        <w:t>费用在乙方投标报价的单项费用最高限额内，据实支付；若单项服务实际发生费用（</w:t>
      </w:r>
      <w:r>
        <w:rPr>
          <w:rFonts w:hint="eastAsia" w:ascii="宋体" w:hAnsi="宋体" w:eastAsia="宋体" w:cs="宋体"/>
          <w:color w:val="auto"/>
          <w:szCs w:val="21"/>
          <w:highlight w:val="none"/>
          <w:lang w:val="en-US" w:bidi="en-US"/>
        </w:rPr>
        <w:t>不含销项税额</w:t>
      </w:r>
      <w:r>
        <w:rPr>
          <w:rFonts w:hint="eastAsia" w:ascii="宋体" w:hAnsi="宋体" w:eastAsia="宋体" w:cs="宋体"/>
          <w:color w:val="auto"/>
          <w:szCs w:val="21"/>
          <w:highlight w:val="none"/>
          <w:lang w:val="en-US"/>
        </w:rPr>
        <w:t>）超出乙方投标报价该单项费用最高限额的，超过最高限额部分甲方不予支付，由乙方承担，并且甲方有权根据本合同约定的考核标准、违约责任条款追究乙方的违约责任。</w:t>
      </w:r>
      <w:r>
        <w:rPr>
          <w:rFonts w:hint="eastAsia" w:ascii="宋体" w:hAnsi="宋体" w:eastAsia="宋体" w:cs="宋体"/>
          <w:color w:val="auto"/>
          <w:szCs w:val="21"/>
          <w:highlight w:val="none"/>
          <w:lang w:val="en-US" w:eastAsia="zh-CN"/>
        </w:rPr>
        <w:t>物业管理运营服务</w:t>
      </w:r>
      <w:r>
        <w:rPr>
          <w:rFonts w:hint="eastAsia" w:ascii="宋体" w:hAnsi="宋体" w:eastAsia="宋体" w:cs="宋体"/>
          <w:color w:val="auto"/>
          <w:szCs w:val="21"/>
          <w:highlight w:val="none"/>
          <w:lang w:val="en-US"/>
        </w:rPr>
        <w:t>人工费用最高限额是指综合支持、安保、环境、客服、工程等岗位人员的费用最高限额，此项费用已包含在</w:t>
      </w:r>
      <w:r>
        <w:rPr>
          <w:rFonts w:hint="eastAsia" w:ascii="宋体" w:hAnsi="宋体" w:eastAsia="宋体" w:cs="宋体"/>
          <w:color w:val="auto"/>
          <w:szCs w:val="21"/>
          <w:highlight w:val="none"/>
          <w:lang w:val="en-US" w:eastAsia="zh-CN"/>
        </w:rPr>
        <w:t>物业管理</w:t>
      </w:r>
      <w:r>
        <w:rPr>
          <w:rFonts w:hint="eastAsia" w:ascii="宋体" w:hAnsi="宋体" w:eastAsia="宋体" w:cs="宋体"/>
          <w:color w:val="auto"/>
          <w:szCs w:val="21"/>
          <w:highlight w:val="none"/>
          <w:lang w:val="en-US"/>
        </w:rPr>
        <w:t>运营</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lang w:val="en-US"/>
        </w:rPr>
        <w:t>费用最高限额内。</w:t>
      </w:r>
    </w:p>
    <w:p w14:paraId="22A3FD0C">
      <w:pPr>
        <w:pStyle w:val="53"/>
        <w:spacing w:line="360" w:lineRule="auto"/>
        <w:ind w:left="0" w:firstLine="420"/>
        <w:jc w:val="left"/>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rPr>
        <w:t>3.3 依法计得并根据本合同约定确定的销项税额由甲方承担。根据《中华人民共和国增值税暂行条例》（国务院令第691号修订版）及当前税务部门的相关规定，本合同项目乙方的增值税税率暂定为</w:t>
      </w:r>
      <w:r>
        <w:rPr>
          <w:rFonts w:hint="eastAsia" w:ascii="宋体" w:hAnsi="宋体" w:eastAsia="宋体" w:cs="宋体"/>
          <w:color w:val="auto"/>
          <w:szCs w:val="21"/>
          <w:highlight w:val="none"/>
          <w:u w:val="single"/>
          <w:lang w:val="en-US"/>
        </w:rPr>
        <w:t xml:space="preserve">   </w:t>
      </w:r>
      <w:r>
        <w:rPr>
          <w:rFonts w:hint="eastAsia" w:ascii="宋体" w:hAnsi="宋体" w:eastAsia="宋体" w:cs="宋体"/>
          <w:color w:val="auto"/>
          <w:szCs w:val="21"/>
          <w:highlight w:val="none"/>
          <w:lang w:val="en-US"/>
        </w:rPr>
        <w:t>%，对应的</w:t>
      </w:r>
      <w:r>
        <w:rPr>
          <w:rFonts w:hint="eastAsia" w:ascii="宋体" w:hAnsi="宋体" w:eastAsia="宋体" w:cs="宋体"/>
          <w:color w:val="auto"/>
          <w:szCs w:val="21"/>
          <w:highlight w:val="none"/>
          <w:lang w:val="en-US" w:eastAsia="zh-CN"/>
        </w:rPr>
        <w:t>物业管理带教服务</w:t>
      </w:r>
      <w:r>
        <w:rPr>
          <w:rFonts w:hint="eastAsia" w:ascii="宋体" w:hAnsi="宋体" w:eastAsia="宋体" w:cs="宋体"/>
          <w:color w:val="auto"/>
          <w:szCs w:val="21"/>
          <w:highlight w:val="none"/>
          <w:lang w:val="en-US"/>
        </w:rPr>
        <w:t>销项税额暂定为</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rPr>
        <w:t xml:space="preserve">         </w:t>
      </w:r>
      <w:r>
        <w:rPr>
          <w:rFonts w:hint="eastAsia" w:ascii="宋体" w:hAnsi="宋体" w:eastAsia="宋体" w:cs="宋体"/>
          <w:color w:val="auto"/>
          <w:szCs w:val="21"/>
          <w:highlight w:val="none"/>
          <w:lang w:val="en-US"/>
        </w:rPr>
        <w:t>元（大写人民币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rPr>
        <w:t xml:space="preserve">             </w:t>
      </w:r>
      <w:r>
        <w:rPr>
          <w:rFonts w:hint="eastAsia" w:ascii="宋体" w:hAnsi="宋体" w:eastAsia="宋体" w:cs="宋体"/>
          <w:color w:val="auto"/>
          <w:szCs w:val="21"/>
          <w:highlight w:val="none"/>
          <w:lang w:val="en-US"/>
        </w:rPr>
        <w:t>）、</w:t>
      </w:r>
      <w:r>
        <w:rPr>
          <w:rFonts w:hint="eastAsia" w:ascii="宋体" w:hAnsi="宋体" w:eastAsia="宋体" w:cs="宋体"/>
          <w:color w:val="auto"/>
          <w:szCs w:val="21"/>
          <w:highlight w:val="none"/>
          <w:lang w:val="en-US" w:eastAsia="zh-CN"/>
        </w:rPr>
        <w:t>物业管理运营服务</w:t>
      </w:r>
      <w:r>
        <w:rPr>
          <w:rFonts w:hint="eastAsia" w:ascii="宋体" w:hAnsi="宋体" w:eastAsia="宋体" w:cs="宋体"/>
          <w:color w:val="auto"/>
          <w:szCs w:val="21"/>
          <w:highlight w:val="none"/>
          <w:lang w:val="en-US"/>
        </w:rPr>
        <w:t>最高限额销项税额暂定为</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rPr>
        <w:t xml:space="preserve">         </w:t>
      </w:r>
      <w:r>
        <w:rPr>
          <w:rFonts w:hint="eastAsia" w:ascii="宋体" w:hAnsi="宋体" w:eastAsia="宋体" w:cs="宋体"/>
          <w:color w:val="auto"/>
          <w:szCs w:val="21"/>
          <w:highlight w:val="none"/>
          <w:lang w:val="en-US"/>
        </w:rPr>
        <w:t>元（大写人民币</w:t>
      </w:r>
      <w:r>
        <w:rPr>
          <w:rFonts w:hint="eastAsia" w:ascii="宋体" w:hAnsi="宋体" w:eastAsia="宋体" w:cs="宋体"/>
          <w:color w:val="auto"/>
          <w:szCs w:val="21"/>
          <w:highlight w:val="none"/>
          <w:u w:val="single"/>
          <w:lang w:val="en-US"/>
        </w:rPr>
        <w:t xml:space="preserve">             </w:t>
      </w:r>
      <w:r>
        <w:rPr>
          <w:rFonts w:hint="eastAsia" w:ascii="宋体" w:hAnsi="宋体" w:eastAsia="宋体" w:cs="宋体"/>
          <w:color w:val="auto"/>
          <w:szCs w:val="21"/>
          <w:highlight w:val="none"/>
          <w:lang w:val="en-US"/>
        </w:rPr>
        <w:t>）、</w:t>
      </w:r>
      <w:r>
        <w:rPr>
          <w:rFonts w:hint="eastAsia" w:ascii="宋体" w:hAnsi="宋体" w:eastAsia="宋体" w:cs="宋体"/>
          <w:color w:val="auto"/>
          <w:szCs w:val="21"/>
          <w:highlight w:val="none"/>
          <w:lang w:val="en-US" w:eastAsia="zh-CN"/>
        </w:rPr>
        <w:t>物业管理运营服务费中的物业管理运营服务</w:t>
      </w:r>
      <w:r>
        <w:rPr>
          <w:rFonts w:hint="eastAsia" w:ascii="宋体" w:hAnsi="宋体" w:eastAsia="宋体" w:cs="宋体"/>
          <w:color w:val="auto"/>
          <w:szCs w:val="21"/>
          <w:highlight w:val="none"/>
          <w:lang w:val="en-US"/>
        </w:rPr>
        <w:t>人工费用最高限额销项税额暂定为</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lang w:val="en-US"/>
        </w:rPr>
        <w:t xml:space="preserve">        </w:t>
      </w:r>
      <w:r>
        <w:rPr>
          <w:rFonts w:hint="eastAsia" w:ascii="宋体" w:hAnsi="宋体" w:eastAsia="宋体" w:cs="宋体"/>
          <w:color w:val="auto"/>
          <w:szCs w:val="21"/>
          <w:highlight w:val="none"/>
          <w:lang w:val="en-US"/>
        </w:rPr>
        <w:t>元（大写人民币</w:t>
      </w:r>
      <w:r>
        <w:rPr>
          <w:rFonts w:hint="eastAsia" w:ascii="宋体" w:hAnsi="宋体" w:eastAsia="宋体" w:cs="宋体"/>
          <w:color w:val="auto"/>
          <w:szCs w:val="21"/>
          <w:highlight w:val="none"/>
          <w:u w:val="single"/>
          <w:lang w:val="en-US"/>
        </w:rPr>
        <w:t xml:space="preserve">             </w:t>
      </w:r>
      <w:r>
        <w:rPr>
          <w:rFonts w:hint="eastAsia" w:ascii="宋体" w:hAnsi="宋体" w:eastAsia="宋体" w:cs="宋体"/>
          <w:color w:val="auto"/>
          <w:szCs w:val="21"/>
          <w:highlight w:val="none"/>
          <w:lang w:val="en-US"/>
        </w:rPr>
        <w:t>）。在本合同履行过程中，</w:t>
      </w:r>
      <w:r>
        <w:rPr>
          <w:rFonts w:hint="eastAsia" w:ascii="宋体" w:hAnsi="宋体" w:eastAsia="宋体" w:cs="宋体"/>
          <w:color w:val="auto"/>
          <w:szCs w:val="21"/>
          <w:highlight w:val="none"/>
          <w:lang w:val="en-US" w:eastAsia="zh-CN"/>
        </w:rPr>
        <w:t>乙方销项税额按实结算</w:t>
      </w:r>
      <w:r>
        <w:rPr>
          <w:rFonts w:hint="eastAsia" w:ascii="宋体" w:hAnsi="宋体" w:eastAsia="宋体" w:cs="宋体"/>
          <w:color w:val="auto"/>
          <w:szCs w:val="21"/>
          <w:highlight w:val="none"/>
          <w:lang w:val="en-US"/>
        </w:rPr>
        <w:t>。</w:t>
      </w:r>
    </w:p>
    <w:p w14:paraId="59FC6F01">
      <w:pPr>
        <w:pStyle w:val="53"/>
        <w:spacing w:line="360" w:lineRule="auto"/>
        <w:ind w:left="0" w:firstLine="42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Cs w:val="21"/>
          <w:highlight w:val="none"/>
          <w:lang w:val="en-US"/>
        </w:rPr>
        <w:t>其中，</w:t>
      </w:r>
      <w:r>
        <w:rPr>
          <w:rFonts w:hint="eastAsia" w:ascii="宋体" w:hAnsi="宋体" w:eastAsia="宋体" w:cs="宋体"/>
          <w:color w:val="auto"/>
          <w:kern w:val="2"/>
          <w:szCs w:val="21"/>
          <w:highlight w:val="none"/>
          <w:lang w:val="en-US" w:eastAsia="zh-CN"/>
        </w:rPr>
        <w:t>物业管理带教服务费用</w:t>
      </w:r>
      <w:r>
        <w:rPr>
          <w:rFonts w:hint="eastAsia" w:ascii="宋体" w:hAnsi="宋体" w:eastAsia="宋体" w:cs="宋体"/>
          <w:color w:val="auto"/>
          <w:kern w:val="2"/>
          <w:szCs w:val="21"/>
          <w:highlight w:val="none"/>
          <w:lang w:val="en-US"/>
        </w:rPr>
        <w:t>、</w:t>
      </w:r>
      <w:r>
        <w:rPr>
          <w:rFonts w:hint="eastAsia" w:ascii="宋体" w:hAnsi="宋体" w:eastAsia="宋体" w:cs="宋体"/>
          <w:color w:val="auto"/>
          <w:kern w:val="2"/>
          <w:szCs w:val="21"/>
          <w:highlight w:val="none"/>
          <w:lang w:val="en-US" w:eastAsia="zh-CN"/>
        </w:rPr>
        <w:t>物业管理运营服务</w:t>
      </w:r>
      <w:r>
        <w:rPr>
          <w:rFonts w:hint="eastAsia" w:ascii="宋体" w:hAnsi="宋体" w:eastAsia="宋体" w:cs="宋体"/>
          <w:color w:val="auto"/>
          <w:kern w:val="2"/>
          <w:szCs w:val="21"/>
          <w:highlight w:val="none"/>
          <w:lang w:val="en-US"/>
        </w:rPr>
        <w:t>人工费用必须由乙方开具</w:t>
      </w:r>
      <w:r>
        <w:rPr>
          <w:rFonts w:hint="eastAsia" w:ascii="宋体" w:hAnsi="宋体" w:eastAsia="宋体" w:cs="宋体"/>
          <w:color w:val="auto"/>
          <w:szCs w:val="21"/>
          <w:highlight w:val="none"/>
        </w:rPr>
        <w:t>增值税</w:t>
      </w:r>
      <w:r>
        <w:rPr>
          <w:rFonts w:hint="eastAsia" w:ascii="宋体" w:hAnsi="宋体" w:eastAsia="宋体" w:cs="宋体"/>
          <w:color w:val="auto"/>
          <w:kern w:val="2"/>
          <w:szCs w:val="21"/>
          <w:highlight w:val="none"/>
          <w:lang w:val="en-US"/>
        </w:rPr>
        <w:t>专用发票，其他费用由乙方或实际承接服务的供应商或对应的主体开具</w:t>
      </w:r>
      <w:r>
        <w:rPr>
          <w:rFonts w:hint="eastAsia" w:ascii="宋体" w:hAnsi="宋体" w:eastAsia="宋体" w:cs="宋体"/>
          <w:color w:val="auto"/>
          <w:szCs w:val="21"/>
          <w:highlight w:val="none"/>
        </w:rPr>
        <w:t>增值税</w:t>
      </w:r>
      <w:r>
        <w:rPr>
          <w:rFonts w:hint="eastAsia" w:ascii="宋体" w:hAnsi="宋体" w:eastAsia="宋体" w:cs="宋体"/>
          <w:color w:val="auto"/>
          <w:kern w:val="2"/>
          <w:szCs w:val="21"/>
          <w:highlight w:val="none"/>
          <w:lang w:val="en-US"/>
        </w:rPr>
        <w:t>专用发票。实际承接服务的供应商或对应的主体必须事先经甲方书面同意，并与甲乙双方签订三方协议。</w:t>
      </w:r>
    </w:p>
    <w:p w14:paraId="3317CF52">
      <w:pPr>
        <w:pStyle w:val="53"/>
        <w:spacing w:line="360" w:lineRule="auto"/>
        <w:ind w:left="0" w:firstLine="42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rPr>
        <w:t>因乙方</w:t>
      </w:r>
      <w:r>
        <w:rPr>
          <w:rFonts w:hint="eastAsia" w:ascii="宋体" w:hAnsi="宋体" w:eastAsia="宋体" w:cs="宋体"/>
          <w:color w:val="auto"/>
          <w:kern w:val="2"/>
          <w:szCs w:val="21"/>
          <w:highlight w:val="none"/>
          <w:lang w:val="en-US"/>
        </w:rPr>
        <w:t>或实际承接服务的供应商或对应的主体</w:t>
      </w:r>
      <w:r>
        <w:rPr>
          <w:rFonts w:hint="eastAsia" w:ascii="宋体" w:hAnsi="宋体" w:eastAsia="宋体" w:cs="宋体"/>
          <w:color w:val="auto"/>
          <w:szCs w:val="21"/>
          <w:highlight w:val="none"/>
          <w:lang w:val="en-US"/>
        </w:rPr>
        <w:t>未按法定税率计算税额或未根据本合同约定出具对应税额的增值税专用发票等原因导致甲方多支付税额的，乙方必须自行或协调</w:t>
      </w:r>
      <w:r>
        <w:rPr>
          <w:rFonts w:hint="eastAsia" w:ascii="宋体" w:hAnsi="宋体" w:eastAsia="宋体" w:cs="宋体"/>
          <w:color w:val="auto"/>
          <w:kern w:val="2"/>
          <w:szCs w:val="21"/>
          <w:highlight w:val="none"/>
          <w:lang w:val="en-US"/>
        </w:rPr>
        <w:t>实际承接服务的供应商或对应的主体</w:t>
      </w:r>
      <w:r>
        <w:rPr>
          <w:rFonts w:hint="eastAsia" w:ascii="宋体" w:hAnsi="宋体" w:eastAsia="宋体" w:cs="宋体"/>
          <w:color w:val="auto"/>
          <w:szCs w:val="21"/>
          <w:highlight w:val="none"/>
          <w:lang w:val="en-US"/>
        </w:rPr>
        <w:t>退还甲方，给甲方造成损失的，乙方须向甲方赔偿相应损失并承担连带责任。</w:t>
      </w:r>
      <w:r>
        <w:rPr>
          <w:rFonts w:hint="eastAsia" w:ascii="宋体" w:hAnsi="宋体" w:eastAsia="宋体" w:cs="宋体"/>
          <w:color w:val="auto"/>
          <w:szCs w:val="21"/>
          <w:highlight w:val="none"/>
          <w:lang w:val="en-US" w:eastAsia="zh-CN"/>
        </w:rPr>
        <w:t xml:space="preserve"> </w:t>
      </w:r>
    </w:p>
    <w:p w14:paraId="2B20130C">
      <w:pPr>
        <w:pStyle w:val="53"/>
        <w:spacing w:line="360" w:lineRule="auto"/>
        <w:ind w:left="0" w:firstLine="420" w:firstLineChars="200"/>
        <w:jc w:val="left"/>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rPr>
        <w:t>3.4 合同价税合计暂定为</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rPr>
        <w:t xml:space="preserve">         </w:t>
      </w:r>
      <w:r>
        <w:rPr>
          <w:rFonts w:hint="eastAsia" w:ascii="宋体" w:hAnsi="宋体" w:eastAsia="宋体" w:cs="宋体"/>
          <w:color w:val="auto"/>
          <w:szCs w:val="21"/>
          <w:highlight w:val="none"/>
          <w:lang w:val="en-US"/>
        </w:rPr>
        <w:t>元（大写人民币</w:t>
      </w:r>
      <w:r>
        <w:rPr>
          <w:rFonts w:hint="eastAsia" w:ascii="宋体" w:hAnsi="宋体" w:eastAsia="宋体" w:cs="宋体"/>
          <w:color w:val="auto"/>
          <w:szCs w:val="21"/>
          <w:highlight w:val="none"/>
          <w:u w:val="single"/>
          <w:lang w:val="en-US"/>
        </w:rPr>
        <w:t xml:space="preserve">             </w:t>
      </w:r>
      <w:r>
        <w:rPr>
          <w:rFonts w:hint="eastAsia" w:ascii="宋体" w:hAnsi="宋体" w:eastAsia="宋体" w:cs="宋体"/>
          <w:color w:val="auto"/>
          <w:szCs w:val="21"/>
          <w:highlight w:val="none"/>
          <w:lang w:val="en-US"/>
        </w:rPr>
        <w:t>），其中</w:t>
      </w:r>
      <w:r>
        <w:rPr>
          <w:rFonts w:hint="eastAsia" w:ascii="宋体" w:hAnsi="宋体" w:eastAsia="宋体" w:cs="宋体"/>
          <w:color w:val="auto"/>
          <w:szCs w:val="21"/>
          <w:highlight w:val="none"/>
          <w:lang w:val="en-US" w:eastAsia="zh-CN"/>
        </w:rPr>
        <w:t>物业管理带教服务费</w:t>
      </w:r>
      <w:r>
        <w:rPr>
          <w:rFonts w:hint="eastAsia" w:ascii="宋体" w:hAnsi="宋体" w:eastAsia="宋体" w:cs="宋体"/>
          <w:color w:val="auto"/>
          <w:szCs w:val="21"/>
          <w:highlight w:val="none"/>
          <w:lang w:val="en-US"/>
        </w:rPr>
        <w:t>价税合计暂定为</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rPr>
        <w:t xml:space="preserve">         </w:t>
      </w:r>
      <w:r>
        <w:rPr>
          <w:rFonts w:hint="eastAsia" w:ascii="宋体" w:hAnsi="宋体" w:eastAsia="宋体" w:cs="宋体"/>
          <w:color w:val="auto"/>
          <w:szCs w:val="21"/>
          <w:highlight w:val="none"/>
          <w:lang w:val="en-US"/>
        </w:rPr>
        <w:t>元（大写人民币</w:t>
      </w:r>
      <w:r>
        <w:rPr>
          <w:rFonts w:hint="eastAsia" w:ascii="宋体" w:hAnsi="宋体" w:eastAsia="宋体" w:cs="宋体"/>
          <w:color w:val="auto"/>
          <w:szCs w:val="21"/>
          <w:highlight w:val="none"/>
          <w:u w:val="single"/>
          <w:lang w:val="en-US"/>
        </w:rPr>
        <w:t xml:space="preserve">             </w:t>
      </w:r>
      <w:r>
        <w:rPr>
          <w:rFonts w:hint="eastAsia" w:ascii="宋体" w:hAnsi="宋体" w:eastAsia="宋体" w:cs="宋体"/>
          <w:color w:val="auto"/>
          <w:szCs w:val="21"/>
          <w:highlight w:val="none"/>
          <w:lang w:val="en-US"/>
        </w:rPr>
        <w:t>），</w:t>
      </w:r>
      <w:r>
        <w:rPr>
          <w:rFonts w:hint="eastAsia" w:ascii="宋体" w:hAnsi="宋体" w:eastAsia="宋体" w:cs="宋体"/>
          <w:color w:val="auto"/>
          <w:szCs w:val="21"/>
          <w:highlight w:val="none"/>
          <w:lang w:val="en-US" w:eastAsia="zh-CN"/>
        </w:rPr>
        <w:t>物业管理运营服务</w:t>
      </w:r>
      <w:r>
        <w:rPr>
          <w:rFonts w:hint="eastAsia" w:ascii="宋体" w:hAnsi="宋体" w:eastAsia="宋体" w:cs="宋体"/>
          <w:color w:val="auto"/>
          <w:szCs w:val="21"/>
          <w:highlight w:val="none"/>
          <w:lang w:val="en-US"/>
        </w:rPr>
        <w:t>费最高限额价税合计为</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rPr>
        <w:t xml:space="preserve">         </w:t>
      </w:r>
      <w:r>
        <w:rPr>
          <w:rFonts w:hint="eastAsia" w:ascii="宋体" w:hAnsi="宋体" w:eastAsia="宋体" w:cs="宋体"/>
          <w:color w:val="auto"/>
          <w:szCs w:val="21"/>
          <w:highlight w:val="none"/>
          <w:lang w:val="en-US"/>
        </w:rPr>
        <w:t>元（大写人民币</w:t>
      </w:r>
      <w:r>
        <w:rPr>
          <w:rFonts w:hint="eastAsia" w:ascii="宋体" w:hAnsi="宋体" w:eastAsia="宋体" w:cs="宋体"/>
          <w:color w:val="auto"/>
          <w:szCs w:val="21"/>
          <w:highlight w:val="none"/>
          <w:u w:val="single"/>
          <w:lang w:val="en-US"/>
        </w:rPr>
        <w:t xml:space="preserve">             </w:t>
      </w:r>
      <w:r>
        <w:rPr>
          <w:rFonts w:hint="eastAsia" w:ascii="宋体" w:hAnsi="宋体" w:eastAsia="宋体" w:cs="宋体"/>
          <w:color w:val="auto"/>
          <w:szCs w:val="21"/>
          <w:highlight w:val="none"/>
          <w:lang w:val="en-US"/>
        </w:rPr>
        <w:t>），</w:t>
      </w:r>
      <w:r>
        <w:rPr>
          <w:rFonts w:hint="eastAsia" w:ascii="宋体" w:hAnsi="宋体" w:eastAsia="宋体" w:cs="宋体"/>
          <w:color w:val="auto"/>
          <w:szCs w:val="21"/>
          <w:highlight w:val="none"/>
          <w:lang w:val="en-US" w:eastAsia="zh-CN"/>
        </w:rPr>
        <w:t>物业管理运营服务费中的物业管理运营服务</w:t>
      </w:r>
      <w:r>
        <w:rPr>
          <w:rFonts w:hint="eastAsia" w:ascii="宋体" w:hAnsi="宋体" w:eastAsia="宋体" w:cs="宋体"/>
          <w:color w:val="auto"/>
          <w:szCs w:val="21"/>
          <w:highlight w:val="none"/>
          <w:lang w:val="en-US"/>
        </w:rPr>
        <w:t>人工费最高限额价税合计为</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rPr>
        <w:t xml:space="preserve">         </w:t>
      </w:r>
      <w:r>
        <w:rPr>
          <w:rFonts w:hint="eastAsia" w:ascii="宋体" w:hAnsi="宋体" w:eastAsia="宋体" w:cs="宋体"/>
          <w:color w:val="auto"/>
          <w:szCs w:val="21"/>
          <w:highlight w:val="none"/>
          <w:lang w:val="en-US"/>
        </w:rPr>
        <w:t>元（大写人民币</w:t>
      </w:r>
      <w:r>
        <w:rPr>
          <w:rFonts w:hint="eastAsia" w:ascii="宋体" w:hAnsi="宋体" w:eastAsia="宋体" w:cs="宋体"/>
          <w:color w:val="auto"/>
          <w:szCs w:val="21"/>
          <w:highlight w:val="none"/>
          <w:u w:val="single"/>
          <w:lang w:val="en-US"/>
        </w:rPr>
        <w:t xml:space="preserve">             </w:t>
      </w:r>
      <w:r>
        <w:rPr>
          <w:rFonts w:hint="eastAsia" w:ascii="宋体" w:hAnsi="宋体" w:eastAsia="宋体" w:cs="宋体"/>
          <w:color w:val="auto"/>
          <w:szCs w:val="21"/>
          <w:highlight w:val="none"/>
          <w:lang w:val="en-US"/>
        </w:rPr>
        <w:t>）。</w:t>
      </w:r>
    </w:p>
    <w:p w14:paraId="7A2A5071">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3.5 </w:t>
      </w:r>
      <w:r>
        <w:rPr>
          <w:rFonts w:hint="eastAsia" w:ascii="宋体" w:hAnsi="宋体" w:eastAsia="宋体" w:cs="宋体"/>
          <w:color w:val="auto"/>
          <w:szCs w:val="21"/>
          <w:highlight w:val="none"/>
          <w:lang w:val="en-US" w:eastAsia="zh-CN"/>
        </w:rPr>
        <w:t>物业管理带教服务过程考核得分</w:t>
      </w:r>
      <w:r>
        <w:rPr>
          <w:rFonts w:hint="eastAsia" w:ascii="宋体" w:hAnsi="宋体" w:eastAsia="宋体" w:cs="宋体"/>
          <w:color w:val="auto"/>
          <w:szCs w:val="21"/>
          <w:highlight w:val="none"/>
        </w:rPr>
        <w:t>≥90分的，甲方</w:t>
      </w:r>
      <w:r>
        <w:rPr>
          <w:rFonts w:hint="eastAsia" w:ascii="宋体" w:hAnsi="宋体" w:eastAsia="宋体" w:cs="宋体"/>
          <w:color w:val="auto"/>
          <w:szCs w:val="21"/>
          <w:highlight w:val="none"/>
          <w:lang w:val="en-US" w:eastAsia="zh-CN"/>
        </w:rPr>
        <w:t>全额支付当期物业管理带教服务费用</w:t>
      </w:r>
      <w:r>
        <w:rPr>
          <w:rFonts w:hint="eastAsia" w:ascii="宋体" w:hAnsi="宋体" w:eastAsia="宋体" w:cs="宋体"/>
          <w:color w:val="auto"/>
          <w:szCs w:val="21"/>
          <w:highlight w:val="none"/>
        </w:rPr>
        <w:t>，80≤考核得分＜90分的，甲方</w:t>
      </w:r>
      <w:r>
        <w:rPr>
          <w:rFonts w:hint="eastAsia" w:ascii="宋体" w:hAnsi="宋体" w:eastAsia="宋体" w:cs="宋体"/>
          <w:color w:val="auto"/>
          <w:szCs w:val="21"/>
          <w:highlight w:val="none"/>
          <w:lang w:val="en-US" w:eastAsia="zh-CN"/>
        </w:rPr>
        <w:t>最终支付当期物业管理带教服务费的90%</w:t>
      </w:r>
      <w:r>
        <w:rPr>
          <w:rFonts w:hint="eastAsia" w:ascii="宋体" w:hAnsi="宋体" w:eastAsia="宋体" w:cs="宋体"/>
          <w:color w:val="auto"/>
          <w:szCs w:val="21"/>
          <w:highlight w:val="none"/>
        </w:rPr>
        <w:t>，70≤考核得分＜80分的，甲方</w:t>
      </w:r>
      <w:r>
        <w:rPr>
          <w:rFonts w:hint="eastAsia" w:ascii="宋体" w:hAnsi="宋体" w:eastAsia="宋体" w:cs="宋体"/>
          <w:color w:val="auto"/>
          <w:szCs w:val="21"/>
          <w:highlight w:val="none"/>
          <w:lang w:val="en-US" w:eastAsia="zh-CN"/>
        </w:rPr>
        <w:t>最终支付当期物业管理带教服务费的80%</w:t>
      </w:r>
      <w:r>
        <w:rPr>
          <w:rFonts w:hint="eastAsia" w:ascii="宋体" w:hAnsi="宋体" w:eastAsia="宋体" w:cs="宋体"/>
          <w:color w:val="auto"/>
          <w:szCs w:val="21"/>
          <w:highlight w:val="none"/>
        </w:rPr>
        <w:t>，考核得分＜</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0分的，甲方无需支付</w:t>
      </w:r>
      <w:r>
        <w:rPr>
          <w:rFonts w:hint="eastAsia" w:ascii="宋体" w:hAnsi="宋体" w:eastAsia="宋体" w:cs="宋体"/>
          <w:color w:val="auto"/>
          <w:szCs w:val="21"/>
          <w:highlight w:val="none"/>
          <w:lang w:val="en-US" w:eastAsia="zh-CN"/>
        </w:rPr>
        <w:t>当期物业管理带教服务费用</w:t>
      </w:r>
      <w:r>
        <w:rPr>
          <w:rFonts w:hint="eastAsia" w:ascii="宋体" w:hAnsi="宋体" w:eastAsia="宋体" w:cs="宋体"/>
          <w:color w:val="auto"/>
          <w:szCs w:val="21"/>
          <w:highlight w:val="none"/>
        </w:rPr>
        <w:t>，同时乙方还应向甲方支付人民币100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000.00元作为违约金。</w:t>
      </w:r>
    </w:p>
    <w:p w14:paraId="22833BCF">
      <w:pPr>
        <w:spacing w:line="360" w:lineRule="auto"/>
        <w:ind w:firstLine="420"/>
        <w:jc w:val="left"/>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rPr>
        <w:t xml:space="preserve">3.6 </w:t>
      </w:r>
      <w:r>
        <w:rPr>
          <w:rFonts w:hint="eastAsia" w:ascii="宋体" w:hAnsi="宋体" w:eastAsia="宋体" w:cs="宋体"/>
          <w:color w:val="auto"/>
          <w:szCs w:val="21"/>
          <w:highlight w:val="none"/>
          <w:lang w:val="en-US" w:eastAsia="zh-CN"/>
        </w:rPr>
        <w:t>物业管理带教服务结果考核得分</w:t>
      </w:r>
      <w:r>
        <w:rPr>
          <w:rFonts w:hint="eastAsia" w:ascii="宋体" w:hAnsi="宋体" w:eastAsia="宋体" w:cs="宋体"/>
          <w:color w:val="auto"/>
          <w:szCs w:val="21"/>
          <w:highlight w:val="none"/>
        </w:rPr>
        <w:t>≥90分的，甲方</w:t>
      </w:r>
      <w:r>
        <w:rPr>
          <w:rFonts w:hint="eastAsia" w:ascii="宋体" w:hAnsi="宋体" w:eastAsia="宋体" w:cs="宋体"/>
          <w:color w:val="auto"/>
          <w:szCs w:val="21"/>
          <w:highlight w:val="none"/>
          <w:lang w:val="en-US" w:eastAsia="zh-CN"/>
        </w:rPr>
        <w:t>全额支付当期物业管理带教服务费用</w:t>
      </w:r>
      <w:r>
        <w:rPr>
          <w:rFonts w:hint="eastAsia" w:ascii="宋体" w:hAnsi="宋体" w:eastAsia="宋体" w:cs="宋体"/>
          <w:color w:val="auto"/>
          <w:szCs w:val="21"/>
          <w:highlight w:val="none"/>
        </w:rPr>
        <w:t>，80≤考核得分＜90分的，甲方</w:t>
      </w:r>
      <w:r>
        <w:rPr>
          <w:rFonts w:hint="eastAsia" w:ascii="宋体" w:hAnsi="宋体" w:eastAsia="宋体" w:cs="宋体"/>
          <w:color w:val="auto"/>
          <w:szCs w:val="21"/>
          <w:highlight w:val="none"/>
          <w:lang w:val="en-US" w:eastAsia="zh-CN"/>
        </w:rPr>
        <w:t>最终支付当期物业管理带教服务费的90%</w:t>
      </w:r>
      <w:r>
        <w:rPr>
          <w:rFonts w:hint="eastAsia" w:ascii="宋体" w:hAnsi="宋体" w:eastAsia="宋体" w:cs="宋体"/>
          <w:color w:val="auto"/>
          <w:szCs w:val="21"/>
          <w:highlight w:val="none"/>
        </w:rPr>
        <w:t>，70≤考核得分＜80分的，甲方</w:t>
      </w:r>
      <w:r>
        <w:rPr>
          <w:rFonts w:hint="eastAsia" w:ascii="宋体" w:hAnsi="宋体" w:eastAsia="宋体" w:cs="宋体"/>
          <w:color w:val="auto"/>
          <w:szCs w:val="21"/>
          <w:highlight w:val="none"/>
          <w:lang w:val="en-US" w:eastAsia="zh-CN"/>
        </w:rPr>
        <w:t>最终支付当期物业管理带教服务费的80%</w:t>
      </w:r>
      <w:r>
        <w:rPr>
          <w:rFonts w:hint="eastAsia" w:ascii="宋体" w:hAnsi="宋体" w:eastAsia="宋体" w:cs="宋体"/>
          <w:color w:val="auto"/>
          <w:szCs w:val="21"/>
          <w:highlight w:val="none"/>
        </w:rPr>
        <w:t>，考核得分＜</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0分的，甲方无需支付</w:t>
      </w:r>
      <w:r>
        <w:rPr>
          <w:rFonts w:hint="eastAsia" w:ascii="宋体" w:hAnsi="宋体" w:eastAsia="宋体" w:cs="宋体"/>
          <w:color w:val="auto"/>
          <w:szCs w:val="21"/>
          <w:highlight w:val="none"/>
          <w:lang w:val="en-US" w:eastAsia="zh-CN"/>
        </w:rPr>
        <w:t>当期物业管理带教服务费用</w:t>
      </w:r>
      <w:r>
        <w:rPr>
          <w:rFonts w:hint="eastAsia" w:ascii="宋体" w:hAnsi="宋体" w:eastAsia="宋体" w:cs="宋体"/>
          <w:color w:val="auto"/>
          <w:szCs w:val="21"/>
          <w:highlight w:val="none"/>
        </w:rPr>
        <w:t>，同时乙方还应向甲方支付人民币</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00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000.00元作为违约金。</w:t>
      </w:r>
    </w:p>
    <w:p w14:paraId="3C3F638F">
      <w:pPr>
        <w:spacing w:line="360" w:lineRule="auto"/>
        <w:ind w:firstLine="420"/>
        <w:jc w:val="left"/>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rPr>
        <w:t>3.</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en-US"/>
        </w:rPr>
        <w:t xml:space="preserve"> </w:t>
      </w:r>
      <w:r>
        <w:rPr>
          <w:rFonts w:hint="eastAsia" w:ascii="宋体" w:hAnsi="宋体" w:eastAsia="宋体" w:cs="宋体"/>
          <w:color w:val="auto"/>
          <w:szCs w:val="21"/>
          <w:highlight w:val="none"/>
          <w:lang w:val="en-US" w:eastAsia="zh-CN"/>
        </w:rPr>
        <w:t>物业管理运营</w:t>
      </w:r>
      <w:r>
        <w:rPr>
          <w:rFonts w:hint="eastAsia" w:ascii="宋体" w:hAnsi="宋体" w:eastAsia="宋体" w:cs="宋体"/>
          <w:color w:val="auto"/>
          <w:szCs w:val="21"/>
          <w:highlight w:val="none"/>
          <w:lang w:val="en-US"/>
        </w:rPr>
        <w:t>服务考核得分≥90分的，甲方全额支付考核对应月份</w:t>
      </w:r>
      <w:r>
        <w:rPr>
          <w:rFonts w:hint="eastAsia" w:ascii="宋体" w:hAnsi="宋体" w:eastAsia="宋体" w:cs="宋体"/>
          <w:color w:val="auto"/>
          <w:szCs w:val="21"/>
          <w:highlight w:val="none"/>
          <w:lang w:val="en-US" w:eastAsia="zh-CN"/>
        </w:rPr>
        <w:t>物业管理运营服务费用</w:t>
      </w:r>
      <w:r>
        <w:rPr>
          <w:rFonts w:hint="eastAsia" w:ascii="宋体" w:hAnsi="宋体" w:eastAsia="宋体" w:cs="宋体"/>
          <w:color w:val="auto"/>
          <w:szCs w:val="21"/>
          <w:highlight w:val="none"/>
          <w:lang w:val="en-US"/>
        </w:rPr>
        <w:t>，</w:t>
      </w:r>
      <w:r>
        <w:rPr>
          <w:rFonts w:hint="eastAsia" w:ascii="宋体" w:hAnsi="宋体" w:eastAsia="宋体" w:cs="宋体"/>
          <w:color w:val="auto"/>
          <w:szCs w:val="21"/>
          <w:highlight w:val="none"/>
        </w:rPr>
        <w:t>80≤考核得分＜90分的，</w:t>
      </w:r>
      <w:r>
        <w:rPr>
          <w:rFonts w:hint="eastAsia" w:ascii="宋体" w:hAnsi="宋体" w:eastAsia="宋体" w:cs="宋体"/>
          <w:color w:val="auto"/>
          <w:szCs w:val="21"/>
          <w:highlight w:val="none"/>
          <w:lang w:val="en-US"/>
        </w:rPr>
        <w:t>甲方</w:t>
      </w:r>
      <w:r>
        <w:rPr>
          <w:rFonts w:hint="eastAsia" w:ascii="宋体" w:hAnsi="宋体" w:eastAsia="宋体" w:cs="宋体"/>
          <w:color w:val="auto"/>
          <w:szCs w:val="21"/>
          <w:highlight w:val="none"/>
          <w:lang w:val="en-US" w:eastAsia="zh-CN"/>
        </w:rPr>
        <w:t>最终支付</w:t>
      </w:r>
      <w:r>
        <w:rPr>
          <w:rFonts w:hint="eastAsia" w:ascii="宋体" w:hAnsi="宋体" w:eastAsia="宋体" w:cs="宋体"/>
          <w:color w:val="auto"/>
          <w:szCs w:val="21"/>
          <w:highlight w:val="none"/>
          <w:lang w:val="en-US"/>
        </w:rPr>
        <w:t>考核对应月份</w:t>
      </w:r>
      <w:r>
        <w:rPr>
          <w:rFonts w:hint="eastAsia" w:ascii="宋体" w:hAnsi="宋体" w:eastAsia="宋体" w:cs="宋体"/>
          <w:color w:val="auto"/>
          <w:szCs w:val="21"/>
          <w:highlight w:val="none"/>
          <w:lang w:val="en-US" w:eastAsia="zh-CN"/>
        </w:rPr>
        <w:t>物业管理运营服务费用</w:t>
      </w:r>
      <w:r>
        <w:rPr>
          <w:rFonts w:hint="eastAsia" w:ascii="宋体" w:hAnsi="宋体" w:eastAsia="宋体" w:cs="宋体"/>
          <w:color w:val="auto"/>
          <w:szCs w:val="21"/>
          <w:highlight w:val="none"/>
        </w:rPr>
        <w:t>的9</w:t>
      </w:r>
      <w:r>
        <w:rPr>
          <w:rFonts w:hint="eastAsia" w:ascii="宋体" w:hAnsi="宋体" w:eastAsia="宋体" w:cs="宋体"/>
          <w:color w:val="auto"/>
          <w:szCs w:val="21"/>
          <w:highlight w:val="none"/>
          <w:lang w:val="en-US"/>
        </w:rPr>
        <w:t>0</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rPr>
        <w:t>70</w:t>
      </w:r>
      <w:r>
        <w:rPr>
          <w:rFonts w:hint="eastAsia" w:ascii="宋体" w:hAnsi="宋体" w:eastAsia="宋体" w:cs="宋体"/>
          <w:color w:val="auto"/>
          <w:szCs w:val="21"/>
          <w:highlight w:val="none"/>
        </w:rPr>
        <w:t>≤考核得分＜</w:t>
      </w:r>
      <w:r>
        <w:rPr>
          <w:rFonts w:hint="eastAsia" w:ascii="宋体" w:hAnsi="宋体" w:eastAsia="宋体" w:cs="宋体"/>
          <w:color w:val="auto"/>
          <w:szCs w:val="21"/>
          <w:highlight w:val="none"/>
          <w:lang w:val="en-US"/>
        </w:rPr>
        <w:t>80</w:t>
      </w:r>
      <w:r>
        <w:rPr>
          <w:rFonts w:hint="eastAsia" w:ascii="宋体" w:hAnsi="宋体" w:eastAsia="宋体" w:cs="宋体"/>
          <w:color w:val="auto"/>
          <w:szCs w:val="21"/>
          <w:highlight w:val="none"/>
        </w:rPr>
        <w:t>分的，</w:t>
      </w:r>
      <w:r>
        <w:rPr>
          <w:rFonts w:hint="eastAsia" w:ascii="宋体" w:hAnsi="宋体" w:eastAsia="宋体" w:cs="宋体"/>
          <w:color w:val="auto"/>
          <w:szCs w:val="21"/>
          <w:highlight w:val="none"/>
          <w:lang w:val="en-US"/>
        </w:rPr>
        <w:t>甲方</w:t>
      </w:r>
      <w:r>
        <w:rPr>
          <w:rFonts w:hint="eastAsia" w:ascii="宋体" w:hAnsi="宋体" w:eastAsia="宋体" w:cs="宋体"/>
          <w:color w:val="auto"/>
          <w:szCs w:val="21"/>
          <w:highlight w:val="none"/>
          <w:lang w:val="en-US" w:eastAsia="zh-CN"/>
        </w:rPr>
        <w:t>最终支付</w:t>
      </w:r>
      <w:r>
        <w:rPr>
          <w:rFonts w:hint="eastAsia" w:ascii="宋体" w:hAnsi="宋体" w:eastAsia="宋体" w:cs="宋体"/>
          <w:color w:val="auto"/>
          <w:szCs w:val="21"/>
          <w:highlight w:val="none"/>
          <w:lang w:val="en-US"/>
        </w:rPr>
        <w:t>考核对应月份</w:t>
      </w:r>
      <w:r>
        <w:rPr>
          <w:rFonts w:hint="eastAsia" w:ascii="宋体" w:hAnsi="宋体" w:eastAsia="宋体" w:cs="宋体"/>
          <w:color w:val="auto"/>
          <w:szCs w:val="21"/>
          <w:highlight w:val="none"/>
          <w:lang w:val="en-US" w:eastAsia="zh-CN"/>
        </w:rPr>
        <w:t>物业管理运营服务费用</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en-US"/>
        </w:rPr>
        <w:t>80</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rPr>
        <w:t>60</w:t>
      </w:r>
      <w:r>
        <w:rPr>
          <w:rFonts w:hint="eastAsia" w:ascii="宋体" w:hAnsi="宋体" w:eastAsia="宋体" w:cs="宋体"/>
          <w:color w:val="auto"/>
          <w:szCs w:val="21"/>
          <w:highlight w:val="none"/>
        </w:rPr>
        <w:t>≤考核得分＜</w:t>
      </w:r>
      <w:r>
        <w:rPr>
          <w:rFonts w:hint="eastAsia" w:ascii="宋体" w:hAnsi="宋体" w:eastAsia="宋体" w:cs="宋体"/>
          <w:color w:val="auto"/>
          <w:szCs w:val="21"/>
          <w:highlight w:val="none"/>
          <w:lang w:val="en-US"/>
        </w:rPr>
        <w:t>70</w:t>
      </w:r>
      <w:r>
        <w:rPr>
          <w:rFonts w:hint="eastAsia" w:ascii="宋体" w:hAnsi="宋体" w:eastAsia="宋体" w:cs="宋体"/>
          <w:color w:val="auto"/>
          <w:szCs w:val="21"/>
          <w:highlight w:val="none"/>
        </w:rPr>
        <w:t>分的，</w:t>
      </w:r>
      <w:r>
        <w:rPr>
          <w:rFonts w:hint="eastAsia" w:ascii="宋体" w:hAnsi="宋体" w:eastAsia="宋体" w:cs="宋体"/>
          <w:color w:val="auto"/>
          <w:szCs w:val="21"/>
          <w:highlight w:val="none"/>
          <w:lang w:val="en-US"/>
        </w:rPr>
        <w:t>甲方</w:t>
      </w:r>
      <w:r>
        <w:rPr>
          <w:rFonts w:hint="eastAsia" w:ascii="宋体" w:hAnsi="宋体" w:eastAsia="宋体" w:cs="宋体"/>
          <w:color w:val="auto"/>
          <w:szCs w:val="21"/>
          <w:highlight w:val="none"/>
          <w:lang w:val="en-US" w:eastAsia="zh-CN"/>
        </w:rPr>
        <w:t>最终支付</w:t>
      </w:r>
      <w:r>
        <w:rPr>
          <w:rFonts w:hint="eastAsia" w:ascii="宋体" w:hAnsi="宋体" w:eastAsia="宋体" w:cs="宋体"/>
          <w:color w:val="auto"/>
          <w:szCs w:val="21"/>
          <w:highlight w:val="none"/>
          <w:lang w:val="en-US"/>
        </w:rPr>
        <w:t>考核对应月份</w:t>
      </w:r>
      <w:r>
        <w:rPr>
          <w:rFonts w:hint="eastAsia" w:ascii="宋体" w:hAnsi="宋体" w:eastAsia="宋体" w:cs="宋体"/>
          <w:color w:val="auto"/>
          <w:szCs w:val="21"/>
          <w:highlight w:val="none"/>
          <w:lang w:val="en-US" w:eastAsia="zh-CN"/>
        </w:rPr>
        <w:t>物业管理运营服务费用</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en-US"/>
        </w:rPr>
        <w:t>70</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rPr>
        <w:t>考核得分＜60分</w:t>
      </w:r>
      <w:r>
        <w:rPr>
          <w:rFonts w:hint="eastAsia" w:ascii="宋体" w:hAnsi="宋体" w:eastAsia="宋体" w:cs="宋体"/>
          <w:color w:val="auto"/>
          <w:szCs w:val="21"/>
          <w:highlight w:val="none"/>
          <w:lang w:val="en-US" w:eastAsia="zh-CN"/>
        </w:rPr>
        <w:t>的，甲方无需支付考核对应月份物业管理运营服务费用，同时乙方还应向甲方支付人民币</w:t>
      </w:r>
      <w:r>
        <w:rPr>
          <w:rFonts w:hint="eastAsia" w:ascii="宋体" w:hAnsi="宋体" w:eastAsia="宋体" w:cs="宋体"/>
          <w:color w:val="auto"/>
          <w:szCs w:val="21"/>
          <w:highlight w:val="none"/>
        </w:rPr>
        <w:t>100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000.00元作为违约金</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12个月内累计3次70≤考核总得分＜80分或6个月内累计2次60≤考核总得分＜70分的</w:t>
      </w:r>
      <w:r>
        <w:rPr>
          <w:rFonts w:hint="eastAsia" w:ascii="宋体" w:hAnsi="宋体" w:eastAsia="宋体" w:cs="宋体"/>
          <w:color w:val="auto"/>
          <w:szCs w:val="21"/>
          <w:highlight w:val="none"/>
          <w:lang w:val="en-US"/>
        </w:rPr>
        <w:t>，甲方有权单方解除合同，且不承担任何违约责任</w:t>
      </w:r>
      <w:r>
        <w:rPr>
          <w:rFonts w:hint="eastAsia" w:ascii="宋体" w:hAnsi="宋体" w:eastAsia="宋体" w:cs="宋体"/>
          <w:color w:val="auto"/>
          <w:szCs w:val="21"/>
          <w:highlight w:val="none"/>
          <w:lang w:val="en-US" w:eastAsia="zh-CN"/>
        </w:rPr>
        <w:t>，同时乙方还应向甲方支付人民币3</w:t>
      </w:r>
      <w:r>
        <w:rPr>
          <w:rFonts w:hint="eastAsia" w:ascii="宋体" w:hAnsi="宋体" w:eastAsia="宋体" w:cs="宋体"/>
          <w:color w:val="auto"/>
          <w:szCs w:val="21"/>
          <w:highlight w:val="none"/>
        </w:rPr>
        <w:t>00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000.00元作为违约金</w:t>
      </w:r>
      <w:r>
        <w:rPr>
          <w:rFonts w:hint="eastAsia" w:ascii="宋体" w:hAnsi="宋体" w:eastAsia="宋体" w:cs="宋体"/>
          <w:color w:val="auto"/>
          <w:szCs w:val="21"/>
          <w:highlight w:val="none"/>
          <w:lang w:val="en-US"/>
        </w:rPr>
        <w:t>。</w:t>
      </w:r>
    </w:p>
    <w:p w14:paraId="3A28FA4E">
      <w:pPr>
        <w:spacing w:line="360" w:lineRule="auto"/>
        <w:ind w:firstLine="42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第四条 付款方式</w:t>
      </w:r>
    </w:p>
    <w:p w14:paraId="1E5B69E0">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4.1 本合同项目物业管理服务费，按</w:t>
      </w:r>
      <w:r>
        <w:rPr>
          <w:rFonts w:hint="eastAsia" w:ascii="宋体" w:hAnsi="宋体" w:eastAsia="宋体" w:cs="宋体"/>
          <w:color w:val="auto"/>
          <w:szCs w:val="21"/>
          <w:highlight w:val="none"/>
          <w:lang w:val="en-US" w:eastAsia="zh-CN"/>
        </w:rPr>
        <w:t>物业管理带教服务费用和物业管理运营服务费用</w:t>
      </w:r>
      <w:r>
        <w:rPr>
          <w:rFonts w:hint="eastAsia" w:ascii="宋体" w:hAnsi="宋体" w:eastAsia="宋体" w:cs="宋体"/>
          <w:color w:val="auto"/>
          <w:szCs w:val="21"/>
          <w:highlight w:val="none"/>
        </w:rPr>
        <w:t>分别进行计费和支付。</w:t>
      </w:r>
    </w:p>
    <w:p w14:paraId="0D211262">
      <w:pPr>
        <w:pStyle w:val="53"/>
        <w:spacing w:line="360" w:lineRule="auto"/>
        <w:ind w:left="0" w:firstLine="420"/>
        <w:jc w:val="left"/>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rPr>
        <w:t xml:space="preserve">4.2 </w:t>
      </w:r>
      <w:r>
        <w:rPr>
          <w:rFonts w:hint="eastAsia" w:ascii="宋体" w:hAnsi="宋体" w:eastAsia="宋体" w:cs="宋体"/>
          <w:color w:val="auto"/>
          <w:szCs w:val="21"/>
          <w:highlight w:val="none"/>
          <w:lang w:val="en-US" w:eastAsia="zh-CN"/>
        </w:rPr>
        <w:t>物业管理带教服务费用</w:t>
      </w:r>
      <w:r>
        <w:rPr>
          <w:rFonts w:hint="eastAsia" w:ascii="宋体" w:hAnsi="宋体" w:eastAsia="宋体" w:cs="宋体"/>
          <w:color w:val="auto"/>
          <w:szCs w:val="21"/>
          <w:highlight w:val="none"/>
          <w:lang w:val="en-US"/>
        </w:rPr>
        <w:t>固定不变，甲方将结合物业</w:t>
      </w:r>
      <w:r>
        <w:rPr>
          <w:rFonts w:hint="eastAsia" w:ascii="宋体" w:hAnsi="宋体" w:eastAsia="宋体" w:cs="宋体"/>
          <w:color w:val="auto"/>
          <w:szCs w:val="21"/>
          <w:highlight w:val="none"/>
          <w:lang w:val="en-US" w:eastAsia="zh-CN"/>
        </w:rPr>
        <w:t>管理带教服务</w:t>
      </w:r>
      <w:r>
        <w:rPr>
          <w:rFonts w:hint="eastAsia" w:ascii="宋体" w:hAnsi="宋体" w:eastAsia="宋体" w:cs="宋体"/>
          <w:color w:val="auto"/>
          <w:szCs w:val="21"/>
          <w:highlight w:val="none"/>
          <w:lang w:val="en-US"/>
        </w:rPr>
        <w:t>考核结果</w:t>
      </w:r>
      <w:r>
        <w:rPr>
          <w:rFonts w:hint="eastAsia" w:ascii="宋体" w:hAnsi="宋体" w:eastAsia="宋体" w:cs="宋体"/>
          <w:color w:val="auto"/>
          <w:szCs w:val="21"/>
          <w:highlight w:val="none"/>
          <w:lang w:val="en-US" w:eastAsia="zh-CN"/>
        </w:rPr>
        <w:t>分期</w:t>
      </w:r>
      <w:r>
        <w:rPr>
          <w:rFonts w:hint="eastAsia" w:ascii="宋体" w:hAnsi="宋体" w:eastAsia="宋体" w:cs="宋体"/>
          <w:color w:val="auto"/>
          <w:szCs w:val="21"/>
          <w:highlight w:val="none"/>
          <w:lang w:val="en-US"/>
        </w:rPr>
        <w:t>支付，</w:t>
      </w:r>
      <w:r>
        <w:rPr>
          <w:rFonts w:hint="eastAsia" w:ascii="宋体" w:hAnsi="宋体" w:eastAsia="宋体" w:cs="宋体"/>
          <w:color w:val="auto"/>
          <w:szCs w:val="21"/>
          <w:highlight w:val="none"/>
          <w:lang w:val="en-US" w:eastAsia="zh-CN"/>
        </w:rPr>
        <w:t>物业管理</w:t>
      </w:r>
      <w:r>
        <w:rPr>
          <w:rFonts w:hint="eastAsia" w:ascii="宋体" w:hAnsi="宋体" w:eastAsia="宋体" w:cs="宋体"/>
          <w:color w:val="auto"/>
          <w:szCs w:val="21"/>
          <w:highlight w:val="none"/>
          <w:lang w:val="en-US"/>
        </w:rPr>
        <w:t>运营</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lang w:val="en-US"/>
        </w:rPr>
        <w:t>费用经甲方审批后</w:t>
      </w:r>
      <w:r>
        <w:rPr>
          <w:rFonts w:hint="eastAsia" w:ascii="宋体" w:hAnsi="宋体" w:eastAsia="宋体" w:cs="宋体"/>
          <w:color w:val="auto"/>
          <w:szCs w:val="21"/>
          <w:highlight w:val="none"/>
          <w:lang w:val="en-US" w:eastAsia="zh-CN"/>
        </w:rPr>
        <w:t>，在投标报价所列各分项最高限额内据</w:t>
      </w:r>
      <w:r>
        <w:rPr>
          <w:rFonts w:hint="eastAsia" w:ascii="宋体" w:hAnsi="宋体" w:eastAsia="宋体" w:cs="宋体"/>
          <w:color w:val="auto"/>
          <w:szCs w:val="21"/>
          <w:highlight w:val="none"/>
          <w:lang w:val="en-US"/>
        </w:rPr>
        <w:t>实结算，实际结算的</w:t>
      </w:r>
      <w:r>
        <w:rPr>
          <w:rFonts w:hint="eastAsia" w:ascii="宋体" w:hAnsi="宋体" w:eastAsia="宋体" w:cs="宋体"/>
          <w:color w:val="auto"/>
          <w:szCs w:val="21"/>
          <w:highlight w:val="none"/>
          <w:lang w:val="en-US" w:eastAsia="zh-CN"/>
        </w:rPr>
        <w:t>物业管理</w:t>
      </w:r>
      <w:r>
        <w:rPr>
          <w:rFonts w:hint="eastAsia" w:ascii="宋体" w:hAnsi="宋体" w:eastAsia="宋体" w:cs="宋体"/>
          <w:color w:val="auto"/>
          <w:szCs w:val="21"/>
          <w:highlight w:val="none"/>
          <w:lang w:val="en-US"/>
        </w:rPr>
        <w:t>运营</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lang w:val="en-US"/>
        </w:rPr>
        <w:t>费用各项</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rPr>
        <w:t>不含销项税额</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rPr>
        <w:t>单价和</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rPr>
        <w:t>不含销项税额</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rPr>
        <w:t>总价</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rPr>
        <w:t>含乙方委外实施的分包项目费用</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rPr>
        <w:t>不得超过分项明细表最高限额。</w:t>
      </w:r>
      <w:r>
        <w:rPr>
          <w:rFonts w:hint="eastAsia" w:ascii="宋体" w:hAnsi="宋体" w:eastAsia="宋体" w:cs="宋体"/>
          <w:color w:val="auto"/>
          <w:szCs w:val="21"/>
          <w:highlight w:val="none"/>
          <w:lang w:val="en-US" w:eastAsia="zh-CN"/>
        </w:rPr>
        <w:t>物业管理</w:t>
      </w:r>
      <w:r>
        <w:rPr>
          <w:rFonts w:hint="eastAsia" w:ascii="宋体" w:hAnsi="宋体" w:eastAsia="宋体" w:cs="宋体"/>
          <w:color w:val="auto"/>
          <w:szCs w:val="21"/>
          <w:highlight w:val="none"/>
          <w:lang w:val="en-US"/>
        </w:rPr>
        <w:t>运营</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lang w:val="en-US"/>
        </w:rPr>
        <w:t>费用中的人工费用按分项明细表的中标人工单价和实际配置人员数量进行结算。</w:t>
      </w:r>
    </w:p>
    <w:p w14:paraId="0DEA2293">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物业管理带教服务</w:t>
      </w:r>
      <w:r>
        <w:rPr>
          <w:rFonts w:hint="eastAsia" w:ascii="宋体" w:hAnsi="宋体" w:eastAsia="宋体" w:cs="宋体"/>
          <w:color w:val="auto"/>
          <w:szCs w:val="21"/>
          <w:highlight w:val="none"/>
        </w:rPr>
        <w:t>采取</w:t>
      </w:r>
      <w:r>
        <w:rPr>
          <w:rFonts w:hint="eastAsia" w:ascii="宋体" w:hAnsi="宋体" w:eastAsia="宋体" w:cs="宋体"/>
          <w:color w:val="auto"/>
          <w:szCs w:val="21"/>
          <w:highlight w:val="none"/>
          <w:lang w:val="en-US" w:eastAsia="zh-CN"/>
        </w:rPr>
        <w:t>分期</w:t>
      </w:r>
      <w:r>
        <w:rPr>
          <w:rFonts w:hint="eastAsia" w:ascii="宋体" w:hAnsi="宋体" w:eastAsia="宋体" w:cs="宋体"/>
          <w:color w:val="auto"/>
          <w:szCs w:val="21"/>
          <w:highlight w:val="none"/>
        </w:rPr>
        <w:t>支付的方式。</w:t>
      </w:r>
    </w:p>
    <w:p w14:paraId="46DFF18E">
      <w:pPr>
        <w:spacing w:line="360" w:lineRule="auto"/>
        <w:ind w:firstLine="42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第一期支付为完成甲方委派学员第一阶段跟岗学习后，甲方将根据物业管理带教服务考核结果支付当期物业管理带教服务费用，当期物业管理带教服务费用为物业管理带教服务费用的10%及对应销项税额。</w:t>
      </w:r>
    </w:p>
    <w:p w14:paraId="6AA80FD5">
      <w:pPr>
        <w:spacing w:line="360" w:lineRule="auto"/>
        <w:ind w:firstLine="42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第二期支付为完成甲方委派学员第二阶段跟岗学习后，甲方将根据物业管理带教服务考核结果支付当期物业管理带教服务费用，当期物业管理带教服务费用为物业管理带教服务费用的10%及对应销项税额。</w:t>
      </w:r>
    </w:p>
    <w:p w14:paraId="2160625F">
      <w:pPr>
        <w:spacing w:line="360" w:lineRule="auto"/>
        <w:ind w:firstLine="42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第三期支付为完成甲方委派学员第三阶段跟岗学习后，甲方将根据物业管理带教服务考核结果支付当期物业管理带教服务费用，当期物业管理带教服务费用为物业管理带教服务费用的10%及对应销项税额。</w:t>
      </w:r>
    </w:p>
    <w:p w14:paraId="1569EC4C">
      <w:pPr>
        <w:spacing w:line="360" w:lineRule="auto"/>
        <w:ind w:firstLine="42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第四期支付为本合同服务期届满后，甲方将根据物业管理带教服务考核结果支付当期物业管理带教服务费用，当期物业管理带教服务费用为物业管理带教服务费用的70%及对应销项税额。</w:t>
      </w:r>
    </w:p>
    <w:p w14:paraId="2739B3F5">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每期请款时，</w:t>
      </w:r>
      <w:r>
        <w:rPr>
          <w:rFonts w:hint="eastAsia" w:ascii="宋体" w:hAnsi="宋体" w:eastAsia="宋体" w:cs="宋体"/>
          <w:color w:val="auto"/>
          <w:szCs w:val="21"/>
          <w:highlight w:val="none"/>
        </w:rPr>
        <w:t>乙方应提供请款</w:t>
      </w:r>
      <w:r>
        <w:rPr>
          <w:rFonts w:hint="eastAsia" w:ascii="宋体" w:hAnsi="宋体" w:eastAsia="宋体" w:cs="宋体"/>
          <w:color w:val="auto"/>
          <w:szCs w:val="21"/>
          <w:highlight w:val="none"/>
          <w:lang w:val="en-US" w:eastAsia="zh-CN"/>
        </w:rPr>
        <w:t>资料</w:t>
      </w:r>
      <w:r>
        <w:rPr>
          <w:rFonts w:hint="eastAsia" w:ascii="宋体" w:hAnsi="宋体" w:eastAsia="宋体" w:cs="宋体"/>
          <w:color w:val="auto"/>
          <w:szCs w:val="21"/>
          <w:highlight w:val="none"/>
        </w:rPr>
        <w:t>和对应金额的增值税专用发票，甲方在收到乙方的请款</w:t>
      </w:r>
      <w:r>
        <w:rPr>
          <w:rFonts w:hint="eastAsia" w:ascii="宋体" w:hAnsi="宋体" w:eastAsia="宋体" w:cs="宋体"/>
          <w:color w:val="auto"/>
          <w:szCs w:val="21"/>
          <w:highlight w:val="none"/>
          <w:lang w:val="en-US" w:eastAsia="zh-CN"/>
        </w:rPr>
        <w:t>资料</w:t>
      </w:r>
      <w:r>
        <w:rPr>
          <w:rFonts w:hint="eastAsia" w:ascii="宋体" w:hAnsi="宋体" w:eastAsia="宋体" w:cs="宋体"/>
          <w:color w:val="auto"/>
          <w:szCs w:val="21"/>
          <w:highlight w:val="none"/>
        </w:rPr>
        <w:t>及发票并确认无误后</w:t>
      </w:r>
      <w:r>
        <w:rPr>
          <w:rFonts w:hint="eastAsia" w:ascii="宋体" w:hAnsi="宋体" w:eastAsia="宋体" w:cs="宋体"/>
          <w:color w:val="auto"/>
          <w:szCs w:val="21"/>
          <w:highlight w:val="none"/>
          <w:lang w:val="en-US" w:eastAsia="zh-CN"/>
        </w:rPr>
        <w:t>15个工作日内</w:t>
      </w:r>
      <w:r>
        <w:rPr>
          <w:rFonts w:hint="eastAsia" w:ascii="宋体" w:hAnsi="宋体" w:eastAsia="宋体" w:cs="宋体"/>
          <w:color w:val="auto"/>
          <w:szCs w:val="21"/>
          <w:highlight w:val="none"/>
        </w:rPr>
        <w:t>向乙方支付</w:t>
      </w:r>
      <w:r>
        <w:rPr>
          <w:rFonts w:hint="eastAsia" w:ascii="宋体" w:hAnsi="宋体" w:eastAsia="宋体" w:cs="宋体"/>
          <w:color w:val="auto"/>
          <w:szCs w:val="21"/>
          <w:highlight w:val="none"/>
          <w:lang w:val="en-US" w:eastAsia="zh-CN"/>
        </w:rPr>
        <w:t>当期物业管理带教服务费用及对应销项税额</w:t>
      </w:r>
      <w:r>
        <w:rPr>
          <w:rFonts w:hint="eastAsia" w:ascii="宋体" w:hAnsi="宋体" w:eastAsia="宋体" w:cs="宋体"/>
          <w:color w:val="auto"/>
          <w:szCs w:val="21"/>
          <w:highlight w:val="none"/>
        </w:rPr>
        <w:t>，若乙方逾期提供请款</w:t>
      </w:r>
      <w:r>
        <w:rPr>
          <w:rFonts w:hint="eastAsia" w:ascii="宋体" w:hAnsi="宋体" w:eastAsia="宋体" w:cs="宋体"/>
          <w:color w:val="auto"/>
          <w:szCs w:val="21"/>
          <w:highlight w:val="none"/>
          <w:lang w:val="en-US" w:eastAsia="zh-CN"/>
        </w:rPr>
        <w:t>资料</w:t>
      </w:r>
      <w:r>
        <w:rPr>
          <w:rFonts w:hint="eastAsia" w:ascii="宋体" w:hAnsi="宋体" w:eastAsia="宋体" w:cs="宋体"/>
          <w:color w:val="auto"/>
          <w:szCs w:val="21"/>
          <w:highlight w:val="none"/>
        </w:rPr>
        <w:t>及发票或提供请款</w:t>
      </w:r>
      <w:r>
        <w:rPr>
          <w:rFonts w:hint="eastAsia" w:ascii="宋体" w:hAnsi="宋体" w:eastAsia="宋体" w:cs="宋体"/>
          <w:color w:val="auto"/>
          <w:szCs w:val="21"/>
          <w:highlight w:val="none"/>
          <w:lang w:val="en-US" w:eastAsia="zh-CN"/>
        </w:rPr>
        <w:t>资料</w:t>
      </w:r>
      <w:r>
        <w:rPr>
          <w:rFonts w:hint="eastAsia" w:ascii="宋体" w:hAnsi="宋体" w:eastAsia="宋体" w:cs="宋体"/>
          <w:color w:val="auto"/>
          <w:szCs w:val="21"/>
          <w:highlight w:val="none"/>
        </w:rPr>
        <w:t>或发票不符合甲方要求的，甲方的付款时间作相应顺延，且不视为违约，由此造成不能按时付款的责任由乙方自行承担。</w:t>
      </w:r>
    </w:p>
    <w:p w14:paraId="77205B10">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物业管理</w:t>
      </w:r>
      <w:r>
        <w:rPr>
          <w:rFonts w:hint="eastAsia" w:ascii="宋体" w:hAnsi="宋体" w:eastAsia="宋体" w:cs="宋体"/>
          <w:color w:val="auto"/>
          <w:szCs w:val="21"/>
          <w:highlight w:val="none"/>
        </w:rPr>
        <w:t>运营</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rPr>
        <w:t>费用的支付：</w:t>
      </w:r>
    </w:p>
    <w:p w14:paraId="3252D637">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4.4.1 </w:t>
      </w:r>
      <w:r>
        <w:rPr>
          <w:rFonts w:hint="eastAsia" w:ascii="宋体" w:hAnsi="宋体" w:eastAsia="宋体" w:cs="宋体"/>
          <w:color w:val="auto"/>
          <w:szCs w:val="21"/>
          <w:highlight w:val="none"/>
        </w:rPr>
        <w:t>乙方应于每月</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日将下月</w:t>
      </w:r>
      <w:r>
        <w:rPr>
          <w:rFonts w:hint="eastAsia" w:ascii="宋体" w:hAnsi="宋体" w:eastAsia="宋体" w:cs="宋体"/>
          <w:color w:val="auto"/>
          <w:szCs w:val="21"/>
          <w:highlight w:val="none"/>
          <w:lang w:val="en-US" w:eastAsia="zh-CN"/>
        </w:rPr>
        <w:t>物业管理</w:t>
      </w:r>
      <w:r>
        <w:rPr>
          <w:rFonts w:hint="eastAsia" w:ascii="宋体" w:hAnsi="宋体" w:eastAsia="宋体" w:cs="宋体"/>
          <w:color w:val="auto"/>
          <w:szCs w:val="21"/>
          <w:highlight w:val="none"/>
        </w:rPr>
        <w:t>运营</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rPr>
        <w:t>费用预算报甲方审核，</w:t>
      </w:r>
      <w:r>
        <w:rPr>
          <w:rFonts w:hint="eastAsia" w:ascii="宋体" w:hAnsi="宋体" w:eastAsia="宋体" w:cs="宋体"/>
          <w:color w:val="auto"/>
          <w:szCs w:val="21"/>
          <w:highlight w:val="none"/>
          <w:lang w:val="en-US" w:eastAsia="zh-CN"/>
        </w:rPr>
        <w:t>物业管理</w:t>
      </w:r>
      <w:r>
        <w:rPr>
          <w:rFonts w:hint="eastAsia" w:ascii="宋体" w:hAnsi="宋体" w:eastAsia="宋体" w:cs="宋体"/>
          <w:color w:val="auto"/>
          <w:szCs w:val="21"/>
          <w:highlight w:val="none"/>
        </w:rPr>
        <w:t>运营</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rPr>
        <w:t>费用各项预算（不含销项税额）单价和（不含销项税额）总价（含乙方委外实施的分包项目费用）不得超过分项明细表的</w:t>
      </w:r>
      <w:r>
        <w:rPr>
          <w:rFonts w:hint="eastAsia" w:ascii="宋体" w:hAnsi="宋体" w:eastAsia="宋体" w:cs="宋体"/>
          <w:color w:val="auto"/>
          <w:szCs w:val="21"/>
          <w:highlight w:val="none"/>
          <w:lang w:bidi="en-US"/>
        </w:rPr>
        <w:t>该项单价最高限额和总价</w:t>
      </w:r>
      <w:r>
        <w:rPr>
          <w:rFonts w:hint="eastAsia" w:ascii="宋体" w:hAnsi="宋体" w:eastAsia="宋体" w:cs="宋体"/>
          <w:color w:val="auto"/>
          <w:szCs w:val="21"/>
          <w:highlight w:val="none"/>
        </w:rPr>
        <w:t>最高限额，经甲方同意后乙方</w:t>
      </w:r>
      <w:r>
        <w:rPr>
          <w:rFonts w:hint="eastAsia" w:ascii="宋体" w:hAnsi="宋体" w:eastAsia="宋体" w:cs="宋体"/>
          <w:color w:val="auto"/>
          <w:szCs w:val="21"/>
          <w:highlight w:val="none"/>
          <w:lang w:val="en-US" w:eastAsia="zh-CN"/>
        </w:rPr>
        <w:t>方</w:t>
      </w:r>
      <w:r>
        <w:rPr>
          <w:rFonts w:hint="eastAsia" w:ascii="宋体" w:hAnsi="宋体" w:eastAsia="宋体" w:cs="宋体"/>
          <w:color w:val="auto"/>
          <w:szCs w:val="21"/>
          <w:highlight w:val="none"/>
        </w:rPr>
        <w:t>可实施并按实结算。</w:t>
      </w:r>
    </w:p>
    <w:p w14:paraId="197C1541">
      <w:pPr>
        <w:spacing w:line="360" w:lineRule="auto"/>
        <w:ind w:firstLine="42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4.4.2 乙方应于每月15日前</w:t>
      </w:r>
      <w:r>
        <w:rPr>
          <w:rFonts w:hint="eastAsia" w:ascii="宋体" w:hAnsi="宋体" w:eastAsia="宋体" w:cs="宋体"/>
          <w:color w:val="auto"/>
          <w:szCs w:val="21"/>
          <w:highlight w:val="none"/>
        </w:rPr>
        <w:t>按甲方要求提供</w:t>
      </w:r>
      <w:r>
        <w:rPr>
          <w:rFonts w:hint="eastAsia" w:ascii="宋体" w:hAnsi="宋体" w:eastAsia="宋体" w:cs="宋体"/>
          <w:color w:val="auto"/>
          <w:szCs w:val="21"/>
          <w:highlight w:val="none"/>
          <w:lang w:val="en-US" w:eastAsia="zh-CN"/>
        </w:rPr>
        <w:t>上月物业管理运营服务费</w:t>
      </w:r>
      <w:r>
        <w:rPr>
          <w:rFonts w:hint="eastAsia" w:ascii="宋体" w:hAnsi="宋体" w:eastAsia="宋体" w:cs="宋体"/>
          <w:color w:val="auto"/>
          <w:szCs w:val="21"/>
          <w:highlight w:val="none"/>
        </w:rPr>
        <w:t>请款报告及相关请款资料（包括但不限于经甲方同意的请示或决策文件、合同复印件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物业团队人员考勤</w:t>
      </w:r>
      <w:r>
        <w:rPr>
          <w:rFonts w:hint="eastAsia" w:ascii="宋体" w:hAnsi="宋体" w:eastAsia="宋体" w:cs="宋体"/>
          <w:color w:val="auto"/>
          <w:szCs w:val="21"/>
          <w:highlight w:val="none"/>
        </w:rPr>
        <w:t>等相关资料）和合法、有效的增值税</w:t>
      </w:r>
      <w:r>
        <w:rPr>
          <w:rFonts w:hint="eastAsia" w:ascii="宋体" w:hAnsi="宋体" w:eastAsia="宋体" w:cs="宋体"/>
          <w:color w:val="auto"/>
          <w:szCs w:val="21"/>
          <w:highlight w:val="none"/>
          <w:lang w:val="en-US" w:eastAsia="zh-CN"/>
        </w:rPr>
        <w:t>专用</w:t>
      </w:r>
      <w:r>
        <w:rPr>
          <w:rFonts w:hint="eastAsia" w:ascii="宋体" w:hAnsi="宋体" w:eastAsia="宋体" w:cs="宋体"/>
          <w:color w:val="auto"/>
          <w:szCs w:val="21"/>
          <w:highlight w:val="none"/>
        </w:rPr>
        <w:t>发票</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经甲方审核确认无误后15个工作日内</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甲方结合物业管理运营服务考核结果向乙方</w:t>
      </w:r>
      <w:r>
        <w:rPr>
          <w:rFonts w:hint="eastAsia" w:ascii="宋体" w:hAnsi="宋体" w:eastAsia="宋体" w:cs="宋体"/>
          <w:color w:val="auto"/>
          <w:szCs w:val="21"/>
          <w:highlight w:val="none"/>
        </w:rPr>
        <w:t>支付</w:t>
      </w:r>
      <w:r>
        <w:rPr>
          <w:rFonts w:hint="eastAsia" w:ascii="宋体" w:hAnsi="宋体" w:eastAsia="宋体" w:cs="宋体"/>
          <w:color w:val="auto"/>
          <w:szCs w:val="21"/>
          <w:highlight w:val="none"/>
          <w:lang w:val="en-US" w:eastAsia="zh-CN"/>
        </w:rPr>
        <w:t>上月物业管理运营服务费用，其中物业管理运营服务人工费用请款时须提供人员考勤资料，甲方将按照实际配置物业团队人员出勤情况支付物业管理运营服务人工费用，月度物业管理运营服务人工费=∑岗位合同单价（不含税）×人员月度出勤率×岗位实际配置数量+对应销项税额，其中人员月度出勤率=当月实际出勤天数÷当月日历天数，当月实际出勤天数=当月上班天数+当月应休天数。</w:t>
      </w:r>
    </w:p>
    <w:p w14:paraId="4937002D">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4.4.3 物业管理运营服务范围</w:t>
      </w:r>
      <w:r>
        <w:rPr>
          <w:rFonts w:hint="eastAsia" w:ascii="宋体" w:hAnsi="宋体" w:eastAsia="宋体" w:cs="宋体"/>
          <w:color w:val="auto"/>
          <w:szCs w:val="21"/>
          <w:highlight w:val="none"/>
        </w:rPr>
        <w:t>内的专项服务事项由第三方承接服务的，实际承接服务的供应商或对应的主体必须事先征得甲方书面同意，并与甲乙双方签订三方协议。第三方承接的服务事项由乙方负责组织</w:t>
      </w:r>
      <w:r>
        <w:rPr>
          <w:rFonts w:hint="eastAsia" w:ascii="宋体" w:hAnsi="宋体" w:eastAsia="宋体" w:cs="宋体"/>
          <w:color w:val="auto"/>
          <w:szCs w:val="21"/>
          <w:highlight w:val="none"/>
          <w:lang w:val="en-US" w:eastAsia="zh-CN"/>
        </w:rPr>
        <w:t>初步</w:t>
      </w:r>
      <w:r>
        <w:rPr>
          <w:rFonts w:hint="eastAsia" w:ascii="宋体" w:hAnsi="宋体" w:eastAsia="宋体" w:cs="宋体"/>
          <w:color w:val="auto"/>
          <w:szCs w:val="21"/>
          <w:highlight w:val="none"/>
        </w:rPr>
        <w:t>验收，</w:t>
      </w:r>
      <w:r>
        <w:rPr>
          <w:rFonts w:hint="eastAsia" w:ascii="宋体" w:hAnsi="宋体" w:eastAsia="宋体" w:cs="宋体"/>
          <w:color w:val="auto"/>
          <w:szCs w:val="21"/>
          <w:highlight w:val="none"/>
          <w:lang w:val="en-US" w:eastAsia="zh-CN"/>
        </w:rPr>
        <w:t>但须</w:t>
      </w:r>
      <w:r>
        <w:rPr>
          <w:rFonts w:hint="eastAsia" w:ascii="宋体" w:hAnsi="宋体" w:eastAsia="宋体" w:cs="宋体"/>
          <w:color w:val="auto"/>
          <w:szCs w:val="21"/>
          <w:highlight w:val="none"/>
        </w:rPr>
        <w:t>经甲方</w:t>
      </w:r>
      <w:r>
        <w:rPr>
          <w:rFonts w:hint="eastAsia" w:ascii="宋体" w:hAnsi="宋体" w:eastAsia="宋体" w:cs="宋体"/>
          <w:color w:val="auto"/>
          <w:szCs w:val="21"/>
          <w:highlight w:val="none"/>
          <w:lang w:val="en-US" w:eastAsia="zh-CN"/>
        </w:rPr>
        <w:t>单独</w:t>
      </w:r>
      <w:r>
        <w:rPr>
          <w:rFonts w:hint="eastAsia" w:ascii="宋体" w:hAnsi="宋体" w:eastAsia="宋体" w:cs="宋体"/>
          <w:color w:val="auto"/>
          <w:szCs w:val="21"/>
          <w:highlight w:val="none"/>
        </w:rPr>
        <w:t>验收合格并书面确认后，甲方向实际承接服务的供应商或对应的主体支付服务费用，乙方应督促实际承接服务的供应商或对应的主体按甲方要求提供合法、有效的增值税发票和请款报告及相关请款资料（包括但不限于经甲方同意的请示或决策文件、合同复印件等相关资料），经甲方审核确认无误后15个工作日内支付。乙方对第三方承接服务的质量、安全、进度等承担全部连带责任，甲方的付款行为不视为对服务质量的认可，亦不免除乙方在本合同项下的任何义务或责任。</w:t>
      </w:r>
    </w:p>
    <w:p w14:paraId="333DB24C">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 xml:space="preserve"> 合同的履约过程中，乙方根据本合同约定需向甲方支付违约金、赔偿金、或其他应付费用等款项的，乙方必须向甲方支付完相关款项后，甲方才根据本合同向乙方支付合同费用和对应的税额。若因乙方未能支付前述费用，影响项目实施的，甲方有权启用履约担保或直接从未付合同款项中直接扣除，且乙方必须按照扣除前述费用前的合同费用（销售额）开具增值税专用发票，保证增值税税额符合法律规定。</w:t>
      </w:r>
    </w:p>
    <w:p w14:paraId="397DD9F8">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 xml:space="preserve"> 乙方收款账号如下：</w:t>
      </w:r>
    </w:p>
    <w:p w14:paraId="280133A5">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户名：               </w:t>
      </w:r>
    </w:p>
    <w:p w14:paraId="32731B45">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账户：</w:t>
      </w:r>
    </w:p>
    <w:p w14:paraId="7D55C437">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开户行：                      </w:t>
      </w:r>
    </w:p>
    <w:p w14:paraId="6448BA8C">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 xml:space="preserve"> 乙方逾期提供请款资料及发票或前述资料不符合甲方要求的，甲方付款时间顺延，并不承担逾期付款违约责任。由于乙方提供的发票不符合税法规定，给甲方造成的损失由乙方承担赔偿责任。</w:t>
      </w:r>
    </w:p>
    <w:p w14:paraId="457EA41E">
      <w:pPr>
        <w:spacing w:line="360" w:lineRule="auto"/>
        <w:ind w:firstLine="42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第五条 物业管理要求</w:t>
      </w:r>
    </w:p>
    <w:p w14:paraId="16034613">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5.1 物业管理</w:t>
      </w:r>
      <w:r>
        <w:rPr>
          <w:rFonts w:hint="eastAsia" w:ascii="宋体" w:hAnsi="宋体" w:eastAsia="宋体" w:cs="宋体"/>
          <w:color w:val="auto"/>
          <w:szCs w:val="21"/>
          <w:highlight w:val="none"/>
          <w:lang w:val="en-US" w:eastAsia="zh-CN"/>
        </w:rPr>
        <w:t>带教服务</w:t>
      </w:r>
      <w:r>
        <w:rPr>
          <w:rFonts w:hint="eastAsia" w:ascii="宋体" w:hAnsi="宋体" w:eastAsia="宋体" w:cs="宋体"/>
          <w:color w:val="auto"/>
          <w:szCs w:val="21"/>
          <w:highlight w:val="none"/>
        </w:rPr>
        <w:t>要求</w:t>
      </w:r>
    </w:p>
    <w:p w14:paraId="1D772843">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5.1.1 </w:t>
      </w:r>
      <w:r>
        <w:rPr>
          <w:rFonts w:hint="eastAsia" w:ascii="宋体" w:hAnsi="宋体" w:eastAsia="宋体" w:cs="宋体"/>
          <w:color w:val="auto"/>
          <w:szCs w:val="21"/>
          <w:highlight w:val="none"/>
          <w:lang w:val="en-US" w:eastAsia="zh-CN"/>
        </w:rPr>
        <w:t>总体要求</w:t>
      </w:r>
      <w:r>
        <w:rPr>
          <w:rFonts w:hint="eastAsia" w:ascii="宋体" w:hAnsi="宋体" w:eastAsia="宋体" w:cs="宋体"/>
          <w:color w:val="auto"/>
          <w:szCs w:val="21"/>
          <w:highlight w:val="none"/>
        </w:rPr>
        <w:t>：</w:t>
      </w:r>
    </w:p>
    <w:p w14:paraId="1D711AA2">
      <w:pPr>
        <w:pStyle w:val="53"/>
        <w:spacing w:line="360" w:lineRule="auto"/>
        <w:ind w:left="0" w:firstLine="420"/>
        <w:jc w:val="left"/>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rPr>
        <w:t>（1）</w:t>
      </w:r>
      <w:r>
        <w:rPr>
          <w:rFonts w:hint="eastAsia" w:ascii="宋体" w:hAnsi="宋体" w:eastAsia="宋体" w:cs="宋体"/>
          <w:color w:val="auto"/>
          <w:szCs w:val="21"/>
          <w:highlight w:val="none"/>
          <w:lang w:val="en-US" w:eastAsia="zh-CN"/>
        </w:rPr>
        <w:t>乙方作为物业管理带教服务的责任方，须对带教过程的系统性、有效性及最终成果负责</w:t>
      </w:r>
      <w:r>
        <w:rPr>
          <w:rFonts w:hint="eastAsia" w:ascii="宋体" w:hAnsi="宋体" w:eastAsia="宋体" w:cs="宋体"/>
          <w:color w:val="auto"/>
          <w:szCs w:val="21"/>
          <w:highlight w:val="none"/>
          <w:lang w:val="en-US"/>
        </w:rPr>
        <w:t>。</w:t>
      </w:r>
    </w:p>
    <w:p w14:paraId="7C891F20">
      <w:pPr>
        <w:pStyle w:val="53"/>
        <w:spacing w:line="360" w:lineRule="auto"/>
        <w:ind w:left="0" w:firstLine="420"/>
        <w:jc w:val="left"/>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rPr>
        <w:t>（2）</w:t>
      </w:r>
      <w:r>
        <w:rPr>
          <w:rFonts w:hint="eastAsia" w:ascii="宋体" w:hAnsi="宋体" w:eastAsia="宋体" w:cs="宋体"/>
          <w:color w:val="auto"/>
          <w:szCs w:val="21"/>
          <w:highlight w:val="none"/>
          <w:lang w:val="en-US" w:eastAsia="zh-CN"/>
        </w:rPr>
        <w:t>乙方带教工作须与项目日常物业服务运营深度融合，确保理论传授与实操训练紧密结合</w:t>
      </w:r>
      <w:r>
        <w:rPr>
          <w:rFonts w:hint="eastAsia" w:ascii="宋体" w:hAnsi="宋体" w:eastAsia="宋体" w:cs="宋体"/>
          <w:color w:val="auto"/>
          <w:szCs w:val="21"/>
          <w:highlight w:val="none"/>
          <w:lang w:val="en-US"/>
        </w:rPr>
        <w:t>。</w:t>
      </w:r>
    </w:p>
    <w:p w14:paraId="12CA9EC4">
      <w:pPr>
        <w:pStyle w:val="53"/>
        <w:spacing w:line="360" w:lineRule="auto"/>
        <w:ind w:left="0" w:firstLine="420"/>
        <w:jc w:val="left"/>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rPr>
        <w:t>（3）</w:t>
      </w:r>
      <w:r>
        <w:rPr>
          <w:rFonts w:hint="eastAsia" w:ascii="宋体" w:hAnsi="宋体" w:eastAsia="宋体" w:cs="宋体"/>
          <w:color w:val="auto"/>
          <w:szCs w:val="21"/>
          <w:highlight w:val="none"/>
          <w:lang w:val="en-US" w:eastAsia="zh-CN"/>
        </w:rPr>
        <w:t>乙方带教工作应以实现甲方学员独立胜任目标岗位为最终目的，所有活动均围绕此目标展开</w:t>
      </w:r>
      <w:r>
        <w:rPr>
          <w:rFonts w:hint="eastAsia" w:ascii="宋体" w:hAnsi="宋体" w:eastAsia="宋体" w:cs="宋体"/>
          <w:color w:val="auto"/>
          <w:szCs w:val="21"/>
          <w:highlight w:val="none"/>
          <w:lang w:val="en-US"/>
        </w:rPr>
        <w:t>。</w:t>
      </w:r>
    </w:p>
    <w:p w14:paraId="7F51FF50">
      <w:pPr>
        <w:pStyle w:val="53"/>
        <w:spacing w:line="360" w:lineRule="auto"/>
        <w:ind w:left="0" w:firstLine="420"/>
        <w:jc w:val="left"/>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eastAsia="zh-CN"/>
        </w:rPr>
        <w:t>5.1.2 实施要求</w:t>
      </w:r>
      <w:r>
        <w:rPr>
          <w:rFonts w:hint="eastAsia" w:ascii="宋体" w:hAnsi="宋体" w:eastAsia="宋体" w:cs="宋体"/>
          <w:color w:val="auto"/>
          <w:szCs w:val="21"/>
          <w:highlight w:val="none"/>
          <w:lang w:val="en-US"/>
        </w:rPr>
        <w:t>。</w:t>
      </w:r>
    </w:p>
    <w:p w14:paraId="6C414D2D">
      <w:pPr>
        <w:pStyle w:val="53"/>
        <w:spacing w:line="360" w:lineRule="auto"/>
        <w:ind w:left="0" w:firstLine="420"/>
        <w:jc w:val="left"/>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en-US"/>
        </w:rPr>
        <w:t>）</w:t>
      </w:r>
      <w:r>
        <w:rPr>
          <w:rFonts w:hint="eastAsia" w:ascii="宋体" w:hAnsi="宋体" w:eastAsia="宋体" w:cs="宋体"/>
          <w:color w:val="auto"/>
          <w:szCs w:val="21"/>
          <w:highlight w:val="none"/>
          <w:lang w:val="en-US" w:eastAsia="zh-CN"/>
        </w:rPr>
        <w:t>建立联合工作组机制：双方共同成立带教工作联合小组，甲方负责人担任组长。工作组每月召开一次例会，听取乙方关于带教工作进展的专题汇报，审议《跟岗进展报告》，协调解决带教过程中出现的问题。</w:t>
      </w:r>
    </w:p>
    <w:p w14:paraId="1F7B708E">
      <w:pPr>
        <w:pStyle w:val="53"/>
        <w:spacing w:line="360" w:lineRule="auto"/>
        <w:ind w:left="0" w:firstLine="42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实施“一人一策”档案管理：乙方须为每一位甲方学员建立并动态更新个人带教成长档案。档案应详细记录其培训课程完成情况、实操训练表现、阶段考核成绩、导师评价及能力短板改进跟踪等内容，作为过程管控的基础依据。</w:t>
      </w:r>
    </w:p>
    <w:p w14:paraId="6A42EFB7">
      <w:pPr>
        <w:pStyle w:val="53"/>
        <w:spacing w:line="360" w:lineRule="auto"/>
        <w:ind w:left="0" w:firstLine="42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（3）执行关键节点里程碑检查：在整个带教周期内，设定数个关键里程碑节点，在每个节点，由联合工作组对带教成果进行阶段性验收，验收通过后方可进入下一阶段。</w:t>
      </w:r>
    </w:p>
    <w:p w14:paraId="65D83394">
      <w:pPr>
        <w:pStyle w:val="53"/>
        <w:spacing w:line="360" w:lineRule="auto"/>
        <w:ind w:left="0" w:firstLine="42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（4）落实综合评估与反馈：甲方将依据本合同约定的带教服务过程考核内容，对乙方的带教方案执行、资源投入、导师履职及学员能力成长情况进行3次过程考核评估，评估结果与带教服务费用支付挂钩。</w:t>
      </w:r>
    </w:p>
    <w:p w14:paraId="59BC5009">
      <w:pPr>
        <w:pStyle w:val="53"/>
        <w:spacing w:line="360" w:lineRule="auto"/>
        <w:ind w:left="0" w:firstLine="42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强化双向沟通与动态调整：建立常态化的双向沟通渠道。除定期会议外，甲方学员可随时通过指定渠道向联合工作组反馈学习情况及诉求。联合工作组有权根据评估结果和实际情况，要求乙方对带教计划、方法或导师配置进行必要且合理的动态调整，以确保最终培养目标的实现。</w:t>
      </w:r>
    </w:p>
    <w:p w14:paraId="30B19779">
      <w:pPr>
        <w:pStyle w:val="53"/>
        <w:spacing w:line="360" w:lineRule="auto"/>
        <w:ind w:left="0" w:firstLine="42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5.1.3 成果要求：</w:t>
      </w:r>
    </w:p>
    <w:p w14:paraId="6FE04964">
      <w:pPr>
        <w:pStyle w:val="53"/>
        <w:spacing w:line="360" w:lineRule="auto"/>
        <w:ind w:left="0" w:firstLine="42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带教期满，乙方须向甲方交付成果，包含但不限于完整的《项目运营管理知识体系文件》，全套《项目设施设备运维与应急处理手册》，针对每位完成培养的学员出具的《岗位胜任能力评估报告》，《项目全周期运营管理方案》，《物业服务各模块（客服、工程、秩序、环境）标准化作业程序》，《项目品质检查标准与考核办法》，《内部绩效考核与激励机制方案》，《各条线台账》，完整的带教过程记录与总结报告等。</w:t>
      </w:r>
    </w:p>
    <w:p w14:paraId="76EC51BF">
      <w:pPr>
        <w:pStyle w:val="53"/>
        <w:spacing w:line="360" w:lineRule="auto"/>
        <w:ind w:left="0" w:firstLine="42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（2）带教期满，学员（储备项目负责人，工程、安保、环境、客服四大条线负责人，共计5人）通过考核。</w:t>
      </w:r>
    </w:p>
    <w:p w14:paraId="6D59919F">
      <w:pPr>
        <w:pStyle w:val="53"/>
        <w:spacing w:line="360" w:lineRule="auto"/>
        <w:ind w:left="0" w:firstLine="42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5.1.4 人员配置与资源保障：</w:t>
      </w:r>
    </w:p>
    <w:p w14:paraId="320C8443">
      <w:pPr>
        <w:pStyle w:val="53"/>
        <w:spacing w:line="360" w:lineRule="auto"/>
        <w:ind w:left="0" w:firstLine="42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带教团队：乙方应组建具备相应资质与经验的带教团队，按照带教学员“一对一”配置导师，导师需由乙方另行选派，不得由拟投入本项目的物业管理团队人员兼任，导师资历不低于物业团队同等岗位任职能力，并确保核心带教团队在合作期内的稳定性。</w:t>
      </w:r>
    </w:p>
    <w:p w14:paraId="4DBAFF28">
      <w:pPr>
        <w:pStyle w:val="53"/>
        <w:spacing w:line="360" w:lineRule="auto"/>
        <w:ind w:left="0" w:firstLine="42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（2）资源投入：乙方须承诺投入必要的培训资源，包括但不限于课程体系、教材、实操场地及设备，以支持带教工作的有效实施。</w:t>
      </w:r>
    </w:p>
    <w:p w14:paraId="6E27EFC8">
      <w:pPr>
        <w:spacing w:line="360" w:lineRule="auto"/>
        <w:ind w:firstLine="420" w:firstLineChars="20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color w:val="auto"/>
          <w:sz w:val="21"/>
          <w:szCs w:val="21"/>
          <w:highlight w:val="none"/>
          <w:lang w:val="en-US"/>
        </w:rPr>
        <w:t>5.</w:t>
      </w:r>
      <w:r>
        <w:rPr>
          <w:rFonts w:hint="eastAsia" w:ascii="宋体" w:hAnsi="宋体" w:eastAsia="宋体" w:cs="宋体"/>
          <w:b w:val="0"/>
          <w:bCs w:val="0"/>
          <w:color w:val="auto"/>
          <w:sz w:val="21"/>
          <w:szCs w:val="21"/>
          <w:highlight w:val="none"/>
          <w:lang w:val="en-US"/>
        </w:rPr>
        <w:t xml:space="preserve">2 </w:t>
      </w:r>
      <w:r>
        <w:rPr>
          <w:rFonts w:hint="eastAsia" w:ascii="宋体" w:hAnsi="宋体" w:eastAsia="宋体" w:cs="宋体"/>
          <w:b w:val="0"/>
          <w:bCs w:val="0"/>
          <w:color w:val="auto"/>
          <w:sz w:val="21"/>
          <w:szCs w:val="21"/>
          <w:highlight w:val="none"/>
          <w:lang w:val="en-US" w:eastAsia="zh-CN"/>
        </w:rPr>
        <w:t>物业管理</w:t>
      </w:r>
      <w:r>
        <w:rPr>
          <w:rFonts w:hint="eastAsia" w:ascii="宋体" w:hAnsi="宋体" w:eastAsia="宋体" w:cs="宋体"/>
          <w:b w:val="0"/>
          <w:bCs w:val="0"/>
          <w:color w:val="auto"/>
          <w:sz w:val="21"/>
          <w:szCs w:val="21"/>
          <w:highlight w:val="none"/>
          <w:lang w:val="en-US"/>
        </w:rPr>
        <w:t>运营要求：</w:t>
      </w:r>
    </w:p>
    <w:p w14:paraId="1C2D2BF7">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5.2.1 客户服务管理</w:t>
      </w:r>
    </w:p>
    <w:p w14:paraId="07E47820">
      <w:pPr>
        <w:pStyle w:val="18"/>
        <w:spacing w:line="360" w:lineRule="auto"/>
        <w:ind w:firstLine="42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（1）客户服务实行前台一站式物业服务，主要提供物业服务咨询、来访登记、受理日常物业使用人报修和投诉等</w:t>
      </w:r>
      <w:r>
        <w:rPr>
          <w:rFonts w:hint="eastAsia" w:ascii="宋体" w:hAnsi="宋体" w:eastAsia="宋体" w:cs="宋体"/>
          <w:b w:val="0"/>
          <w:bCs w:val="0"/>
          <w:color w:val="auto"/>
          <w:sz w:val="21"/>
          <w:szCs w:val="21"/>
          <w:highlight w:val="none"/>
          <w:lang w:val="en-US" w:eastAsia="zh-CN"/>
        </w:rPr>
        <w:t>；大堂前台礼宾接待，参观、讲解引导服务</w:t>
      </w:r>
      <w:r>
        <w:rPr>
          <w:rFonts w:hint="eastAsia" w:ascii="宋体" w:hAnsi="宋体" w:eastAsia="宋体" w:cs="宋体"/>
          <w:b w:val="0"/>
          <w:bCs w:val="0"/>
          <w:color w:val="auto"/>
          <w:sz w:val="21"/>
          <w:szCs w:val="21"/>
          <w:highlight w:val="none"/>
          <w:lang w:val="en-US"/>
        </w:rPr>
        <w:t>。</w:t>
      </w:r>
    </w:p>
    <w:p w14:paraId="6EE3BC73">
      <w:pPr>
        <w:pStyle w:val="18"/>
        <w:spacing w:line="360" w:lineRule="auto"/>
        <w:ind w:firstLine="42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（2）办理物业使用人入驻、迁出手续，以及办理物业使用人室内装修申请及验收，并建立相关单元资料档案，形成系统历史记录。</w:t>
      </w:r>
    </w:p>
    <w:p w14:paraId="252BCF8A">
      <w:pPr>
        <w:pStyle w:val="18"/>
        <w:spacing w:line="360" w:lineRule="auto"/>
        <w:ind w:firstLine="42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（3）负责大堂道闸卡、停车卡等卡证办理业务，提供物品放行条开具、物品临时寄存等特约委托服务及便民服务等多元化增值服务。</w:t>
      </w:r>
    </w:p>
    <w:p w14:paraId="57531659">
      <w:pPr>
        <w:pStyle w:val="18"/>
        <w:spacing w:line="360" w:lineRule="auto"/>
        <w:ind w:firstLine="42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（4）负责物业使用人的物业费催缴、访谈、动态信息收集等工作。</w:t>
      </w:r>
    </w:p>
    <w:p w14:paraId="0A7FB609">
      <w:pPr>
        <w:pStyle w:val="18"/>
        <w:spacing w:line="360" w:lineRule="auto"/>
        <w:ind w:firstLine="42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（5）设立服务电话，接收甲方和其他物业使用人对物业管理服务报修、求助、建议、问询、质疑、投诉等各类信息，做好信息收集、反馈和及时处理，建立回访制度和记录。</w:t>
      </w:r>
    </w:p>
    <w:p w14:paraId="2F8FF5FC">
      <w:pPr>
        <w:pStyle w:val="18"/>
        <w:spacing w:line="360" w:lineRule="auto"/>
        <w:ind w:firstLine="42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rPr>
        <w:t>（6）</w:t>
      </w:r>
      <w:r>
        <w:rPr>
          <w:rFonts w:hint="eastAsia" w:ascii="宋体" w:hAnsi="宋体" w:eastAsia="宋体" w:cs="宋体"/>
          <w:b w:val="0"/>
          <w:bCs w:val="0"/>
          <w:color w:val="auto"/>
          <w:sz w:val="21"/>
          <w:szCs w:val="21"/>
          <w:highlight w:val="none"/>
          <w:lang w:val="en-US" w:eastAsia="zh-CN"/>
        </w:rPr>
        <w:t>快递收发。</w:t>
      </w:r>
    </w:p>
    <w:p w14:paraId="29E0F6B5">
      <w:pPr>
        <w:pStyle w:val="18"/>
        <w:spacing w:line="360" w:lineRule="auto"/>
        <w:ind w:firstLine="42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eastAsia="zh-CN"/>
        </w:rPr>
        <w:t>（7）水业大厦三楼公共会议室的会议服务，会议设备的日常巡检，保证各类会议及接待活动的顺利进行</w:t>
      </w:r>
      <w:r>
        <w:rPr>
          <w:rFonts w:hint="eastAsia" w:ascii="宋体" w:hAnsi="宋体" w:eastAsia="宋体" w:cs="宋体"/>
          <w:b w:val="0"/>
          <w:bCs w:val="0"/>
          <w:color w:val="auto"/>
          <w:sz w:val="21"/>
          <w:szCs w:val="21"/>
          <w:highlight w:val="none"/>
          <w:lang w:val="en-US"/>
        </w:rPr>
        <w:t>。</w:t>
      </w:r>
    </w:p>
    <w:p w14:paraId="76DEAA02">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5.2.2 安全保卫管理</w:t>
      </w:r>
    </w:p>
    <w:p w14:paraId="3FE4D7FB">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（1）全天24小时对本项目辖区范围内的治安情况进行巡查和保卫，熟练并灵活运用安防监控系统，对重点部位、监控点位进行监视及录像工作。</w:t>
      </w:r>
    </w:p>
    <w:p w14:paraId="218F7D7F">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（2）物业管理服务范围内出现扰乱正常安全秩序的情况或突发事（案）件时应及时处理，必要时联系所属街道或当地公安机关处理，同时对现场进行妥善保护，并协助做好善后处理工作。</w:t>
      </w:r>
    </w:p>
    <w:p w14:paraId="274B8150">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（3）对出入口和周边环境进行实时监控，严防外来人员违规进入本项目，密切监视可疑人员出入动态。非办公时间对进入办公区的人员实行出入登记，严禁未经申请的外来人员进入本项目。</w:t>
      </w:r>
    </w:p>
    <w:p w14:paraId="01BF5B23">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（4）对携带大件行李或物品离开本大厦的，外来人员需提供“放行条”检查，对物业使用人需实施登记制度。</w:t>
      </w:r>
    </w:p>
    <w:p w14:paraId="70742D5C">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（5）快递、外卖人员需将快递或外卖放置于首层外围的快递柜和快餐柜，由物业使用人自行前往收取。</w:t>
      </w:r>
    </w:p>
    <w:p w14:paraId="239C8C57">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（6）对进出停车场的所有车辆车牌实行系统识别，记录车辆的进出时间和车容车貌（完损程度）情况，熟知熟记甲方内部车辆信息。</w:t>
      </w:r>
    </w:p>
    <w:p w14:paraId="7171B080">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负责本项目的人流、车流疏导工作。在办公时间内，积极协助大堂客服人员做好外来人员的咨询和指引工作，引导乘坐电梯人员分流，并积极帮助伤残、高龄、行动不便人员乘坐电梯到达所需楼层。高峰期对出入本项目的车辆进行疏导，避免造成交通拥堵。</w:t>
      </w:r>
    </w:p>
    <w:p w14:paraId="5E8DA178">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认真贯彻“预防为主，防消结合”的方针，按照政府部门及甲方相关消防管理规定，设立消防组织机构，落实各级消防责任人，加强消防日常检查，设立消防疏散示意图，保证紧急疏散通道通畅，确保无消防安全隐患，制定较为完善的本项目消防安全应急预案，定期开展义务消防宣传教育。</w:t>
      </w:r>
    </w:p>
    <w:p w14:paraId="6DAC3FF0">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协助甲方开展各类活动、接待、重要会议等任务的安全保卫工作，必要时提供人力支援加强现场管理。根据甲方要求，按照“特殊敏感时期保卫方案”，包括但不限于做好防疫工作，以及对甲方的安全、防护、保卫等其他各项工作。</w:t>
      </w:r>
    </w:p>
    <w:p w14:paraId="718D3A5C">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（10）重大节日前主动进行节日安全大检查，并及时对问题点及时进行整改。</w:t>
      </w:r>
    </w:p>
    <w:p w14:paraId="12D9D4C9">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每隔2小时对物业重点部位巡更点进行安全巡查一次，每2小时对停车场、车辆巡视一次。发现进入办公区域的陌生人员，及时查问，严防不法行为的发生；检查本项目内重点部位及各层（包括空置单元）门、窗、设备设施、水电、消防等情况；检查停车场车辆窗门是否关好，是否有漏油等情况，保证车辆停放安全。</w:t>
      </w:r>
    </w:p>
    <w:p w14:paraId="0C0AD300">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）建立安全三级检查制度</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项目经理每月检查各部门贯彻安全工作的执行、落实情况，特别是重点部位安全管理制度的落实情况。</w:t>
      </w:r>
    </w:p>
    <w:p w14:paraId="4B6711FB">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）重点防火部位管理要点：</w:t>
      </w:r>
    </w:p>
    <w:p w14:paraId="215AB399">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 食堂区域，食堂存在的火灾隐患较多，除严格按甲方规章制度实施管理外，应加大消防检查力度，特别对厨房易污染的烟感、温感、喷淋头经常进行清洗，保持设备设施的正常工作状态；定期对食堂排烟道的油垢进行检查，督促食堂管理人员定期清理，避免火灾。经常检查燃气的管道及炉头、点火器具，定期邀请燃气公司的专业人员前来检查，并及时调整或更换不合格的零配件；严禁用潮湿或浸水物品操作电动机械加工食品，离开或下班时要及时关闭照明电源和不必要使用的动力电源。</w:t>
      </w:r>
    </w:p>
    <w:p w14:paraId="2EFA4E92">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 设备房（如柴油发电机房、数据机房等）区域严禁吸烟，工作需用燃物要事先除火源，工作中要防止易燃易爆物外泄，机房内不得存放易燃易爆物品。在当值期间，应注意检查机房内的灭火自救措施，并指导员工掌握各种灭火器械的使用和各种消防信号的正确使用方法。值班人员巡查、记录责任管辖区域内消防报警器和设备的情况，并及时记录报告情况。机房内的楼梯、走道、出入口要保持畅通无阻，严禁随意堆放物件。机房内的防火设施必须保持完整好用且要定期检查、保养，确保使用时不出故障。发生电气火灾时，要即时上报消防中心，施救时应坚持“先断电，后灭火”原则，并采取相应的灭火措施。灭火后，要详细记录火灾成因及灭火情况，书面上报甲方和乙方负责人。</w:t>
      </w:r>
    </w:p>
    <w:p w14:paraId="5E8F9B3B">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 商业区域：商铺门面大多可燃物多，应注意检查消除商铺门店的火灾隐患。商铺内安装有报警、喷淋等消防设施的，要定期检查测试，确保完整好用。规范用电，严禁乱拉电线，用铜、铁线代替保险丝，严禁电动车入户充电。不随意堆放可燃易燃易爆物品，配备相应的灭火器材，加强日常安检。严禁违规封闭安全出口、占用疏散通道、安装防盗铁窗或铁栅栏。装修应尽量使用难燃不燃的材料，禁止使用聚氨酯类以及在燃烧后产生大量有毒烟气的材料。严禁夜间在店铺内住宿，离开时确保断电。发现火灾隐患应及时排除，出现火灾应及时组织本部门员工进行扑救，并及时汇报，未经许可不可撤除、清理火灾现场。</w:t>
      </w:r>
    </w:p>
    <w:p w14:paraId="633759C0">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5.2.3 清洁卫生管理</w:t>
      </w:r>
    </w:p>
    <w:p w14:paraId="35EE3212">
      <w:pPr>
        <w:spacing w:line="360" w:lineRule="auto"/>
        <w:ind w:firstLine="42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服务范围为水业大厦规划红线范围的区域，委托内容包括但不限于以下内容：</w:t>
      </w:r>
    </w:p>
    <w:p w14:paraId="375B95C6">
      <w:pPr>
        <w:spacing w:line="360" w:lineRule="auto"/>
        <w:ind w:firstLine="420"/>
        <w:jc w:val="left"/>
        <w:rPr>
          <w:rFonts w:hint="eastAsia" w:ascii="宋体" w:hAnsi="宋体" w:eastAsia="宋体" w:cs="宋体"/>
          <w:b w:val="0"/>
          <w:bCs w:val="0"/>
          <w:color w:val="auto"/>
          <w:szCs w:val="21"/>
          <w:highlight w:val="none"/>
          <w:lang w:eastAsia="zh-CN"/>
        </w:rPr>
      </w:pPr>
      <w:r>
        <w:rPr>
          <w:rFonts w:hint="eastAsia" w:ascii="宋体" w:hAnsi="宋体" w:eastAsia="宋体" w:cs="宋体"/>
          <w:color w:val="auto"/>
          <w:szCs w:val="21"/>
          <w:highlight w:val="none"/>
        </w:rPr>
        <w:t>（1）建筑物内日常清洁服务：塔楼除</w:t>
      </w:r>
      <w:r>
        <w:rPr>
          <w:rFonts w:hint="eastAsia" w:ascii="宋体" w:hAnsi="宋体" w:eastAsia="宋体" w:cs="宋体"/>
          <w:color w:val="auto"/>
          <w:szCs w:val="21"/>
          <w:highlight w:val="none"/>
          <w:lang w:val="en-US" w:eastAsia="zh-CN"/>
        </w:rPr>
        <w:t>租赁</w:t>
      </w:r>
      <w:r>
        <w:rPr>
          <w:rFonts w:hint="eastAsia" w:ascii="宋体" w:hAnsi="宋体" w:eastAsia="宋体" w:cs="宋体"/>
          <w:color w:val="auto"/>
          <w:szCs w:val="21"/>
          <w:highlight w:val="none"/>
        </w:rPr>
        <w:t>区域外所有</w:t>
      </w:r>
      <w:r>
        <w:rPr>
          <w:rFonts w:hint="eastAsia" w:ascii="宋体" w:hAnsi="宋体" w:eastAsia="宋体" w:cs="宋体"/>
          <w:color w:val="auto"/>
          <w:szCs w:val="21"/>
          <w:highlight w:val="none"/>
          <w:lang w:val="en-US" w:eastAsia="zh-CN"/>
        </w:rPr>
        <w:t>公共</w:t>
      </w:r>
      <w:r>
        <w:rPr>
          <w:rFonts w:hint="eastAsia" w:ascii="宋体" w:hAnsi="宋体" w:eastAsia="宋体" w:cs="宋体"/>
          <w:color w:val="auto"/>
          <w:szCs w:val="21"/>
          <w:highlight w:val="none"/>
        </w:rPr>
        <w:t>区域的清洁卫生，包含</w:t>
      </w:r>
      <w:r>
        <w:rPr>
          <w:rFonts w:hint="eastAsia" w:ascii="宋体" w:hAnsi="宋体" w:eastAsia="宋体" w:cs="宋体"/>
          <w:color w:val="auto"/>
          <w:szCs w:val="21"/>
          <w:highlight w:val="none"/>
          <w:lang w:val="en-US" w:eastAsia="zh-CN"/>
        </w:rPr>
        <w:t>公共走廊、电梯间、洗手间、消防通道、茶水间、清洁间、屋面等</w:t>
      </w:r>
      <w:r>
        <w:rPr>
          <w:rFonts w:hint="eastAsia" w:ascii="宋体" w:hAnsi="宋体" w:eastAsia="宋体" w:cs="宋体"/>
          <w:color w:val="auto"/>
          <w:szCs w:val="21"/>
          <w:highlight w:val="none"/>
        </w:rPr>
        <w:t>；裙楼除</w:t>
      </w:r>
      <w:r>
        <w:rPr>
          <w:rFonts w:hint="eastAsia" w:ascii="宋体" w:hAnsi="宋体" w:eastAsia="宋体" w:cs="宋体"/>
          <w:color w:val="auto"/>
          <w:szCs w:val="21"/>
          <w:highlight w:val="none"/>
          <w:lang w:val="en-US" w:eastAsia="zh-CN"/>
        </w:rPr>
        <w:t>食堂</w:t>
      </w:r>
      <w:r>
        <w:rPr>
          <w:rFonts w:hint="eastAsia" w:ascii="宋体" w:hAnsi="宋体" w:eastAsia="宋体" w:cs="宋体"/>
          <w:color w:val="auto"/>
          <w:szCs w:val="21"/>
          <w:highlight w:val="none"/>
        </w:rPr>
        <w:t>区域外的所有</w:t>
      </w:r>
      <w:r>
        <w:rPr>
          <w:rFonts w:hint="eastAsia" w:ascii="宋体" w:hAnsi="宋体" w:eastAsia="宋体" w:cs="宋体"/>
          <w:color w:val="auto"/>
          <w:szCs w:val="21"/>
          <w:highlight w:val="none"/>
          <w:lang w:val="en-US" w:eastAsia="zh-CN"/>
        </w:rPr>
        <w:t>公共</w:t>
      </w:r>
      <w:r>
        <w:rPr>
          <w:rFonts w:hint="eastAsia" w:ascii="宋体" w:hAnsi="宋体" w:eastAsia="宋体" w:cs="宋体"/>
          <w:color w:val="auto"/>
          <w:szCs w:val="21"/>
          <w:highlight w:val="none"/>
        </w:rPr>
        <w:t>区域清洁卫生，</w:t>
      </w:r>
      <w:r>
        <w:rPr>
          <w:rFonts w:hint="eastAsia" w:ascii="宋体" w:hAnsi="宋体" w:eastAsia="宋体" w:cs="宋体"/>
          <w:color w:val="auto"/>
          <w:szCs w:val="21"/>
          <w:highlight w:val="none"/>
          <w:lang w:val="en-US" w:eastAsia="zh-CN"/>
        </w:rPr>
        <w:t>包含大堂、物业业务办公</w:t>
      </w:r>
      <w:r>
        <w:rPr>
          <w:rFonts w:hint="eastAsia" w:ascii="宋体" w:hAnsi="宋体" w:eastAsia="宋体" w:cs="宋体"/>
          <w:b w:val="0"/>
          <w:bCs w:val="0"/>
          <w:color w:val="auto"/>
          <w:szCs w:val="21"/>
          <w:highlight w:val="none"/>
          <w:lang w:val="en-US" w:eastAsia="zh-CN"/>
        </w:rPr>
        <w:t>用房、功能用房（如消防控制室，配电室等）；</w:t>
      </w:r>
      <w:r>
        <w:rPr>
          <w:rFonts w:hint="eastAsia" w:ascii="宋体" w:hAnsi="宋体" w:eastAsia="宋体" w:cs="宋体"/>
          <w:b w:val="0"/>
          <w:bCs w:val="0"/>
          <w:color w:val="auto"/>
          <w:szCs w:val="21"/>
          <w:highlight w:val="none"/>
        </w:rPr>
        <w:t>地下车库</w:t>
      </w:r>
      <w:r>
        <w:rPr>
          <w:rFonts w:hint="eastAsia" w:ascii="宋体" w:hAnsi="宋体" w:eastAsia="宋体" w:cs="宋体"/>
          <w:b w:val="0"/>
          <w:bCs w:val="0"/>
          <w:color w:val="auto"/>
          <w:szCs w:val="21"/>
          <w:highlight w:val="none"/>
          <w:lang w:val="en-US" w:eastAsia="zh-CN"/>
        </w:rPr>
        <w:t>、项目外广场地面、幕墙等</w:t>
      </w:r>
      <w:r>
        <w:rPr>
          <w:rFonts w:hint="eastAsia" w:ascii="宋体" w:hAnsi="宋体" w:eastAsia="宋体" w:cs="宋体"/>
          <w:b w:val="0"/>
          <w:bCs w:val="0"/>
          <w:color w:val="auto"/>
          <w:szCs w:val="21"/>
          <w:highlight w:val="none"/>
        </w:rPr>
        <w:t>区域的清洁卫生</w:t>
      </w:r>
      <w:r>
        <w:rPr>
          <w:rFonts w:hint="eastAsia" w:ascii="宋体" w:hAnsi="宋体" w:eastAsia="宋体" w:cs="宋体"/>
          <w:b w:val="0"/>
          <w:bCs w:val="0"/>
          <w:color w:val="auto"/>
          <w:szCs w:val="21"/>
          <w:highlight w:val="none"/>
          <w:lang w:eastAsia="zh-CN"/>
        </w:rPr>
        <w:t>。</w:t>
      </w:r>
    </w:p>
    <w:p w14:paraId="58375336">
      <w:pPr>
        <w:spacing w:line="360" w:lineRule="auto"/>
        <w:ind w:firstLine="420"/>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（2）</w:t>
      </w:r>
      <w:r>
        <w:rPr>
          <w:rFonts w:hint="eastAsia" w:ascii="宋体" w:hAnsi="宋体" w:eastAsia="宋体" w:cs="宋体"/>
          <w:b w:val="0"/>
          <w:bCs w:val="0"/>
          <w:color w:val="auto"/>
          <w:szCs w:val="21"/>
          <w:highlight w:val="none"/>
          <w:lang w:val="en-US" w:eastAsia="zh-CN"/>
        </w:rPr>
        <w:t>A塔7-11层由酒店自行管理，乙方负责消防通道的卫生保洁</w:t>
      </w:r>
      <w:r>
        <w:rPr>
          <w:rFonts w:hint="eastAsia" w:ascii="宋体" w:hAnsi="宋体" w:eastAsia="宋体" w:cs="宋体"/>
          <w:b w:val="0"/>
          <w:bCs w:val="0"/>
          <w:color w:val="auto"/>
          <w:szCs w:val="21"/>
          <w:highlight w:val="none"/>
        </w:rPr>
        <w:t>。</w:t>
      </w:r>
    </w:p>
    <w:p w14:paraId="6DDE0936">
      <w:pPr>
        <w:spacing w:line="360" w:lineRule="auto"/>
        <w:ind w:firstLine="420"/>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（3）</w:t>
      </w:r>
      <w:r>
        <w:rPr>
          <w:rFonts w:hint="eastAsia" w:ascii="宋体" w:hAnsi="宋体" w:eastAsia="宋体" w:cs="宋体"/>
          <w:b w:val="0"/>
          <w:bCs w:val="0"/>
          <w:color w:val="auto"/>
          <w:szCs w:val="21"/>
          <w:highlight w:val="none"/>
          <w:lang w:val="en-US" w:eastAsia="zh-CN"/>
        </w:rPr>
        <w:t>甲方集团内部各企业办公区域(不含公共区域)保洁，各企业可自愿选择与乙方按照合同保洁员人工单价另行签订服务合同实施，费用由各企业承担，具体对接及管理由各企业与乙方自行负责。</w:t>
      </w:r>
    </w:p>
    <w:p w14:paraId="34B7EFEB">
      <w:pPr>
        <w:pStyle w:val="18"/>
        <w:spacing w:line="360" w:lineRule="auto"/>
        <w:ind w:firstLine="42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w:t>
      </w: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rPr>
        <w:t>）对于突发事件引起的情况（如恶性传染病或者流感等），应做好管理区域内的卫生及日常消杀、消毒工作，确保工作环境安全。</w:t>
      </w:r>
    </w:p>
    <w:p w14:paraId="01F9EA49">
      <w:pPr>
        <w:pStyle w:val="18"/>
        <w:spacing w:line="360" w:lineRule="auto"/>
        <w:ind w:firstLine="42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rPr>
        <w:t>）公共区域卫生间消耗品要求与标准</w:t>
      </w:r>
    </w:p>
    <w:p w14:paraId="0EED0370">
      <w:pPr>
        <w:pStyle w:val="18"/>
        <w:spacing w:line="360" w:lineRule="auto"/>
        <w:ind w:firstLine="42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① 公共区域卫生间消耗品实行按需提供方式，乙方应按实际情况根据日常或特殊时期的使用习惯提供足够的卫生间消耗品（一般为平时每日3次，节假日每日2次，实际使用过程中应按需调整卫生消耗品的提供次数和用量）。</w:t>
      </w:r>
    </w:p>
    <w:p w14:paraId="631FF981">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 卫生消耗品的品牌质量档次不得低于以下参考品牌：</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
        <w:gridCol w:w="2500"/>
        <w:gridCol w:w="4557"/>
      </w:tblGrid>
      <w:tr w14:paraId="0BF4D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noWrap w:val="0"/>
            <w:vAlign w:val="center"/>
          </w:tcPr>
          <w:p w14:paraId="30E3B6F2">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500" w:type="dxa"/>
            <w:noWrap w:val="0"/>
            <w:vAlign w:val="center"/>
          </w:tcPr>
          <w:p w14:paraId="05FFFD90">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消耗品名称</w:t>
            </w:r>
          </w:p>
        </w:tc>
        <w:tc>
          <w:tcPr>
            <w:tcW w:w="4557" w:type="dxa"/>
            <w:noWrap w:val="0"/>
            <w:vAlign w:val="center"/>
          </w:tcPr>
          <w:p w14:paraId="3B66521A">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参考品牌</w:t>
            </w:r>
          </w:p>
        </w:tc>
      </w:tr>
      <w:tr w14:paraId="4198D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noWrap w:val="0"/>
            <w:vAlign w:val="center"/>
          </w:tcPr>
          <w:p w14:paraId="6577071E">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500" w:type="dxa"/>
            <w:noWrap w:val="0"/>
            <w:vAlign w:val="center"/>
          </w:tcPr>
          <w:p w14:paraId="000C73E5">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清洁剂</w:t>
            </w:r>
          </w:p>
        </w:tc>
        <w:tc>
          <w:tcPr>
            <w:tcW w:w="4557" w:type="dxa"/>
            <w:noWrap w:val="0"/>
            <w:vAlign w:val="center"/>
          </w:tcPr>
          <w:p w14:paraId="088C323D">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威猛先生、蓝月亮、绿伞</w:t>
            </w:r>
          </w:p>
        </w:tc>
      </w:tr>
      <w:tr w14:paraId="7F4FE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6" w:type="dxa"/>
            <w:noWrap w:val="0"/>
            <w:vAlign w:val="center"/>
          </w:tcPr>
          <w:p w14:paraId="0594EF6C">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500" w:type="dxa"/>
            <w:noWrap w:val="0"/>
            <w:vAlign w:val="center"/>
          </w:tcPr>
          <w:p w14:paraId="431ED6C8">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消毒剂</w:t>
            </w:r>
          </w:p>
        </w:tc>
        <w:tc>
          <w:tcPr>
            <w:tcW w:w="4557" w:type="dxa"/>
            <w:noWrap w:val="0"/>
            <w:vAlign w:val="center"/>
          </w:tcPr>
          <w:p w14:paraId="13E035B1">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威露士、滴露、蓝月亮</w:t>
            </w:r>
          </w:p>
        </w:tc>
      </w:tr>
      <w:tr w14:paraId="44646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noWrap w:val="0"/>
            <w:vAlign w:val="center"/>
          </w:tcPr>
          <w:p w14:paraId="3FFDF69F">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500" w:type="dxa"/>
            <w:noWrap w:val="0"/>
            <w:vAlign w:val="center"/>
          </w:tcPr>
          <w:p w14:paraId="042B377C">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除臭剂</w:t>
            </w:r>
          </w:p>
        </w:tc>
        <w:tc>
          <w:tcPr>
            <w:tcW w:w="4557" w:type="dxa"/>
            <w:noWrap w:val="0"/>
            <w:vAlign w:val="center"/>
          </w:tcPr>
          <w:p w14:paraId="71D4DEF9">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小林制药、花仙子、老管家</w:t>
            </w:r>
          </w:p>
        </w:tc>
      </w:tr>
      <w:tr w14:paraId="2D30E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noWrap w:val="0"/>
            <w:vAlign w:val="center"/>
          </w:tcPr>
          <w:p w14:paraId="5A27A7F7">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2500" w:type="dxa"/>
            <w:noWrap w:val="0"/>
            <w:vAlign w:val="center"/>
          </w:tcPr>
          <w:p w14:paraId="415E9228">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洗手液</w:t>
            </w:r>
          </w:p>
        </w:tc>
        <w:tc>
          <w:tcPr>
            <w:tcW w:w="4557" w:type="dxa"/>
            <w:noWrap w:val="0"/>
            <w:vAlign w:val="center"/>
          </w:tcPr>
          <w:p w14:paraId="105080BF">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蓝月亮、威露士、滴露</w:t>
            </w:r>
          </w:p>
        </w:tc>
      </w:tr>
      <w:tr w14:paraId="7DA3E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noWrap w:val="0"/>
            <w:vAlign w:val="center"/>
          </w:tcPr>
          <w:p w14:paraId="4C22D687">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2500" w:type="dxa"/>
            <w:noWrap w:val="0"/>
            <w:vAlign w:val="center"/>
          </w:tcPr>
          <w:p w14:paraId="412330C0">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大卷纸</w:t>
            </w:r>
          </w:p>
        </w:tc>
        <w:tc>
          <w:tcPr>
            <w:tcW w:w="4557" w:type="dxa"/>
            <w:noWrap w:val="0"/>
            <w:vAlign w:val="center"/>
          </w:tcPr>
          <w:p w14:paraId="0634C0C4">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维达、心相印、清风</w:t>
            </w:r>
          </w:p>
        </w:tc>
      </w:tr>
      <w:tr w14:paraId="1C614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noWrap w:val="0"/>
            <w:vAlign w:val="center"/>
          </w:tcPr>
          <w:p w14:paraId="53BD3033">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2500" w:type="dxa"/>
            <w:noWrap w:val="0"/>
            <w:vAlign w:val="center"/>
          </w:tcPr>
          <w:p w14:paraId="7FA99335">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擦手纸</w:t>
            </w:r>
          </w:p>
        </w:tc>
        <w:tc>
          <w:tcPr>
            <w:tcW w:w="4557" w:type="dxa"/>
            <w:noWrap w:val="0"/>
            <w:vAlign w:val="center"/>
          </w:tcPr>
          <w:p w14:paraId="750E230E">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维达、心相印、清风</w:t>
            </w:r>
          </w:p>
        </w:tc>
      </w:tr>
      <w:tr w14:paraId="6E6A8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noWrap w:val="0"/>
            <w:vAlign w:val="center"/>
          </w:tcPr>
          <w:p w14:paraId="412501FD">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2500" w:type="dxa"/>
            <w:noWrap w:val="0"/>
            <w:vAlign w:val="center"/>
          </w:tcPr>
          <w:p w14:paraId="4A28425C">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坐厕纸</w:t>
            </w:r>
          </w:p>
        </w:tc>
        <w:tc>
          <w:tcPr>
            <w:tcW w:w="4557" w:type="dxa"/>
            <w:noWrap w:val="0"/>
            <w:vAlign w:val="center"/>
          </w:tcPr>
          <w:p w14:paraId="3BA9D615">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香臣、得力、无印良品</w:t>
            </w:r>
          </w:p>
        </w:tc>
      </w:tr>
    </w:tbl>
    <w:p w14:paraId="7E5C2EDF">
      <w:pPr>
        <w:spacing w:line="360" w:lineRule="auto"/>
        <w:ind w:firstLine="420"/>
        <w:jc w:val="left"/>
        <w:rPr>
          <w:rFonts w:hint="eastAsia" w:ascii="宋体" w:hAnsi="宋体" w:eastAsia="宋体" w:cs="宋体"/>
          <w:b w:val="0"/>
          <w:bCs w:val="0"/>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b w:val="0"/>
          <w:bCs w:val="0"/>
          <w:color w:val="auto"/>
          <w:szCs w:val="21"/>
          <w:highlight w:val="none"/>
        </w:rPr>
        <w:t>2.4 园林绿化的养护和管理</w:t>
      </w:r>
    </w:p>
    <w:p w14:paraId="6748EC5E">
      <w:pPr>
        <w:pStyle w:val="18"/>
        <w:spacing w:line="360" w:lineRule="auto"/>
        <w:ind w:firstLine="42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1）日常花卉栽培养护管理要求每天巡查2次，发现问题及时处理。每天1次在责任区内除杂草、落叶，观察植物生长情况，每月一次松土、施肥，绿化地无明显黄土裸露；绿化植被应叶片茂盛，枝条均匀，花朵鲜艳，成活率达95%以上，绿化完好率达99%以上，大树、名木成活率达100％。</w:t>
      </w:r>
    </w:p>
    <w:p w14:paraId="2FF85345">
      <w:pPr>
        <w:pStyle w:val="18"/>
        <w:spacing w:line="360" w:lineRule="auto"/>
        <w:ind w:firstLine="42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（2）施肥：乔木、灌木每年12月15日前施基肥，3月15日前施追肥各一次；草坪在每年3月15日前和9月15日前各施肥一次，根据实际情况需要可进行追补施肥；花卉每月施肥二次，酌情补追。</w:t>
      </w:r>
    </w:p>
    <w:p w14:paraId="0B990B8A">
      <w:pPr>
        <w:pStyle w:val="18"/>
        <w:spacing w:line="360" w:lineRule="auto"/>
        <w:ind w:firstLine="42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（3）浇水：花卉类植物每天早或晚浇水一次，干旱时可适当多浇水；树木草坪在旱季时应适时补浇水。</w:t>
      </w:r>
    </w:p>
    <w:p w14:paraId="5D18D06C">
      <w:pPr>
        <w:pStyle w:val="18"/>
        <w:spacing w:line="360" w:lineRule="auto"/>
        <w:ind w:firstLine="42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4）防病虫害：树木类绿化物每季度喷打一次药，早发现虫害早喷打药物；草坪夏、秋季各打药一次，早发现早喷打药物；花卉类绿化物每月喷药一次，早发现早喷打药；做好病虫害的防治，随时发现随时治理，虫害高发期，酌情增打药物次数。</w:t>
      </w:r>
    </w:p>
    <w:p w14:paraId="39FC5FBB">
      <w:pPr>
        <w:pStyle w:val="18"/>
        <w:spacing w:line="360" w:lineRule="auto"/>
        <w:ind w:firstLine="42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（5）行道树下缘线整齐，修剪适度，干直冠美，无死树缺枝，无枯枝残叶，景观效果优良。</w:t>
      </w:r>
    </w:p>
    <w:p w14:paraId="29780116">
      <w:pPr>
        <w:spacing w:line="360" w:lineRule="auto"/>
        <w:ind w:firstLine="420"/>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5.2.</w:t>
      </w:r>
      <w:r>
        <w:rPr>
          <w:rFonts w:hint="eastAsia" w:ascii="宋体" w:hAnsi="宋体" w:eastAsia="宋体" w:cs="宋体"/>
          <w:b w:val="0"/>
          <w:bCs w:val="0"/>
          <w:color w:val="auto"/>
          <w:szCs w:val="21"/>
          <w:highlight w:val="none"/>
          <w:lang w:val="en-US" w:eastAsia="zh-CN"/>
        </w:rPr>
        <w:t>5</w:t>
      </w:r>
      <w:r>
        <w:rPr>
          <w:rFonts w:hint="eastAsia" w:ascii="宋体" w:hAnsi="宋体" w:eastAsia="宋体" w:cs="宋体"/>
          <w:b w:val="0"/>
          <w:bCs w:val="0"/>
          <w:color w:val="auto"/>
          <w:szCs w:val="21"/>
          <w:highlight w:val="none"/>
        </w:rPr>
        <w:t xml:space="preserve"> 空调系统维护保养管理</w:t>
      </w:r>
    </w:p>
    <w:p w14:paraId="4E47EC3E">
      <w:pPr>
        <w:pStyle w:val="18"/>
        <w:spacing w:line="360" w:lineRule="auto"/>
        <w:ind w:firstLine="42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建立规范完善的空调运行制度和维修保养制度并严格执行；空调系统安全、正常，保持状况良好。设备及环境整洁，无异常噪声及滴漏水现象；有准确完整的空调系统档案资料，各项运行记录和维修保养记录齐全，并归档保存。制定切实可行节能运行制度，有明显节能降耗成果。</w:t>
      </w:r>
    </w:p>
    <w:p w14:paraId="3A82C789">
      <w:pPr>
        <w:pStyle w:val="18"/>
        <w:spacing w:line="360" w:lineRule="auto"/>
        <w:ind w:firstLine="42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5.2.</w:t>
      </w: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rPr>
        <w:t xml:space="preserve"> 消防系统维护保养管理</w:t>
      </w:r>
    </w:p>
    <w:p w14:paraId="5F2F649E">
      <w:pPr>
        <w:pStyle w:val="18"/>
        <w:spacing w:line="360" w:lineRule="auto"/>
        <w:ind w:firstLine="42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rPr>
        <w:t>）本项目设置一间消防控制室，要求乙方全天24小时消防中心值班，24小时消防主机监管，消防中心值班人员每班不得少于2人（消防值班人员必须满足相关职业资格要求，并取得相关证书）。</w:t>
      </w:r>
    </w:p>
    <w:p w14:paraId="1A49068E">
      <w:pPr>
        <w:pStyle w:val="18"/>
        <w:spacing w:line="360" w:lineRule="auto"/>
        <w:ind w:firstLine="42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rPr>
        <w:t>）消防控制中心及消防系统设施配备齐全，完好无损，待机状态良好；落实区域消防安全责任人、义务消防人员，定期进行演练，开展消防知识及法规的宣传教育，保证火灾发生率为“0”；落实消防部门关于1分钟响应到达、3分钟处理的消防流程；制定火灾应急方案，设立消防疏散示意图，紧急疏散通道畅通，照明设备、引路标志完好；消防设备完好率100%，零修合格率100%。</w:t>
      </w:r>
    </w:p>
    <w:p w14:paraId="71AA28CE">
      <w:pPr>
        <w:pStyle w:val="18"/>
        <w:spacing w:line="360" w:lineRule="auto"/>
        <w:ind w:firstLine="42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5.2.</w:t>
      </w:r>
      <w:r>
        <w:rPr>
          <w:rFonts w:hint="eastAsia" w:ascii="宋体" w:hAnsi="宋体" w:eastAsia="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val="en-US"/>
        </w:rPr>
        <w:t xml:space="preserve"> 供配电系统维护保养管理</w:t>
      </w:r>
    </w:p>
    <w:p w14:paraId="7748CDB4">
      <w:pPr>
        <w:pStyle w:val="18"/>
        <w:spacing w:line="360" w:lineRule="auto"/>
        <w:ind w:firstLine="42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保证供配电设备24小时正常运行，确保分列的电表数据准确；零修合格率100%，设备完好率100%；应急发电机可随时启动，在市政停电情况下，保证发电机在15秒钟内运转供电。</w:t>
      </w:r>
    </w:p>
    <w:p w14:paraId="654CE001">
      <w:pPr>
        <w:pStyle w:val="18"/>
        <w:spacing w:line="360" w:lineRule="auto"/>
        <w:ind w:firstLine="42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5.2.</w:t>
      </w:r>
      <w:r>
        <w:rPr>
          <w:rFonts w:hint="eastAsia" w:ascii="宋体" w:hAnsi="宋体" w:eastAsia="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en-US"/>
        </w:rPr>
        <w:t xml:space="preserve"> 给排水系统维护保养管理</w:t>
      </w:r>
    </w:p>
    <w:p w14:paraId="1A79C355">
      <w:pPr>
        <w:pStyle w:val="18"/>
        <w:spacing w:line="360" w:lineRule="auto"/>
        <w:ind w:firstLine="42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建立用水、供水管理制度并落实，积极协助用户安排合理的用水和实施节水计划；建立给排水设备维修保养制度并严格执行，设备和管道系统状况良好，如遇爆管、设备故障等，维修人员及时到场抢修；供水系统功能正常，排水系统通畅，零修合格率100%，设备完好率100%；限水、停水能预先通知用户；按规定定期清洗</w:t>
      </w:r>
      <w:r>
        <w:rPr>
          <w:rFonts w:hint="eastAsia" w:ascii="宋体" w:hAnsi="宋体" w:eastAsia="宋体" w:cs="宋体"/>
          <w:b w:val="0"/>
          <w:bCs w:val="0"/>
          <w:color w:val="auto"/>
          <w:sz w:val="21"/>
          <w:szCs w:val="21"/>
          <w:highlight w:val="none"/>
          <w:lang w:val="en-US" w:eastAsia="zh-CN"/>
        </w:rPr>
        <w:t>水业</w:t>
      </w:r>
      <w:r>
        <w:rPr>
          <w:rFonts w:hint="eastAsia" w:ascii="宋体" w:hAnsi="宋体" w:eastAsia="宋体" w:cs="宋体"/>
          <w:b w:val="0"/>
          <w:bCs w:val="0"/>
          <w:color w:val="auto"/>
          <w:sz w:val="21"/>
          <w:szCs w:val="21"/>
          <w:highlight w:val="none"/>
          <w:lang w:val="en-US"/>
        </w:rPr>
        <w:t>大厦供水蓄水设备；设备及周围环境整洁，有封闭措施；确保</w:t>
      </w:r>
      <w:r>
        <w:rPr>
          <w:rFonts w:hint="eastAsia" w:ascii="宋体" w:hAnsi="宋体" w:eastAsia="宋体" w:cs="宋体"/>
          <w:b w:val="0"/>
          <w:bCs w:val="0"/>
          <w:color w:val="auto"/>
          <w:sz w:val="21"/>
          <w:szCs w:val="21"/>
          <w:highlight w:val="none"/>
          <w:lang w:val="en-US" w:eastAsia="zh-CN"/>
        </w:rPr>
        <w:t>水业</w:t>
      </w:r>
      <w:r>
        <w:rPr>
          <w:rFonts w:hint="eastAsia" w:ascii="宋体" w:hAnsi="宋体" w:eastAsia="宋体" w:cs="宋体"/>
          <w:b w:val="0"/>
          <w:bCs w:val="0"/>
          <w:color w:val="auto"/>
          <w:sz w:val="21"/>
          <w:szCs w:val="21"/>
          <w:highlight w:val="none"/>
          <w:lang w:val="en-US"/>
        </w:rPr>
        <w:t>大厦内分列的水表行数据准确。</w:t>
      </w:r>
    </w:p>
    <w:p w14:paraId="519ED51D">
      <w:pPr>
        <w:pStyle w:val="18"/>
        <w:spacing w:line="360" w:lineRule="auto"/>
        <w:ind w:firstLine="42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5.2.</w:t>
      </w:r>
      <w:r>
        <w:rPr>
          <w:rFonts w:hint="eastAsia" w:ascii="宋体" w:hAnsi="宋体" w:eastAsia="宋体" w:cs="宋体"/>
          <w:b w:val="0"/>
          <w:bCs w:val="0"/>
          <w:color w:val="auto"/>
          <w:sz w:val="21"/>
          <w:szCs w:val="21"/>
          <w:highlight w:val="none"/>
          <w:lang w:val="en-US" w:eastAsia="zh-CN"/>
        </w:rPr>
        <w:t>9</w:t>
      </w:r>
      <w:r>
        <w:rPr>
          <w:rFonts w:hint="eastAsia" w:ascii="宋体" w:hAnsi="宋体" w:eastAsia="宋体" w:cs="宋体"/>
          <w:b w:val="0"/>
          <w:bCs w:val="0"/>
          <w:color w:val="auto"/>
          <w:sz w:val="21"/>
          <w:szCs w:val="21"/>
          <w:highlight w:val="none"/>
          <w:lang w:val="en-US"/>
        </w:rPr>
        <w:t xml:space="preserve"> 智能化系统维护与保养管理</w:t>
      </w:r>
    </w:p>
    <w:p w14:paraId="0731D366">
      <w:pPr>
        <w:pStyle w:val="18"/>
        <w:spacing w:line="360" w:lineRule="auto"/>
        <w:ind w:firstLine="42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eastAsia="zh-CN"/>
        </w:rPr>
        <w:t>建立24小时维修值班制度，及时排除故障，确保智能化系统24小时正常、安全运行，做好各项运行和维修保养记录。</w:t>
      </w:r>
      <w:r>
        <w:rPr>
          <w:rFonts w:hint="eastAsia" w:ascii="宋体" w:hAnsi="宋体" w:eastAsia="宋体" w:cs="宋体"/>
          <w:b w:val="0"/>
          <w:bCs w:val="0"/>
          <w:color w:val="auto"/>
          <w:sz w:val="21"/>
          <w:szCs w:val="21"/>
          <w:highlight w:val="none"/>
          <w:lang w:val="en-US"/>
        </w:rPr>
        <w:t>确保相关设备100%完好率，每4小时巡检一次并做好台账。</w:t>
      </w:r>
    </w:p>
    <w:p w14:paraId="2661B01F">
      <w:pPr>
        <w:pStyle w:val="18"/>
        <w:spacing w:line="360" w:lineRule="auto"/>
        <w:ind w:firstLine="42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5.2.1</w:t>
      </w:r>
      <w:r>
        <w:rPr>
          <w:rFonts w:hint="eastAsia" w:ascii="宋体" w:hAnsi="宋体" w:eastAsia="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lang w:val="en-US"/>
        </w:rPr>
        <w:t xml:space="preserve"> 电梯系统维护与保养管理</w:t>
      </w:r>
    </w:p>
    <w:p w14:paraId="7ED72D14">
      <w:pPr>
        <w:pStyle w:val="18"/>
        <w:spacing w:line="360" w:lineRule="auto"/>
        <w:ind w:firstLine="42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电梯维修</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rPr>
        <w:t>保养人员均持证上岗，电梯各种年审证件齐全；严密的安全运行和维修保养规章制度得到落实，维护保养、巡视记录统一归档管理，资料完整；电梯运行状态良好，安全设施齐全有效，轿厢及机房整洁，通风、照明及其他附属设施完好，设备完好率100%；出现运行故障后（如困人），</w:t>
      </w:r>
      <w:r>
        <w:rPr>
          <w:rFonts w:hint="eastAsia" w:ascii="宋体" w:hAnsi="宋体" w:eastAsia="宋体" w:cs="宋体"/>
          <w:b w:val="0"/>
          <w:bCs w:val="0"/>
          <w:color w:val="auto"/>
          <w:sz w:val="21"/>
          <w:szCs w:val="21"/>
          <w:highlight w:val="none"/>
          <w:lang w:val="en-US" w:eastAsia="zh-CN"/>
        </w:rPr>
        <w:t>乙方</w:t>
      </w:r>
      <w:r>
        <w:rPr>
          <w:rFonts w:hint="eastAsia" w:ascii="宋体" w:hAnsi="宋体" w:eastAsia="宋体" w:cs="宋体"/>
          <w:b w:val="0"/>
          <w:bCs w:val="0"/>
          <w:color w:val="auto"/>
          <w:sz w:val="21"/>
          <w:szCs w:val="21"/>
          <w:highlight w:val="none"/>
          <w:lang w:val="en-US"/>
        </w:rPr>
        <w:t>维修人员在5分钟内到达现场处理，无发生因困人处理不当造成的安全责任事故。</w:t>
      </w:r>
    </w:p>
    <w:p w14:paraId="28652E5D">
      <w:pPr>
        <w:pStyle w:val="18"/>
        <w:spacing w:line="360" w:lineRule="auto"/>
        <w:ind w:firstLine="42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5.2.1</w:t>
      </w:r>
      <w:r>
        <w:rPr>
          <w:rFonts w:hint="eastAsia" w:ascii="宋体" w:hAnsi="宋体" w:eastAsia="宋体" w:cs="宋体"/>
          <w:b w:val="0"/>
          <w:bCs w:val="0"/>
          <w:color w:val="auto"/>
          <w:sz w:val="21"/>
          <w:szCs w:val="21"/>
          <w:highlight w:val="none"/>
          <w:lang w:val="en-US" w:eastAsia="zh-CN"/>
        </w:rPr>
        <w:t>1突发</w:t>
      </w:r>
      <w:r>
        <w:rPr>
          <w:rFonts w:hint="eastAsia" w:ascii="宋体" w:hAnsi="宋体" w:eastAsia="宋体" w:cs="宋体"/>
          <w:b w:val="0"/>
          <w:bCs w:val="0"/>
          <w:color w:val="auto"/>
          <w:sz w:val="21"/>
          <w:szCs w:val="21"/>
          <w:highlight w:val="none"/>
          <w:lang w:val="en-US"/>
        </w:rPr>
        <w:t>应急管理</w:t>
      </w:r>
    </w:p>
    <w:p w14:paraId="24970F39">
      <w:pPr>
        <w:pStyle w:val="18"/>
        <w:spacing w:line="360" w:lineRule="auto"/>
        <w:ind w:firstLine="42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服务范围为水业大厦规划红线范围的区域，服务内容包括但不限于以下内容：</w:t>
      </w:r>
    </w:p>
    <w:p w14:paraId="53533E74">
      <w:pPr>
        <w:pStyle w:val="18"/>
        <w:spacing w:line="360" w:lineRule="auto"/>
        <w:ind w:firstLine="42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（1）物业管理服务相关的突发事件应急处置。包括火警应急处理方案、初中期火灾应急处理方案、</w:t>
      </w:r>
      <w:r>
        <w:rPr>
          <w:rFonts w:hint="eastAsia" w:ascii="宋体" w:hAnsi="宋体" w:eastAsia="宋体" w:cs="宋体"/>
          <w:b w:val="0"/>
          <w:bCs w:val="0"/>
          <w:color w:val="auto"/>
          <w:sz w:val="21"/>
          <w:szCs w:val="21"/>
          <w:highlight w:val="none"/>
          <w:lang w:val="en-US" w:eastAsia="zh-CN"/>
        </w:rPr>
        <w:t>水业</w:t>
      </w:r>
      <w:r>
        <w:rPr>
          <w:rFonts w:hint="eastAsia" w:ascii="宋体" w:hAnsi="宋体" w:eastAsia="宋体" w:cs="宋体"/>
          <w:b w:val="0"/>
          <w:bCs w:val="0"/>
          <w:color w:val="auto"/>
          <w:sz w:val="21"/>
          <w:szCs w:val="21"/>
          <w:highlight w:val="none"/>
          <w:lang w:val="en-US"/>
        </w:rPr>
        <w:t>大厦</w:t>
      </w:r>
      <w:r>
        <w:rPr>
          <w:rFonts w:hint="eastAsia" w:ascii="宋体" w:hAnsi="宋体" w:eastAsia="宋体" w:cs="宋体"/>
          <w:b w:val="0"/>
          <w:bCs w:val="0"/>
          <w:color w:val="auto"/>
          <w:sz w:val="21"/>
          <w:szCs w:val="21"/>
          <w:highlight w:val="none"/>
          <w:lang w:val="en-US" w:eastAsia="zh-CN"/>
        </w:rPr>
        <w:t>燃气泄漏</w:t>
      </w:r>
      <w:r>
        <w:rPr>
          <w:rFonts w:hint="eastAsia" w:ascii="宋体" w:hAnsi="宋体" w:eastAsia="宋体" w:cs="宋体"/>
          <w:b w:val="0"/>
          <w:bCs w:val="0"/>
          <w:color w:val="auto"/>
          <w:sz w:val="21"/>
          <w:szCs w:val="21"/>
          <w:highlight w:val="none"/>
          <w:lang w:val="en-US"/>
        </w:rPr>
        <w:t>应急方案、电梯困人应急处理方案等。</w:t>
      </w:r>
    </w:p>
    <w:p w14:paraId="0405ADC4">
      <w:pPr>
        <w:pStyle w:val="18"/>
        <w:spacing w:line="360" w:lineRule="auto"/>
        <w:ind w:firstLine="42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（2）针对可能发生的自然灾害、事故灾难、公共卫生事件和社会安全事件制定应急防范措施，并在发生突发事件时组织人力物力处置突发事件。</w:t>
      </w:r>
    </w:p>
    <w:p w14:paraId="0146A57E">
      <w:pPr>
        <w:pStyle w:val="18"/>
        <w:spacing w:line="360" w:lineRule="auto"/>
        <w:ind w:firstLine="42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（3）针对公共卫生事件，</w:t>
      </w:r>
      <w:r>
        <w:rPr>
          <w:rFonts w:hint="eastAsia" w:ascii="宋体" w:hAnsi="宋体" w:eastAsia="宋体" w:cs="宋体"/>
          <w:b w:val="0"/>
          <w:bCs w:val="0"/>
          <w:color w:val="auto"/>
          <w:sz w:val="21"/>
          <w:szCs w:val="21"/>
          <w:highlight w:val="none"/>
          <w:lang w:val="en-US" w:eastAsia="zh-CN"/>
        </w:rPr>
        <w:t>乙方</w:t>
      </w:r>
      <w:r>
        <w:rPr>
          <w:rFonts w:hint="eastAsia" w:ascii="宋体" w:hAnsi="宋体" w:eastAsia="宋体" w:cs="宋体"/>
          <w:b w:val="0"/>
          <w:bCs w:val="0"/>
          <w:color w:val="auto"/>
          <w:sz w:val="21"/>
          <w:szCs w:val="21"/>
          <w:highlight w:val="none"/>
          <w:lang w:val="en-US"/>
        </w:rPr>
        <w:t>需在每个月月底前向</w:t>
      </w:r>
      <w:r>
        <w:rPr>
          <w:rFonts w:hint="eastAsia" w:ascii="宋体" w:hAnsi="宋体" w:eastAsia="宋体" w:cs="宋体"/>
          <w:b w:val="0"/>
          <w:bCs w:val="0"/>
          <w:color w:val="auto"/>
          <w:sz w:val="21"/>
          <w:szCs w:val="21"/>
          <w:highlight w:val="none"/>
          <w:lang w:val="en-US" w:eastAsia="zh-CN"/>
        </w:rPr>
        <w:t>甲方</w:t>
      </w:r>
      <w:r>
        <w:rPr>
          <w:rFonts w:hint="eastAsia" w:ascii="宋体" w:hAnsi="宋体" w:eastAsia="宋体" w:cs="宋体"/>
          <w:b w:val="0"/>
          <w:bCs w:val="0"/>
          <w:color w:val="auto"/>
          <w:sz w:val="21"/>
          <w:szCs w:val="21"/>
          <w:highlight w:val="none"/>
          <w:lang w:val="en-US"/>
        </w:rPr>
        <w:t>以书面的形式汇报月度具体防疫工作方案、情况说明、突发情况处理等。</w:t>
      </w:r>
    </w:p>
    <w:p w14:paraId="27F3B1C7">
      <w:pPr>
        <w:spacing w:line="360" w:lineRule="auto"/>
        <w:ind w:firstLine="420" w:firstLineChars="2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4）针对可能发生的各类突发事件，乙方组织突发事件应急演练（防火、防恐防暴、高空抛物、防台、防汛、防疫、电梯困人等），联合街道和消防部门组织大型综合消防应急演练，并按照甲方要求留下文字记录。乙方人员全面熟练掌握消防监控报警、干式灭火（气体）、湿式灭火（喷淋）、防排烟及消防栓等系统的作用、位置和操作方法。</w:t>
      </w:r>
    </w:p>
    <w:p w14:paraId="659C945F">
      <w:pPr>
        <w:spacing w:line="360" w:lineRule="auto"/>
        <w:ind w:firstLine="420" w:firstLineChars="2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（5）甲方要求的其他应急服务。</w:t>
      </w:r>
    </w:p>
    <w:p w14:paraId="4CD41F96">
      <w:pPr>
        <w:pStyle w:val="18"/>
        <w:spacing w:line="360" w:lineRule="auto"/>
        <w:ind w:firstLine="42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5.2.12 楼宇主体及其附属设施、公共配套设施维护与保养</w:t>
      </w:r>
    </w:p>
    <w:p w14:paraId="6D779847">
      <w:pPr>
        <w:pStyle w:val="18"/>
        <w:spacing w:line="360" w:lineRule="auto"/>
        <w:ind w:firstLine="42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rPr>
        <w:t>）楼宇主体及附属设施维护与保养</w:t>
      </w:r>
    </w:p>
    <w:p w14:paraId="6DBAC69E">
      <w:pPr>
        <w:pStyle w:val="18"/>
        <w:spacing w:line="360" w:lineRule="auto"/>
        <w:ind w:firstLine="42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① 确保楼宇主体及附属设施维护保养实施过程中所使用材料符合环保要求，并事先通过甲方审核。</w:t>
      </w:r>
    </w:p>
    <w:p w14:paraId="4554385F">
      <w:pPr>
        <w:pStyle w:val="18"/>
        <w:spacing w:line="360" w:lineRule="auto"/>
        <w:ind w:firstLine="42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② 楼宇主体及附属设施完好率&gt;98%，零修工程合格率100%，返修率&lt;0.5%，重大维修工程回访率100%。</w:t>
      </w:r>
    </w:p>
    <w:p w14:paraId="7622A1B3">
      <w:pPr>
        <w:pStyle w:val="18"/>
        <w:spacing w:line="360" w:lineRule="auto"/>
        <w:ind w:firstLine="42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rPr>
        <w:t>）公共配套设施维护与保养</w:t>
      </w:r>
    </w:p>
    <w:p w14:paraId="3DBCB146">
      <w:pPr>
        <w:pStyle w:val="18"/>
        <w:spacing w:line="360" w:lineRule="auto"/>
        <w:ind w:firstLine="42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① 确保公共配套设施维护保养实施过程中所使用材料符合环保要求，并事先通过甲方审核。</w:t>
      </w:r>
    </w:p>
    <w:p w14:paraId="5546248D">
      <w:pPr>
        <w:pStyle w:val="18"/>
        <w:spacing w:line="360" w:lineRule="auto"/>
        <w:ind w:firstLine="42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② 公共配套设施完好率&gt;98%，零修工程合格率100%，返修率&lt;0.5%，重大维修工程回访率100%。</w:t>
      </w:r>
    </w:p>
    <w:p w14:paraId="0443A7C8">
      <w:pPr>
        <w:pStyle w:val="18"/>
        <w:spacing w:line="360" w:lineRule="auto"/>
        <w:ind w:firstLine="42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5.2.13 日常物业维修及物业使用人装修管理</w:t>
      </w:r>
    </w:p>
    <w:p w14:paraId="70ABEA0E">
      <w:pPr>
        <w:pStyle w:val="18"/>
        <w:spacing w:line="360" w:lineRule="auto"/>
        <w:ind w:firstLine="42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rPr>
        <w:t>）根据《装修管理协议》的有关规定办理物业使用人的进场装修手续，做到装修现场井然有序，对其它物业使用人造成不良影响或有投诉的事项应积极协调。</w:t>
      </w:r>
    </w:p>
    <w:p w14:paraId="28519360">
      <w:pPr>
        <w:pStyle w:val="18"/>
        <w:spacing w:line="360" w:lineRule="auto"/>
        <w:ind w:firstLine="42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rPr>
        <w:t>）物业使用人的装修图纸或审批等有关施工资料按法律法规或相关行政管理规定应报批国家或当地有关行政管理部门的，乙方应督促物业使用人报批国家或当地有关行政管理部门审批通过后方可允许施工，否则因物业使用人违法施工造成的一切后果均由乙方承担连带责任。</w:t>
      </w:r>
    </w:p>
    <w:p w14:paraId="4ACCB506">
      <w:pPr>
        <w:pStyle w:val="18"/>
        <w:spacing w:line="360" w:lineRule="auto"/>
        <w:ind w:firstLine="42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rPr>
        <w:t>）物业使用人装修施工现场管理</w:t>
      </w:r>
    </w:p>
    <w:p w14:paraId="52E0FF28">
      <w:pPr>
        <w:pStyle w:val="18"/>
        <w:spacing w:line="360" w:lineRule="auto"/>
        <w:ind w:firstLine="42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① 禁止物业使用人及任何使用单位拆改房屋主体和承重结构，禁止在楼宇外墙、承重墙、梁柱上开孔，禁止改变房屋及公共配套设施的使用功能。</w:t>
      </w:r>
    </w:p>
    <w:p w14:paraId="7C4D148E">
      <w:pPr>
        <w:pStyle w:val="18"/>
        <w:spacing w:line="360" w:lineRule="auto"/>
        <w:ind w:firstLine="42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② 乙方每日至少2次对物业使用人装修现场进行安全、环境等方面的巡查和监督，并填写《装修现场巡查记录表》</w:t>
      </w:r>
      <w:r>
        <w:rPr>
          <w:rFonts w:hint="eastAsia" w:hAnsi="宋体" w:cs="宋体"/>
          <w:b w:val="0"/>
          <w:bCs w:val="0"/>
          <w:color w:val="auto"/>
          <w:sz w:val="21"/>
          <w:szCs w:val="21"/>
          <w:lang w:val="en-US" w:eastAsia="zh-CN"/>
        </w:rPr>
        <w:t>同时保留现场照片</w:t>
      </w:r>
      <w:r>
        <w:rPr>
          <w:rFonts w:hint="eastAsia" w:ascii="宋体" w:hAnsi="宋体" w:eastAsia="宋体" w:cs="宋体"/>
          <w:b w:val="0"/>
          <w:bCs w:val="0"/>
          <w:color w:val="auto"/>
          <w:sz w:val="21"/>
          <w:szCs w:val="21"/>
          <w:highlight w:val="none"/>
          <w:lang w:val="en-US"/>
        </w:rPr>
        <w:t>。发现违规装修、违规操作等行为应及时制止并报告甲方，要求装修现场限时整改并监督整改结果，确保装修现场安全施工。</w:t>
      </w:r>
    </w:p>
    <w:p w14:paraId="5CF1F1B6">
      <w:pPr>
        <w:pStyle w:val="18"/>
        <w:spacing w:line="360" w:lineRule="auto"/>
        <w:ind w:firstLine="42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③ 做好装修现场环境管理工作，采取有效的防尘降噪措施，对装修现场的噪音、扬尘等进行检测，每天产生的装修垃圾及时清运，保持现场清洁整齐。</w:t>
      </w:r>
    </w:p>
    <w:p w14:paraId="676FA7C4">
      <w:pPr>
        <w:pStyle w:val="18"/>
        <w:spacing w:line="360" w:lineRule="auto"/>
        <w:ind w:firstLine="42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④ 施工过程中，必须保证有物业使用人或施工单位管理人员在现场值班，不得空岗。进入施工现场的人员必须按规定佩戴安全帽，并系下颌带。凡从事2米以上高处作业人员必须系安全绳，安全绳上端固定应牢固可靠，使用时安全绳应基本保持垂直于地，作业人员身后余绳不得超过1米，禁止两人同时使用一条安全绳，并且专人看守。</w:t>
      </w:r>
    </w:p>
    <w:p w14:paraId="48F82C5C">
      <w:pPr>
        <w:pStyle w:val="18"/>
        <w:spacing w:line="360" w:lineRule="auto"/>
        <w:ind w:firstLine="42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⑤ 参加现场施工的所有特殊工种人员必须持证上岗，并复印证件报乙方备案。</w:t>
      </w:r>
    </w:p>
    <w:p w14:paraId="0095BEB2">
      <w:pPr>
        <w:pStyle w:val="18"/>
        <w:spacing w:line="360" w:lineRule="auto"/>
        <w:ind w:firstLine="42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⑥ 施工现场各类标牌和警示标志齐全醒目。高处作业所使用的工具和所持电缆、水管等材料等必须有可靠的防坠措施，现场区域应保证四周环境的安全，其作业下方应设置警戒线，在醒目处应设置“禁止入内”的标志牌。</w:t>
      </w:r>
    </w:p>
    <w:p w14:paraId="3D99EEEA">
      <w:pPr>
        <w:pStyle w:val="18"/>
        <w:spacing w:line="360" w:lineRule="auto"/>
        <w:ind w:firstLine="42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⑦ 所有装修材料及装修垃圾须在规定时间内，通过指定通道运输并在指定区域内起卸，严禁堆放在其他公共区域，确保不影响其他区域办公，发现违规情况及时制止。</w:t>
      </w:r>
    </w:p>
    <w:p w14:paraId="2DB1D510">
      <w:pPr>
        <w:pStyle w:val="18"/>
        <w:spacing w:line="360" w:lineRule="auto"/>
        <w:ind w:firstLine="42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⑧ 装修施工结束时，乙方应对物业使用人装修现场及相关区域进行全面检查，确保物业使用人装修所涉区域清洁完成。督促物业使用人和施工单位完成二次消防验收手续，如发现问题需要求物业使用人和施工单位进行整改直至验收合格，方可办理装修退场手续。</w:t>
      </w:r>
    </w:p>
    <w:p w14:paraId="42693A22">
      <w:pPr>
        <w:pStyle w:val="18"/>
        <w:spacing w:line="360" w:lineRule="auto"/>
        <w:ind w:firstLine="42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⑨ 物业使用人装修完成且消防验收合格后向物业使用人收集二次装修施工图（含给排水、电气、空调等）、二次消防验收报告等资料，并进行整理、归档。</w:t>
      </w:r>
    </w:p>
    <w:p w14:paraId="7E5C0FD4">
      <w:pPr>
        <w:pStyle w:val="18"/>
        <w:spacing w:line="360" w:lineRule="auto"/>
        <w:ind w:firstLine="42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5.2.1</w:t>
      </w: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rPr>
        <w:t xml:space="preserve"> </w:t>
      </w:r>
      <w:r>
        <w:rPr>
          <w:rFonts w:hint="eastAsia" w:ascii="宋体" w:hAnsi="宋体" w:eastAsia="宋体" w:cs="宋体"/>
          <w:b w:val="0"/>
          <w:bCs w:val="0"/>
          <w:color w:val="auto"/>
          <w:sz w:val="21"/>
          <w:szCs w:val="21"/>
          <w:highlight w:val="none"/>
          <w:lang w:val="en-US" w:eastAsia="zh-CN"/>
        </w:rPr>
        <w:t>其他</w:t>
      </w:r>
      <w:r>
        <w:rPr>
          <w:rFonts w:hint="eastAsia" w:ascii="宋体" w:hAnsi="宋体" w:eastAsia="宋体" w:cs="宋体"/>
          <w:b w:val="0"/>
          <w:bCs w:val="0"/>
          <w:color w:val="auto"/>
          <w:sz w:val="21"/>
          <w:szCs w:val="21"/>
          <w:highlight w:val="none"/>
          <w:lang w:val="en-US"/>
        </w:rPr>
        <w:t>服务</w:t>
      </w:r>
    </w:p>
    <w:p w14:paraId="3BEF39D7">
      <w:pPr>
        <w:pStyle w:val="18"/>
        <w:spacing w:line="360" w:lineRule="auto"/>
        <w:ind w:firstLine="42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（1）</w:t>
      </w:r>
      <w:r>
        <w:rPr>
          <w:rFonts w:hint="eastAsia" w:ascii="宋体" w:hAnsi="宋体" w:eastAsia="宋体" w:cs="宋体"/>
          <w:b w:val="0"/>
          <w:bCs w:val="0"/>
          <w:color w:val="auto"/>
          <w:sz w:val="21"/>
          <w:szCs w:val="21"/>
          <w:highlight w:val="none"/>
          <w:lang w:val="en-US" w:eastAsia="zh-CN"/>
        </w:rPr>
        <w:t>协助甲方管理固定资产</w:t>
      </w:r>
      <w:r>
        <w:rPr>
          <w:rFonts w:hint="eastAsia" w:ascii="宋体" w:hAnsi="宋体" w:eastAsia="宋体" w:cs="宋体"/>
          <w:b w:val="0"/>
          <w:bCs w:val="0"/>
          <w:color w:val="auto"/>
          <w:sz w:val="21"/>
          <w:szCs w:val="21"/>
          <w:highlight w:val="none"/>
          <w:lang w:val="en-US"/>
        </w:rPr>
        <w:t>。</w:t>
      </w:r>
    </w:p>
    <w:p w14:paraId="65DD74FA">
      <w:pPr>
        <w:pStyle w:val="18"/>
        <w:spacing w:line="360" w:lineRule="auto"/>
        <w:ind w:firstLine="42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rPr>
        <w:t>（2）</w:t>
      </w:r>
      <w:r>
        <w:rPr>
          <w:rFonts w:hint="eastAsia" w:ascii="宋体" w:hAnsi="宋体" w:eastAsia="宋体" w:cs="宋体"/>
          <w:b w:val="0"/>
          <w:bCs w:val="0"/>
          <w:color w:val="auto"/>
          <w:sz w:val="21"/>
          <w:szCs w:val="21"/>
          <w:highlight w:val="none"/>
          <w:lang w:val="en-US" w:eastAsia="zh-CN"/>
        </w:rPr>
        <w:t>协助甲方办理办公用房交接登记。</w:t>
      </w:r>
    </w:p>
    <w:p w14:paraId="3207B23C">
      <w:pPr>
        <w:pStyle w:val="18"/>
        <w:spacing w:line="360" w:lineRule="auto"/>
        <w:ind w:firstLine="42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（3）协助甲方及物业使用人临时搬运物资。 </w:t>
      </w:r>
    </w:p>
    <w:p w14:paraId="5A28D228">
      <w:pPr>
        <w:pStyle w:val="18"/>
        <w:spacing w:line="360" w:lineRule="auto"/>
        <w:ind w:firstLine="42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（4）乙方要建立资料的收集、分类整理、归档管理制度。</w:t>
      </w:r>
    </w:p>
    <w:p w14:paraId="461C39E2">
      <w:pPr>
        <w:pStyle w:val="18"/>
        <w:spacing w:line="360" w:lineRule="auto"/>
        <w:ind w:firstLine="42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（5）在日常管理中要建立交接班、项目故障与维修、保养等登记制度。</w:t>
      </w:r>
    </w:p>
    <w:p w14:paraId="7EB60E65">
      <w:pPr>
        <w:pStyle w:val="18"/>
        <w:spacing w:line="360" w:lineRule="auto"/>
        <w:ind w:firstLine="42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（6）档案资料包括：与物业相关的工程图纸、档案和竣工验收资料：实施管理和服务工作中的各种制度、规程、流程、记录、图表、函件等。</w:t>
      </w:r>
    </w:p>
    <w:p w14:paraId="77FCF694">
      <w:pPr>
        <w:pStyle w:val="18"/>
        <w:spacing w:line="360" w:lineRule="auto"/>
        <w:ind w:firstLine="42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（7）协助甲方其它临时性的事务。</w:t>
      </w:r>
    </w:p>
    <w:p w14:paraId="0BAD6360">
      <w:pPr>
        <w:pStyle w:val="18"/>
        <w:spacing w:line="360" w:lineRule="auto"/>
        <w:ind w:firstLine="42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（8）乙方的物业管理人员须具备符合国家或行业规定的相关证件，无刑事犯罪记录，重要岗位人员聘用要经甲方审定。</w:t>
      </w:r>
    </w:p>
    <w:p w14:paraId="12DE5A20">
      <w:pPr>
        <w:pStyle w:val="18"/>
        <w:spacing w:line="360" w:lineRule="auto"/>
        <w:ind w:firstLine="42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（9）管理范围内，财物、设备及资料有被盗遗失情况的，乙方负责照价赔偿，资料补办手续费用一切由乙方负责。造成严重后果的追究其相关的值班人员的刑事责任。</w:t>
      </w:r>
    </w:p>
    <w:p w14:paraId="65E8ED7E">
      <w:pPr>
        <w:pStyle w:val="18"/>
        <w:spacing w:line="360" w:lineRule="auto"/>
        <w:ind w:firstLine="42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（10）如有需要，乙方的物业管理人员须听从甲方调动指挥。</w:t>
      </w:r>
    </w:p>
    <w:p w14:paraId="78CCB714">
      <w:pPr>
        <w:pStyle w:val="18"/>
        <w:spacing w:line="360" w:lineRule="auto"/>
        <w:ind w:firstLine="42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（11）在服务期内，乙方员工发生纠纷或伤亡事故，与甲方无关，乙方自行负责解决。</w:t>
      </w:r>
    </w:p>
    <w:p w14:paraId="636DDA69">
      <w:pPr>
        <w:pStyle w:val="18"/>
        <w:spacing w:line="360" w:lineRule="auto"/>
        <w:ind w:firstLine="42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（12）协助甲方进行水电费、租金等催缴工作。</w:t>
      </w:r>
    </w:p>
    <w:p w14:paraId="3DC408B9">
      <w:pPr>
        <w:pStyle w:val="18"/>
        <w:spacing w:line="360" w:lineRule="auto"/>
        <w:ind w:firstLine="420"/>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highlight w:val="none"/>
          <w:lang w:val="en-US" w:eastAsia="zh-CN"/>
        </w:rPr>
        <w:t>（13）疫情防控、防汛防台等应急场景下，凡是由甲方统一采购并提供的应急物资或防控耗材，乙方应在收到物资或耗材后立即核对数量并签字确认。乙方对甲方提供的应急物资、防控耗材应规范使用、妥善保管并做好台账登记，不得擅自挪用、倒卖；应急结束后，乙方需向甲方提交物资使用明细及剩余物资清单，剩余物资由甲方统一回收处理。因乙方保管不善或违规使用导致物资损耗、流失的，乙方应照价赔偿。</w:t>
      </w:r>
    </w:p>
    <w:p w14:paraId="433DB991">
      <w:pPr>
        <w:spacing w:line="360" w:lineRule="auto"/>
        <w:ind w:firstLine="42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第六条 双方权利义务</w:t>
      </w:r>
    </w:p>
    <w:p w14:paraId="5B5C226B">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6.1 甲方权利和义务</w:t>
      </w:r>
    </w:p>
    <w:p w14:paraId="4EA5A05B">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 xml:space="preserve"> 甲方有权要求根据本物业管理的实际情况，调整乙方的服务内容，但调整后的服务内容不应超出本合同的约定。本合同有效期内，甲方有权监督乙方工作的实施及相关制度的执行情况。甲方有权就乙方拟定的各类物业管理文件提出合理的意见和建议，并根据实际情况作出调整。当乙方出现严重管理问题（由于管理不善造成的财物被盗、火灾及其他安全事故）时，甲方有权发出书面整改通知，责令乙方在整改通知中载明的期限内完成整改；如到期时乙方不能达到整改要求，甲方有权单方解除合同。</w:t>
      </w:r>
    </w:p>
    <w:p w14:paraId="3891B57C">
      <w:pPr>
        <w:spacing w:line="360" w:lineRule="auto"/>
        <w:ind w:firstLine="42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6.1.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在服务期内，甲方有权根据带教服务评估结果和实际情况要求乙方对带教计划、方法或导师配置进行调整，以确保最终培养目标的实现。</w:t>
      </w:r>
    </w:p>
    <w:p w14:paraId="0996C5C1">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6.1.3 </w:t>
      </w:r>
      <w:r>
        <w:rPr>
          <w:rFonts w:hint="eastAsia" w:ascii="宋体" w:hAnsi="宋体" w:eastAsia="宋体" w:cs="宋体"/>
          <w:color w:val="auto"/>
          <w:szCs w:val="21"/>
          <w:highlight w:val="none"/>
        </w:rPr>
        <w:t>甲方有权检查乙方本物业管理服务过程的财务报表及资料，有权对不合理的分配支出提出整改意见。乙方应在30天内整改完毕，如逾期未能整改完成的，甲方有权不予支付当月物业管理</w:t>
      </w:r>
      <w:r>
        <w:rPr>
          <w:rFonts w:hint="eastAsia" w:ascii="宋体" w:hAnsi="宋体" w:eastAsia="宋体" w:cs="宋体"/>
          <w:color w:val="auto"/>
          <w:szCs w:val="21"/>
          <w:highlight w:val="none"/>
          <w:lang w:val="en-US" w:eastAsia="zh-CN"/>
        </w:rPr>
        <w:t>运营</w:t>
      </w:r>
      <w:r>
        <w:rPr>
          <w:rFonts w:hint="eastAsia" w:ascii="宋体" w:hAnsi="宋体" w:eastAsia="宋体" w:cs="宋体"/>
          <w:color w:val="auto"/>
          <w:szCs w:val="21"/>
          <w:highlight w:val="none"/>
        </w:rPr>
        <w:t>服务</w:t>
      </w:r>
      <w:r>
        <w:rPr>
          <w:rFonts w:hint="eastAsia" w:ascii="宋体" w:hAnsi="宋体" w:eastAsia="宋体" w:cs="宋体"/>
          <w:color w:val="auto"/>
          <w:szCs w:val="21"/>
          <w:highlight w:val="none"/>
          <w:lang w:val="en-US" w:eastAsia="zh-CN"/>
        </w:rPr>
        <w:t>费用</w:t>
      </w:r>
      <w:r>
        <w:rPr>
          <w:rFonts w:hint="eastAsia" w:ascii="宋体" w:hAnsi="宋体" w:eastAsia="宋体" w:cs="宋体"/>
          <w:color w:val="auto"/>
          <w:szCs w:val="21"/>
          <w:highlight w:val="none"/>
        </w:rPr>
        <w:t>。</w:t>
      </w:r>
    </w:p>
    <w:p w14:paraId="0BA9A0D6">
      <w:pPr>
        <w:spacing w:line="360" w:lineRule="auto"/>
        <w:ind w:firstLine="420"/>
        <w:jc w:val="left"/>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6.1.4 甲方有权检查乙方投入本项目的物业人员的上岗情况。</w:t>
      </w:r>
    </w:p>
    <w:p w14:paraId="0F51B53A">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 xml:space="preserve"> 甲方有监督、检查乙方驻场人员工作情况的义务。如管理服务质量达不到合同要求，甲方有权要求乙方更换驻场人员，乙方应立即无条件更换。乙方未经甲方事先书面同意不得单方决定更换驻场人员，更换人员的资质、能力应不低于本合同约定及甲方要求，并经甲方审核通过。</w:t>
      </w:r>
    </w:p>
    <w:p w14:paraId="0D3A2C26">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 xml:space="preserve"> 甲方指定【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】为本项目的联系人，联系方式为【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】，代表甲方与乙方进行沟通、联络，若该被指定人变化或其联络方式变更，均应提前以书面形式通知乙方。</w:t>
      </w:r>
    </w:p>
    <w:p w14:paraId="1D31D5BA">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 xml:space="preserve"> 检查监督乙方的物业管理工作的实施及制度的执行情况；对乙方不履行岗位职责的人员，甲方有权要求乙方进行处理。</w:t>
      </w:r>
    </w:p>
    <w:p w14:paraId="391CA5B9">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 xml:space="preserve"> 甲方应及时处理解决乙方报告或通知甲方可能对管理工作造成障碍的各种问题，以便乙方工作得以顺利进行。</w:t>
      </w:r>
    </w:p>
    <w:p w14:paraId="3F786374">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 xml:space="preserve"> 代表和维护产权人、使用人的合法权益。</w:t>
      </w:r>
    </w:p>
    <w:p w14:paraId="31103180">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6.1.1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 xml:space="preserve"> 审定乙方的物业管理制度、管理方案并有权提出修改意见。</w:t>
      </w:r>
    </w:p>
    <w:p w14:paraId="236D23E1">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6.1.1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 xml:space="preserve"> 审批房屋、附属建筑物、构筑物、设施、设备维护保养及大中修、易耗物品购买的费用预算。</w:t>
      </w:r>
    </w:p>
    <w:p w14:paraId="225ADBA9">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6.1.1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 xml:space="preserve"> 审阅</w:t>
      </w:r>
      <w:r>
        <w:rPr>
          <w:rFonts w:hint="eastAsia" w:ascii="宋体" w:hAnsi="宋体" w:eastAsia="宋体" w:cs="宋体"/>
          <w:color w:val="auto"/>
          <w:szCs w:val="21"/>
          <w:highlight w:val="none"/>
          <w:lang w:val="en-US" w:eastAsia="zh-CN"/>
        </w:rPr>
        <w:t>物业</w:t>
      </w:r>
      <w:r>
        <w:rPr>
          <w:rFonts w:hint="eastAsia" w:ascii="宋体" w:hAnsi="宋体" w:eastAsia="宋体" w:cs="宋体"/>
          <w:color w:val="auto"/>
          <w:szCs w:val="21"/>
          <w:highlight w:val="none"/>
        </w:rPr>
        <w:t>管理报告，提出整改意见。</w:t>
      </w:r>
    </w:p>
    <w:p w14:paraId="00823781">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6.1.1</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xml:space="preserve"> 审阅、批准乙方制定的大楼管理制度、消防管理制度等与履行本合同相关的制度，并支持、监督、指导乙方为此而开展的管理工作。</w:t>
      </w:r>
    </w:p>
    <w:p w14:paraId="223DC9E7">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6.1.1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 xml:space="preserve"> 委托乙方管理的房屋、设施、设备应达到国家验收标准；如存在质量问题，按以下方式处理。</w:t>
      </w:r>
    </w:p>
    <w:p w14:paraId="41011F4F">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保修期内：甲方向乙方提供相关承建商的资料，由乙方负责联系，并督促承建商返修；</w:t>
      </w:r>
    </w:p>
    <w:p w14:paraId="12DB9CD0">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保修期外：乙方向甲方提出设施、设备、房屋的维修报告，甲方视维修项目的大小决定进行另外采购或交由乙方负责。</w:t>
      </w:r>
    </w:p>
    <w:p w14:paraId="4E3B3EFA">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6.1.1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 xml:space="preserve"> 协助乙方做好物业管理工作和宣传教育、文化活动。</w:t>
      </w:r>
    </w:p>
    <w:p w14:paraId="5CDF2402">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6.1.1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 xml:space="preserve"> 监督、指导乙方的管理行为并及时纠正乙方的不当行为。</w:t>
      </w:r>
    </w:p>
    <w:p w14:paraId="59AEC50F">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6.1.1</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 xml:space="preserve"> 协调日常管理中有关的内外关系，对乙方需要甲方协调解决的问题，甲方在力所能及的范围内应采取积极态度予以处理。</w:t>
      </w:r>
    </w:p>
    <w:p w14:paraId="60AF21D9">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r>
        <w:rPr>
          <w:rFonts w:hint="eastAsia" w:ascii="宋体" w:hAnsi="宋体" w:eastAsia="宋体" w:cs="宋体"/>
          <w:color w:val="auto"/>
          <w:szCs w:val="21"/>
          <w:highlight w:val="none"/>
          <w:lang w:val="en-US" w:eastAsia="zh-CN"/>
        </w:rPr>
        <w:t>18</w:t>
      </w:r>
      <w:r>
        <w:rPr>
          <w:rFonts w:hint="eastAsia" w:ascii="宋体" w:hAnsi="宋体" w:eastAsia="宋体" w:cs="宋体"/>
          <w:color w:val="auto"/>
          <w:szCs w:val="21"/>
          <w:highlight w:val="none"/>
        </w:rPr>
        <w:t xml:space="preserve"> 在合同期内，甲方定期根据本合同及其附件的要求对乙方进行考核，并有权按照甲方管理要求进行处理。</w:t>
      </w:r>
    </w:p>
    <w:p w14:paraId="10B5211C">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r>
        <w:rPr>
          <w:rFonts w:hint="eastAsia" w:ascii="宋体" w:hAnsi="宋体" w:eastAsia="宋体" w:cs="宋体"/>
          <w:color w:val="auto"/>
          <w:szCs w:val="21"/>
          <w:highlight w:val="none"/>
          <w:lang w:val="en-US" w:eastAsia="zh-CN"/>
        </w:rPr>
        <w:t>19</w:t>
      </w:r>
      <w:r>
        <w:rPr>
          <w:rFonts w:hint="eastAsia" w:ascii="宋体" w:hAnsi="宋体" w:eastAsia="宋体" w:cs="宋体"/>
          <w:color w:val="auto"/>
          <w:szCs w:val="21"/>
          <w:highlight w:val="none"/>
        </w:rPr>
        <w:t xml:space="preserve"> 物业管理用房配置：</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配置</w:t>
      </w:r>
      <w:r>
        <w:rPr>
          <w:rFonts w:hint="eastAsia" w:ascii="宋体" w:hAnsi="宋体" w:eastAsia="宋体" w:cs="宋体"/>
          <w:color w:val="auto"/>
          <w:szCs w:val="21"/>
          <w:highlight w:val="none"/>
          <w:lang w:val="en-US" w:eastAsia="zh-CN"/>
        </w:rPr>
        <w:t>物业</w:t>
      </w:r>
      <w:r>
        <w:rPr>
          <w:rFonts w:hint="eastAsia" w:ascii="宋体" w:hAnsi="宋体" w:eastAsia="宋体" w:cs="宋体"/>
          <w:color w:val="auto"/>
          <w:szCs w:val="21"/>
          <w:highlight w:val="none"/>
        </w:rPr>
        <w:t>办公室，协助乙方开展物业管理。</w:t>
      </w:r>
    </w:p>
    <w:p w14:paraId="30303E97">
      <w:pPr>
        <w:spacing w:line="360" w:lineRule="auto"/>
        <w:ind w:firstLine="420"/>
        <w:jc w:val="left"/>
        <w:rPr>
          <w:rFonts w:hint="eastAsia" w:ascii="宋体" w:hAnsi="宋体" w:eastAsia="宋体" w:cs="宋体"/>
          <w:b w:val="0"/>
          <w:bCs w:val="0"/>
          <w:color w:val="auto"/>
          <w:szCs w:val="21"/>
          <w:highlight w:val="none"/>
        </w:rPr>
      </w:pPr>
      <w:r>
        <w:rPr>
          <w:rFonts w:hint="eastAsia" w:ascii="宋体" w:hAnsi="宋体" w:eastAsia="宋体" w:cs="宋体"/>
          <w:color w:val="auto"/>
          <w:szCs w:val="21"/>
          <w:highlight w:val="none"/>
        </w:rPr>
        <w:t>6.1.2</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 xml:space="preserve"> 甲方不得将本合同的内容向甲乙双方以外的，与签订和履行本合同无关的任何第三方透露，不得泄露乙</w:t>
      </w:r>
      <w:r>
        <w:rPr>
          <w:rFonts w:hint="eastAsia" w:ascii="宋体" w:hAnsi="宋体" w:eastAsia="宋体" w:cs="宋体"/>
          <w:b w:val="0"/>
          <w:bCs w:val="0"/>
          <w:color w:val="auto"/>
          <w:szCs w:val="21"/>
          <w:highlight w:val="none"/>
        </w:rPr>
        <w:t>方的商业秘密（包括本合同及其附件和合同签订前的各项方案）。</w:t>
      </w:r>
    </w:p>
    <w:p w14:paraId="49A5B5CE">
      <w:pPr>
        <w:spacing w:line="360" w:lineRule="auto"/>
        <w:ind w:firstLine="420"/>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6.1.2</w:t>
      </w:r>
      <w:r>
        <w:rPr>
          <w:rFonts w:hint="eastAsia" w:ascii="宋体" w:hAnsi="宋体" w:eastAsia="宋体" w:cs="宋体"/>
          <w:b w:val="0"/>
          <w:bCs w:val="0"/>
          <w:color w:val="auto"/>
          <w:szCs w:val="21"/>
          <w:highlight w:val="none"/>
          <w:lang w:val="en-US" w:eastAsia="zh-CN"/>
        </w:rPr>
        <w:t>1</w:t>
      </w:r>
      <w:r>
        <w:rPr>
          <w:rFonts w:hint="eastAsia" w:ascii="宋体" w:hAnsi="宋体" w:eastAsia="宋体" w:cs="宋体"/>
          <w:b w:val="0"/>
          <w:bCs w:val="0"/>
          <w:color w:val="auto"/>
          <w:szCs w:val="21"/>
          <w:highlight w:val="none"/>
        </w:rPr>
        <w:t xml:space="preserve"> 本合同不具排他性，甲方具有将本合同项下的物业管理服务委托其他第三方服务的权利。</w:t>
      </w:r>
    </w:p>
    <w:p w14:paraId="30A9A795">
      <w:pPr>
        <w:pStyle w:val="18"/>
        <w:spacing w:line="360" w:lineRule="auto"/>
        <w:ind w:firstLine="42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6.1.2</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rPr>
        <w:t xml:space="preserve"> 根据本合同约定，乙方应支付的违约金、赔偿金、费用等，甲方有权从未支付的物业管理服务费中直接抵扣。</w:t>
      </w:r>
    </w:p>
    <w:p w14:paraId="4A175553">
      <w:pPr>
        <w:spacing w:line="360" w:lineRule="auto"/>
        <w:ind w:firstLine="420"/>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6.1.2</w:t>
      </w:r>
      <w:r>
        <w:rPr>
          <w:rFonts w:hint="eastAsia" w:ascii="宋体" w:hAnsi="宋体" w:eastAsia="宋体" w:cs="宋体"/>
          <w:b w:val="0"/>
          <w:bCs w:val="0"/>
          <w:color w:val="auto"/>
          <w:szCs w:val="21"/>
          <w:highlight w:val="none"/>
          <w:lang w:val="en-US" w:eastAsia="zh-CN"/>
        </w:rPr>
        <w:t>3</w:t>
      </w:r>
      <w:r>
        <w:rPr>
          <w:rFonts w:hint="eastAsia" w:ascii="宋体" w:hAnsi="宋体" w:eastAsia="宋体" w:cs="宋体"/>
          <w:b w:val="0"/>
          <w:bCs w:val="0"/>
          <w:color w:val="auto"/>
          <w:szCs w:val="21"/>
          <w:highlight w:val="none"/>
        </w:rPr>
        <w:t xml:space="preserve"> 甲方按照既定的审批支付程序，及时办理物业管理服务费的支付手续。</w:t>
      </w:r>
    </w:p>
    <w:p w14:paraId="7B70A7EF">
      <w:pPr>
        <w:pStyle w:val="18"/>
        <w:spacing w:line="360" w:lineRule="auto"/>
        <w:ind w:firstLine="42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6.1.2</w:t>
      </w: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rPr>
        <w:t xml:space="preserve"> 合同文件及附件内容约定的甲方其他权利义务。</w:t>
      </w:r>
    </w:p>
    <w:p w14:paraId="2541CD6A">
      <w:pPr>
        <w:spacing w:line="360" w:lineRule="auto"/>
        <w:ind w:firstLine="420"/>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6.2 乙方的权利和义务</w:t>
      </w:r>
    </w:p>
    <w:p w14:paraId="34C30B81">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val="0"/>
          <w:bCs w:val="0"/>
          <w:color w:val="auto"/>
          <w:szCs w:val="21"/>
          <w:highlight w:val="none"/>
        </w:rPr>
        <w:t>6.2.1 在合同履行期限，乙方应保证其具有提供本合同项下物业管理服务的资质及能力，若因乙方物业管理服务资质丧失</w:t>
      </w:r>
      <w:r>
        <w:rPr>
          <w:rFonts w:hint="eastAsia" w:ascii="宋体" w:hAnsi="宋体" w:eastAsia="宋体" w:cs="宋体"/>
          <w:b w:val="0"/>
          <w:bCs w:val="0"/>
          <w:color w:val="auto"/>
          <w:szCs w:val="21"/>
          <w:highlight w:val="none"/>
          <w:lang w:val="en-US" w:eastAsia="zh-CN"/>
        </w:rPr>
        <w:t>或不具备相应服务能力</w:t>
      </w:r>
      <w:r>
        <w:rPr>
          <w:rFonts w:hint="eastAsia" w:ascii="宋体" w:hAnsi="宋体" w:eastAsia="宋体" w:cs="宋体"/>
          <w:b w:val="0"/>
          <w:bCs w:val="0"/>
          <w:color w:val="auto"/>
          <w:szCs w:val="21"/>
          <w:highlight w:val="none"/>
        </w:rPr>
        <w:t>而导致无法继续提供本合同项下物业管理服务的，甲方有权单方解除本合同，并要求乙方向甲方支付</w:t>
      </w:r>
      <w:r>
        <w:rPr>
          <w:rFonts w:hint="eastAsia" w:ascii="宋体" w:hAnsi="宋体" w:eastAsia="宋体" w:cs="宋体"/>
          <w:b w:val="0"/>
          <w:bCs w:val="0"/>
          <w:color w:val="auto"/>
          <w:szCs w:val="21"/>
          <w:highlight w:val="none"/>
          <w:lang w:val="en-US" w:eastAsia="zh-CN"/>
        </w:rPr>
        <w:t>300,000.00</w:t>
      </w:r>
      <w:r>
        <w:rPr>
          <w:rFonts w:hint="eastAsia" w:ascii="宋体" w:hAnsi="宋体" w:eastAsia="宋体" w:cs="宋体"/>
          <w:b w:val="0"/>
          <w:bCs w:val="0"/>
          <w:color w:val="auto"/>
          <w:szCs w:val="21"/>
          <w:highlight w:val="none"/>
        </w:rPr>
        <w:t>元的违约金，违约金不足以弥补甲方损失的（包括但不限于采购第三方单位、委托第三方单位的价差），</w:t>
      </w:r>
      <w:r>
        <w:rPr>
          <w:rFonts w:hint="eastAsia" w:ascii="宋体" w:hAnsi="宋体" w:eastAsia="宋体" w:cs="宋体"/>
          <w:color w:val="auto"/>
          <w:szCs w:val="21"/>
          <w:highlight w:val="none"/>
        </w:rPr>
        <w:t>乙方还应当予以补足。</w:t>
      </w:r>
    </w:p>
    <w:p w14:paraId="53778863">
      <w:pPr>
        <w:spacing w:line="360" w:lineRule="auto"/>
        <w:ind w:firstLine="42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6.2.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乙方应根据带教服务要求，制定专项培养计划，建立并动态更新个人带教成长档案，配置带教团队，投入必要的培训资源。</w:t>
      </w:r>
    </w:p>
    <w:p w14:paraId="0B0B7797">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6.2.3 </w:t>
      </w:r>
      <w:r>
        <w:rPr>
          <w:rFonts w:hint="eastAsia" w:ascii="宋体" w:hAnsi="宋体" w:eastAsia="宋体" w:cs="宋体"/>
          <w:color w:val="auto"/>
          <w:szCs w:val="21"/>
          <w:highlight w:val="none"/>
        </w:rPr>
        <w:t>乙方应根据本大厦的入驻率按月制定全面详细的阶段性工作计划及项目管理预算报甲方审核，并严格按照甲方书面审核后的计划和方案执行。乙方有权根据本项目的实际需要，及时调整工作计划的内容及时间安排，但必须将调整后的内容交甲方书面审核确定后方可实施。</w:t>
      </w:r>
    </w:p>
    <w:p w14:paraId="151FF999">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 xml:space="preserve"> 根据本物业营销宣传之需要，向甲方提供（包括但不限于）乙方的企业简介、主要业绩、物业图片及资质等级证书拷贝等资料。</w:t>
      </w:r>
    </w:p>
    <w:p w14:paraId="3E4FE63B">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 xml:space="preserve"> 乙方应按用户需求书要求配备足够的人员（具体的人员要求详见招标文件的用户需求书），乙方指定【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】为本项目的物业管理服务负责人，联系方式为【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】，代表乙方与甲方进行沟通、联络，负责水业大厦物业管理服务的日常管理工作。甲方传递给乙方的所有信息资料经上述联络人确认收到后即视为已交付乙方。若该联络人发生变动，乙方须提前</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日以书面形式通知甲方，并安排新的联络人与原联络人进行工作交接，否则由此造成工作处理上的延误及责任均由乙方承担，如造成甲方损失的，应予以赔偿。</w:t>
      </w:r>
    </w:p>
    <w:p w14:paraId="029CB137">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 xml:space="preserve"> 乙方有权对指派到本物业提供物业管理服务的员工提出聘用、解聘、续聘。</w:t>
      </w:r>
    </w:p>
    <w:p w14:paraId="1C72A7F9">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 xml:space="preserve"> 乙方不得将本合同全部的权利义务转让给第三人；按照国家有关规定必须由具备相应资质的专业机构进行服务保障的项目（如本物业维修保养、清洁及安全管理等专项管理业务）乙方需向甲方提交书面申请，未经甲方书面同意，乙方不得将本合同项下乙方的部分权利义务转让给第三人。乙方将专项管理业务交由其它专业公司负责的，由乙方负责选聘专业公司，选聘的专业公司必须经甲方书面同意后方可实施工作，并与甲乙双方签订三方协议，乙方对该专项管理业务的实施承担</w:t>
      </w:r>
      <w:r>
        <w:rPr>
          <w:rFonts w:hint="eastAsia" w:ascii="宋体" w:hAnsi="宋体" w:eastAsia="宋体" w:cs="宋体"/>
          <w:color w:val="auto"/>
          <w:szCs w:val="21"/>
          <w:highlight w:val="none"/>
          <w:lang w:val="en-US" w:eastAsia="zh-CN"/>
        </w:rPr>
        <w:t>全部</w:t>
      </w:r>
      <w:r>
        <w:rPr>
          <w:rFonts w:hint="eastAsia" w:ascii="宋体" w:hAnsi="宋体" w:eastAsia="宋体" w:cs="宋体"/>
          <w:color w:val="auto"/>
          <w:szCs w:val="21"/>
          <w:highlight w:val="none"/>
        </w:rPr>
        <w:t>连带责任</w:t>
      </w:r>
      <w:r>
        <w:rPr>
          <w:rFonts w:hint="eastAsia" w:ascii="宋体" w:hAnsi="宋体" w:eastAsia="宋体" w:cs="宋体"/>
          <w:color w:val="auto"/>
          <w:szCs w:val="21"/>
          <w:highlight w:val="none"/>
          <w:lang w:eastAsia="zh-CN"/>
        </w:rPr>
        <w:t>，且不得因甲方参与验收或直接付款而减轻或免除其责任</w:t>
      </w:r>
      <w:r>
        <w:rPr>
          <w:rFonts w:hint="eastAsia" w:ascii="宋体" w:hAnsi="宋体" w:eastAsia="宋体" w:cs="宋体"/>
          <w:color w:val="auto"/>
          <w:szCs w:val="21"/>
          <w:highlight w:val="none"/>
        </w:rPr>
        <w:t>。甲方不同意的，由此产生的费用由乙方自行承担，如由此造成甲方损失的，应承担赔偿责任。</w:t>
      </w:r>
    </w:p>
    <w:p w14:paraId="4FA8D409">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 xml:space="preserve"> 根据有关法律法规及本合同的约定，制定物业管理制度、管理方案，对于甲方提出的意见应予以重视，无正当理由不得拒绝采纳；管理制度、管理方案必须经甲方审定后方可实施。</w:t>
      </w:r>
    </w:p>
    <w:p w14:paraId="337EC877">
      <w:pPr>
        <w:spacing w:line="360" w:lineRule="auto"/>
        <w:ind w:firstLine="42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6.2.</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乙方每月向甲方报送</w:t>
      </w:r>
      <w:r>
        <w:rPr>
          <w:rFonts w:hint="eastAsia" w:ascii="宋体" w:hAnsi="宋体" w:eastAsia="宋体" w:cs="宋体"/>
          <w:b w:val="0"/>
          <w:color w:val="auto"/>
          <w:sz w:val="21"/>
          <w:szCs w:val="21"/>
          <w:highlight w:val="none"/>
          <w:lang w:val="en-US" w:eastAsia="zh-CN" w:bidi="ar-SA"/>
        </w:rPr>
        <w:t>投入本项目的物业人员考勤资料。</w:t>
      </w:r>
    </w:p>
    <w:p w14:paraId="40F26065">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 xml:space="preserve"> 依约定实施物业管理工作并执行相关管理制度，对于甲方书面提出的履行岗位职责不符合要求的人员，乙方应于甲方提出的限期内作出相应的调整和处理。</w:t>
      </w:r>
    </w:p>
    <w:p w14:paraId="3517B068">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6.2.1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 xml:space="preserve"> 向甲方及物业使用人书面告知物业使用的有关规定，当物业使用人装修物业时，书面告知有关限制条件，并负责监督。</w:t>
      </w:r>
    </w:p>
    <w:p w14:paraId="7C30CFDF">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6.2.1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 xml:space="preserve"> 对物业使用人违反法律、法规、物业管理制度的行为，及时提请甲方处理。</w:t>
      </w:r>
    </w:p>
    <w:p w14:paraId="46BD2AA8">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6.2.1</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xml:space="preserve"> 负责编制房屋、附属建筑物、构筑物、设施、设备、绿化等的定期维修养护计划和大中修方案，经甲方同意后由乙方组织实施。</w:t>
      </w:r>
    </w:p>
    <w:p w14:paraId="444FD1BD">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6.2.1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 xml:space="preserve"> 负责编制物业管理的管理计划、资金使用计划及财务预决算报告，并按时提交给甲方。</w:t>
      </w:r>
    </w:p>
    <w:p w14:paraId="28458BF2">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6.2.1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 xml:space="preserve"> 对本物业的公用设施不得擅自占用和改变使用功能，如需在本物业内改、扩建或完善配套项目，须与甲方协商并经甲方同意，报有关部门批准后方可实施。</w:t>
      </w:r>
    </w:p>
    <w:p w14:paraId="33056F04">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6.2.1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 xml:space="preserve"> 对甲方的设备、设施负有保护的责任，如属于管理不善或操作不当造成的损失，乙方应负赔偿责任。 </w:t>
      </w:r>
    </w:p>
    <w:p w14:paraId="77A04666">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6.2.1</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 xml:space="preserve"> 保护甲方、物业使用者的人身和财产的安全，维持楼内及周边的正常秩序，包括但不限于防止、制止违法犯罪行为，报警，组织抢救等。</w:t>
      </w:r>
    </w:p>
    <w:p w14:paraId="3409E7CB">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color w:val="auto"/>
          <w:szCs w:val="21"/>
          <w:highlight w:val="none"/>
          <w:lang w:val="en-US" w:eastAsia="zh-CN"/>
        </w:rPr>
        <w:t>18</w:t>
      </w:r>
      <w:r>
        <w:rPr>
          <w:rFonts w:hint="eastAsia" w:ascii="宋体" w:hAnsi="宋体" w:eastAsia="宋体" w:cs="宋体"/>
          <w:color w:val="auto"/>
          <w:szCs w:val="21"/>
          <w:highlight w:val="none"/>
        </w:rPr>
        <w:t xml:space="preserve"> 执行物业管理制度及消防管理制度等相关制度，对违反管理制度的行为给予纠正或制止。</w:t>
      </w:r>
    </w:p>
    <w:p w14:paraId="2DEFE8D4">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color w:val="auto"/>
          <w:szCs w:val="21"/>
          <w:highlight w:val="none"/>
          <w:lang w:val="en-US" w:eastAsia="zh-CN"/>
        </w:rPr>
        <w:t>19</w:t>
      </w:r>
      <w:r>
        <w:rPr>
          <w:rFonts w:hint="eastAsia" w:ascii="宋体" w:hAnsi="宋体" w:eastAsia="宋体" w:cs="宋体"/>
          <w:color w:val="auto"/>
          <w:szCs w:val="21"/>
          <w:highlight w:val="none"/>
        </w:rPr>
        <w:t xml:space="preserve"> 接受甲方的监督、指导，对于不当行为应在甲方提出的限期内予以纠正。</w:t>
      </w:r>
    </w:p>
    <w:p w14:paraId="4245081A">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6.2.2</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 xml:space="preserve"> 协助甲方完善各项管理制度并坚决贯彻执行。</w:t>
      </w:r>
    </w:p>
    <w:p w14:paraId="1582C4C4">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6.2.2</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 xml:space="preserve"> 切实做好防火、防盗、防破坏、防抢、防骗、防泄密、防自然灾害事故等的工作。</w:t>
      </w:r>
    </w:p>
    <w:p w14:paraId="0A2FECCA">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6.2.2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 xml:space="preserve"> 发现问题及时进行处理并向甲方报告，在日常管理过程中对无法解决的事情要及时向甲方反映并在甲方指导下予以解决。</w:t>
      </w:r>
    </w:p>
    <w:p w14:paraId="79A7C9FE">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6.2.2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xml:space="preserve"> 对甲方提供的图纸、档案、资料，负有保密义务；未经甲方书面许可，不得外传或提供给第三方（包括但不限于原件、复印件或复制品等）；如在日常管理中需要复印使用，应向甲方提出书面申请，经甲方批准后方可复印，否则，由此产生的一切责任及给甲方造成的任何损失均由乙方予以承担。</w:t>
      </w:r>
    </w:p>
    <w:p w14:paraId="69532288">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6.2.2</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 xml:space="preserve"> 乙方因维修、保养物业所需的物品，可向甲方提出申请，甲方经审查后给予配备。</w:t>
      </w:r>
    </w:p>
    <w:p w14:paraId="00D1EE09">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6.2.2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 xml:space="preserve"> 乙方应当自</w:t>
      </w:r>
      <w:r>
        <w:rPr>
          <w:rFonts w:hint="eastAsia" w:ascii="宋体" w:hAnsi="宋体" w:eastAsia="宋体" w:cs="宋体"/>
          <w:color w:val="auto"/>
          <w:szCs w:val="21"/>
          <w:highlight w:val="none"/>
          <w:lang w:val="en-US" w:eastAsia="zh-CN"/>
        </w:rPr>
        <w:t>本合同服务期届满前3</w:t>
      </w:r>
      <w:r>
        <w:rPr>
          <w:rFonts w:hint="eastAsia" w:ascii="宋体" w:hAnsi="宋体" w:eastAsia="宋体" w:cs="宋体"/>
          <w:color w:val="auto"/>
          <w:szCs w:val="21"/>
          <w:highlight w:val="none"/>
        </w:rPr>
        <w:t>0日内，无条件按甲方要求向甲方移交其合法占有的以下资料和财物，并配合新的物业服务企业做好交接工作：</w:t>
      </w:r>
    </w:p>
    <w:p w14:paraId="4F3D0CC4">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1)竣工总平面图，单体建筑、结构、设备竣工图，配套设施、地下管网工程竣工图等原竣工验收资料； </w:t>
      </w:r>
    </w:p>
    <w:p w14:paraId="7DCF268B">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2)设施设备买卖合同复印件及安装、使用和维护保养等技术资料； </w:t>
      </w:r>
    </w:p>
    <w:p w14:paraId="67D3E656">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3)物业质量保证文件和物业使用说明文件； </w:t>
      </w:r>
    </w:p>
    <w:p w14:paraId="789B7578">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4)物业管理区域内各类建筑物、场地、设施设备清单； </w:t>
      </w:r>
    </w:p>
    <w:p w14:paraId="44850189">
      <w:pPr>
        <w:spacing w:line="360" w:lineRule="auto"/>
        <w:ind w:firstLine="420"/>
        <w:jc w:val="left"/>
        <w:rPr>
          <w:rFonts w:hint="eastAsia" w:ascii="宋体" w:hAnsi="宋体" w:eastAsia="宋体" w:cs="宋体"/>
          <w:b w:val="0"/>
          <w:bCs w:val="0"/>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b w:val="0"/>
          <w:bCs w:val="0"/>
          <w:color w:val="auto"/>
          <w:szCs w:val="21"/>
          <w:highlight w:val="none"/>
        </w:rPr>
        <w:t>物业及配套设施产权清单；</w:t>
      </w:r>
    </w:p>
    <w:p w14:paraId="778DA7F1">
      <w:pPr>
        <w:spacing w:line="360" w:lineRule="auto"/>
        <w:ind w:firstLine="420"/>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6）物业管理用房；</w:t>
      </w:r>
    </w:p>
    <w:p w14:paraId="51EA367A">
      <w:pPr>
        <w:pStyle w:val="18"/>
        <w:ind w:firstLine="42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7）物业使用人清册；</w:t>
      </w:r>
    </w:p>
    <w:p w14:paraId="421399B3">
      <w:pPr>
        <w:spacing w:line="360" w:lineRule="auto"/>
        <w:ind w:firstLine="420"/>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8）物业使用、维护、管理必需的其他资料；</w:t>
      </w:r>
    </w:p>
    <w:p w14:paraId="6CBCB911">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val="0"/>
          <w:bCs w:val="0"/>
          <w:color w:val="auto"/>
          <w:szCs w:val="21"/>
          <w:highlight w:val="none"/>
        </w:rPr>
        <w:t>9）物业服务期间改造、</w:t>
      </w:r>
      <w:r>
        <w:rPr>
          <w:rFonts w:hint="eastAsia" w:ascii="宋体" w:hAnsi="宋体" w:eastAsia="宋体" w:cs="宋体"/>
          <w:color w:val="auto"/>
          <w:szCs w:val="21"/>
          <w:highlight w:val="none"/>
        </w:rPr>
        <w:t>维修、保养有关物业形成的技术资料；</w:t>
      </w:r>
    </w:p>
    <w:p w14:paraId="256DAA84">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10）物业服务期间配置的固定设施设备；</w:t>
      </w:r>
    </w:p>
    <w:p w14:paraId="379A7501">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11）其他应当移交的财物、资料。 </w:t>
      </w:r>
    </w:p>
    <w:p w14:paraId="0249A8F5">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资料移交完毕后，移交和接收双方须签字认可，若有未移交部分，由双方列出未移交部分的清单，确定移交时间并签字认可。</w:t>
      </w:r>
    </w:p>
    <w:p w14:paraId="34F6E17D">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6.2.2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 xml:space="preserve"> 新的物业管理企业承接物业时，乙方应当与新的物业管理企业共同对物业设施设备进行查验。查验时，甲方应当制作物业查验记录。查验记录应当包括查验项目名称、查验时间、查验内容、查验结论、存在问题等，并由查验人签名。新的物业管理企业和乙方对查验结果存在争议的，应当在查验记录中载明，并明确解决办法。 </w:t>
      </w:r>
    </w:p>
    <w:p w14:paraId="224556FD">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color w:val="auto"/>
          <w:szCs w:val="21"/>
          <w:highlight w:val="none"/>
          <w:lang w:val="en-US" w:eastAsia="zh-CN"/>
        </w:rPr>
        <w:t>27</w:t>
      </w:r>
      <w:r>
        <w:rPr>
          <w:rFonts w:hint="eastAsia" w:ascii="宋体" w:hAnsi="宋体" w:eastAsia="宋体" w:cs="宋体"/>
          <w:color w:val="auto"/>
          <w:szCs w:val="21"/>
          <w:highlight w:val="none"/>
        </w:rPr>
        <w:t xml:space="preserve"> 乙方因履行本合同聘请的员工或人员，均与乙方建立劳动关系，与甲方无关；合同期间内乙方及其聘请的员工发生的一切事故均由乙方予以承担；如由此造成甲方损失的，乙方应承担赔偿责任。</w:t>
      </w:r>
    </w:p>
    <w:p w14:paraId="0B0C66E0">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color w:val="auto"/>
          <w:szCs w:val="21"/>
          <w:highlight w:val="none"/>
          <w:lang w:val="en-US" w:eastAsia="zh-CN"/>
        </w:rPr>
        <w:t>28</w:t>
      </w:r>
      <w:r>
        <w:rPr>
          <w:rFonts w:hint="eastAsia" w:ascii="宋体" w:hAnsi="宋体" w:eastAsia="宋体" w:cs="宋体"/>
          <w:color w:val="auto"/>
          <w:szCs w:val="21"/>
          <w:highlight w:val="none"/>
        </w:rPr>
        <w:t xml:space="preserve"> 在合同履约过程中，国家、地方或行业及甲方有发布新的物业管理规定的，按新发布的管理规定执行，乙方不得以任何理由要求甲方额外增加任何费用。</w:t>
      </w:r>
    </w:p>
    <w:p w14:paraId="5F81A477">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color w:val="auto"/>
          <w:szCs w:val="21"/>
          <w:highlight w:val="none"/>
          <w:lang w:val="en-US" w:eastAsia="zh-CN"/>
        </w:rPr>
        <w:t>29</w:t>
      </w:r>
      <w:r>
        <w:rPr>
          <w:rFonts w:hint="eastAsia" w:ascii="宋体" w:hAnsi="宋体" w:eastAsia="宋体" w:cs="宋体"/>
          <w:color w:val="auto"/>
          <w:szCs w:val="21"/>
          <w:highlight w:val="none"/>
        </w:rPr>
        <w:t xml:space="preserve"> 乙方须按下列约定，实现目标管理，包括但不限于以下内容：</w:t>
      </w:r>
    </w:p>
    <w:p w14:paraId="1E2E0E8F">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1)房屋外观：完好率98%以上；</w:t>
      </w:r>
    </w:p>
    <w:p w14:paraId="7E6A6A6B">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2)设备运行：运行正常，重大设备完好率98%以上；</w:t>
      </w:r>
    </w:p>
    <w:p w14:paraId="30673CC5">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3)设施、设备的维修、养护：完成率100%；</w:t>
      </w:r>
    </w:p>
    <w:p w14:paraId="6455DA54">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4)公共环境：合格率95%以上：</w:t>
      </w:r>
    </w:p>
    <w:p w14:paraId="3AE5D20F">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5)急修：及时率100%；小修：合格率98%以上；</w:t>
      </w:r>
    </w:p>
    <w:p w14:paraId="6586A4DF">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6)保安：治安、刑事案件及火灾事故发生率为0；</w:t>
      </w:r>
    </w:p>
    <w:p w14:paraId="461E22CA">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7)交通秩序：车辆出入登记、每辆车发放一张停车卡、车辆依停车卡放行、管理有序、无交通事故发生，完成率100%；</w:t>
      </w:r>
    </w:p>
    <w:p w14:paraId="74643092">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8)物业内部财产保护：物业内部（包括停车场）财产失窃、人为故意损毁发生率为0；</w:t>
      </w:r>
    </w:p>
    <w:p w14:paraId="4D405EF3">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9)甲方对乙方的满意率达到95%以上；</w:t>
      </w:r>
    </w:p>
    <w:p w14:paraId="52C774F0">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10)乙方</w:t>
      </w:r>
      <w:r>
        <w:rPr>
          <w:rFonts w:hint="eastAsia" w:ascii="宋体" w:hAnsi="宋体" w:eastAsia="宋体" w:cs="宋体"/>
          <w:color w:val="auto"/>
          <w:szCs w:val="21"/>
          <w:highlight w:val="none"/>
          <w:lang w:val="en-US" w:eastAsia="zh-CN"/>
        </w:rPr>
        <w:t>物业管理</w:t>
      </w:r>
      <w:r>
        <w:rPr>
          <w:rFonts w:hint="eastAsia" w:ascii="宋体" w:hAnsi="宋体" w:eastAsia="宋体" w:cs="宋体"/>
          <w:color w:val="auto"/>
          <w:szCs w:val="21"/>
          <w:highlight w:val="none"/>
        </w:rPr>
        <w:t>运营</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rPr>
        <w:t>费用（不含销项税额）控制[包</w:t>
      </w:r>
      <w:r>
        <w:rPr>
          <w:rFonts w:hint="eastAsia" w:ascii="宋体" w:hAnsi="宋体" w:eastAsia="宋体" w:cs="宋体"/>
          <w:color w:val="auto"/>
          <w:szCs w:val="21"/>
          <w:highlight w:val="none"/>
          <w:lang w:eastAsia="zh-CN"/>
        </w:rPr>
        <w:t>括但</w:t>
      </w:r>
      <w:r>
        <w:rPr>
          <w:rFonts w:hint="eastAsia" w:ascii="宋体" w:hAnsi="宋体" w:eastAsia="宋体" w:cs="宋体"/>
          <w:color w:val="auto"/>
          <w:szCs w:val="21"/>
          <w:highlight w:val="none"/>
        </w:rPr>
        <w:t>不限于</w:t>
      </w:r>
      <w:r>
        <w:rPr>
          <w:rFonts w:hint="eastAsia" w:ascii="宋体" w:hAnsi="宋体" w:eastAsia="宋体" w:cs="宋体"/>
          <w:color w:val="auto"/>
          <w:szCs w:val="21"/>
          <w:highlight w:val="none"/>
          <w:lang w:val="en-US" w:eastAsia="zh-CN"/>
        </w:rPr>
        <w:t>服务期</w:t>
      </w:r>
      <w:r>
        <w:rPr>
          <w:rFonts w:hint="eastAsia" w:ascii="宋体" w:hAnsi="宋体" w:eastAsia="宋体" w:cs="宋体"/>
          <w:color w:val="auto"/>
          <w:szCs w:val="21"/>
          <w:highlight w:val="none"/>
        </w:rPr>
        <w:t>所产生的物业管理人员</w:t>
      </w:r>
      <w:r>
        <w:rPr>
          <w:rFonts w:hint="eastAsia" w:ascii="宋体" w:hAnsi="宋体" w:eastAsia="宋体" w:cs="宋体"/>
          <w:bCs/>
          <w:color w:val="auto"/>
          <w:szCs w:val="21"/>
          <w:highlight w:val="none"/>
          <w:lang w:bidi="ar"/>
        </w:rPr>
        <w:t>人工费用、日常设施维护费用</w:t>
      </w:r>
      <w:r>
        <w:rPr>
          <w:rFonts w:hint="eastAsia" w:ascii="宋体" w:hAnsi="宋体" w:eastAsia="宋体" w:cs="宋体"/>
          <w:color w:val="auto"/>
          <w:szCs w:val="21"/>
          <w:highlight w:val="none"/>
          <w:lang w:val="zh-CN"/>
        </w:rPr>
        <w:t>（包括电梯、空调、消防等）</w:t>
      </w:r>
      <w:r>
        <w:rPr>
          <w:rFonts w:hint="eastAsia" w:ascii="宋体" w:hAnsi="宋体" w:eastAsia="宋体" w:cs="宋体"/>
          <w:bCs/>
          <w:color w:val="auto"/>
          <w:szCs w:val="21"/>
          <w:highlight w:val="none"/>
          <w:lang w:bidi="ar"/>
        </w:rPr>
        <w:t>、</w:t>
      </w:r>
      <w:r>
        <w:rPr>
          <w:rFonts w:hint="eastAsia" w:ascii="宋体" w:hAnsi="宋体" w:eastAsia="宋体" w:cs="宋体"/>
          <w:color w:val="auto"/>
          <w:szCs w:val="21"/>
          <w:highlight w:val="none"/>
          <w:lang w:val="zh-CN"/>
        </w:rPr>
        <w:t>工器具及材料费用、</w:t>
      </w:r>
      <w:r>
        <w:rPr>
          <w:rFonts w:hint="eastAsia" w:ascii="宋体" w:hAnsi="宋体" w:eastAsia="宋体" w:cs="宋体"/>
          <w:bCs/>
          <w:color w:val="auto"/>
          <w:szCs w:val="21"/>
          <w:highlight w:val="none"/>
          <w:lang w:bidi="ar"/>
        </w:rPr>
        <w:t>垃圾清运及处理费、清洁耗材、日常耗材、绿化养护及材料费、玻璃外墙清洗费、“四害”消杀及白蚁防治费、清洗生活水池、消防水池费</w:t>
      </w:r>
      <w:r>
        <w:rPr>
          <w:rFonts w:hint="eastAsia" w:ascii="宋体" w:hAnsi="宋体" w:eastAsia="宋体" w:cs="宋体"/>
          <w:color w:val="auto"/>
          <w:szCs w:val="21"/>
          <w:highlight w:val="none"/>
          <w:lang w:val="zh-CN"/>
        </w:rPr>
        <w:t>（含人工、材料、检测费用）</w:t>
      </w:r>
      <w:r>
        <w:rPr>
          <w:rFonts w:hint="eastAsia" w:ascii="宋体" w:hAnsi="宋体" w:eastAsia="宋体" w:cs="宋体"/>
          <w:bCs/>
          <w:color w:val="auto"/>
          <w:szCs w:val="21"/>
          <w:highlight w:val="none"/>
          <w:lang w:bidi="ar"/>
        </w:rPr>
        <w:t>、化粪池、隔油池清洗费用、文化活动与节日装饰、行政办公费用</w:t>
      </w:r>
      <w:r>
        <w:rPr>
          <w:rFonts w:hint="eastAsia" w:ascii="宋体" w:hAnsi="宋体" w:eastAsia="宋体" w:cs="宋体"/>
          <w:color w:val="auto"/>
          <w:szCs w:val="21"/>
          <w:highlight w:val="none"/>
        </w:rPr>
        <w:t>等费用]原则上应不超过投标报价最高限额，但甲乙双方约定的特殊事项除外。</w:t>
      </w:r>
    </w:p>
    <w:p w14:paraId="02620FEB">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 xml:space="preserve"> 在乙方无违约行为的情况下，乙方有权要求甲方及时支付</w:t>
      </w:r>
      <w:r>
        <w:rPr>
          <w:rFonts w:hint="eastAsia" w:ascii="宋体" w:hAnsi="宋体" w:eastAsia="宋体" w:cs="宋体"/>
          <w:color w:val="auto"/>
          <w:szCs w:val="21"/>
          <w:highlight w:val="none"/>
          <w:lang w:val="en-US" w:eastAsia="zh-CN"/>
        </w:rPr>
        <w:t>服务费用</w:t>
      </w:r>
      <w:r>
        <w:rPr>
          <w:rFonts w:hint="eastAsia" w:ascii="宋体" w:hAnsi="宋体" w:eastAsia="宋体" w:cs="宋体"/>
          <w:color w:val="auto"/>
          <w:szCs w:val="21"/>
          <w:highlight w:val="none"/>
        </w:rPr>
        <w:t>，甲方应按合同约定及时予以支付。</w:t>
      </w:r>
    </w:p>
    <w:p w14:paraId="3409111B">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6.2.3</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 xml:space="preserve"> 乙方未完全履行本物业管理服务合同的约定义务或相关行业规范规定，导致甲方或物业使用人或第三者人身、财产安全受到损害的，由乙方承担赔偿及相关法律责任。</w:t>
      </w:r>
    </w:p>
    <w:p w14:paraId="2631A806">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6.2.3</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 xml:space="preserve"> 甲方提供的物业管理用房专用于物业管理服务工作，不得挪作他用。</w:t>
      </w:r>
    </w:p>
    <w:p w14:paraId="6B36CF4E">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6.2.3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xml:space="preserve"> 乙方投标时承诺自愿免费投入本项目使用的设备及软件应在乙方进驻本项目3天内全数如实投入本项目使用，不得以任何理由拖延或拒绝。</w:t>
      </w:r>
    </w:p>
    <w:p w14:paraId="519CA624">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6.2.3</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 xml:space="preserve"> 在本合同期内及合同期满后，乙方不得向除甲方以外的任何第三方泄露甲方的经营情况及任何其它商业秘密等文件及信息，否则，由此产生的一切责任及给甲方造成的任何损失均由乙方予以承担。</w:t>
      </w:r>
    </w:p>
    <w:p w14:paraId="464279EC">
      <w:pPr>
        <w:pStyle w:val="53"/>
        <w:spacing w:line="360" w:lineRule="auto"/>
        <w:ind w:left="0"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color w:val="auto"/>
          <w:szCs w:val="21"/>
          <w:highlight w:val="none"/>
          <w:lang w:val="en-US"/>
        </w:rPr>
        <w:t>3</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 xml:space="preserve"> 合同文件及附件内容约定的乙方其他权利义务。</w:t>
      </w:r>
    </w:p>
    <w:p w14:paraId="0182E035">
      <w:pPr>
        <w:pStyle w:val="53"/>
        <w:spacing w:line="360" w:lineRule="auto"/>
        <w:ind w:left="0" w:firstLine="42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6.2.36 乙方应配合甲方及上级单位对本项目的审计、督查、绩效评价工作，按要求提供财务凭证、服务记录等相关资料（包括但不限于用户需求书7.2.2条要求的物业费收缴报表、能耗数据报表等），不得拒绝、拖延或隐瞒。若乙方未按要求配合，导致审计、督查工作延误或无法开展，甲方有权暂缓支付当期物业管理运营服务费用，直至乙方完成配合；造成甲方损失的，乙方还应承担赔偿责任。</w:t>
      </w:r>
    </w:p>
    <w:p w14:paraId="266EEFF1">
      <w:pPr>
        <w:pStyle w:val="53"/>
        <w:spacing w:line="360" w:lineRule="auto"/>
        <w:ind w:left="0" w:firstLine="42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6.2.37 乙方应确保服务期内关键岗位人员（属于用户需求书4.4条要求“持证上岗”的消防值班人员、电梯维保人员、特种作业人员及带教导师等）的职业资格持续有效。乙方应在人员资格到期前15日向甲方提交合格人员替换方案并完成更换；乙方需每季度向甲方提交人员资格证书查验清单，配合甲方核实。</w:t>
      </w:r>
    </w:p>
    <w:p w14:paraId="34C1AA1B">
      <w:pPr>
        <w:spacing w:line="360" w:lineRule="auto"/>
        <w:ind w:firstLine="42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第七条 履约担保</w:t>
      </w:r>
    </w:p>
    <w:p w14:paraId="6219C44A">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7.1 乙方应当根据招标文件的规定在签订本合同前向甲方提供履约担保，履约担保形式及金额由乙方从以下方式中任选一种：</w:t>
      </w:r>
    </w:p>
    <w:p w14:paraId="5D532DF7">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履约保证金（银行转账形式）金额为人民币</w:t>
      </w:r>
      <w:r>
        <w:rPr>
          <w:rFonts w:hint="eastAsia" w:ascii="宋体" w:hAnsi="宋体" w:eastAsia="宋体" w:cs="宋体"/>
          <w:color w:val="auto"/>
          <w:szCs w:val="21"/>
          <w:highlight w:val="none"/>
          <w:u w:val="single"/>
          <w:lang w:val="en-US" w:eastAsia="zh-CN"/>
        </w:rPr>
        <w:t>叁拾万元整（¥300,000.00）</w:t>
      </w:r>
      <w:r>
        <w:rPr>
          <w:rFonts w:hint="eastAsia" w:ascii="宋体" w:hAnsi="宋体" w:eastAsia="宋体" w:cs="宋体"/>
          <w:color w:val="auto"/>
          <w:szCs w:val="21"/>
          <w:highlight w:val="none"/>
        </w:rPr>
        <w:t>。</w:t>
      </w:r>
    </w:p>
    <w:p w14:paraId="5B45329A">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银行不可撤销履约保函金额为人民币</w:t>
      </w:r>
      <w:r>
        <w:rPr>
          <w:rFonts w:hint="eastAsia" w:ascii="宋体" w:hAnsi="宋体" w:eastAsia="宋体" w:cs="宋体"/>
          <w:color w:val="auto"/>
          <w:szCs w:val="21"/>
          <w:highlight w:val="none"/>
          <w:u w:val="single"/>
          <w:lang w:val="en-US" w:eastAsia="zh-CN"/>
        </w:rPr>
        <w:t>肆拾捌万元整（¥480,000.00）</w:t>
      </w:r>
      <w:r>
        <w:rPr>
          <w:rFonts w:hint="eastAsia" w:ascii="宋体" w:hAnsi="宋体" w:eastAsia="宋体" w:cs="宋体"/>
          <w:color w:val="auto"/>
          <w:szCs w:val="21"/>
          <w:highlight w:val="none"/>
        </w:rPr>
        <w:t>。</w:t>
      </w:r>
    </w:p>
    <w:p w14:paraId="3EAC4AED">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履约</w:t>
      </w:r>
      <w:r>
        <w:rPr>
          <w:rFonts w:hint="eastAsia" w:ascii="宋体" w:hAnsi="宋体" w:eastAsia="宋体" w:cs="宋体"/>
          <w:color w:val="auto"/>
          <w:szCs w:val="21"/>
          <w:highlight w:val="none"/>
          <w:lang w:val="en-US" w:eastAsia="zh-CN"/>
        </w:rPr>
        <w:t>保证保险</w:t>
      </w:r>
      <w:r>
        <w:rPr>
          <w:rFonts w:hint="eastAsia" w:ascii="宋体" w:hAnsi="宋体" w:eastAsia="宋体" w:cs="宋体"/>
          <w:color w:val="auto"/>
          <w:szCs w:val="21"/>
          <w:highlight w:val="none"/>
        </w:rPr>
        <w:t>金额为人民币</w:t>
      </w:r>
      <w:r>
        <w:rPr>
          <w:rFonts w:hint="eastAsia" w:ascii="宋体" w:hAnsi="宋体" w:eastAsia="宋体" w:cs="宋体"/>
          <w:color w:val="auto"/>
          <w:szCs w:val="21"/>
          <w:highlight w:val="none"/>
          <w:u w:val="single"/>
          <w:lang w:val="en-US" w:eastAsia="zh-CN"/>
        </w:rPr>
        <w:t>陆拾万元整（¥600,000.00）</w:t>
      </w:r>
      <w:r>
        <w:rPr>
          <w:rFonts w:hint="eastAsia" w:ascii="宋体" w:hAnsi="宋体" w:eastAsia="宋体" w:cs="宋体"/>
          <w:color w:val="auto"/>
          <w:szCs w:val="21"/>
          <w:highlight w:val="none"/>
        </w:rPr>
        <w:t>。</w:t>
      </w:r>
    </w:p>
    <w:p w14:paraId="156B577F">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担保公司履约担保书金额为人民币</w:t>
      </w:r>
      <w:r>
        <w:rPr>
          <w:rFonts w:hint="eastAsia" w:ascii="宋体" w:hAnsi="宋体" w:eastAsia="宋体" w:cs="宋体"/>
          <w:color w:val="auto"/>
          <w:szCs w:val="21"/>
          <w:highlight w:val="none"/>
          <w:u w:val="single"/>
          <w:lang w:val="en-US" w:eastAsia="zh-CN"/>
        </w:rPr>
        <w:t>陆拾万元整（¥600,000.00）</w:t>
      </w:r>
      <w:r>
        <w:rPr>
          <w:rFonts w:hint="eastAsia" w:ascii="宋体" w:hAnsi="宋体" w:eastAsia="宋体" w:cs="宋体"/>
          <w:color w:val="auto"/>
          <w:szCs w:val="21"/>
          <w:highlight w:val="none"/>
        </w:rPr>
        <w:t>。</w:t>
      </w:r>
    </w:p>
    <w:p w14:paraId="0AF198EB">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7.2 履约担保用于补偿甲方因乙方不能完全履行其合同义务而蒙受的损失，如发生下列任一情况时，甲方除有权依合同追究乙方违约责任外，还有权提取履约担保并进行相应处理：</w:t>
      </w:r>
    </w:p>
    <w:p w14:paraId="2B8FCDE1">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（1）未经甲方书面同意，乙方将本合同部分或全部的权利义务转让给第三人，甲方可没收其履约担保。</w:t>
      </w:r>
    </w:p>
    <w:p w14:paraId="3EDF01A6">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在合同履行期间，因乙方服务质量问题造成损害、侵权损失（包括但不限于甲方经济损失、乙方所雇人员及第三人人身财产损失等）、乙方与其所雇用员工发生劳资纠纷、上访、闹事或其他影响甲方生产经营等情况而其未及时妥善处理的，甲方有权使用履约担保予以支付或作出相应处理，由此产生的一切法律后果由乙方承担。</w:t>
      </w:r>
    </w:p>
    <w:p w14:paraId="5B37D14E">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）在合同履行期间，乙方违约产生的违约金、赔偿、罚款或其他应付费用等款项，甲方有权直接从未付服务费中扣除或使用履约担保予以支付。</w:t>
      </w:r>
    </w:p>
    <w:p w14:paraId="33DEAB90">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）合同期内，乙方不能及时完成合同某项义务的，甲方有权使用履约担保用于处理该项工作。</w:t>
      </w:r>
    </w:p>
    <w:p w14:paraId="16F163CD">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）其他根据本合同约定或法律规定，甲方可使用履约担保的情形。</w:t>
      </w:r>
    </w:p>
    <w:p w14:paraId="09735142">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7.3 在本合同服务期满且乙方完成本合同项下全部服务后</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乙方</w:t>
      </w:r>
      <w:r>
        <w:rPr>
          <w:rFonts w:hint="eastAsia" w:ascii="宋体" w:hAnsi="宋体" w:eastAsia="宋体" w:cs="宋体"/>
          <w:color w:val="auto"/>
          <w:szCs w:val="21"/>
          <w:highlight w:val="none"/>
          <w:lang w:val="zh-CN"/>
        </w:rPr>
        <w:t>可向</w:t>
      </w:r>
      <w:r>
        <w:rPr>
          <w:rFonts w:hint="eastAsia" w:ascii="宋体" w:hAnsi="宋体" w:eastAsia="宋体" w:cs="宋体"/>
          <w:color w:val="auto"/>
          <w:szCs w:val="21"/>
          <w:highlight w:val="none"/>
        </w:rPr>
        <w:t>甲方</w:t>
      </w:r>
      <w:r>
        <w:rPr>
          <w:rFonts w:hint="eastAsia" w:ascii="宋体" w:hAnsi="宋体" w:eastAsia="宋体" w:cs="宋体"/>
          <w:color w:val="auto"/>
          <w:szCs w:val="21"/>
          <w:highlight w:val="none"/>
          <w:lang w:val="zh-CN"/>
        </w:rPr>
        <w:t>提交退回</w:t>
      </w:r>
      <w:r>
        <w:rPr>
          <w:rFonts w:hint="eastAsia" w:ascii="宋体" w:hAnsi="宋体" w:eastAsia="宋体" w:cs="宋体"/>
          <w:color w:val="auto"/>
          <w:szCs w:val="21"/>
          <w:highlight w:val="none"/>
        </w:rPr>
        <w:t>履约担保</w:t>
      </w:r>
      <w:r>
        <w:rPr>
          <w:rFonts w:hint="eastAsia" w:ascii="宋体" w:hAnsi="宋体" w:eastAsia="宋体" w:cs="宋体"/>
          <w:color w:val="auto"/>
          <w:szCs w:val="21"/>
          <w:highlight w:val="none"/>
          <w:lang w:val="zh-CN"/>
        </w:rPr>
        <w:t>的申请。</w:t>
      </w:r>
      <w:r>
        <w:rPr>
          <w:rFonts w:hint="eastAsia" w:ascii="宋体" w:hAnsi="宋体" w:eastAsia="宋体" w:cs="宋体"/>
          <w:color w:val="auto"/>
          <w:szCs w:val="21"/>
          <w:highlight w:val="none"/>
        </w:rPr>
        <w:t>甲方</w:t>
      </w:r>
      <w:r>
        <w:rPr>
          <w:rFonts w:hint="eastAsia" w:ascii="宋体" w:hAnsi="宋体" w:eastAsia="宋体" w:cs="宋体"/>
          <w:color w:val="auto"/>
          <w:szCs w:val="21"/>
          <w:highlight w:val="none"/>
          <w:lang w:val="zh-CN"/>
        </w:rPr>
        <w:t>审核无异议后，办理履约担保退还手续，</w:t>
      </w:r>
      <w:r>
        <w:rPr>
          <w:rFonts w:hint="eastAsia" w:ascii="宋体" w:hAnsi="宋体" w:eastAsia="宋体" w:cs="宋体"/>
          <w:color w:val="auto"/>
          <w:szCs w:val="21"/>
          <w:highlight w:val="none"/>
        </w:rPr>
        <w:t>履约担保余额（</w:t>
      </w:r>
      <w:r>
        <w:rPr>
          <w:rFonts w:hint="eastAsia" w:ascii="宋体" w:hAnsi="宋体" w:eastAsia="宋体" w:cs="宋体"/>
          <w:color w:val="auto"/>
          <w:szCs w:val="21"/>
          <w:highlight w:val="none"/>
          <w:lang w:val="zh-CN"/>
        </w:rPr>
        <w:t>履约保证金形式提交的履约担保</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退回时一律以银行转账的形式无息退回到</w:t>
      </w:r>
      <w:r>
        <w:rPr>
          <w:rFonts w:hint="eastAsia" w:ascii="宋体" w:hAnsi="宋体" w:eastAsia="宋体" w:cs="宋体"/>
          <w:color w:val="auto"/>
          <w:szCs w:val="21"/>
          <w:highlight w:val="none"/>
        </w:rPr>
        <w:t>乙方</w:t>
      </w:r>
      <w:r>
        <w:rPr>
          <w:rFonts w:hint="eastAsia" w:ascii="宋体" w:hAnsi="宋体" w:eastAsia="宋体" w:cs="宋体"/>
          <w:color w:val="auto"/>
          <w:szCs w:val="21"/>
          <w:highlight w:val="none"/>
          <w:lang w:val="zh-CN"/>
        </w:rPr>
        <w:t>的帐户</w:t>
      </w:r>
      <w:r>
        <w:rPr>
          <w:rFonts w:hint="eastAsia" w:ascii="宋体" w:hAnsi="宋体" w:eastAsia="宋体" w:cs="宋体"/>
          <w:color w:val="auto"/>
          <w:szCs w:val="21"/>
          <w:highlight w:val="none"/>
        </w:rPr>
        <w:t>。</w:t>
      </w:r>
    </w:p>
    <w:p w14:paraId="0F9140F7">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7.4 如乙方提供不可撤销银行履约保函或担保公司履约担保书作为履约担保的，不可撤销银行履约保函或担保公司履约担保书应自本合同签订之日起到本合同服务期满且乙方完成本合同项下全部服务之后28日内保持有效。</w:t>
      </w:r>
    </w:p>
    <w:p w14:paraId="59381834">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7.5 在合同履行过程中，不论何种原因导致履约担保数额不符合招标文件要求的，乙方应当在5日内予以补足。逾期不予补足的，甲方有权按需补足的金额要求乙方承担违约金，并要求限期补足。如乙方仍不补足的，甲方有权单方解除合同。</w:t>
      </w:r>
    </w:p>
    <w:p w14:paraId="3A034DE0">
      <w:pPr>
        <w:spacing w:line="360" w:lineRule="auto"/>
        <w:ind w:firstLine="42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第八条 违约责任</w:t>
      </w:r>
    </w:p>
    <w:p w14:paraId="6C55B997">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8.1</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乙方未按合同约定履行合同义务，除本合同另有约定及甲方的特殊要求外，甲方有权向乙方发出</w:t>
      </w:r>
      <w:r>
        <w:rPr>
          <w:rFonts w:hint="eastAsia" w:ascii="宋体" w:hAnsi="宋体" w:eastAsia="宋体" w:cs="宋体"/>
          <w:color w:val="auto"/>
          <w:szCs w:val="21"/>
          <w:highlight w:val="none"/>
          <w:lang w:val="en-US" w:eastAsia="zh-CN"/>
        </w:rPr>
        <w:t>书面限期</w:t>
      </w:r>
      <w:r>
        <w:rPr>
          <w:rFonts w:hint="eastAsia" w:ascii="宋体" w:hAnsi="宋体" w:eastAsia="宋体" w:cs="宋体"/>
          <w:color w:val="auto"/>
          <w:szCs w:val="21"/>
          <w:highlight w:val="none"/>
        </w:rPr>
        <w:t>整改通知，如乙方在限期内未做出整改或整改没有达到甲方要求的，乙方应向甲方支付人民币100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000.00元/次作为违约金，</w:t>
      </w:r>
      <w:r>
        <w:rPr>
          <w:rFonts w:hint="eastAsia" w:ascii="宋体" w:hAnsi="宋体" w:eastAsia="宋体" w:cs="宋体"/>
          <w:color w:val="auto"/>
          <w:szCs w:val="21"/>
          <w:highlight w:val="none"/>
          <w:lang w:val="en-US" w:eastAsia="zh-CN"/>
        </w:rPr>
        <w:t>本款违约金最高不超过</w:t>
      </w:r>
      <w:r>
        <w:rPr>
          <w:rFonts w:hint="eastAsia" w:ascii="宋体" w:hAnsi="宋体" w:eastAsia="宋体" w:cs="宋体"/>
          <w:color w:val="auto"/>
          <w:szCs w:val="21"/>
          <w:highlight w:val="none"/>
        </w:rPr>
        <w:t>人民币</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00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000.00元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违约金不足以弥补甲方损失的，乙方还应当予以补足。</w:t>
      </w:r>
    </w:p>
    <w:p w14:paraId="267918CD">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因乙方管理疏漏导致甲方及物业使用人的财物被盗、火灾、消防安全事故、漏电触电、人/物坠落或其他安全事故，对甲方、第三方人身或财产造成损失的，超过保险赔付部分，由乙方承担赔偿责任，同时甲方有权单方解除合同，不论甲方是否解除本合同，乙方还应向甲方支付人民币300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000.00元/次作为违约金，违约金不足以弥补甲方损失（包括但不限于采购第三方单位、委托第三方单位的价差）的，乙方还应予以补足。</w:t>
      </w:r>
    </w:p>
    <w:p w14:paraId="5FE789F5">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xml:space="preserve"> 若因乙方管理原因导致某个分项内容出现三次以上（含三次）的有效投诉（包括但不限于本项目物业使用人、有关行政管理部门等的投诉，经甲方核实为事实情况的），</w:t>
      </w:r>
      <w:r>
        <w:rPr>
          <w:rFonts w:hint="eastAsia" w:ascii="宋体" w:hAnsi="宋体" w:eastAsia="宋体" w:cs="宋体"/>
          <w:color w:val="auto"/>
          <w:szCs w:val="21"/>
          <w:highlight w:val="none"/>
          <w:lang w:val="en-US" w:eastAsia="zh-CN"/>
        </w:rPr>
        <w:t>该分项内容每增加一次，</w:t>
      </w:r>
      <w:r>
        <w:rPr>
          <w:rFonts w:hint="eastAsia" w:ascii="宋体" w:hAnsi="宋体" w:eastAsia="宋体" w:cs="宋体"/>
          <w:color w:val="auto"/>
          <w:szCs w:val="21"/>
          <w:highlight w:val="none"/>
        </w:rPr>
        <w:t>乙方应向甲方支付人民币</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000.00元/次作为违约金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本款违约金最高不超过</w:t>
      </w:r>
      <w:r>
        <w:rPr>
          <w:rFonts w:hint="eastAsia" w:ascii="宋体" w:hAnsi="宋体" w:eastAsia="宋体" w:cs="宋体"/>
          <w:color w:val="auto"/>
          <w:szCs w:val="21"/>
          <w:highlight w:val="none"/>
        </w:rPr>
        <w:t>人民币</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00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000.00元。</w:t>
      </w:r>
    </w:p>
    <w:p w14:paraId="58C30F8E">
      <w:pPr>
        <w:spacing w:line="360" w:lineRule="auto"/>
        <w:ind w:firstLine="42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甲方每发现一次乙方投入本项目的物业人员未按合同约定正常上岗，乙方应向甲方支付人民币3,000元/次作为违约金，本款违约金最高不超过</w:t>
      </w:r>
      <w:r>
        <w:rPr>
          <w:rFonts w:hint="eastAsia" w:ascii="宋体" w:hAnsi="宋体" w:eastAsia="宋体" w:cs="宋体"/>
          <w:color w:val="auto"/>
          <w:szCs w:val="21"/>
          <w:highlight w:val="none"/>
        </w:rPr>
        <w:t>人民币</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00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000.00元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同时甲方将在支付乙方月度物业管理运营服务人工费中扣减缺勤人员的费用。</w:t>
      </w:r>
    </w:p>
    <w:p w14:paraId="7C3A7592">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8.5 物业管理带教服务过程</w:t>
      </w:r>
      <w:r>
        <w:rPr>
          <w:rFonts w:hint="eastAsia" w:ascii="宋体" w:hAnsi="宋体" w:eastAsia="宋体" w:cs="宋体"/>
          <w:color w:val="auto"/>
          <w:szCs w:val="21"/>
          <w:highlight w:val="none"/>
        </w:rPr>
        <w:t>考核得分＜</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0分的，甲方无需支付</w:t>
      </w:r>
      <w:r>
        <w:rPr>
          <w:rFonts w:hint="eastAsia" w:ascii="宋体" w:hAnsi="宋体" w:eastAsia="宋体" w:cs="宋体"/>
          <w:color w:val="auto"/>
          <w:szCs w:val="21"/>
          <w:highlight w:val="none"/>
          <w:lang w:val="en-US" w:eastAsia="zh-CN"/>
        </w:rPr>
        <w:t>当期物业管理带教服务费用</w:t>
      </w:r>
      <w:r>
        <w:rPr>
          <w:rFonts w:hint="eastAsia" w:ascii="宋体" w:hAnsi="宋体" w:eastAsia="宋体" w:cs="宋体"/>
          <w:color w:val="auto"/>
          <w:szCs w:val="21"/>
          <w:highlight w:val="none"/>
        </w:rPr>
        <w:t>，同时乙方还应向甲方支付人民币100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000.00元作为违约金。</w:t>
      </w:r>
    </w:p>
    <w:p w14:paraId="42B122C4">
      <w:pPr>
        <w:spacing w:line="360" w:lineRule="auto"/>
        <w:ind w:firstLine="420"/>
        <w:jc w:val="left"/>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val="en-US"/>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en-US"/>
        </w:rPr>
        <w:t xml:space="preserve"> </w:t>
      </w:r>
      <w:r>
        <w:rPr>
          <w:rFonts w:hint="eastAsia" w:ascii="宋体" w:hAnsi="宋体" w:eastAsia="宋体" w:cs="宋体"/>
          <w:color w:val="auto"/>
          <w:szCs w:val="21"/>
          <w:highlight w:val="none"/>
          <w:lang w:val="en-US" w:eastAsia="zh-CN"/>
        </w:rPr>
        <w:t>物业管理带教服务结果</w:t>
      </w:r>
      <w:r>
        <w:rPr>
          <w:rFonts w:hint="eastAsia" w:ascii="宋体" w:hAnsi="宋体" w:eastAsia="宋体" w:cs="宋体"/>
          <w:color w:val="auto"/>
          <w:szCs w:val="21"/>
          <w:highlight w:val="none"/>
        </w:rPr>
        <w:t>考核得分＜</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0分的，甲方无需支付</w:t>
      </w:r>
      <w:r>
        <w:rPr>
          <w:rFonts w:hint="eastAsia" w:ascii="宋体" w:hAnsi="宋体" w:eastAsia="宋体" w:cs="宋体"/>
          <w:color w:val="auto"/>
          <w:szCs w:val="21"/>
          <w:highlight w:val="none"/>
          <w:lang w:val="en-US" w:eastAsia="zh-CN"/>
        </w:rPr>
        <w:t>当期物业管理带教服务费用</w:t>
      </w:r>
      <w:r>
        <w:rPr>
          <w:rFonts w:hint="eastAsia" w:ascii="宋体" w:hAnsi="宋体" w:eastAsia="宋体" w:cs="宋体"/>
          <w:color w:val="auto"/>
          <w:szCs w:val="21"/>
          <w:highlight w:val="none"/>
        </w:rPr>
        <w:t>，同时乙方还应向甲方支付人民币</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00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000.00元作为违约金。</w:t>
      </w:r>
    </w:p>
    <w:p w14:paraId="4D441D2D">
      <w:pPr>
        <w:spacing w:line="360" w:lineRule="auto"/>
        <w:ind w:firstLine="420"/>
        <w:jc w:val="left"/>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val="en-US"/>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en-US"/>
        </w:rPr>
        <w:t xml:space="preserve"> </w:t>
      </w:r>
      <w:r>
        <w:rPr>
          <w:rFonts w:hint="eastAsia" w:ascii="宋体" w:hAnsi="宋体" w:eastAsia="宋体" w:cs="宋体"/>
          <w:color w:val="auto"/>
          <w:szCs w:val="21"/>
          <w:highlight w:val="none"/>
          <w:lang w:val="en-US" w:eastAsia="zh-CN"/>
        </w:rPr>
        <w:t>物业管理运营</w:t>
      </w:r>
      <w:r>
        <w:rPr>
          <w:rFonts w:hint="eastAsia" w:ascii="宋体" w:hAnsi="宋体" w:eastAsia="宋体" w:cs="宋体"/>
          <w:color w:val="auto"/>
          <w:szCs w:val="21"/>
          <w:highlight w:val="none"/>
          <w:lang w:val="en-US"/>
        </w:rPr>
        <w:t>服务考核得分＜60分</w:t>
      </w:r>
      <w:r>
        <w:rPr>
          <w:rFonts w:hint="eastAsia" w:ascii="宋体" w:hAnsi="宋体" w:eastAsia="宋体" w:cs="宋体"/>
          <w:color w:val="auto"/>
          <w:szCs w:val="21"/>
          <w:highlight w:val="none"/>
          <w:lang w:val="en-US" w:eastAsia="zh-CN"/>
        </w:rPr>
        <w:t>的，甲方无需支付考核对应月份物业管理运营服务费用，同时乙方还应向甲方支付人民币</w:t>
      </w:r>
      <w:r>
        <w:rPr>
          <w:rFonts w:hint="eastAsia" w:ascii="宋体" w:hAnsi="宋体" w:eastAsia="宋体" w:cs="宋体"/>
          <w:color w:val="auto"/>
          <w:szCs w:val="21"/>
          <w:highlight w:val="none"/>
        </w:rPr>
        <w:t>100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000.00元作为违约金</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12个月内累计3次70≤考核总得分＜80分或6个月内累计2次60≤考核总得分＜70分的</w:t>
      </w:r>
      <w:r>
        <w:rPr>
          <w:rFonts w:hint="eastAsia" w:ascii="宋体" w:hAnsi="宋体" w:eastAsia="宋体" w:cs="宋体"/>
          <w:color w:val="auto"/>
          <w:szCs w:val="21"/>
          <w:highlight w:val="none"/>
          <w:lang w:val="en-US"/>
        </w:rPr>
        <w:t>，甲方有权单方解除合同，且不承担任何违约责任</w:t>
      </w:r>
      <w:r>
        <w:rPr>
          <w:rFonts w:hint="eastAsia" w:ascii="宋体" w:hAnsi="宋体" w:eastAsia="宋体" w:cs="宋体"/>
          <w:color w:val="auto"/>
          <w:szCs w:val="21"/>
          <w:highlight w:val="none"/>
          <w:lang w:val="en-US" w:eastAsia="zh-CN"/>
        </w:rPr>
        <w:t>，同时乙方还应向甲方支付人民币3</w:t>
      </w:r>
      <w:r>
        <w:rPr>
          <w:rFonts w:hint="eastAsia" w:ascii="宋体" w:hAnsi="宋体" w:eastAsia="宋体" w:cs="宋体"/>
          <w:color w:val="auto"/>
          <w:szCs w:val="21"/>
          <w:highlight w:val="none"/>
        </w:rPr>
        <w:t>00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000.00元作为违约金</w:t>
      </w:r>
      <w:r>
        <w:rPr>
          <w:rFonts w:hint="eastAsia" w:ascii="宋体" w:hAnsi="宋体" w:eastAsia="宋体" w:cs="宋体"/>
          <w:color w:val="auto"/>
          <w:szCs w:val="21"/>
          <w:highlight w:val="none"/>
          <w:lang w:val="en-US"/>
        </w:rPr>
        <w:t>。</w:t>
      </w:r>
    </w:p>
    <w:p w14:paraId="0BBB12D9">
      <w:pPr>
        <w:pStyle w:val="53"/>
        <w:spacing w:line="360" w:lineRule="auto"/>
        <w:ind w:left="0" w:firstLine="420"/>
        <w:jc w:val="left"/>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rPr>
        <w:t>8.</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val="en-US"/>
        </w:rPr>
        <w:t xml:space="preserve"> 乙方应积极对乙方服务人员进行廉洁宣传工作、预防职务犯罪等，乙方服务人员存在廉洁问题、职务犯罪的，一经核实，乙方应在甲方限定时间内与该服务人员依法解除劳动合同，并向甲方支付人民币100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en-US"/>
        </w:rPr>
        <w:t>000.00元/次作为违约金</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本款违约金最高不超过</w:t>
      </w:r>
      <w:r>
        <w:rPr>
          <w:rFonts w:hint="eastAsia" w:ascii="宋体" w:hAnsi="宋体" w:eastAsia="宋体" w:cs="宋体"/>
          <w:color w:val="auto"/>
          <w:szCs w:val="21"/>
          <w:highlight w:val="none"/>
        </w:rPr>
        <w:t>人民币</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00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000.00元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违约金不足以弥补甲方损失的，乙方还应予以补足。</w:t>
      </w:r>
    </w:p>
    <w:p w14:paraId="648E564F">
      <w:pPr>
        <w:pStyle w:val="53"/>
        <w:spacing w:line="360" w:lineRule="auto"/>
        <w:ind w:left="0" w:firstLine="420"/>
        <w:jc w:val="left"/>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rPr>
        <w:t>8.</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val="en-US"/>
        </w:rPr>
        <w:t xml:space="preserve"> 乙方未按合同或甲方要求制定应急预案及定期演练的，乙方应向甲方支付人民币10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en-US"/>
        </w:rPr>
        <w:t>000.00元/次作为违约金</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本款违约金最高不超过</w:t>
      </w:r>
      <w:r>
        <w:rPr>
          <w:rFonts w:hint="eastAsia" w:ascii="宋体" w:hAnsi="宋体" w:eastAsia="宋体" w:cs="宋体"/>
          <w:color w:val="auto"/>
          <w:szCs w:val="21"/>
          <w:highlight w:val="none"/>
        </w:rPr>
        <w:t>人民币</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00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000.00元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违约金不足以弥补甲方经济损失的，乙方还应予以补足</w:t>
      </w:r>
      <w:r>
        <w:rPr>
          <w:rFonts w:hint="eastAsia" w:ascii="宋体" w:hAnsi="宋体" w:eastAsia="宋体" w:cs="宋体"/>
          <w:color w:val="auto"/>
          <w:szCs w:val="21"/>
          <w:highlight w:val="none"/>
          <w:lang w:val="en-US"/>
        </w:rPr>
        <w:t>。</w:t>
      </w:r>
    </w:p>
    <w:p w14:paraId="1AA93D0F">
      <w:pPr>
        <w:pStyle w:val="53"/>
        <w:spacing w:line="360" w:lineRule="auto"/>
        <w:ind w:left="0" w:firstLine="420"/>
        <w:jc w:val="left"/>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rPr>
        <w:t>8.</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en-US"/>
        </w:rPr>
        <w:t xml:space="preserve"> 乙方存在弄虚作假、虚报运营项目及运营费用、擅自提高收费标准、扩大收费范围、重复收费等不良行为的，乙方应向甲方支付人民币100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en-US"/>
        </w:rPr>
        <w:t>000.00元/次作为违约金，累计满3次的，乙方除了须向甲方支付人民币300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en-US"/>
        </w:rPr>
        <w:t>000.00元的违约金外，同时甲方有权单方解除合同且不承担任何违约责任，</w:t>
      </w:r>
      <w:r>
        <w:rPr>
          <w:rFonts w:hint="eastAsia" w:ascii="宋体" w:hAnsi="宋体" w:eastAsia="宋体" w:cs="宋体"/>
          <w:color w:val="auto"/>
          <w:szCs w:val="21"/>
          <w:highlight w:val="none"/>
        </w:rPr>
        <w:t>若违约金不足以弥补甲方损失的，乙方还应予以补足。</w:t>
      </w:r>
    </w:p>
    <w:p w14:paraId="41C80640">
      <w:pPr>
        <w:pStyle w:val="53"/>
        <w:spacing w:line="360" w:lineRule="auto"/>
        <w:ind w:left="0"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rPr>
        <w:t>8</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en-US"/>
        </w:rPr>
        <w:t xml:space="preserve"> </w:t>
      </w:r>
      <w:r>
        <w:rPr>
          <w:rFonts w:hint="eastAsia" w:ascii="宋体" w:hAnsi="宋体" w:eastAsia="宋体" w:cs="宋体"/>
          <w:color w:val="auto"/>
          <w:szCs w:val="21"/>
          <w:highlight w:val="none"/>
        </w:rPr>
        <w:t>乙方</w:t>
      </w:r>
      <w:r>
        <w:rPr>
          <w:rFonts w:hint="eastAsia" w:ascii="宋体" w:hAnsi="宋体" w:eastAsia="宋体" w:cs="宋体"/>
          <w:color w:val="auto"/>
          <w:szCs w:val="21"/>
          <w:highlight w:val="none"/>
          <w:lang w:val="en-US"/>
        </w:rPr>
        <w:t>应按投标时承诺的项目负责人投入本项目，</w:t>
      </w:r>
      <w:r>
        <w:rPr>
          <w:rFonts w:hint="eastAsia" w:ascii="宋体" w:hAnsi="宋体" w:eastAsia="宋体" w:cs="宋体"/>
          <w:color w:val="auto"/>
          <w:szCs w:val="21"/>
          <w:highlight w:val="none"/>
        </w:rPr>
        <w:t>在</w:t>
      </w:r>
      <w:r>
        <w:rPr>
          <w:rFonts w:hint="eastAsia" w:ascii="宋体" w:hAnsi="宋体" w:eastAsia="宋体" w:cs="宋体"/>
          <w:color w:val="auto"/>
          <w:szCs w:val="21"/>
          <w:highlight w:val="none"/>
          <w:lang w:val="en-US"/>
        </w:rPr>
        <w:t>合同履约</w:t>
      </w:r>
      <w:r>
        <w:rPr>
          <w:rFonts w:hint="eastAsia" w:ascii="宋体" w:hAnsi="宋体" w:eastAsia="宋体" w:cs="宋体"/>
          <w:color w:val="auto"/>
          <w:szCs w:val="21"/>
          <w:highlight w:val="none"/>
        </w:rPr>
        <w:t>过程中不可无故</w:t>
      </w:r>
      <w:r>
        <w:rPr>
          <w:rFonts w:hint="eastAsia" w:ascii="宋体" w:hAnsi="宋体" w:eastAsia="宋体" w:cs="宋体"/>
          <w:color w:val="auto"/>
          <w:szCs w:val="21"/>
          <w:highlight w:val="none"/>
          <w:lang w:val="en-US"/>
        </w:rPr>
        <w:t>更换</w:t>
      </w:r>
      <w:r>
        <w:rPr>
          <w:rFonts w:hint="eastAsia" w:ascii="宋体" w:hAnsi="宋体" w:eastAsia="宋体" w:cs="宋体"/>
          <w:color w:val="auto"/>
          <w:szCs w:val="21"/>
          <w:highlight w:val="none"/>
        </w:rPr>
        <w:t>项目负责人，如确实需要</w:t>
      </w:r>
      <w:r>
        <w:rPr>
          <w:rFonts w:hint="eastAsia" w:ascii="宋体" w:hAnsi="宋体" w:eastAsia="宋体" w:cs="宋体"/>
          <w:color w:val="auto"/>
          <w:szCs w:val="21"/>
          <w:highlight w:val="none"/>
          <w:lang w:val="en-US"/>
        </w:rPr>
        <w:t>更换</w:t>
      </w:r>
      <w:r>
        <w:rPr>
          <w:rFonts w:hint="eastAsia" w:ascii="宋体" w:hAnsi="宋体" w:eastAsia="宋体" w:cs="宋体"/>
          <w:color w:val="auto"/>
          <w:szCs w:val="21"/>
          <w:highlight w:val="none"/>
        </w:rPr>
        <w:t>，乙方应提前1个月向甲方提出</w:t>
      </w:r>
      <w:r>
        <w:rPr>
          <w:rFonts w:hint="eastAsia" w:ascii="宋体" w:hAnsi="宋体" w:eastAsia="宋体" w:cs="宋体"/>
          <w:color w:val="auto"/>
          <w:szCs w:val="21"/>
          <w:highlight w:val="none"/>
          <w:lang w:val="en-US"/>
        </w:rPr>
        <w:t>书面申请（申请应明确更换的理由，继任人员的资格、职称、经历经验及简历等资料）</w:t>
      </w:r>
      <w:r>
        <w:rPr>
          <w:rFonts w:hint="eastAsia" w:ascii="宋体" w:hAnsi="宋体" w:eastAsia="宋体" w:cs="宋体"/>
          <w:color w:val="auto"/>
          <w:szCs w:val="21"/>
          <w:highlight w:val="none"/>
        </w:rPr>
        <w:t>，经甲方</w:t>
      </w:r>
      <w:r>
        <w:rPr>
          <w:rFonts w:hint="eastAsia" w:ascii="宋体" w:hAnsi="宋体" w:eastAsia="宋体" w:cs="宋体"/>
          <w:color w:val="auto"/>
          <w:szCs w:val="21"/>
          <w:highlight w:val="none"/>
          <w:lang w:val="en-US"/>
        </w:rPr>
        <w:t>书面</w:t>
      </w:r>
      <w:r>
        <w:rPr>
          <w:rFonts w:hint="eastAsia" w:ascii="宋体" w:hAnsi="宋体" w:eastAsia="宋体" w:cs="宋体"/>
          <w:color w:val="auto"/>
          <w:szCs w:val="21"/>
          <w:highlight w:val="none"/>
        </w:rPr>
        <w:t>同意后方可</w:t>
      </w:r>
      <w:r>
        <w:rPr>
          <w:rFonts w:hint="eastAsia" w:ascii="宋体" w:hAnsi="宋体" w:eastAsia="宋体" w:cs="宋体"/>
          <w:color w:val="auto"/>
          <w:szCs w:val="21"/>
          <w:highlight w:val="none"/>
          <w:lang w:val="en-US"/>
        </w:rPr>
        <w:t>更换</w:t>
      </w:r>
      <w:r>
        <w:rPr>
          <w:rFonts w:hint="eastAsia" w:ascii="宋体" w:hAnsi="宋体" w:eastAsia="宋体" w:cs="宋体"/>
          <w:color w:val="auto"/>
          <w:szCs w:val="21"/>
          <w:highlight w:val="none"/>
        </w:rPr>
        <w:t>，同时，</w:t>
      </w:r>
      <w:r>
        <w:rPr>
          <w:rFonts w:hint="eastAsia" w:ascii="宋体" w:hAnsi="宋体" w:eastAsia="宋体" w:cs="宋体"/>
          <w:color w:val="auto"/>
          <w:szCs w:val="21"/>
          <w:highlight w:val="none"/>
          <w:lang w:val="en-US"/>
        </w:rPr>
        <w:t>该等更换视为乙方违约，</w:t>
      </w:r>
      <w:r>
        <w:rPr>
          <w:rFonts w:hint="eastAsia" w:ascii="宋体" w:hAnsi="宋体" w:eastAsia="宋体" w:cs="宋体"/>
          <w:color w:val="auto"/>
          <w:szCs w:val="21"/>
          <w:highlight w:val="none"/>
        </w:rPr>
        <w:t>乙方应支付甲方</w:t>
      </w:r>
      <w:r>
        <w:rPr>
          <w:rFonts w:hint="eastAsia" w:ascii="宋体" w:hAnsi="宋体" w:eastAsia="宋体" w:cs="宋体"/>
          <w:color w:val="auto"/>
          <w:szCs w:val="21"/>
          <w:highlight w:val="none"/>
          <w:lang w:val="en-US"/>
        </w:rPr>
        <w:t>人民币150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en-US"/>
        </w:rPr>
        <w:t>000.00</w:t>
      </w:r>
      <w:r>
        <w:rPr>
          <w:rFonts w:hint="eastAsia" w:ascii="宋体" w:hAnsi="宋体" w:eastAsia="宋体" w:cs="宋体"/>
          <w:color w:val="auto"/>
          <w:szCs w:val="21"/>
          <w:highlight w:val="none"/>
        </w:rPr>
        <w:t>元/次</w:t>
      </w:r>
      <w:r>
        <w:rPr>
          <w:rFonts w:hint="eastAsia" w:ascii="宋体" w:hAnsi="宋体" w:eastAsia="宋体" w:cs="宋体"/>
          <w:color w:val="auto"/>
          <w:szCs w:val="21"/>
          <w:highlight w:val="none"/>
          <w:lang w:val="en-US"/>
        </w:rPr>
        <w:t>作为</w:t>
      </w:r>
      <w:r>
        <w:rPr>
          <w:rFonts w:hint="eastAsia" w:ascii="宋体" w:hAnsi="宋体" w:eastAsia="宋体" w:cs="宋体"/>
          <w:color w:val="auto"/>
          <w:szCs w:val="21"/>
          <w:highlight w:val="none"/>
        </w:rPr>
        <w:t>违约</w:t>
      </w:r>
      <w:r>
        <w:rPr>
          <w:rFonts w:hint="eastAsia" w:ascii="宋体" w:hAnsi="宋体" w:eastAsia="宋体" w:cs="宋体"/>
          <w:color w:val="auto"/>
          <w:szCs w:val="21"/>
          <w:highlight w:val="none"/>
          <w:lang w:val="en-US"/>
        </w:rPr>
        <w:t>金</w:t>
      </w:r>
      <w:r>
        <w:rPr>
          <w:rFonts w:hint="eastAsia" w:ascii="宋体" w:hAnsi="宋体" w:eastAsia="宋体" w:cs="宋体"/>
          <w:color w:val="auto"/>
          <w:szCs w:val="21"/>
          <w:highlight w:val="none"/>
        </w:rPr>
        <w:t>；如乙方一年内连续两次更换项目负责人，</w:t>
      </w:r>
      <w:r>
        <w:rPr>
          <w:rFonts w:hint="eastAsia" w:ascii="宋体" w:hAnsi="宋体" w:eastAsia="宋体" w:cs="宋体"/>
          <w:color w:val="auto"/>
          <w:szCs w:val="21"/>
          <w:highlight w:val="none"/>
          <w:lang w:val="en-US"/>
        </w:rPr>
        <w:t>第三次更换时，甲方有权单方解除合同且不承担任何违约责任，</w:t>
      </w:r>
      <w:r>
        <w:rPr>
          <w:rFonts w:hint="eastAsia" w:ascii="宋体" w:hAnsi="宋体" w:eastAsia="宋体" w:cs="宋体"/>
          <w:color w:val="auto"/>
          <w:szCs w:val="21"/>
          <w:highlight w:val="none"/>
        </w:rPr>
        <w:t>乙方还应向甲方支付</w:t>
      </w:r>
      <w:r>
        <w:rPr>
          <w:rFonts w:hint="eastAsia" w:ascii="宋体" w:hAnsi="宋体" w:eastAsia="宋体" w:cs="宋体"/>
          <w:color w:val="auto"/>
          <w:szCs w:val="21"/>
          <w:highlight w:val="none"/>
          <w:lang w:val="en-US"/>
        </w:rPr>
        <w:t>人民币300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en-US"/>
        </w:rPr>
        <w:t>000.00元</w:t>
      </w:r>
      <w:r>
        <w:rPr>
          <w:rFonts w:hint="eastAsia" w:ascii="宋体" w:hAnsi="宋体" w:eastAsia="宋体" w:cs="宋体"/>
          <w:color w:val="auto"/>
          <w:szCs w:val="21"/>
          <w:highlight w:val="none"/>
        </w:rPr>
        <w:t>作为违约金；违约金不足以弥补乙方因此给甲方所造成的损失的，乙方还应当予以补足。因上述人员辞职、死亡、重大疾病导致不能履行职责的或业主要求撤换的除外。</w:t>
      </w:r>
    </w:p>
    <w:p w14:paraId="001B9478">
      <w:pPr>
        <w:pStyle w:val="53"/>
        <w:spacing w:line="360" w:lineRule="auto"/>
        <w:ind w:left="0"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rPr>
        <w:t>8.1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en-US"/>
        </w:rPr>
        <w:t xml:space="preserve"> 乙方更换派驻本项目的其他服务人员，应提前7天向甲方提出书面申请，经甲方同意后方可更换，乙方应以相当资格、能力与经验的人员替换，否则视为乙方违约，乙方应向甲方支付人民币100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en-US"/>
        </w:rPr>
        <w:t>000.00元</w:t>
      </w:r>
      <w:r>
        <w:rPr>
          <w:rFonts w:hint="eastAsia" w:ascii="宋体" w:hAnsi="宋体" w:eastAsia="宋体" w:cs="宋体"/>
          <w:color w:val="auto"/>
          <w:szCs w:val="21"/>
          <w:highlight w:val="none"/>
        </w:rPr>
        <w:t>/次作为违约金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本款违约金最高不超过</w:t>
      </w:r>
      <w:r>
        <w:rPr>
          <w:rFonts w:hint="eastAsia" w:ascii="宋体" w:hAnsi="宋体" w:eastAsia="宋体" w:cs="宋体"/>
          <w:color w:val="auto"/>
          <w:szCs w:val="21"/>
          <w:highlight w:val="none"/>
        </w:rPr>
        <w:t>人民币</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00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000.00元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违约金不足以弥补乙方因此给甲方所造成的损失的，乙方还应当予以补足。</w:t>
      </w:r>
    </w:p>
    <w:p w14:paraId="5A54975F">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8.1</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xml:space="preserve"> 乙方应严格执行乙方投标报价中的</w:t>
      </w:r>
      <w:r>
        <w:rPr>
          <w:rFonts w:hint="eastAsia" w:ascii="宋体" w:hAnsi="宋体" w:eastAsia="宋体" w:cs="宋体"/>
          <w:color w:val="auto"/>
          <w:szCs w:val="21"/>
          <w:highlight w:val="none"/>
          <w:lang w:val="en-US" w:eastAsia="zh-CN"/>
        </w:rPr>
        <w:t>物业管理</w:t>
      </w:r>
      <w:r>
        <w:rPr>
          <w:rFonts w:hint="eastAsia" w:ascii="宋体" w:hAnsi="宋体" w:eastAsia="宋体" w:cs="宋体"/>
          <w:color w:val="auto"/>
          <w:szCs w:val="21"/>
          <w:highlight w:val="none"/>
        </w:rPr>
        <w:t>运营</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rPr>
        <w:t>费用各项单价和总价最高限额控制日常运营费用支出，如实际运营</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rPr>
        <w:t>费用各项（不含销项税额）单价和（不含销项税额）总价（含乙方委外实施的分包项目费用）超过分项明细表的最高限额，甲方有权拒绝相关费用的支付并要求乙方整改，如乙方整改无效或拒绝整改或因乙方的投标报价明显低于市场/行业平均价导致无法整改或整改后的服务质量达不到甲方的服务要求的，甲方有权单方解除合同，乙方还应向甲方支付人民币</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00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000.00元/次作为违约金，违约金不足以弥补甲方损失（包括但不限于采购第三方单位、委托第三方单位的价差）的，乙方还应当予以补足。因国家政策或临时突发事项导致的情况除外。</w:t>
      </w:r>
    </w:p>
    <w:p w14:paraId="2FBF2EE2">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 xml:space="preserve"> 乙方违反约定将合同项下乙方的权利义务全部转让给第三方，或未经甲方书面同意将部分权利义务转让给第三方的，甲方有权要求乙方支付人民币300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000.00元/次作为违约金，并有权单方解除合同，若违约金不足以弥补由此给甲方造成损失的，乙方还应当予以补足。如因乙方将乙方本合同项下全部/部分权利义务转让给第三方导致安全事故或人身损害事故的，造成甲方其他损失的或甲方被认定承担赔偿责任的，甲方有权向乙方追偿。</w:t>
      </w:r>
    </w:p>
    <w:p w14:paraId="437CA137">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乙方不配合甲方进行财务报表及资料的检查，或在甲方提出的时间内未完整提供相关报表、资料，拒绝、拖延或隐藏资料的，甲方有权要求乙方向甲方支付</w:t>
      </w:r>
      <w:r>
        <w:rPr>
          <w:rFonts w:hint="eastAsia" w:ascii="宋体" w:hAnsi="宋体" w:eastAsia="宋体" w:cs="宋体"/>
          <w:color w:val="auto"/>
          <w:szCs w:val="21"/>
          <w:highlight w:val="none"/>
        </w:rPr>
        <w:t>人民币100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000.00元/次作为违约金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本款违约金最高不超过</w:t>
      </w:r>
      <w:r>
        <w:rPr>
          <w:rFonts w:hint="eastAsia" w:ascii="宋体" w:hAnsi="宋体" w:eastAsia="宋体" w:cs="宋体"/>
          <w:color w:val="auto"/>
          <w:szCs w:val="21"/>
          <w:highlight w:val="none"/>
        </w:rPr>
        <w:t>人民币</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00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000.00元。</w:t>
      </w:r>
    </w:p>
    <w:p w14:paraId="76371301">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8.16 </w:t>
      </w:r>
      <w:r>
        <w:rPr>
          <w:rFonts w:hint="eastAsia" w:ascii="宋体" w:hAnsi="宋体" w:eastAsia="宋体" w:cs="宋体"/>
          <w:color w:val="auto"/>
          <w:szCs w:val="21"/>
          <w:highlight w:val="none"/>
        </w:rPr>
        <w:t>乙方未经甲方书面同意私自擅自占用本物业的公用设施或改变使用功能，且未报有关部门批准私自实施的，乙方应向甲方支付人民币100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000.00元/次作为违约金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本款违约金最高不超过</w:t>
      </w:r>
      <w:r>
        <w:rPr>
          <w:rFonts w:hint="eastAsia" w:ascii="宋体" w:hAnsi="宋体" w:eastAsia="宋体" w:cs="宋体"/>
          <w:color w:val="auto"/>
          <w:szCs w:val="21"/>
          <w:highlight w:val="none"/>
        </w:rPr>
        <w:t>人民币</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00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000.00元，并按甲方要求的期限恢复原状，若违约金不足以弥补甲方损失的，乙方还应当予以补足。</w:t>
      </w:r>
    </w:p>
    <w:p w14:paraId="19F669AA">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en-US" w:eastAsia="zh-CN"/>
        </w:rPr>
        <w:t>17</w:t>
      </w:r>
      <w:r>
        <w:rPr>
          <w:rFonts w:hint="eastAsia" w:ascii="宋体" w:hAnsi="宋体" w:eastAsia="宋体" w:cs="宋体"/>
          <w:color w:val="auto"/>
          <w:szCs w:val="21"/>
          <w:highlight w:val="none"/>
        </w:rPr>
        <w:t xml:space="preserve"> 因乙方维护维修不及时或错误维护维修导致甲方物业设施设备损坏的，由乙方承担维护维修所有费用并负责维护维修至正常使用状态，因损坏严重导致无法维修的，乙方应购买同款设施设备或不低于原设施设备进行赔偿，且乙方还应向甲方支付人民币100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000.00元/次作为违约金，</w:t>
      </w:r>
      <w:r>
        <w:rPr>
          <w:rFonts w:hint="eastAsia" w:ascii="宋体" w:hAnsi="宋体" w:eastAsia="宋体" w:cs="宋体"/>
          <w:color w:val="auto"/>
          <w:szCs w:val="21"/>
          <w:highlight w:val="none"/>
          <w:lang w:val="en-US" w:eastAsia="zh-CN"/>
        </w:rPr>
        <w:t>本款违约金最高不超过</w:t>
      </w:r>
      <w:r>
        <w:rPr>
          <w:rFonts w:hint="eastAsia" w:ascii="宋体" w:hAnsi="宋体" w:eastAsia="宋体" w:cs="宋体"/>
          <w:color w:val="auto"/>
          <w:szCs w:val="21"/>
          <w:highlight w:val="none"/>
        </w:rPr>
        <w:t>人民币</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00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000.00元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违约金不足以弥补甲方损失的，乙方还应当予以补足。</w:t>
      </w:r>
    </w:p>
    <w:p w14:paraId="3E2350EB">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en-US" w:eastAsia="zh-CN"/>
        </w:rPr>
        <w:t>18</w:t>
      </w:r>
      <w:r>
        <w:rPr>
          <w:rFonts w:hint="eastAsia" w:ascii="宋体" w:hAnsi="宋体" w:eastAsia="宋体" w:cs="宋体"/>
          <w:color w:val="auto"/>
          <w:szCs w:val="21"/>
          <w:highlight w:val="none"/>
        </w:rPr>
        <w:t xml:space="preserve"> 乙方</w:t>
      </w:r>
      <w:r>
        <w:rPr>
          <w:rFonts w:hint="eastAsia" w:ascii="宋体" w:hAnsi="宋体" w:eastAsia="宋体" w:cs="宋体"/>
          <w:color w:val="auto"/>
          <w:szCs w:val="21"/>
          <w:highlight w:val="none"/>
          <w:lang w:val="en-US" w:eastAsia="zh-CN"/>
        </w:rPr>
        <w:t>在本合同服务期限届满前3</w:t>
      </w:r>
      <w:r>
        <w:rPr>
          <w:rFonts w:hint="eastAsia" w:ascii="宋体" w:hAnsi="宋体" w:eastAsia="宋体" w:cs="宋体"/>
          <w:color w:val="auto"/>
          <w:szCs w:val="21"/>
          <w:highlight w:val="none"/>
        </w:rPr>
        <w:t>0日内，拒不按合同约定向甲方移交资料、移交资料不齐全或伪造资料的，经甲方书面通知移交期限后仍拒绝移交或以任何理由未按甲方要求完成移交的，乙方应向甲方支付人民币</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00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000.00元作为违约金，违约金不足以弥补甲方损失的，乙方还应当予以补足。</w:t>
      </w:r>
    </w:p>
    <w:p w14:paraId="156C5DEA">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en-US" w:eastAsia="zh-CN"/>
        </w:rPr>
        <w:t>19</w:t>
      </w:r>
      <w:r>
        <w:rPr>
          <w:rFonts w:hint="eastAsia" w:ascii="宋体" w:hAnsi="宋体" w:eastAsia="宋体" w:cs="宋体"/>
          <w:color w:val="auto"/>
          <w:szCs w:val="21"/>
          <w:highlight w:val="none"/>
        </w:rPr>
        <w:t xml:space="preserve"> 合同期满，乙方以任何理由拒不退出物业管理区域的，甲方无须向乙方支付物业管理服务</w:t>
      </w:r>
      <w:r>
        <w:rPr>
          <w:rFonts w:hint="eastAsia" w:ascii="宋体" w:hAnsi="宋体" w:eastAsia="宋体" w:cs="宋体"/>
          <w:color w:val="auto"/>
          <w:szCs w:val="21"/>
          <w:highlight w:val="none"/>
          <w:lang w:val="en-US" w:eastAsia="zh-CN"/>
        </w:rPr>
        <w:t>费用</w:t>
      </w:r>
      <w:r>
        <w:rPr>
          <w:rFonts w:hint="eastAsia" w:ascii="宋体" w:hAnsi="宋体" w:eastAsia="宋体" w:cs="宋体"/>
          <w:color w:val="auto"/>
          <w:szCs w:val="21"/>
          <w:highlight w:val="none"/>
        </w:rPr>
        <w:t>、人工费用等相关费用，乙方应按10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000.00元/天向甲方支付违约金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本款违约金最高不超过</w:t>
      </w:r>
      <w:r>
        <w:rPr>
          <w:rFonts w:hint="eastAsia" w:ascii="宋体" w:hAnsi="宋体" w:eastAsia="宋体" w:cs="宋体"/>
          <w:color w:val="auto"/>
          <w:szCs w:val="21"/>
          <w:highlight w:val="none"/>
        </w:rPr>
        <w:t>人民币</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00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000.00元。</w:t>
      </w:r>
    </w:p>
    <w:p w14:paraId="4B83EE83">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en-US" w:eastAsia="zh-CN"/>
        </w:rPr>
        <w:t>20</w:t>
      </w:r>
      <w:r>
        <w:rPr>
          <w:rFonts w:hint="eastAsia" w:ascii="宋体" w:hAnsi="宋体" w:eastAsia="宋体" w:cs="宋体"/>
          <w:color w:val="auto"/>
          <w:szCs w:val="21"/>
          <w:highlight w:val="none"/>
        </w:rPr>
        <w:t xml:space="preserve"> 合同履行过程中，乙方应依法妥善处置劳动关系归属乙方的劳动人员，因乙方未依法妥善处置劳动关系归属乙方的劳动人员导致劳动人员上访或出现其他给甲方造成负面影响的行为，乙方应积极消除负面影响，由此导致甲方的任何经济损失均由乙方全额承担，甲方先行垫付的有权向乙方全额追偿。</w:t>
      </w:r>
    </w:p>
    <w:p w14:paraId="084CD3E6">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8.2</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 xml:space="preserve"> 因乙方管理不善、失误或其他原因导致主管部门批评、通报、媒体曝光或物业使用人在主流网站（包括但不限于东莞阳光网、今日头条、东莞日报、阳光热线问政平台等）进行有效投诉等对甲方造成负面影响的，乙方应积极消除负面影响，由此导致甲方的任何经济损失均由乙方全额承担，甲方先行垫付的有权向乙方全额追偿。</w:t>
      </w:r>
    </w:p>
    <w:p w14:paraId="4CC663EA">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 xml:space="preserve"> 乙方未在进驻本项目3天内全数如实投入投标时承诺自愿免费投入本项目使用的设备及软件或以任何理由拖延或拒绝的，甲方有权要求乙方限期内全数如实投入使用，否则乙方应按10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000.00元/天向甲方支付违约金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本款违约金最高不超过</w:t>
      </w:r>
      <w:r>
        <w:rPr>
          <w:rFonts w:hint="eastAsia" w:ascii="宋体" w:hAnsi="宋体" w:eastAsia="宋体" w:cs="宋体"/>
          <w:color w:val="auto"/>
          <w:szCs w:val="21"/>
          <w:highlight w:val="none"/>
        </w:rPr>
        <w:t>人民币</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00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000.00元。</w:t>
      </w:r>
    </w:p>
    <w:p w14:paraId="56585E22">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因乙方违反本合同约定产生的违约金、赔偿金或其他应付费用等款项的，甲方有权在未付合同款或履约担保中直接扣除，如造成甲方损失，且实际损失高于违约金的，甲方有权另行追偿</w:t>
      </w:r>
      <w:r>
        <w:rPr>
          <w:rFonts w:hint="eastAsia" w:ascii="宋体" w:hAnsi="宋体" w:eastAsia="宋体" w:cs="宋体"/>
          <w:color w:val="auto"/>
          <w:szCs w:val="21"/>
          <w:highlight w:val="none"/>
        </w:rPr>
        <w:t>。</w:t>
      </w:r>
    </w:p>
    <w:p w14:paraId="4411D08E">
      <w:pPr>
        <w:spacing w:line="360" w:lineRule="auto"/>
        <w:ind w:firstLine="42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8.24 如因乙方原因，引起法律纠纷案件，</w:t>
      </w:r>
      <w:r>
        <w:rPr>
          <w:rFonts w:hint="eastAsia" w:ascii="宋体" w:hAnsi="宋体" w:eastAsia="宋体" w:cs="宋体"/>
          <w:color w:val="auto"/>
          <w:sz w:val="21"/>
          <w:szCs w:val="21"/>
          <w:highlight w:val="none"/>
        </w:rPr>
        <w:t>并导致</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 w:val="21"/>
          <w:szCs w:val="21"/>
          <w:highlight w:val="none"/>
        </w:rPr>
        <w:t>被牵涉其中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成为需承担法律责任的诉讼参与方</w:t>
      </w:r>
      <w:r>
        <w:rPr>
          <w:rFonts w:hint="eastAsia" w:ascii="宋体" w:hAnsi="宋体" w:eastAsia="宋体" w:cs="宋体"/>
          <w:color w:val="auto"/>
          <w:szCs w:val="21"/>
          <w:highlight w:val="none"/>
          <w:lang w:val="en-US" w:eastAsia="zh-CN"/>
        </w:rPr>
        <w:t>（第三人或被告），或</w:t>
      </w:r>
      <w:r>
        <w:rPr>
          <w:rFonts w:hint="eastAsia" w:ascii="宋体" w:hAnsi="宋体" w:eastAsia="宋体" w:cs="宋体"/>
          <w:color w:val="auto"/>
          <w:sz w:val="21"/>
          <w:szCs w:val="21"/>
          <w:highlight w:val="none"/>
          <w:lang w:val="en-US" w:eastAsia="zh-CN"/>
        </w:rPr>
        <w:t>因法律纠纷对甲方</w:t>
      </w:r>
      <w:r>
        <w:rPr>
          <w:rFonts w:hint="eastAsia" w:ascii="宋体" w:hAnsi="宋体" w:eastAsia="宋体" w:cs="宋体"/>
          <w:color w:val="auto"/>
          <w:szCs w:val="21"/>
          <w:highlight w:val="none"/>
          <w:lang w:val="en-US" w:eastAsia="zh-CN"/>
        </w:rPr>
        <w:t>造成社会负面影响的，视为乙方违约，即甲方有权要求乙方向甲方支付人民币</w:t>
      </w:r>
      <w:r>
        <w:rPr>
          <w:rFonts w:hint="eastAsia" w:ascii="宋体" w:hAnsi="宋体" w:eastAsia="宋体" w:cs="宋体"/>
          <w:color w:val="auto"/>
          <w:szCs w:val="21"/>
          <w:highlight w:val="none"/>
        </w:rPr>
        <w:t>300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000.00元</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rPr>
        <w:t>违约金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如造成甲方经济损失的（包括但不限于律师费、诉讼费、保全费、执行费、差旅费等损失），由乙方赔偿所有损失，并将相关情况报相关行政主管部门。甲方收到法院参与诉讼通知之日视为乙方构成违约，甲方即要求乙方承担前述违约金、损失赔偿的违约责任，即使甲方最终未被法院判决承担任何责任，乙方也无权要求甲方免除前述违约责任。</w:t>
      </w:r>
    </w:p>
    <w:p w14:paraId="2B23F103">
      <w:pPr>
        <w:spacing w:line="360" w:lineRule="auto"/>
        <w:ind w:firstLine="42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8.25 乙方确认，乙方员工或劳务、安全事故、环境事件等引致的付款请求或其他权利主张，由乙方负责承担和处理。如因乙方原因导致甲方被列为承担连带责任方或被上访单位，而相关生效判决/裁决判定甲方需向相关人员承担责任或甲方基于维稳等原因导致甲方必须支付相关费用的，甲方在支付相关费用后有权从乙方的应付合同款中直接抵扣。无论甲方是否承担连带责任或代为乙方支付相关费用，甲方因此发生的诉讼费、鉴定评估费、律师费、出具银行保函产生的费用、垫付款项利息损失（如有，则按人民银行同期贷款利率LPR的4倍计算）等全部损失，均由乙方承担。</w:t>
      </w:r>
    </w:p>
    <w:p w14:paraId="5A853714">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 xml:space="preserve"> 若乙方发生本合同规定之外的任何违</w:t>
      </w:r>
      <w:r>
        <w:rPr>
          <w:rFonts w:hint="eastAsia" w:ascii="宋体" w:hAnsi="宋体" w:eastAsia="宋体" w:cs="宋体"/>
          <w:color w:val="auto"/>
          <w:szCs w:val="21"/>
          <w:highlight w:val="none"/>
          <w:lang w:val="en-US" w:eastAsia="zh-CN"/>
        </w:rPr>
        <w:t>约</w:t>
      </w:r>
      <w:r>
        <w:rPr>
          <w:rFonts w:hint="eastAsia" w:ascii="宋体" w:hAnsi="宋体" w:eastAsia="宋体" w:cs="宋体"/>
          <w:color w:val="auto"/>
          <w:szCs w:val="21"/>
          <w:highlight w:val="none"/>
        </w:rPr>
        <w:t>行为，不得解除其在本合同下的任何责任或义务。</w:t>
      </w:r>
    </w:p>
    <w:p w14:paraId="4E75D5F4">
      <w:pPr>
        <w:spacing w:line="360" w:lineRule="auto"/>
        <w:ind w:firstLine="42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8.27 乙方违反本合同第6.2.38条约定，关键岗位人员资格失效且未及时整改的，视为严重违约，甲方有权要求乙方在15个工作日内整改，整改期间暂缓支付当期物业管理运营服务费用。若逾期未整改或整改后仍不符合要求，甲方有权单方解除合同，乙方应向甲方支付人民币3</w:t>
      </w:r>
      <w:r>
        <w:rPr>
          <w:rFonts w:hint="eastAsia" w:ascii="宋体" w:hAnsi="宋体" w:eastAsia="宋体" w:cs="宋体"/>
          <w:color w:val="auto"/>
          <w:szCs w:val="21"/>
          <w:highlight w:val="none"/>
        </w:rPr>
        <w:t>00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000.00</w:t>
      </w:r>
      <w:r>
        <w:rPr>
          <w:rFonts w:hint="eastAsia" w:ascii="宋体" w:hAnsi="宋体" w:eastAsia="宋体" w:cs="宋体"/>
          <w:color w:val="auto"/>
          <w:szCs w:val="21"/>
          <w:highlight w:val="none"/>
          <w:lang w:val="en-US" w:eastAsia="zh-CN"/>
        </w:rPr>
        <w:t>元作为违约金。违约金不足以弥补甲方损失的，乙方还应予以补足。</w:t>
      </w:r>
    </w:p>
    <w:p w14:paraId="4E59617E">
      <w:pPr>
        <w:spacing w:line="360" w:lineRule="auto"/>
        <w:ind w:firstLine="42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第九条 保密约定</w:t>
      </w:r>
    </w:p>
    <w:p w14:paraId="097E3E84">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9.1 乙方对在工作过程中接触到的甲方的任何资料、文件、数据（</w:t>
      </w:r>
      <w:r>
        <w:rPr>
          <w:rFonts w:hint="eastAsia" w:ascii="宋体" w:hAnsi="宋体" w:eastAsia="宋体" w:cs="宋体"/>
          <w:color w:val="auto"/>
          <w:szCs w:val="21"/>
          <w:highlight w:val="none"/>
          <w:lang w:val="en-US" w:eastAsia="zh-CN"/>
        </w:rPr>
        <w:t>包括但不限于</w:t>
      </w:r>
      <w:r>
        <w:rPr>
          <w:rFonts w:hint="eastAsia" w:ascii="宋体" w:hAnsi="宋体" w:eastAsia="宋体" w:cs="宋体"/>
          <w:color w:val="auto"/>
          <w:szCs w:val="21"/>
          <w:highlight w:val="none"/>
        </w:rPr>
        <w:t>书面形式</w:t>
      </w:r>
      <w:r>
        <w:rPr>
          <w:rFonts w:hint="eastAsia" w:ascii="宋体" w:hAnsi="宋体" w:eastAsia="宋体" w:cs="宋体"/>
          <w:color w:val="auto"/>
          <w:szCs w:val="21"/>
          <w:highlight w:val="none"/>
          <w:lang w:val="en-US" w:eastAsia="zh-CN"/>
        </w:rPr>
        <w:t>或</w:t>
      </w:r>
      <w:r>
        <w:rPr>
          <w:rFonts w:hint="eastAsia" w:ascii="宋体" w:hAnsi="宋体" w:eastAsia="宋体" w:cs="宋体"/>
          <w:color w:val="auto"/>
          <w:szCs w:val="21"/>
          <w:highlight w:val="none"/>
        </w:rPr>
        <w:t>电子形式），以及对为甲方服务形成的任何交付物，负有为甲方保密的责任。未经甲方书面同意，乙方不得以任何方式向任何第三方提供或透露。</w:t>
      </w:r>
    </w:p>
    <w:p w14:paraId="6208B2D6">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9.2 甲方向乙方提供的任何资料、文件和信息，在乙方服务结束后，乙方均应及时归还甲方，电子文档的应从自己的电脑等存储设备上永久删除。</w:t>
      </w:r>
    </w:p>
    <w:p w14:paraId="5DAD18AA">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9.3 乙方人员若违反上述保密规定，乙方应承担相应法律责任。</w:t>
      </w:r>
    </w:p>
    <w:p w14:paraId="73E82BA6">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9.4 本保密规定不因本合同的解除或终止而失效，直至保密信息被依法公开为止。</w:t>
      </w:r>
    </w:p>
    <w:p w14:paraId="72B13A2F">
      <w:pPr>
        <w:spacing w:line="360" w:lineRule="auto"/>
        <w:ind w:firstLine="42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w:t>
      </w:r>
      <w:r>
        <w:rPr>
          <w:rFonts w:hint="eastAsia" w:ascii="宋体" w:hAnsi="宋体" w:eastAsia="宋体" w:cs="宋体"/>
          <w:b/>
          <w:color w:val="auto"/>
          <w:szCs w:val="21"/>
          <w:highlight w:val="none"/>
          <w:lang w:val="en-US" w:eastAsia="zh-CN"/>
        </w:rPr>
        <w:t>十</w:t>
      </w:r>
      <w:r>
        <w:rPr>
          <w:rFonts w:hint="eastAsia" w:ascii="宋体" w:hAnsi="宋体" w:eastAsia="宋体" w:cs="宋体"/>
          <w:b/>
          <w:color w:val="auto"/>
          <w:szCs w:val="21"/>
          <w:highlight w:val="none"/>
        </w:rPr>
        <w:t>条 知识产权</w:t>
      </w:r>
    </w:p>
    <w:p w14:paraId="7504EC59">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对本合同产生的所有工作成果享有完全、独立、排他的所有权和知识产权，乙方应保证提供的工作成果不得侵犯任何第三方的专利、商标、版权以及其它权利，一旦甲方因此遭受到任何第三方的索赔、诉讼或任何权利请求，乙方须与第三方交涉并承担由此发生的一切责任、费用和经济赔偿，导致甲方不能使用工作成果的，乙方应退还全部费用，并承担违约责任及赔偿因此给甲方造成的全部损失（包括但不限于律师费、诉讼费、执行费、保全费、公证费、鉴定费）。</w:t>
      </w:r>
    </w:p>
    <w:p w14:paraId="1FBF0921">
      <w:pPr>
        <w:spacing w:line="360" w:lineRule="auto"/>
        <w:ind w:firstLine="42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w:t>
      </w:r>
      <w:r>
        <w:rPr>
          <w:rFonts w:hint="eastAsia" w:ascii="宋体" w:hAnsi="宋体" w:eastAsia="宋体" w:cs="宋体"/>
          <w:b/>
          <w:color w:val="auto"/>
          <w:szCs w:val="21"/>
          <w:highlight w:val="none"/>
          <w:lang w:val="en-US" w:eastAsia="zh-CN"/>
        </w:rPr>
        <w:t>一</w:t>
      </w:r>
      <w:r>
        <w:rPr>
          <w:rFonts w:hint="eastAsia" w:ascii="宋体" w:hAnsi="宋体" w:eastAsia="宋体" w:cs="宋体"/>
          <w:b/>
          <w:color w:val="auto"/>
          <w:szCs w:val="21"/>
          <w:highlight w:val="none"/>
        </w:rPr>
        <w:t>条 不可抗力</w:t>
      </w:r>
    </w:p>
    <w:p w14:paraId="1087B4D4">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032CBE18">
      <w:pPr>
        <w:spacing w:line="360" w:lineRule="auto"/>
        <w:ind w:firstLine="42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w:t>
      </w:r>
      <w:r>
        <w:rPr>
          <w:rFonts w:hint="eastAsia" w:ascii="宋体" w:hAnsi="宋体" w:eastAsia="宋体" w:cs="宋体"/>
          <w:b/>
          <w:color w:val="auto"/>
          <w:szCs w:val="21"/>
          <w:highlight w:val="none"/>
          <w:lang w:val="en-US" w:eastAsia="zh-CN"/>
        </w:rPr>
        <w:t>十二</w:t>
      </w:r>
      <w:r>
        <w:rPr>
          <w:rFonts w:hint="eastAsia" w:ascii="宋体" w:hAnsi="宋体" w:eastAsia="宋体" w:cs="宋体"/>
          <w:b/>
          <w:color w:val="auto"/>
          <w:szCs w:val="21"/>
          <w:highlight w:val="none"/>
        </w:rPr>
        <w:t>条 廉政保证</w:t>
      </w:r>
    </w:p>
    <w:p w14:paraId="78ACBD55">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12.1 </w:t>
      </w:r>
      <w:r>
        <w:rPr>
          <w:rFonts w:hint="eastAsia" w:ascii="宋体" w:hAnsi="宋体" w:eastAsia="宋体" w:cs="宋体"/>
          <w:color w:val="auto"/>
          <w:szCs w:val="21"/>
          <w:highlight w:val="none"/>
        </w:rPr>
        <w:t>乙方应确保其以及其指定的第三方、其自身所有雇员等在本合同履行期间，应遵守甲方的各项政策和制度。甲方应当</w:t>
      </w:r>
      <w:r>
        <w:rPr>
          <w:rFonts w:hint="eastAsia" w:ascii="宋体" w:hAnsi="宋体" w:eastAsia="宋体" w:cs="宋体"/>
          <w:color w:val="auto"/>
          <w:szCs w:val="21"/>
          <w:highlight w:val="none"/>
          <w:lang w:val="en-US" w:eastAsia="zh-CN"/>
        </w:rPr>
        <w:t>限</w:t>
      </w:r>
      <w:r>
        <w:rPr>
          <w:rFonts w:hint="eastAsia" w:ascii="宋体" w:hAnsi="宋体" w:eastAsia="宋体" w:cs="宋体"/>
          <w:color w:val="auto"/>
          <w:szCs w:val="21"/>
          <w:highlight w:val="none"/>
        </w:rPr>
        <w:t>制乙方代表和雇员在甲方办公区域进出，</w:t>
      </w:r>
      <w:r>
        <w:rPr>
          <w:rFonts w:hint="eastAsia" w:ascii="宋体" w:hAnsi="宋体" w:eastAsia="宋体" w:cs="宋体"/>
          <w:color w:val="auto"/>
          <w:szCs w:val="21"/>
          <w:highlight w:val="none"/>
          <w:lang w:val="en-US" w:eastAsia="zh-CN"/>
        </w:rPr>
        <w:t>乙方应始终遵守</w:t>
      </w:r>
      <w:r>
        <w:rPr>
          <w:rFonts w:hint="eastAsia" w:ascii="宋体" w:hAnsi="宋体" w:eastAsia="宋体" w:cs="宋体"/>
          <w:color w:val="auto"/>
          <w:szCs w:val="21"/>
          <w:highlight w:val="none"/>
        </w:rPr>
        <w:t xml:space="preserve">甲方对于现场的人员进出及员工管理方面的要求。 </w:t>
      </w:r>
    </w:p>
    <w:p w14:paraId="78B2BEBD">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12.2 </w:t>
      </w:r>
      <w:r>
        <w:rPr>
          <w:rFonts w:hint="eastAsia" w:ascii="宋体" w:hAnsi="宋体" w:eastAsia="宋体" w:cs="宋体"/>
          <w:color w:val="auto"/>
          <w:szCs w:val="21"/>
          <w:highlight w:val="none"/>
        </w:rPr>
        <w:t>乙方同意在</w:t>
      </w:r>
      <w:r>
        <w:rPr>
          <w:rFonts w:hint="eastAsia" w:ascii="宋体" w:hAnsi="宋体" w:eastAsia="宋体" w:cs="宋体"/>
          <w:color w:val="auto"/>
          <w:szCs w:val="21"/>
          <w:highlight w:val="none"/>
          <w:lang w:val="en-US" w:eastAsia="zh-CN"/>
        </w:rPr>
        <w:t>合同</w:t>
      </w:r>
      <w:r>
        <w:rPr>
          <w:rFonts w:hint="eastAsia" w:ascii="宋体" w:hAnsi="宋体" w:eastAsia="宋体" w:cs="宋体"/>
          <w:color w:val="auto"/>
          <w:szCs w:val="21"/>
          <w:highlight w:val="none"/>
        </w:rPr>
        <w:t>履行期间，遵守各项法律，特别是任何及所有反贿赂反腐败方面的法律。未经甲方事先</w:t>
      </w:r>
      <w:r>
        <w:rPr>
          <w:rFonts w:hint="eastAsia" w:ascii="宋体" w:hAnsi="宋体" w:eastAsia="宋体" w:cs="宋体"/>
          <w:color w:val="auto"/>
          <w:szCs w:val="21"/>
          <w:highlight w:val="none"/>
          <w:lang w:val="en-US" w:eastAsia="zh-CN"/>
        </w:rPr>
        <w:t>书面</w:t>
      </w:r>
      <w:r>
        <w:rPr>
          <w:rFonts w:hint="eastAsia" w:ascii="宋体" w:hAnsi="宋体" w:eastAsia="宋体" w:cs="宋体"/>
          <w:color w:val="auto"/>
          <w:szCs w:val="21"/>
          <w:highlight w:val="none"/>
        </w:rPr>
        <w:t>授权，乙方应确保其以及其指定的第三方、其自身所有雇员等均不得向与本项目相关的任何个人、政府或单位支付任何款项，也不得提供任何形式的便利、利益。</w:t>
      </w:r>
    </w:p>
    <w:p w14:paraId="1CED6639">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12.3 </w:t>
      </w:r>
      <w:r>
        <w:rPr>
          <w:rFonts w:hint="eastAsia" w:ascii="宋体" w:hAnsi="宋体" w:eastAsia="宋体" w:cs="宋体"/>
          <w:color w:val="auto"/>
          <w:szCs w:val="21"/>
          <w:highlight w:val="none"/>
        </w:rPr>
        <w:t>为规范甲乙双方在订立、履行合同及经济业务往来过程中的行为，保持廉洁自律的工作作风,防止各种违法及不正当行为的发生,确保甲乙双方及其工作人员自觉遵守国家法律、法规及廉洁从业各项规定，甲乙双方自愿按附件</w:t>
      </w:r>
      <w:r>
        <w:rPr>
          <w:rFonts w:hint="eastAsia" w:ascii="宋体" w:hAnsi="宋体" w:eastAsia="宋体" w:cs="宋体"/>
          <w:color w:val="auto"/>
          <w:szCs w:val="21"/>
          <w:highlight w:val="none"/>
          <w:lang w:val="en-US" w:eastAsia="zh-CN"/>
        </w:rPr>
        <w:t>一</w:t>
      </w:r>
      <w:r>
        <w:rPr>
          <w:rFonts w:hint="eastAsia" w:ascii="宋体" w:hAnsi="宋体" w:eastAsia="宋体" w:cs="宋体"/>
          <w:color w:val="auto"/>
          <w:szCs w:val="21"/>
          <w:highlight w:val="none"/>
        </w:rPr>
        <w:t xml:space="preserve">格式签订《廉洁协议书》。 </w:t>
      </w:r>
    </w:p>
    <w:p w14:paraId="13211C2B">
      <w:pPr>
        <w:spacing w:line="360" w:lineRule="auto"/>
        <w:ind w:firstLine="42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w:t>
      </w:r>
      <w:r>
        <w:rPr>
          <w:rFonts w:hint="eastAsia" w:ascii="宋体" w:hAnsi="宋体" w:eastAsia="宋体" w:cs="宋体"/>
          <w:b/>
          <w:color w:val="auto"/>
          <w:szCs w:val="21"/>
          <w:highlight w:val="none"/>
          <w:lang w:val="en-US" w:eastAsia="zh-CN"/>
        </w:rPr>
        <w:t>三</w:t>
      </w:r>
      <w:r>
        <w:rPr>
          <w:rFonts w:hint="eastAsia" w:ascii="宋体" w:hAnsi="宋体" w:eastAsia="宋体" w:cs="宋体"/>
          <w:b/>
          <w:color w:val="auto"/>
          <w:szCs w:val="21"/>
          <w:highlight w:val="none"/>
        </w:rPr>
        <w:t>条 争议解决</w:t>
      </w:r>
    </w:p>
    <w:p w14:paraId="66818CE0">
      <w:pPr>
        <w:spacing w:line="360" w:lineRule="auto"/>
        <w:ind w:firstLine="42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13.1 本合同在履行过程中若发生争议，甲、乙双方应首先通过友好协商的方式解决，协商不成的，双方同意将争议提交到甲方所在地有管辖权的人民法院通过诉讼的方式解决。因乙方违约导致甲方为就解决纠纷所产生的费用（包括但不限于诉讼费、律师费、保全费、鉴定费、评估费、公证费等）由乙方承担。</w:t>
      </w:r>
    </w:p>
    <w:p w14:paraId="695C4B63">
      <w:pPr>
        <w:spacing w:line="360" w:lineRule="auto"/>
        <w:ind w:firstLine="42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13.2 双方按本合同列明的地址为送达地址，其适用范围包括双方非诉时各类通知、协议等文件以及就合同发生纠纷时相关文件和法律文书的送达，同时包括在争议进入仲裁、民事诉讼程序后的一审、二审、再审和执行程序。一方向对方发出的通知及文件，可以通过直接送达，或者邮寄、电话通知、传真、电子邮件等方式送达，信函寄出三日后视为送达，其他方式发出之日即视为送达，实际收到时间更早的，以实际收到时间为送达时间。一方无故拒收或无法联系或联系方式错误等原因导致无法送达的，仍视为已送达；无论是否为对方签收还是第三人签收，都被认为十分确定地送达给了对方；一方联系方式变更的，应当提前书面通知对方，否则视为未变更，由变更方承担不利后果。</w:t>
      </w:r>
    </w:p>
    <w:p w14:paraId="5B625C0C">
      <w:pPr>
        <w:spacing w:line="360" w:lineRule="auto"/>
        <w:ind w:firstLine="42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w:t>
      </w:r>
      <w:r>
        <w:rPr>
          <w:rFonts w:hint="eastAsia" w:ascii="宋体" w:hAnsi="宋体" w:eastAsia="宋体" w:cs="宋体"/>
          <w:b/>
          <w:color w:val="auto"/>
          <w:szCs w:val="21"/>
          <w:highlight w:val="none"/>
          <w:lang w:val="en-US" w:eastAsia="zh-CN"/>
        </w:rPr>
        <w:t>四</w:t>
      </w:r>
      <w:r>
        <w:rPr>
          <w:rFonts w:hint="eastAsia" w:ascii="宋体" w:hAnsi="宋体" w:eastAsia="宋体" w:cs="宋体"/>
          <w:b/>
          <w:color w:val="auto"/>
          <w:szCs w:val="21"/>
          <w:highlight w:val="none"/>
        </w:rPr>
        <w:t>条 其他</w:t>
      </w:r>
    </w:p>
    <w:p w14:paraId="0E2E51F8">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.1 本合同之所有附件均为合同的有效组成部分，与合同具有同等法律效力，合同与附件之间的内容应认为是互为补充和解释的，但如有模棱两可或互相矛盾之处，以合同约定为准，若合同签订后，双方另有签订文件的，则以时间在后的文件为准。</w:t>
      </w:r>
    </w:p>
    <w:p w14:paraId="2EF31FBB">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.2 本合同未尽事宜，双方可另行协商签署补充协议，补充协议为本合同之有效组成部分，与本合同具有同等法律效力。</w:t>
      </w:r>
    </w:p>
    <w:p w14:paraId="050E1DF9">
      <w:pPr>
        <w:spacing w:line="360" w:lineRule="auto"/>
        <w:ind w:firstLine="42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14.3 乙方在签订本合同时，须与甲方签订附件二《安全生产管理协议》。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14:paraId="61DFC858">
      <w:pPr>
        <w:spacing w:line="360" w:lineRule="auto"/>
        <w:ind w:firstLine="420"/>
        <w:jc w:val="left"/>
        <w:rPr>
          <w:rFonts w:hint="eastAsia" w:ascii="宋体" w:hAnsi="宋体" w:eastAsia="宋体" w:cs="宋体"/>
          <w:color w:val="auto"/>
          <w:sz w:val="21"/>
          <w:szCs w:val="21"/>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.4 本合同一式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份，甲方执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份，乙方执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份，招标代理机构执</w:t>
      </w:r>
      <w:r>
        <w:rPr>
          <w:rFonts w:hint="eastAsia" w:ascii="宋体" w:hAnsi="宋体" w:eastAsia="宋体" w:cs="宋体"/>
          <w:color w:val="auto"/>
          <w:szCs w:val="21"/>
          <w:highlight w:val="none"/>
          <w:u w:val="single"/>
        </w:rPr>
        <w:t>壹</w:t>
      </w:r>
      <w:r>
        <w:rPr>
          <w:rFonts w:hint="eastAsia" w:ascii="宋体" w:hAnsi="宋体" w:eastAsia="宋体" w:cs="宋体"/>
          <w:color w:val="auto"/>
          <w:szCs w:val="21"/>
          <w:highlight w:val="none"/>
        </w:rPr>
        <w:t>份，具有同等法律效力，本合同自双方盖章</w:t>
      </w:r>
      <w:r>
        <w:rPr>
          <w:rFonts w:hint="eastAsia" w:ascii="宋体" w:hAnsi="宋体" w:eastAsia="宋体" w:cs="宋体"/>
          <w:color w:val="auto"/>
          <w:szCs w:val="21"/>
          <w:highlight w:val="none"/>
          <w:lang w:val="en-US" w:eastAsia="zh-CN"/>
        </w:rPr>
        <w:t>并经</w:t>
      </w:r>
      <w:r>
        <w:rPr>
          <w:rFonts w:hint="eastAsia" w:ascii="宋体" w:hAnsi="宋体" w:eastAsia="宋体" w:cs="宋体"/>
          <w:color w:val="auto"/>
          <w:szCs w:val="21"/>
          <w:highlight w:val="none"/>
        </w:rPr>
        <w:t>法定代表人签字之日起生效</w:t>
      </w:r>
      <w:r>
        <w:rPr>
          <w:rFonts w:hint="eastAsia" w:ascii="宋体" w:hAnsi="宋体" w:eastAsia="宋体" w:cs="宋体"/>
          <w:color w:val="auto"/>
          <w:sz w:val="21"/>
          <w:szCs w:val="21"/>
        </w:rPr>
        <w:t>。</w:t>
      </w:r>
    </w:p>
    <w:p w14:paraId="162FEDB4">
      <w:pPr>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附件：1.廉洁协议书；</w:t>
      </w:r>
    </w:p>
    <w:p w14:paraId="1BE94A43">
      <w:pPr>
        <w:pStyle w:val="51"/>
        <w:spacing w:line="360" w:lineRule="auto"/>
        <w:ind w:firstLine="422"/>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b w:val="0"/>
          <w:color w:val="auto"/>
          <w:sz w:val="21"/>
          <w:szCs w:val="21"/>
        </w:rPr>
        <w:t>2.安全生产管理协议；</w:t>
      </w:r>
    </w:p>
    <w:p w14:paraId="057819B4">
      <w:pPr>
        <w:spacing w:line="360" w:lineRule="auto"/>
        <w:ind w:firstLine="1050" w:firstLineChars="500"/>
        <w:rPr>
          <w:rFonts w:hint="eastAsia" w:ascii="宋体" w:hAnsi="宋体" w:eastAsia="宋体" w:cs="宋体"/>
          <w:color w:val="auto"/>
          <w:sz w:val="21"/>
          <w:szCs w:val="21"/>
        </w:rPr>
      </w:pPr>
      <w:r>
        <w:rPr>
          <w:rFonts w:hint="eastAsia" w:ascii="宋体" w:hAnsi="宋体" w:eastAsia="宋体" w:cs="宋体"/>
          <w:color w:val="auto"/>
          <w:sz w:val="21"/>
          <w:szCs w:val="21"/>
        </w:rPr>
        <w:t>3.用户需求书；</w:t>
      </w:r>
    </w:p>
    <w:p w14:paraId="38E8BB33">
      <w:pPr>
        <w:spacing w:line="360" w:lineRule="auto"/>
        <w:ind w:firstLine="1050" w:firstLineChars="500"/>
        <w:rPr>
          <w:rFonts w:hint="eastAsia" w:ascii="宋体" w:hAnsi="宋体" w:eastAsia="宋体" w:cs="宋体"/>
          <w:color w:val="auto"/>
          <w:sz w:val="21"/>
          <w:szCs w:val="21"/>
        </w:rPr>
      </w:pPr>
      <w:r>
        <w:rPr>
          <w:rFonts w:hint="eastAsia" w:ascii="宋体" w:hAnsi="宋体" w:eastAsia="宋体" w:cs="宋体"/>
          <w:color w:val="auto"/>
          <w:sz w:val="21"/>
          <w:szCs w:val="21"/>
        </w:rPr>
        <w:t>4.中标通知书；</w:t>
      </w:r>
    </w:p>
    <w:p w14:paraId="7BFC300B">
      <w:pPr>
        <w:spacing w:line="360" w:lineRule="auto"/>
        <w:ind w:firstLine="1050" w:firstLineChars="500"/>
        <w:rPr>
          <w:rFonts w:hint="eastAsia" w:ascii="宋体" w:hAnsi="宋体" w:eastAsia="宋体" w:cs="宋体"/>
          <w:b/>
          <w:color w:val="auto"/>
          <w:sz w:val="21"/>
          <w:szCs w:val="21"/>
        </w:rPr>
      </w:pPr>
      <w:r>
        <w:rPr>
          <w:rFonts w:hint="eastAsia" w:ascii="宋体" w:hAnsi="宋体" w:eastAsia="宋体" w:cs="宋体"/>
          <w:color w:val="auto"/>
          <w:sz w:val="21"/>
          <w:szCs w:val="21"/>
        </w:rPr>
        <w:t>5.投标文件。</w:t>
      </w:r>
    </w:p>
    <w:p w14:paraId="3CE2E424">
      <w:pPr>
        <w:keepNext w:val="0"/>
        <w:keepLines w:val="0"/>
        <w:pageBreakBefore/>
        <w:widowControl w:val="0"/>
        <w:kinsoku/>
        <w:wordWrap/>
        <w:overflowPunct/>
        <w:topLinePunct w:val="0"/>
        <w:autoSpaceDE w:val="0"/>
        <w:autoSpaceDN w:val="0"/>
        <w:bidi w:val="0"/>
        <w:adjustRightInd w:val="0"/>
        <w:snapToGrid/>
        <w:spacing w:line="360" w:lineRule="auto"/>
        <w:ind w:firstLine="422"/>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（以下无正文</w:t>
      </w:r>
      <w:r>
        <w:rPr>
          <w:rFonts w:hint="eastAsia" w:ascii="宋体" w:hAnsi="宋体" w:eastAsia="宋体" w:cs="宋体"/>
          <w:b w:val="0"/>
          <w:bCs/>
          <w:color w:val="auto"/>
          <w:sz w:val="21"/>
          <w:szCs w:val="21"/>
          <w:lang w:val="en-US" w:eastAsia="zh-CN"/>
        </w:rPr>
        <w:t>内容</w:t>
      </w:r>
      <w:r>
        <w:rPr>
          <w:rFonts w:hint="eastAsia" w:ascii="宋体" w:hAnsi="宋体" w:eastAsia="宋体" w:cs="宋体"/>
          <w:b w:val="0"/>
          <w:bCs/>
          <w:color w:val="auto"/>
          <w:sz w:val="21"/>
          <w:szCs w:val="21"/>
        </w:rPr>
        <w:t>为</w:t>
      </w:r>
      <w:r>
        <w:rPr>
          <w:rFonts w:hint="eastAsia" w:ascii="宋体" w:hAnsi="宋体" w:eastAsia="宋体" w:cs="宋体"/>
          <w:b w:val="0"/>
          <w:bCs/>
          <w:color w:val="auto"/>
          <w:sz w:val="21"/>
          <w:szCs w:val="21"/>
          <w:lang w:val="en-US" w:eastAsia="zh-CN"/>
        </w:rPr>
        <w:t>签字盖章页</w:t>
      </w:r>
      <w:r>
        <w:rPr>
          <w:rFonts w:hint="eastAsia" w:ascii="宋体" w:hAnsi="宋体" w:eastAsia="宋体" w:cs="宋体"/>
          <w:b w:val="0"/>
          <w:bCs/>
          <w:color w:val="auto"/>
          <w:sz w:val="21"/>
          <w:szCs w:val="21"/>
        </w:rPr>
        <w:t>）</w:t>
      </w:r>
    </w:p>
    <w:p w14:paraId="3DD91884">
      <w:pPr>
        <w:pStyle w:val="18"/>
        <w:ind w:firstLine="422"/>
        <w:rPr>
          <w:rFonts w:hint="eastAsia" w:ascii="宋体" w:hAnsi="宋体" w:eastAsia="宋体" w:cs="宋体"/>
          <w:b/>
          <w:color w:val="auto"/>
          <w:sz w:val="21"/>
          <w:szCs w:val="21"/>
        </w:rPr>
      </w:pPr>
    </w:p>
    <w:p w14:paraId="632BB790">
      <w:pPr>
        <w:pStyle w:val="40"/>
        <w:ind w:firstLine="210"/>
        <w:rPr>
          <w:rFonts w:hint="eastAsia" w:ascii="宋体" w:hAnsi="宋体" w:eastAsia="宋体" w:cs="宋体"/>
          <w:color w:val="auto"/>
          <w:sz w:val="21"/>
          <w:szCs w:val="21"/>
        </w:rPr>
      </w:pPr>
    </w:p>
    <w:tbl>
      <w:tblPr>
        <w:tblStyle w:val="41"/>
        <w:tblW w:w="9691" w:type="dxa"/>
        <w:jc w:val="center"/>
        <w:tblLayout w:type="fixed"/>
        <w:tblCellMar>
          <w:top w:w="0" w:type="dxa"/>
          <w:left w:w="108" w:type="dxa"/>
          <w:bottom w:w="0" w:type="dxa"/>
          <w:right w:w="108" w:type="dxa"/>
        </w:tblCellMar>
      </w:tblPr>
      <w:tblGrid>
        <w:gridCol w:w="4695"/>
        <w:gridCol w:w="240"/>
        <w:gridCol w:w="4756"/>
      </w:tblGrid>
      <w:tr w14:paraId="17786C5E">
        <w:tblPrEx>
          <w:tblCellMar>
            <w:top w:w="0" w:type="dxa"/>
            <w:left w:w="108" w:type="dxa"/>
            <w:bottom w:w="0" w:type="dxa"/>
            <w:right w:w="108" w:type="dxa"/>
          </w:tblCellMar>
        </w:tblPrEx>
        <w:trPr>
          <w:jc w:val="center"/>
        </w:trPr>
        <w:tc>
          <w:tcPr>
            <w:tcW w:w="4695" w:type="dxa"/>
            <w:noWrap w:val="0"/>
            <w:vAlign w:val="top"/>
          </w:tcPr>
          <w:p w14:paraId="72D95F1F">
            <w:pPr>
              <w:spacing w:line="360" w:lineRule="auto"/>
              <w:ind w:firstLine="42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甲方（盖章）：</w:t>
            </w:r>
            <w:r>
              <w:rPr>
                <w:rFonts w:hint="eastAsia" w:ascii="宋体" w:hAnsi="宋体" w:eastAsia="宋体" w:cs="宋体"/>
                <w:color w:val="auto"/>
                <w:sz w:val="21"/>
                <w:szCs w:val="21"/>
                <w:lang w:val="en-US" w:eastAsia="zh-CN"/>
              </w:rPr>
              <w:t>东莞市置拓投资有限公司</w:t>
            </w:r>
          </w:p>
          <w:p w14:paraId="4F64E23C">
            <w:pPr>
              <w:spacing w:line="360" w:lineRule="auto"/>
              <w:ind w:firstLine="420"/>
              <w:rPr>
                <w:rFonts w:hint="eastAsia" w:ascii="宋体" w:hAnsi="宋体" w:eastAsia="宋体" w:cs="宋体"/>
                <w:color w:val="auto"/>
                <w:sz w:val="21"/>
                <w:szCs w:val="21"/>
              </w:rPr>
            </w:pPr>
          </w:p>
          <w:p w14:paraId="45DF9DF5">
            <w:pPr>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法定代表人（或负责人）</w:t>
            </w:r>
            <w:r>
              <w:rPr>
                <w:rFonts w:hint="eastAsia" w:ascii="宋体" w:hAnsi="宋体" w:eastAsia="宋体" w:cs="宋体"/>
                <w:color w:val="auto"/>
                <w:sz w:val="21"/>
                <w:szCs w:val="21"/>
                <w:lang w:val="en-US" w:eastAsia="zh-CN"/>
              </w:rPr>
              <w:t>或委托代理人</w:t>
            </w:r>
            <w:r>
              <w:rPr>
                <w:rFonts w:hint="eastAsia" w:ascii="宋体" w:hAnsi="宋体" w:eastAsia="宋体" w:cs="宋体"/>
                <w:color w:val="auto"/>
                <w:sz w:val="21"/>
                <w:szCs w:val="21"/>
              </w:rPr>
              <w:t xml:space="preserve">：                                   </w:t>
            </w:r>
          </w:p>
        </w:tc>
        <w:tc>
          <w:tcPr>
            <w:tcW w:w="240" w:type="dxa"/>
            <w:noWrap w:val="0"/>
            <w:vAlign w:val="top"/>
          </w:tcPr>
          <w:p w14:paraId="2BB88604">
            <w:pPr>
              <w:spacing w:line="360" w:lineRule="auto"/>
              <w:ind w:firstLine="420"/>
              <w:rPr>
                <w:rFonts w:hint="eastAsia" w:ascii="宋体" w:hAnsi="宋体" w:eastAsia="宋体" w:cs="宋体"/>
                <w:color w:val="auto"/>
                <w:sz w:val="21"/>
                <w:szCs w:val="21"/>
              </w:rPr>
            </w:pPr>
          </w:p>
        </w:tc>
        <w:tc>
          <w:tcPr>
            <w:tcW w:w="4756" w:type="dxa"/>
            <w:noWrap w:val="0"/>
            <w:vAlign w:val="top"/>
          </w:tcPr>
          <w:p w14:paraId="7F0275FA">
            <w:pPr>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乙方（盖章）：</w:t>
            </w:r>
          </w:p>
          <w:p w14:paraId="40F18299">
            <w:pPr>
              <w:spacing w:line="360" w:lineRule="auto"/>
              <w:ind w:firstLine="420"/>
              <w:rPr>
                <w:rFonts w:hint="eastAsia" w:ascii="宋体" w:hAnsi="宋体" w:eastAsia="宋体" w:cs="宋体"/>
                <w:color w:val="auto"/>
                <w:sz w:val="21"/>
                <w:szCs w:val="21"/>
              </w:rPr>
            </w:pPr>
          </w:p>
          <w:p w14:paraId="5A49093E">
            <w:pPr>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法定代表人（或负责人）</w:t>
            </w:r>
            <w:r>
              <w:rPr>
                <w:rFonts w:hint="eastAsia" w:ascii="宋体" w:hAnsi="宋体" w:eastAsia="宋体" w:cs="宋体"/>
                <w:color w:val="auto"/>
                <w:sz w:val="21"/>
                <w:szCs w:val="21"/>
                <w:lang w:val="en-US" w:eastAsia="zh-CN"/>
              </w:rPr>
              <w:t>或委托代理人</w:t>
            </w:r>
            <w:r>
              <w:rPr>
                <w:rFonts w:hint="eastAsia" w:ascii="宋体" w:hAnsi="宋体" w:eastAsia="宋体" w:cs="宋体"/>
                <w:color w:val="auto"/>
                <w:sz w:val="21"/>
                <w:szCs w:val="21"/>
              </w:rPr>
              <w:t>：</w:t>
            </w:r>
          </w:p>
        </w:tc>
      </w:tr>
      <w:tr w14:paraId="295407DB">
        <w:tblPrEx>
          <w:tblCellMar>
            <w:top w:w="0" w:type="dxa"/>
            <w:left w:w="108" w:type="dxa"/>
            <w:bottom w:w="0" w:type="dxa"/>
            <w:right w:w="108" w:type="dxa"/>
          </w:tblCellMar>
        </w:tblPrEx>
        <w:trPr>
          <w:trHeight w:val="432" w:hRule="atLeast"/>
          <w:jc w:val="center"/>
        </w:trPr>
        <w:tc>
          <w:tcPr>
            <w:tcW w:w="4695" w:type="dxa"/>
            <w:noWrap w:val="0"/>
            <w:vAlign w:val="top"/>
          </w:tcPr>
          <w:p w14:paraId="61EE0CC5">
            <w:pPr>
              <w:spacing w:line="360" w:lineRule="auto"/>
              <w:ind w:firstLine="420"/>
              <w:rPr>
                <w:rFonts w:hint="eastAsia" w:ascii="宋体" w:hAnsi="宋体" w:eastAsia="宋体" w:cs="宋体"/>
                <w:color w:val="auto"/>
                <w:sz w:val="21"/>
                <w:szCs w:val="21"/>
              </w:rPr>
            </w:pPr>
          </w:p>
          <w:p w14:paraId="7F37B741">
            <w:pPr>
              <w:spacing w:line="360" w:lineRule="auto"/>
              <w:ind w:firstLine="42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电话：</w:t>
            </w:r>
          </w:p>
          <w:p w14:paraId="4A56AA99">
            <w:pPr>
              <w:spacing w:line="360" w:lineRule="auto"/>
              <w:ind w:firstLine="420"/>
              <w:rPr>
                <w:rFonts w:hint="eastAsia" w:ascii="宋体" w:hAnsi="宋体" w:eastAsia="宋体" w:cs="宋体"/>
                <w:color w:val="auto"/>
                <w:sz w:val="21"/>
                <w:szCs w:val="21"/>
              </w:rPr>
            </w:pPr>
          </w:p>
          <w:p w14:paraId="44833067">
            <w:pPr>
              <w:spacing w:line="360" w:lineRule="auto"/>
              <w:ind w:firstLine="42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地址：</w:t>
            </w:r>
          </w:p>
          <w:p w14:paraId="63E584F5">
            <w:pPr>
              <w:spacing w:line="360" w:lineRule="auto"/>
              <w:ind w:firstLine="420"/>
              <w:rPr>
                <w:rFonts w:hint="eastAsia" w:ascii="宋体" w:hAnsi="宋体" w:eastAsia="宋体" w:cs="宋体"/>
                <w:color w:val="auto"/>
                <w:sz w:val="21"/>
                <w:szCs w:val="21"/>
              </w:rPr>
            </w:pPr>
          </w:p>
          <w:p w14:paraId="66260B92">
            <w:pPr>
              <w:spacing w:line="360" w:lineRule="auto"/>
              <w:ind w:firstLine="42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开户名称：东莞市置拓投资有限公司</w:t>
            </w:r>
          </w:p>
          <w:p w14:paraId="3A5F6AA8">
            <w:pPr>
              <w:spacing w:line="360" w:lineRule="auto"/>
              <w:ind w:firstLine="420"/>
              <w:rPr>
                <w:rFonts w:hint="eastAsia" w:ascii="宋体" w:hAnsi="宋体" w:eastAsia="宋体" w:cs="宋体"/>
                <w:color w:val="auto"/>
                <w:sz w:val="21"/>
                <w:szCs w:val="21"/>
              </w:rPr>
            </w:pPr>
          </w:p>
          <w:p w14:paraId="32C1ED31">
            <w:pPr>
              <w:spacing w:line="360" w:lineRule="auto"/>
              <w:ind w:firstLine="42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开户银行：</w:t>
            </w:r>
          </w:p>
          <w:p w14:paraId="7BEEB8E1">
            <w:pPr>
              <w:spacing w:line="360" w:lineRule="auto"/>
              <w:ind w:firstLine="420"/>
              <w:rPr>
                <w:rFonts w:hint="eastAsia" w:ascii="宋体" w:hAnsi="宋体" w:eastAsia="宋体" w:cs="宋体"/>
                <w:color w:val="auto"/>
                <w:sz w:val="21"/>
                <w:szCs w:val="21"/>
                <w:lang w:val="en-US" w:eastAsia="zh-CN"/>
              </w:rPr>
            </w:pPr>
          </w:p>
          <w:p w14:paraId="4EC483CB">
            <w:pPr>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账户</w:t>
            </w:r>
            <w:r>
              <w:rPr>
                <w:rFonts w:hint="eastAsia" w:ascii="宋体" w:hAnsi="宋体" w:eastAsia="宋体" w:cs="宋体"/>
                <w:color w:val="auto"/>
                <w:sz w:val="21"/>
                <w:szCs w:val="21"/>
              </w:rPr>
              <w:t>：</w:t>
            </w:r>
          </w:p>
        </w:tc>
        <w:tc>
          <w:tcPr>
            <w:tcW w:w="240" w:type="dxa"/>
            <w:noWrap w:val="0"/>
            <w:vAlign w:val="top"/>
          </w:tcPr>
          <w:p w14:paraId="35234BD3">
            <w:pPr>
              <w:spacing w:line="360" w:lineRule="auto"/>
              <w:ind w:firstLine="420"/>
              <w:rPr>
                <w:rFonts w:hint="eastAsia" w:ascii="宋体" w:hAnsi="宋体" w:eastAsia="宋体" w:cs="宋体"/>
                <w:color w:val="auto"/>
                <w:sz w:val="21"/>
                <w:szCs w:val="21"/>
              </w:rPr>
            </w:pPr>
          </w:p>
        </w:tc>
        <w:tc>
          <w:tcPr>
            <w:tcW w:w="4756" w:type="dxa"/>
            <w:noWrap w:val="0"/>
            <w:vAlign w:val="top"/>
          </w:tcPr>
          <w:p w14:paraId="157FCC50">
            <w:pPr>
              <w:spacing w:line="360" w:lineRule="auto"/>
              <w:ind w:firstLine="420"/>
              <w:rPr>
                <w:rFonts w:hint="eastAsia" w:ascii="宋体" w:hAnsi="宋体" w:eastAsia="宋体" w:cs="宋体"/>
                <w:color w:val="auto"/>
                <w:sz w:val="21"/>
                <w:szCs w:val="21"/>
                <w:lang w:val="en-US" w:eastAsia="zh-CN"/>
              </w:rPr>
            </w:pPr>
          </w:p>
          <w:p w14:paraId="66631ABA">
            <w:pPr>
              <w:spacing w:line="360" w:lineRule="auto"/>
              <w:ind w:firstLine="42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电话：</w:t>
            </w:r>
          </w:p>
          <w:p w14:paraId="037CB74C">
            <w:pPr>
              <w:spacing w:line="360" w:lineRule="auto"/>
              <w:ind w:firstLine="420"/>
              <w:rPr>
                <w:rFonts w:hint="eastAsia" w:ascii="宋体" w:hAnsi="宋体" w:eastAsia="宋体" w:cs="宋体"/>
                <w:color w:val="auto"/>
                <w:sz w:val="21"/>
                <w:szCs w:val="21"/>
              </w:rPr>
            </w:pPr>
          </w:p>
          <w:p w14:paraId="1C7051A5">
            <w:pPr>
              <w:spacing w:line="360" w:lineRule="auto"/>
              <w:ind w:firstLine="42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地址：</w:t>
            </w:r>
          </w:p>
          <w:p w14:paraId="3103C31C">
            <w:pPr>
              <w:spacing w:line="360" w:lineRule="auto"/>
              <w:ind w:firstLine="420"/>
              <w:rPr>
                <w:rFonts w:hint="eastAsia" w:ascii="宋体" w:hAnsi="宋体" w:eastAsia="宋体" w:cs="宋体"/>
                <w:color w:val="auto"/>
                <w:sz w:val="21"/>
                <w:szCs w:val="21"/>
              </w:rPr>
            </w:pPr>
          </w:p>
          <w:p w14:paraId="6DCCCDBE">
            <w:pPr>
              <w:spacing w:line="360" w:lineRule="auto"/>
              <w:ind w:firstLine="42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开户名称：</w:t>
            </w:r>
          </w:p>
          <w:p w14:paraId="527E7243">
            <w:pPr>
              <w:spacing w:line="360" w:lineRule="auto"/>
              <w:ind w:firstLine="420"/>
              <w:rPr>
                <w:rFonts w:hint="eastAsia" w:ascii="宋体" w:hAnsi="宋体" w:eastAsia="宋体" w:cs="宋体"/>
                <w:color w:val="auto"/>
                <w:sz w:val="21"/>
                <w:szCs w:val="21"/>
              </w:rPr>
            </w:pPr>
          </w:p>
          <w:p w14:paraId="2783E2BA">
            <w:pPr>
              <w:spacing w:line="360" w:lineRule="auto"/>
              <w:ind w:firstLine="42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开户银行：</w:t>
            </w:r>
          </w:p>
          <w:p w14:paraId="763C67BF">
            <w:pPr>
              <w:spacing w:line="360" w:lineRule="auto"/>
              <w:ind w:firstLine="420"/>
              <w:rPr>
                <w:rFonts w:hint="eastAsia" w:ascii="宋体" w:hAnsi="宋体" w:eastAsia="宋体" w:cs="宋体"/>
                <w:color w:val="auto"/>
                <w:sz w:val="21"/>
                <w:szCs w:val="21"/>
                <w:lang w:val="en-US" w:eastAsia="zh-CN"/>
              </w:rPr>
            </w:pPr>
          </w:p>
          <w:p w14:paraId="5D31BBB2">
            <w:pPr>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账户</w:t>
            </w:r>
            <w:r>
              <w:rPr>
                <w:rFonts w:hint="eastAsia" w:ascii="宋体" w:hAnsi="宋体" w:eastAsia="宋体" w:cs="宋体"/>
                <w:color w:val="auto"/>
                <w:sz w:val="21"/>
                <w:szCs w:val="21"/>
              </w:rPr>
              <w:t>：</w:t>
            </w:r>
          </w:p>
        </w:tc>
      </w:tr>
    </w:tbl>
    <w:p w14:paraId="7DFD1A62">
      <w:pPr>
        <w:spacing w:line="360" w:lineRule="auto"/>
        <w:ind w:firstLine="420"/>
        <w:rPr>
          <w:rFonts w:hint="eastAsia" w:ascii="宋体" w:hAnsi="宋体" w:eastAsia="宋体" w:cs="宋体"/>
          <w:color w:val="auto"/>
          <w:sz w:val="21"/>
          <w:szCs w:val="21"/>
        </w:rPr>
      </w:pPr>
    </w:p>
    <w:p w14:paraId="08098ACE">
      <w:pPr>
        <w:pageBreakBefore/>
        <w:spacing w:line="360" w:lineRule="auto"/>
        <w:ind w:firstLine="482"/>
        <w:rPr>
          <w:rFonts w:hint="eastAsia" w:ascii="宋体" w:hAnsi="宋体" w:eastAsia="宋体" w:cs="宋体"/>
          <w:b/>
          <w:color w:val="auto"/>
          <w:sz w:val="24"/>
        </w:rPr>
      </w:pPr>
      <w:bookmarkStart w:id="726" w:name="_Toc135163450"/>
      <w:bookmarkStart w:id="727" w:name="_Toc135162766"/>
      <w:bookmarkStart w:id="728" w:name="_Toc135256465"/>
      <w:bookmarkStart w:id="729" w:name="_Toc135256710"/>
      <w:bookmarkStart w:id="730" w:name="_Toc135162971"/>
      <w:r>
        <w:rPr>
          <w:rFonts w:hint="eastAsia" w:ascii="宋体" w:hAnsi="宋体" w:eastAsia="宋体" w:cs="宋体"/>
          <w:b/>
          <w:color w:val="auto"/>
          <w:sz w:val="24"/>
        </w:rPr>
        <w:t>附件1 廉洁协议书</w:t>
      </w:r>
      <w:bookmarkEnd w:id="726"/>
      <w:bookmarkEnd w:id="727"/>
      <w:bookmarkEnd w:id="728"/>
      <w:bookmarkEnd w:id="729"/>
      <w:bookmarkEnd w:id="730"/>
    </w:p>
    <w:p w14:paraId="5F87DB2B">
      <w:pPr>
        <w:spacing w:line="360" w:lineRule="auto"/>
        <w:ind w:firstLine="0" w:firstLineChars="0"/>
        <w:jc w:val="center"/>
        <w:rPr>
          <w:rFonts w:hint="eastAsia" w:ascii="宋体" w:hAnsi="宋体" w:eastAsia="宋体" w:cs="宋体"/>
          <w:color w:val="auto"/>
          <w:szCs w:val="21"/>
        </w:rPr>
      </w:pPr>
      <w:r>
        <w:rPr>
          <w:rFonts w:hint="eastAsia" w:ascii="宋体" w:hAnsi="宋体" w:eastAsia="宋体" w:cs="宋体"/>
          <w:b/>
          <w:color w:val="auto"/>
          <w:sz w:val="30"/>
          <w:szCs w:val="30"/>
        </w:rPr>
        <w:t>廉洁协议书</w:t>
      </w:r>
    </w:p>
    <w:p w14:paraId="3DD9ABD7">
      <w:pPr>
        <w:autoSpaceDE w:val="0"/>
        <w:autoSpaceDN w:val="0"/>
        <w:adjustRightInd w:val="0"/>
        <w:spacing w:line="360" w:lineRule="auto"/>
        <w:ind w:firstLine="0" w:firstLineChars="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                                   （招标编号：</w:t>
      </w:r>
      <w:r>
        <w:rPr>
          <w:rFonts w:hint="eastAsia" w:ascii="宋体" w:hAnsi="宋体" w:eastAsia="宋体" w:cs="宋体"/>
          <w:color w:val="auto"/>
          <w:kern w:val="0"/>
          <w:szCs w:val="21"/>
          <w:highlight w:val="none"/>
          <w:lang w:val="zh-CN"/>
        </w:rPr>
        <w:t xml:space="preserve">     </w:t>
      </w:r>
      <w:r>
        <w:rPr>
          <w:rFonts w:hint="eastAsia" w:ascii="宋体" w:hAnsi="宋体" w:eastAsia="宋体" w:cs="宋体"/>
          <w:color w:val="auto"/>
          <w:kern w:val="0"/>
          <w:szCs w:val="21"/>
          <w:highlight w:val="none"/>
        </w:rPr>
        <w:t>）</w:t>
      </w:r>
    </w:p>
    <w:p w14:paraId="4E51F4BB">
      <w:pPr>
        <w:snapToGrid w:val="0"/>
        <w:spacing w:line="360" w:lineRule="auto"/>
        <w:ind w:left="0" w:leftChars="0" w:firstLine="0" w:firstLineChars="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甲方（业主单位）：</w:t>
      </w:r>
    </w:p>
    <w:p w14:paraId="51021462">
      <w:pPr>
        <w:snapToGrid w:val="0"/>
        <w:spacing w:line="360" w:lineRule="auto"/>
        <w:ind w:left="0" w:leftChars="0" w:firstLine="0" w:firstLineChars="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w:t>
      </w:r>
    </w:p>
    <w:p w14:paraId="7F0E9809">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501C2952">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第一条  甲乙双方的权利和义务</w:t>
      </w:r>
    </w:p>
    <w:p w14:paraId="3E30C092">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（一）严格遵守党和国家有关法律法规等有关廉洁从业规定。</w:t>
      </w:r>
    </w:p>
    <w:p w14:paraId="186F5895">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（二）严格执行本项目的合同文件，自觉按合同办事。</w:t>
      </w:r>
    </w:p>
    <w:p w14:paraId="76CE3994">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（三）双方的业务活动坚持公开、公正、诚信、透明的原则（除法律认定的商业秘密和合同文件另有规定之外）不得损害国家和集体利益，违反工程建设管理及其他法律法规规章制度。</w:t>
      </w:r>
    </w:p>
    <w:p w14:paraId="725C3733">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（四）建立健全廉洁制度，开展廉洁教育，设立廉洁监督公示牌，公布举报电话，监督并认真查处违法违纪行为。</w:t>
      </w:r>
    </w:p>
    <w:p w14:paraId="77ECCC7D">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（五）发现对方在业务活动中有违反廉洁规定的行为，有及时提醒对方纠正的权利和义务。</w:t>
      </w:r>
    </w:p>
    <w:p w14:paraId="4C893108">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（六）发现对方严重违反本协议义务条款的行为，有向其上级有关部门举报、建议给予处理并要求告知处理结果的权利。</w:t>
      </w:r>
    </w:p>
    <w:p w14:paraId="67D9F40A">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第二条  甲方的义务</w:t>
      </w:r>
    </w:p>
    <w:p w14:paraId="26EF3D8C">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（一）甲方及其工作人员不得索要或接受乙方的礼金、有价证券和贵重物品，不得在乙方报销任何应由甲方或个人支付的费用。</w:t>
      </w:r>
    </w:p>
    <w:p w14:paraId="3AB97E5C">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（二）甲方工作人员不得参加乙方安排的高消费宴请和娱乐活动；不得接受乙方提供的通讯工具、交通工具和高档办公用品。</w:t>
      </w:r>
    </w:p>
    <w:p w14:paraId="12EAFB8B">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（三）甲方及其工作人员不得要求或者接受乙方为其住房装修、婚丧嫁娶活动、家属或亲友的工作安排以及出国出境、旅游等提供方便。</w:t>
      </w:r>
    </w:p>
    <w:p w14:paraId="0CE7D90E">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（四）甲方工作人员不得向乙方介绍其家属或者亲友（包括家属或亲友开办的公司企业）从事于本项目涉及的经济业务活动。</w:t>
      </w:r>
    </w:p>
    <w:p w14:paraId="4481404A">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（五）甲方及其工作人员不得以任何理由向乙方推荐分包单位，不得要求乙方购买合同规定外的材料和设备。</w:t>
      </w:r>
    </w:p>
    <w:p w14:paraId="4C9D8880">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（六）甲方及其工作人员不得进行违反廉洁规定的其他活动。</w:t>
      </w:r>
    </w:p>
    <w:p w14:paraId="6A3B51FE">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（七）甲方应对甲方工作人员进行廉洁监督管理，如甲方工作人员违反本协议第一、第二条，甲方应依据有关法律法规、党纪规定对其进行处理；涉嫌犯罪的，甲方应将其移交司法机关追究刑事责任。</w:t>
      </w:r>
    </w:p>
    <w:p w14:paraId="6A7132ED">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第三条  乙方义务</w:t>
      </w:r>
    </w:p>
    <w:p w14:paraId="04A6A7C8">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（一）乙方不得以任何理由向甲方及其工作人员馈赠礼金、有价证券、贵重礼品，或报销应由甲方单位或个人支付的任何费用。</w:t>
      </w:r>
    </w:p>
    <w:p w14:paraId="45D633B6">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（二）乙方及其工作人员不得以考察、参观、洽谈业务、签订合同等的借口邀请甲方及其工作人员参加高消费的宴请、娱乐和健身等活动。</w:t>
      </w:r>
    </w:p>
    <w:p w14:paraId="7A33509A">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（三）乙方不得为甲方单位和个人购置或提供通讯工具、交通工具和高档办公用品等。</w:t>
      </w:r>
    </w:p>
    <w:p w14:paraId="30998294">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（四）乙方及其工作人员不得为甲方工作人员购买、装修、维修私人住房、汽车等。</w:t>
      </w:r>
    </w:p>
    <w:p w14:paraId="2FD63232">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（五）乙方及其工作人员不得为甲方工作人员的婚丧嫁娶、家属或亲友的工作安排，及出国出境提供方便以及报销任何私人消费的费用。</w:t>
      </w:r>
    </w:p>
    <w:p w14:paraId="08A26A1B">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（六）乙方及其工作人员不得进行影响甲方及其工作人员公正执行合同和履行职务的其他活动。</w:t>
      </w:r>
    </w:p>
    <w:p w14:paraId="589B7FE9">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192C389B">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第四条  违约责任</w:t>
      </w:r>
    </w:p>
    <w:p w14:paraId="46321AB1">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（一）甲方违反本协议第一、第二条给乙方单位造成经济损失的，应予以赔偿。</w:t>
      </w:r>
    </w:p>
    <w:p w14:paraId="201AD330">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（二）乙方违反本协议第一、第三条给甲方单位造成经济损失的，应予以赔偿。</w:t>
      </w:r>
    </w:p>
    <w:p w14:paraId="0C4794FA">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第五条  监督检查</w:t>
      </w:r>
    </w:p>
    <w:p w14:paraId="55002527">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甲乙双方的廉洁从业行为由双方或双方上级单位的纪检、监察部门负责监督，对本协议履行情况进行检查。</w:t>
      </w:r>
    </w:p>
    <w:p w14:paraId="13C9F71F">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第六条 举报信访受理</w:t>
      </w:r>
    </w:p>
    <w:p w14:paraId="4F371FE7">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（一）举报受理部门：东莞市水务</w:t>
      </w:r>
      <w:r>
        <w:rPr>
          <w:rFonts w:hint="eastAsia" w:ascii="宋体" w:hAnsi="宋体" w:eastAsia="宋体" w:cs="宋体"/>
          <w:color w:val="auto"/>
          <w:kern w:val="0"/>
          <w:szCs w:val="21"/>
          <w:highlight w:val="none"/>
          <w:lang w:val="en-US" w:eastAsia="zh-CN"/>
        </w:rPr>
        <w:t>环境投资控股</w:t>
      </w:r>
      <w:r>
        <w:rPr>
          <w:rFonts w:hint="eastAsia" w:ascii="宋体" w:hAnsi="宋体" w:eastAsia="宋体" w:cs="宋体"/>
          <w:color w:val="auto"/>
          <w:kern w:val="0"/>
          <w:szCs w:val="21"/>
          <w:highlight w:val="none"/>
        </w:rPr>
        <w:t>集团有限公司纪检监察部。</w:t>
      </w:r>
    </w:p>
    <w:p w14:paraId="5804095F">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（二）举报电话：（0769）23076092。</w:t>
      </w:r>
    </w:p>
    <w:p w14:paraId="6734E86C">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（三）举报邮箱：</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"mailto:jcsj@dgswjt.cn。" </w:instrText>
      </w:r>
      <w:r>
        <w:rPr>
          <w:rFonts w:hint="eastAsia" w:ascii="宋体" w:hAnsi="宋体" w:eastAsia="宋体" w:cs="宋体"/>
          <w:color w:val="auto"/>
          <w:highlight w:val="none"/>
        </w:rPr>
        <w:fldChar w:fldCharType="separate"/>
      </w:r>
      <w:r>
        <w:rPr>
          <w:rFonts w:hint="eastAsia" w:ascii="宋体" w:hAnsi="宋体" w:eastAsia="宋体" w:cs="宋体"/>
          <w:color w:val="auto"/>
          <w:kern w:val="0"/>
          <w:szCs w:val="21"/>
          <w:highlight w:val="none"/>
        </w:rPr>
        <w:t>jcsj@dgswjt.cn。</w:t>
      </w:r>
      <w:r>
        <w:rPr>
          <w:rFonts w:hint="eastAsia" w:ascii="宋体" w:hAnsi="宋体" w:eastAsia="宋体" w:cs="宋体"/>
          <w:color w:val="auto"/>
          <w:kern w:val="0"/>
          <w:szCs w:val="21"/>
          <w:highlight w:val="none"/>
        </w:rPr>
        <w:fldChar w:fldCharType="end"/>
      </w:r>
    </w:p>
    <w:p w14:paraId="7090D393">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（四）信访地址：广东省东莞市东城街道育华路1号。</w:t>
      </w:r>
    </w:p>
    <w:p w14:paraId="5BE90950">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第七条 其他</w:t>
      </w:r>
    </w:p>
    <w:p w14:paraId="7282288D">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本协议有效期为甲乙</w:t>
      </w:r>
      <w:r>
        <w:rPr>
          <w:rFonts w:hint="eastAsia" w:ascii="宋体" w:hAnsi="宋体" w:eastAsia="宋体" w:cs="宋体"/>
          <w:color w:val="auto"/>
          <w:kern w:val="0"/>
          <w:szCs w:val="21"/>
          <w:highlight w:val="none"/>
          <w:lang w:val="en-US" w:eastAsia="zh-CN"/>
        </w:rPr>
        <w:t>双方</w:t>
      </w: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或负责人</w:t>
      </w:r>
      <w:r>
        <w:rPr>
          <w:rFonts w:hint="eastAsia" w:ascii="宋体" w:hAnsi="宋体" w:eastAsia="宋体" w:cs="宋体"/>
          <w:color w:val="auto"/>
          <w:sz w:val="21"/>
          <w:szCs w:val="21"/>
          <w:highlight w:val="none"/>
        </w:rPr>
        <w:t>或</w:t>
      </w:r>
      <w:r>
        <w:rPr>
          <w:rFonts w:hint="eastAsia" w:ascii="宋体" w:hAnsi="宋体" w:eastAsia="宋体" w:cs="宋体"/>
          <w:color w:val="auto"/>
          <w:sz w:val="21"/>
          <w:szCs w:val="21"/>
          <w:highlight w:val="none"/>
          <w:lang w:val="en-US" w:eastAsia="zh-CN"/>
        </w:rPr>
        <w:t>委托代理人</w:t>
      </w:r>
      <w:r>
        <w:rPr>
          <w:rFonts w:hint="eastAsia" w:ascii="宋体" w:hAnsi="宋体" w:eastAsia="宋体" w:cs="宋体"/>
          <w:color w:val="auto"/>
          <w:sz w:val="21"/>
          <w:szCs w:val="21"/>
          <w:highlight w:val="none"/>
        </w:rPr>
        <w:t>签字并盖章之日</w:t>
      </w:r>
      <w:r>
        <w:rPr>
          <w:rFonts w:hint="eastAsia" w:ascii="宋体" w:hAnsi="宋体" w:eastAsia="宋体" w:cs="宋体"/>
          <w:color w:val="auto"/>
          <w:kern w:val="0"/>
          <w:szCs w:val="21"/>
          <w:highlight w:val="none"/>
        </w:rPr>
        <w:t>起至</w:t>
      </w:r>
      <w:r>
        <w:rPr>
          <w:rFonts w:hint="eastAsia" w:ascii="宋体" w:hAnsi="宋体" w:eastAsia="宋体" w:cs="宋体"/>
          <w:color w:val="auto"/>
          <w:sz w:val="21"/>
          <w:szCs w:val="21"/>
          <w:highlight w:val="none"/>
        </w:rPr>
        <w:t>采购项目</w:t>
      </w:r>
      <w:r>
        <w:rPr>
          <w:rFonts w:hint="eastAsia" w:ascii="宋体" w:hAnsi="宋体" w:eastAsia="宋体" w:cs="宋体"/>
          <w:color w:val="auto"/>
          <w:sz w:val="21"/>
          <w:szCs w:val="21"/>
          <w:highlight w:val="none"/>
          <w:lang w:val="en-US" w:eastAsia="zh-CN"/>
        </w:rPr>
        <w:t>服务期</w:t>
      </w:r>
      <w:r>
        <w:rPr>
          <w:rFonts w:hint="eastAsia" w:ascii="宋体" w:hAnsi="宋体" w:eastAsia="宋体" w:cs="宋体"/>
          <w:color w:val="auto"/>
          <w:sz w:val="21"/>
          <w:szCs w:val="21"/>
          <w:highlight w:val="none"/>
        </w:rPr>
        <w:t>满后止</w:t>
      </w:r>
      <w:r>
        <w:rPr>
          <w:rFonts w:hint="eastAsia" w:ascii="宋体" w:hAnsi="宋体" w:eastAsia="宋体" w:cs="宋体"/>
          <w:color w:val="auto"/>
          <w:kern w:val="0"/>
          <w:szCs w:val="21"/>
          <w:highlight w:val="none"/>
        </w:rPr>
        <w:t>。</w:t>
      </w:r>
    </w:p>
    <w:p w14:paraId="652546EB">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本协议一式   份，</w:t>
      </w:r>
      <w:r>
        <w:rPr>
          <w:rFonts w:hint="eastAsia" w:ascii="宋体" w:hAnsi="宋体" w:eastAsia="宋体" w:cs="宋体"/>
          <w:color w:val="auto"/>
          <w:szCs w:val="21"/>
          <w:highlight w:val="none"/>
        </w:rPr>
        <w:t>甲方执叁份，乙方执【</w:t>
      </w:r>
      <w:r>
        <w:rPr>
          <w:rFonts w:hint="eastAsia" w:ascii="宋体" w:hAnsi="宋体" w:eastAsia="宋体" w:cs="宋体"/>
          <w:color w:val="auto"/>
          <w:szCs w:val="21"/>
          <w:highlight w:val="none"/>
          <w:lang w:val="en-US" w:eastAsia="zh-CN"/>
        </w:rPr>
        <w:t>贰</w:t>
      </w:r>
      <w:r>
        <w:rPr>
          <w:rFonts w:hint="eastAsia" w:ascii="宋体" w:hAnsi="宋体" w:eastAsia="宋体" w:cs="宋体"/>
          <w:color w:val="auto"/>
          <w:szCs w:val="21"/>
          <w:highlight w:val="none"/>
        </w:rPr>
        <w:t>】份，招标代理机构执</w:t>
      </w:r>
      <w:r>
        <w:rPr>
          <w:rFonts w:hint="eastAsia" w:ascii="宋体" w:hAnsi="宋体" w:eastAsia="宋体" w:cs="宋体"/>
          <w:color w:val="auto"/>
          <w:szCs w:val="21"/>
          <w:highlight w:val="none"/>
          <w:lang w:val="en-US" w:eastAsia="zh-CN"/>
        </w:rPr>
        <w:t>壹</w:t>
      </w:r>
      <w:r>
        <w:rPr>
          <w:rFonts w:hint="eastAsia" w:ascii="宋体" w:hAnsi="宋体" w:eastAsia="宋体" w:cs="宋体"/>
          <w:color w:val="auto"/>
          <w:szCs w:val="21"/>
          <w:highlight w:val="none"/>
        </w:rPr>
        <w:t>份</w:t>
      </w:r>
      <w:r>
        <w:rPr>
          <w:rFonts w:hint="eastAsia" w:ascii="宋体" w:hAnsi="宋体" w:eastAsia="宋体" w:cs="宋体"/>
          <w:color w:val="auto"/>
          <w:kern w:val="0"/>
          <w:szCs w:val="21"/>
          <w:highlight w:val="none"/>
        </w:rPr>
        <w:t>。</w:t>
      </w:r>
    </w:p>
    <w:p w14:paraId="51F6FA51">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p>
    <w:p w14:paraId="15FE7456">
      <w:pPr>
        <w:spacing w:before="48" w:beforeLines="20" w:after="48" w:afterLines="20"/>
        <w:ind w:firstLine="420" w:firstLineChars="200"/>
        <w:outlineLvl w:val="9"/>
        <w:rPr>
          <w:rFonts w:hint="eastAsia" w:ascii="宋体" w:hAnsi="宋体" w:eastAsia="宋体" w:cs="宋体"/>
          <w:color w:val="auto"/>
          <w:szCs w:val="21"/>
          <w:highlight w:val="none"/>
        </w:rPr>
      </w:pPr>
    </w:p>
    <w:p w14:paraId="6D76DCC4">
      <w:pPr>
        <w:spacing w:before="48" w:beforeLines="20" w:after="48" w:afterLines="20"/>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甲方（盖章）：                         乙方（盖章）： </w:t>
      </w:r>
    </w:p>
    <w:p w14:paraId="23A94348">
      <w:pPr>
        <w:spacing w:before="48" w:beforeLines="20" w:after="48" w:afterLines="20"/>
        <w:ind w:firstLine="420" w:firstLineChars="200"/>
        <w:outlineLvl w:val="9"/>
        <w:rPr>
          <w:rFonts w:hint="eastAsia" w:ascii="宋体" w:hAnsi="宋体" w:eastAsia="宋体" w:cs="宋体"/>
          <w:color w:val="auto"/>
          <w:szCs w:val="21"/>
          <w:highlight w:val="none"/>
        </w:rPr>
      </w:pPr>
    </w:p>
    <w:p w14:paraId="07447EB1">
      <w:pPr>
        <w:spacing w:before="48" w:beforeLines="20" w:after="48" w:afterLines="20"/>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负责人</w:t>
      </w:r>
      <w:r>
        <w:rPr>
          <w:rFonts w:hint="eastAsia" w:ascii="宋体" w:hAnsi="宋体" w:eastAsia="宋体" w:cs="宋体"/>
          <w:color w:val="auto"/>
          <w:szCs w:val="21"/>
          <w:highlight w:val="none"/>
          <w:lang w:val="en-US" w:eastAsia="zh-CN"/>
        </w:rPr>
        <w:t>(或委托代理人)</w:t>
      </w:r>
      <w:r>
        <w:rPr>
          <w:rFonts w:hint="eastAsia" w:ascii="宋体" w:hAnsi="宋体" w:eastAsia="宋体" w:cs="宋体"/>
          <w:color w:val="auto"/>
          <w:szCs w:val="21"/>
          <w:highlight w:val="none"/>
        </w:rPr>
        <w:t>：      法定代表人</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负责人</w:t>
      </w:r>
      <w:r>
        <w:rPr>
          <w:rFonts w:hint="eastAsia" w:ascii="宋体" w:hAnsi="宋体" w:eastAsia="宋体" w:cs="宋体"/>
          <w:color w:val="auto"/>
          <w:szCs w:val="21"/>
          <w:highlight w:val="none"/>
          <w:lang w:val="en-US" w:eastAsia="zh-CN"/>
        </w:rPr>
        <w:t>(或委托代理人)</w:t>
      </w:r>
      <w:r>
        <w:rPr>
          <w:rFonts w:hint="eastAsia" w:ascii="宋体" w:hAnsi="宋体" w:eastAsia="宋体" w:cs="宋体"/>
          <w:color w:val="auto"/>
          <w:szCs w:val="21"/>
          <w:highlight w:val="none"/>
        </w:rPr>
        <w:t>：</w:t>
      </w:r>
    </w:p>
    <w:p w14:paraId="0E3EDC79">
      <w:pPr>
        <w:spacing w:before="48" w:beforeLines="20" w:after="48" w:afterLines="20"/>
        <w:ind w:firstLine="420" w:firstLineChars="200"/>
        <w:outlineLvl w:val="9"/>
        <w:rPr>
          <w:rFonts w:hint="eastAsia" w:ascii="宋体" w:hAnsi="宋体" w:eastAsia="宋体" w:cs="宋体"/>
          <w:color w:val="auto"/>
          <w:szCs w:val="21"/>
          <w:highlight w:val="none"/>
        </w:rPr>
      </w:pPr>
    </w:p>
    <w:p w14:paraId="1263F6A2">
      <w:pPr>
        <w:spacing w:before="48" w:beforeLines="20" w:after="48" w:afterLines="20"/>
        <w:outlineLvl w:val="9"/>
        <w:rPr>
          <w:rFonts w:hint="eastAsia" w:ascii="宋体" w:hAnsi="宋体" w:eastAsia="宋体" w:cs="宋体"/>
          <w:color w:val="auto"/>
          <w:szCs w:val="21"/>
          <w:highlight w:val="none"/>
        </w:rPr>
      </w:pPr>
    </w:p>
    <w:p w14:paraId="073AABC9">
      <w:pPr>
        <w:spacing w:line="360" w:lineRule="auto"/>
        <w:ind w:firstLine="371" w:firstLineChars="177"/>
        <w:outlineLvl w:val="9"/>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签订日期：    年  月  日                  年  月  日</w:t>
      </w:r>
      <w:r>
        <w:rPr>
          <w:rFonts w:hint="eastAsia" w:ascii="宋体" w:hAnsi="宋体" w:eastAsia="宋体" w:cs="宋体"/>
          <w:color w:val="auto"/>
          <w:szCs w:val="21"/>
          <w:highlight w:val="none"/>
          <w:lang w:val="en-US" w:eastAsia="zh-CN"/>
        </w:rPr>
        <w:t xml:space="preserve">   </w:t>
      </w:r>
      <w:r>
        <w:rPr>
          <w:rFonts w:hAnsi="宋体"/>
          <w:b/>
          <w:color w:val="auto"/>
        </w:rPr>
        <w:br w:type="page"/>
      </w:r>
      <w:r>
        <w:rPr>
          <w:rFonts w:hint="eastAsia" w:ascii="宋体" w:hAnsi="宋体" w:eastAsia="宋体" w:cs="宋体"/>
          <w:b/>
          <w:color w:val="auto"/>
          <w:szCs w:val="21"/>
          <w:highlight w:val="none"/>
        </w:rPr>
        <w:t>附件</w:t>
      </w: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rPr>
        <w:t>：安全</w:t>
      </w:r>
      <w:r>
        <w:rPr>
          <w:rFonts w:hint="eastAsia" w:ascii="宋体" w:hAnsi="宋体" w:eastAsia="宋体" w:cs="宋体"/>
          <w:b/>
          <w:color w:val="auto"/>
          <w:szCs w:val="21"/>
          <w:highlight w:val="none"/>
          <w:lang w:val="en-US" w:eastAsia="zh-CN"/>
        </w:rPr>
        <w:t>生产</w:t>
      </w:r>
      <w:r>
        <w:rPr>
          <w:rFonts w:hint="eastAsia" w:ascii="宋体" w:hAnsi="宋体" w:eastAsia="宋体" w:cs="宋体"/>
          <w:b/>
          <w:color w:val="auto"/>
          <w:szCs w:val="21"/>
          <w:highlight w:val="none"/>
        </w:rPr>
        <w:t>管理协议</w:t>
      </w:r>
    </w:p>
    <w:p w14:paraId="1E5E5202">
      <w:pPr>
        <w:spacing w:line="360" w:lineRule="auto"/>
        <w:ind w:right="31" w:rightChars="15"/>
        <w:jc w:val="center"/>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安全</w:t>
      </w:r>
      <w:r>
        <w:rPr>
          <w:rFonts w:hint="eastAsia" w:ascii="宋体" w:hAnsi="宋体" w:eastAsia="宋体" w:cs="宋体"/>
          <w:b/>
          <w:color w:val="auto"/>
          <w:sz w:val="32"/>
          <w:szCs w:val="32"/>
          <w:highlight w:val="none"/>
          <w:lang w:val="en-US" w:eastAsia="zh-CN"/>
        </w:rPr>
        <w:t>生产</w:t>
      </w:r>
      <w:r>
        <w:rPr>
          <w:rFonts w:hint="eastAsia" w:ascii="宋体" w:hAnsi="宋体" w:eastAsia="宋体" w:cs="宋体"/>
          <w:b/>
          <w:color w:val="auto"/>
          <w:sz w:val="32"/>
          <w:szCs w:val="32"/>
          <w:highlight w:val="none"/>
        </w:rPr>
        <w:t>管理协议</w:t>
      </w:r>
    </w:p>
    <w:p w14:paraId="437CF9A5">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w:t>
      </w:r>
    </w:p>
    <w:p w14:paraId="2F146C30">
      <w:pPr>
        <w:spacing w:line="360" w:lineRule="auto"/>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甲方：</w:t>
      </w:r>
    </w:p>
    <w:p w14:paraId="1BCCC3A1">
      <w:pPr>
        <w:pStyle w:val="18"/>
        <w:spacing w:line="360" w:lineRule="auto"/>
        <w:jc w:val="both"/>
        <w:outlineLvl w:val="9"/>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地址：</w:t>
      </w:r>
    </w:p>
    <w:p w14:paraId="424FE003">
      <w:pPr>
        <w:pStyle w:val="18"/>
        <w:jc w:val="both"/>
        <w:outlineLvl w:val="9"/>
        <w:rPr>
          <w:rFonts w:hint="eastAsia" w:ascii="宋体" w:hAnsi="宋体" w:eastAsia="宋体" w:cs="宋体"/>
          <w:color w:val="auto"/>
          <w:sz w:val="21"/>
          <w:szCs w:val="21"/>
          <w:highlight w:val="none"/>
          <w:lang w:val="en-US"/>
        </w:rPr>
      </w:pPr>
    </w:p>
    <w:p w14:paraId="69864347">
      <w:pPr>
        <w:spacing w:line="360" w:lineRule="auto"/>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乙方：</w:t>
      </w:r>
    </w:p>
    <w:p w14:paraId="131DE2BB">
      <w:pPr>
        <w:pStyle w:val="18"/>
        <w:jc w:val="both"/>
        <w:outlineLvl w:val="9"/>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地址：</w:t>
      </w:r>
    </w:p>
    <w:p w14:paraId="73A9B19F">
      <w:pPr>
        <w:pStyle w:val="51"/>
        <w:jc w:val="both"/>
        <w:outlineLvl w:val="9"/>
        <w:rPr>
          <w:rFonts w:hint="eastAsia" w:ascii="宋体" w:hAnsi="宋体" w:eastAsia="宋体" w:cs="宋体"/>
          <w:color w:val="auto"/>
          <w:highlight w:val="none"/>
          <w:lang w:val="en-US" w:eastAsia="zh-CN"/>
        </w:rPr>
      </w:pPr>
    </w:p>
    <w:p w14:paraId="76C4E89D">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中华人民共和国安全生产法》和《建设工程安全生产管理条例》等法律法规要求，为加强作业现场的安全管理，落实甲乙双方的安全生产职责，进一步加强作业的安全管理，杜绝作业人员因安全管理不善而引发的各类安全事故，保证甲、乙双方的财产和员工的人身安全不受侵害，经甲乙双方协商一致，签订协议如下：</w:t>
      </w:r>
    </w:p>
    <w:p w14:paraId="0D45B930">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进场前乙方应将本企业的营业执照、企业资质等级证书、安全生产许可证、进场人员花名册、携带进场的机具一览表、特种作业人员及特种作业操作证的复印件报甲方。进场职工必须办好作业所在地所需办理的各种证件，不得雇用未成年工、童工、超龄工和安排女工从事禁忌劳动，进场前，乙方必须严格遵守甲方及项目所在地的相关防疫要求。</w:t>
      </w:r>
    </w:p>
    <w:p w14:paraId="6A58BDC2">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应设置专职或兼职安全员，对作业进行安全管理，并在作业前对所属员工进行安全教育培训，并且进行经常性的安全教育，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14:paraId="4A07943A">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3、乙方使用被派遣劳动者的，应当将被派遣劳动者纳入本单位从业人员统一管理，对被派遣劳动者进行岗位安全操作规程和安全操作技能的教育和培训。</w:t>
      </w:r>
    </w:p>
    <w:p w14:paraId="0B7E47ED">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乙方应当在有较大危险因素的场所和有关设施、设备上，设置明显的安全警示标志。乙方应当对安全设备进行经常性维护、保养，并定期检测，保证正常运转。维护、保养、检测应当做好记录，并由乙方安全员或代表签字。</w:t>
      </w:r>
    </w:p>
    <w:p w14:paraId="74134E7D">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5、乙方应当教育和督促从业人员严格执行本单位的安全生产规章制度和安全操作规程；并向从业人员如实告知作业场所和工作岗位存在的危险因素、防范措施以及事故应急措施。</w:t>
      </w:r>
    </w:p>
    <w:p w14:paraId="1B1406F4">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6、乙方应严格遵守国家、地方政府有关安全生产及劳动保护的法律法规、标准、规定，贯彻执行甲方的各项安全管理规章制度。</w:t>
      </w:r>
    </w:p>
    <w:p w14:paraId="04EE8777">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7、乙方应当服从甲方的安全管理，保证作业区域的现场文明安全管理达标，现场临时用电、机器设备、安全防护齐全、完好。接受和配合甲方的安全监督检查，乙方现场的所有安全装置、防护设施必须依据经甲方审批通过后的安全技术方案进行搭设、安装，乙方必须无条件保证安全防护设施使用的搭设材料的质量，在用于安全防护的物资进场前将有关物资的材质证明报甲方，经甲方确认后方可使用。</w:t>
      </w:r>
    </w:p>
    <w:p w14:paraId="1CEA27A8">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8、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68B56FC7">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9、甲方有权对整个作业现场的安全管理工作进行协调和监督管理。指导、监督、检查乙方的执业健康安全管理工作，对乙方作业中的违章指挥、违章作业和安全隐患提出整改意见，督促、检查乙方的隐患整改落实情况。</w:t>
      </w:r>
    </w:p>
    <w:p w14:paraId="1C3E58BB">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10、乙方在作业过程中违反有关安全管理规定、有违章现象发生、安全问题整改不到位或拒不接受甲方的正常安全管理的，甲方有权依据有关法律法规规定进行处理。乙方作业中存在重大隐患或险情时，甲方有权要求乙方立即整改直至隐患消除，若乙方整改后仍达不到甲方要求的，甲方有权要求与乙方解除合同，并要求乙方清退出场。</w:t>
      </w:r>
    </w:p>
    <w:p w14:paraId="1EC0AAFF">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11、乙方作业人员未经许可不得随意到作业区域以外的其它工作场所活动，乙方作业人员擅自到作业区域以外的其它工作场所活动，出现人身损伤或伤亡的，由乙方自行承担一切责任。乙方作业人员需动用或作业涉及到甲方所属设备、电器、管线及其他设施等，必须事先征得甲方代表的同意，并采取安全防护措施。</w:t>
      </w:r>
    </w:p>
    <w:p w14:paraId="31E766E1">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12、在作业过程中，需要进行动土、动火、登高、吊装、断路、进入限制性空间等危险性较高的作业时，乙方的作业负责人、专职或兼职安全员必须现场确认，并在开始作业前报送甲方且甲方同意方可作业。乙方应严格按照甲方的关于危险作业安全要求执行。</w:t>
      </w:r>
    </w:p>
    <w:p w14:paraId="07C2C000">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13、因乙方原因，造成乙方损失，由乙方自负，给甲方造成财产损失和人员伤害，乙方要负全部责任，并全额赔偿甲方。</w:t>
      </w:r>
    </w:p>
    <w:p w14:paraId="49CB7E41">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14、非因甲方原因，造成乙方损失的，甲方不承担任何责任，由乙方自行承担全部责任。</w:t>
      </w:r>
    </w:p>
    <w:p w14:paraId="0C40E519">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15、乙方应严格遵守法律法规以及甲方的安全管理要求，并接受甲方的安全生产工作协调和监督，积极消除安全隐患。安全管理的基本要求包括但不限于以下条款：</w:t>
      </w:r>
    </w:p>
    <w:p w14:paraId="7E5D536F">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①禁火区内严禁吸烟、动火。有火灾危险的作业区域，乙方必须配置足够的灭火设施。</w:t>
      </w:r>
    </w:p>
    <w:p w14:paraId="23B51581">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②焊接、气割作业时两瓶距离必须达到5M及以上，气瓶距可能产生火花的电器、设备和其它火源的间距必须达到10M及以上。</w:t>
      </w:r>
    </w:p>
    <w:p w14:paraId="174E3D71">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③严禁在厂内道路、消防通道内搭建临时建筑或堆放物资。</w:t>
      </w:r>
    </w:p>
    <w:p w14:paraId="51F5FC56">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④作业场所的电动工具、电焊机等须有漏电保护器和相应的安全防护装置。</w:t>
      </w:r>
    </w:p>
    <w:p w14:paraId="00B709AA">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⑤作业现场及居住室、办公室内的用电设施必须符合要求，严禁电线乱接、乱拉，刀闸和开关无盖，在电器设施上堆放物品。</w:t>
      </w:r>
    </w:p>
    <w:p w14:paraId="120C72A3">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⑥防雷、防静电设施及用电设施要有良好接地。</w:t>
      </w:r>
    </w:p>
    <w:p w14:paraId="74996480">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⑦作业现场的危险区域，如临边、深坑、土方堆填区等，必须设置围栏和危险标志，夜间要设信号灯。</w:t>
      </w:r>
    </w:p>
    <w:p w14:paraId="7B478ADB">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⑧乙方应当为从业人员提供符合国家标准或者行业标准的劳动防护用品，并监督、教育从业人员按照使用规则佩戴、使用，防止工伤事故的发生。乙方发生各类工伤事故，严禁隐瞒不报。发生重伤及重伤以上事故时，应及时组织抢救、保护好现场，并立即报告甲方主管领导。</w:t>
      </w:r>
    </w:p>
    <w:p w14:paraId="6072BC1B">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⑨登高架子、安全防护设施、脚手架搭设完毕后必须经乙方安全员或代表验收合格后方可使用，对从甲方接手及自行搭设的安全防护设施、脚手架做好日常维护与管理。安全防护设施、脚手架的拆除必须在接到专业工程师的作业指令后方可拆除，不得私自拆改任何安全防护设施。进行受限空间作业前，必须有作业票（或作业审批表），先通风，检测氧气、有毒有害气体，确保符合作业条件，做好个人防护和专人监护后，方可进入。</w:t>
      </w:r>
    </w:p>
    <w:p w14:paraId="0726E164">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17534533">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16、乙方必须接受甲方的检查与监督，并应主动配合，做好安全工作，凡有违反上述协议的即视为乙方违约，甲方有权视情况从工程结算款/服务价款中扣除（1000-2000）元/次作为违约金。</w:t>
      </w:r>
    </w:p>
    <w:p w14:paraId="22BA80E7">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17、乙方对作业过程中潜在的安全风险不明确的，不可盲目作业，否则，造成的后果由乙方独自承担。</w:t>
      </w:r>
    </w:p>
    <w:p w14:paraId="32DB3A85">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18、本协议一式 贰 份，甲、乙双方各执 壹 份，本协议有效期为自甲乙双方法定代表人</w:t>
      </w:r>
      <w:r>
        <w:rPr>
          <w:rFonts w:hint="eastAsia" w:ascii="宋体" w:hAnsi="宋体" w:eastAsia="宋体" w:cs="宋体"/>
          <w:color w:val="auto"/>
          <w:szCs w:val="21"/>
          <w:highlight w:val="none"/>
          <w:lang w:val="en-US" w:eastAsia="zh-CN"/>
        </w:rPr>
        <w:t>或负责人</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val="en-US" w:eastAsia="zh-CN"/>
        </w:rPr>
        <w:t>委托代理人</w:t>
      </w:r>
      <w:r>
        <w:rPr>
          <w:rFonts w:hint="eastAsia" w:ascii="宋体" w:hAnsi="宋体" w:eastAsia="宋体" w:cs="宋体"/>
          <w:color w:val="auto"/>
          <w:szCs w:val="21"/>
          <w:highlight w:val="none"/>
        </w:rPr>
        <w:t>签字并盖章之日起至该项目合同义务履行完毕止。</w:t>
      </w:r>
    </w:p>
    <w:p w14:paraId="596ED8F7">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乙方声明：</w:t>
      </w:r>
    </w:p>
    <w:p w14:paraId="18A56CBC">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乙方已认真阅读协议内容，对协议条款、现场的安全管理要求、安全风险充分理解，并自愿承担因违约造成的一切后果。</w:t>
      </w:r>
    </w:p>
    <w:p w14:paraId="46371AE3">
      <w:pPr>
        <w:spacing w:line="360" w:lineRule="auto"/>
        <w:ind w:firstLine="420" w:firstLineChars="200"/>
        <w:outlineLvl w:val="9"/>
        <w:rPr>
          <w:rFonts w:hint="eastAsia" w:ascii="宋体" w:hAnsi="宋体" w:eastAsia="宋体" w:cs="宋体"/>
          <w:color w:val="auto"/>
          <w:szCs w:val="21"/>
          <w:highlight w:val="none"/>
        </w:rPr>
      </w:pPr>
    </w:p>
    <w:p w14:paraId="52CF6EE5">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    （盖章）                             乙方：      （盖章）</w:t>
      </w:r>
    </w:p>
    <w:p w14:paraId="23B12898">
      <w:pPr>
        <w:spacing w:line="360" w:lineRule="auto"/>
        <w:ind w:firstLine="420" w:firstLineChars="200"/>
        <w:outlineLvl w:val="9"/>
        <w:rPr>
          <w:rFonts w:hint="eastAsia" w:ascii="宋体" w:hAnsi="宋体" w:eastAsia="宋体" w:cs="宋体"/>
          <w:color w:val="auto"/>
          <w:szCs w:val="21"/>
          <w:highlight w:val="none"/>
        </w:rPr>
      </w:pPr>
    </w:p>
    <w:p w14:paraId="05F2F836">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负责人</w:t>
      </w:r>
      <w:r>
        <w:rPr>
          <w:rFonts w:hint="eastAsia" w:ascii="宋体" w:hAnsi="宋体" w:eastAsia="宋体" w:cs="宋体"/>
          <w:color w:val="auto"/>
          <w:szCs w:val="21"/>
          <w:highlight w:val="none"/>
          <w:lang w:val="en-US" w:eastAsia="zh-CN"/>
        </w:rPr>
        <w:t>(或委托代理人)</w:t>
      </w:r>
      <w:r>
        <w:rPr>
          <w:rFonts w:hint="eastAsia" w:ascii="宋体" w:hAnsi="宋体" w:eastAsia="宋体" w:cs="宋体"/>
          <w:color w:val="auto"/>
          <w:szCs w:val="21"/>
          <w:highlight w:val="none"/>
        </w:rPr>
        <w:t>：              法定代表人</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负责人</w:t>
      </w:r>
      <w:r>
        <w:rPr>
          <w:rFonts w:hint="eastAsia" w:ascii="宋体" w:hAnsi="宋体" w:eastAsia="宋体" w:cs="宋体"/>
          <w:color w:val="auto"/>
          <w:szCs w:val="21"/>
          <w:highlight w:val="none"/>
          <w:lang w:val="en-US" w:eastAsia="zh-CN"/>
        </w:rPr>
        <w:t>(或委托代理人)</w:t>
      </w:r>
      <w:r>
        <w:rPr>
          <w:rFonts w:hint="eastAsia" w:ascii="宋体" w:hAnsi="宋体" w:eastAsia="宋体" w:cs="宋体"/>
          <w:color w:val="auto"/>
          <w:szCs w:val="21"/>
          <w:highlight w:val="none"/>
        </w:rPr>
        <w:t>：</w:t>
      </w:r>
    </w:p>
    <w:p w14:paraId="535F125F">
      <w:pPr>
        <w:spacing w:line="360" w:lineRule="auto"/>
        <w:ind w:firstLine="420" w:firstLineChars="200"/>
        <w:outlineLvl w:val="9"/>
        <w:rPr>
          <w:rFonts w:hint="eastAsia" w:ascii="宋体" w:hAnsi="宋体" w:eastAsia="宋体" w:cs="宋体"/>
          <w:color w:val="auto"/>
          <w:szCs w:val="21"/>
          <w:highlight w:val="none"/>
        </w:rPr>
      </w:pPr>
    </w:p>
    <w:p w14:paraId="7E971043">
      <w:pPr>
        <w:spacing w:line="360" w:lineRule="auto"/>
        <w:outlineLvl w:val="9"/>
        <w:rPr>
          <w:rFonts w:hint="eastAsia" w:ascii="宋体" w:hAnsi="宋体" w:eastAsia="宋体" w:cs="宋体"/>
          <w:color w:val="auto"/>
          <w:szCs w:val="21"/>
          <w:highlight w:val="none"/>
        </w:rPr>
      </w:pPr>
    </w:p>
    <w:p w14:paraId="310DC232">
      <w:pPr>
        <w:widowControl/>
        <w:kinsoku/>
        <w:autoSpaceDE/>
        <w:autoSpaceDN/>
        <w:adjustRightInd/>
        <w:snapToGrid/>
        <w:spacing w:line="360" w:lineRule="auto"/>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签订日期：    年  月  日   </w:t>
      </w:r>
    </w:p>
    <w:p w14:paraId="3A1FC438">
      <w:pPr>
        <w:rPr>
          <w:color w:val="auto"/>
        </w:rPr>
      </w:pPr>
    </w:p>
    <w:p w14:paraId="42FFCE31">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2B8C4FC5">
      <w:pPr>
        <w:pageBreakBefore w:val="0"/>
        <w:spacing w:before="0" w:beforeLines="-2147483648" w:after="0" w:afterLines="-2147483648" w:line="240" w:lineRule="auto"/>
        <w:jc w:val="left"/>
        <w:outlineLvl w:val="9"/>
        <w:rPr>
          <w:rFonts w:hint="eastAsia" w:ascii="宋体" w:hAnsi="宋体" w:eastAsia="宋体" w:cs="宋体"/>
          <w:b/>
          <w:bCs/>
          <w:color w:val="auto"/>
          <w:sz w:val="21"/>
          <w:szCs w:val="21"/>
          <w:highlight w:val="none"/>
          <w:lang w:val="zh-CN"/>
        </w:rPr>
      </w:pPr>
    </w:p>
    <w:p w14:paraId="3ED97BBC">
      <w:pPr>
        <w:pageBreakBefore/>
        <w:spacing w:before="120" w:beforeLines="50" w:after="120" w:afterLines="50" w:line="360" w:lineRule="auto"/>
        <w:jc w:val="center"/>
        <w:outlineLvl w:val="1"/>
        <w:rPr>
          <w:rFonts w:ascii="宋体" w:hAnsi="宋体" w:eastAsia="宋体" w:cs="Times New Roman"/>
          <w:b/>
          <w:bCs/>
          <w:color w:val="auto"/>
          <w:sz w:val="32"/>
          <w:szCs w:val="32"/>
          <w:highlight w:val="none"/>
          <w:lang w:val="zh-CN"/>
        </w:rPr>
      </w:pPr>
      <w:bookmarkStart w:id="731" w:name="_Toc772"/>
      <w:bookmarkStart w:id="732" w:name="_Toc4630"/>
      <w:r>
        <w:rPr>
          <w:rFonts w:hint="eastAsia" w:ascii="宋体" w:hAnsi="宋体" w:eastAsia="宋体" w:cs="Times New Roman"/>
          <w:b/>
          <w:bCs/>
          <w:color w:val="auto"/>
          <w:sz w:val="32"/>
          <w:szCs w:val="32"/>
          <w:highlight w:val="none"/>
          <w:lang w:val="zh-CN"/>
        </w:rPr>
        <w:t>第五篇</w:t>
      </w:r>
      <w:r>
        <w:rPr>
          <w:rFonts w:ascii="宋体" w:hAnsi="宋体" w:eastAsia="宋体" w:cs="Times New Roman"/>
          <w:b/>
          <w:bCs/>
          <w:color w:val="auto"/>
          <w:sz w:val="32"/>
          <w:szCs w:val="32"/>
          <w:highlight w:val="none"/>
          <w:lang w:val="zh-CN"/>
        </w:rPr>
        <w:t xml:space="preserve"> </w:t>
      </w:r>
      <w:r>
        <w:rPr>
          <w:rFonts w:hint="eastAsia" w:ascii="宋体" w:hAnsi="宋体" w:eastAsia="宋体" w:cs="Times New Roman"/>
          <w:b/>
          <w:bCs/>
          <w:color w:val="auto"/>
          <w:sz w:val="32"/>
          <w:szCs w:val="32"/>
          <w:highlight w:val="none"/>
          <w:lang w:val="zh-CN"/>
        </w:rPr>
        <w:t>相关保函格式</w:t>
      </w:r>
      <w:bookmarkEnd w:id="731"/>
      <w:bookmarkEnd w:id="732"/>
    </w:p>
    <w:p w14:paraId="4039A672">
      <w:pPr>
        <w:autoSpaceDE w:val="0"/>
        <w:autoSpaceDN w:val="0"/>
        <w:adjustRightInd w:val="0"/>
        <w:spacing w:after="120" w:afterLines="50" w:line="360" w:lineRule="auto"/>
        <w:jc w:val="left"/>
        <w:outlineLvl w:val="9"/>
        <w:rPr>
          <w:rFonts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rPr>
        <w:t>一、不可撤销银行履约保函格式</w:t>
      </w:r>
    </w:p>
    <w:p w14:paraId="2F9C247A">
      <w:pPr>
        <w:autoSpaceDE w:val="0"/>
        <w:autoSpaceDN w:val="0"/>
        <w:adjustRightInd w:val="0"/>
        <w:jc w:val="center"/>
        <w:outlineLvl w:val="9"/>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不可撤销银行履约保函</w:t>
      </w:r>
    </w:p>
    <w:p w14:paraId="028C1BDA">
      <w:pPr>
        <w:widowControl/>
        <w:autoSpaceDE w:val="0"/>
        <w:autoSpaceDN w:val="0"/>
        <w:adjustRightInd w:val="0"/>
        <w:spacing w:line="360" w:lineRule="auto"/>
        <w:jc w:val="left"/>
        <w:rPr>
          <w:rFonts w:ascii="宋体" w:hAnsi="宋体" w:eastAsia="宋体" w:cs="宋体"/>
          <w:color w:val="auto"/>
          <w:kern w:val="0"/>
          <w:szCs w:val="21"/>
          <w:highlight w:val="none"/>
        </w:rPr>
      </w:pPr>
    </w:p>
    <w:p w14:paraId="293A4BA6">
      <w:pPr>
        <w:autoSpaceDE w:val="0"/>
        <w:autoSpaceDN w:val="0"/>
        <w:adjustRightInd w:val="0"/>
        <w:spacing w:line="360" w:lineRule="auto"/>
        <w:ind w:firstLine="6300"/>
        <w:jc w:val="left"/>
        <w:rPr>
          <w:rFonts w:ascii="宋体" w:hAnsi="宋体" w:eastAsia="宋体" w:cs="Times New Roman"/>
          <w:color w:val="auto"/>
          <w:kern w:val="0"/>
          <w:szCs w:val="21"/>
          <w:highlight w:val="none"/>
          <w:u w:val="single"/>
        </w:rPr>
      </w:pPr>
      <w:r>
        <w:rPr>
          <w:rFonts w:ascii="宋体" w:hAnsi="宋体" w:eastAsia="宋体" w:cs="Times New Roman"/>
          <w:color w:val="auto"/>
          <w:kern w:val="0"/>
          <w:szCs w:val="21"/>
          <w:highlight w:val="none"/>
        </w:rPr>
        <w:t>银行编号：</w:t>
      </w:r>
    </w:p>
    <w:p w14:paraId="58C9F0C3">
      <w:pPr>
        <w:widowControl/>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52220D6C">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申请人</w:t>
      </w:r>
      <w:r>
        <w:rPr>
          <w:rFonts w:ascii="宋体" w:hAnsi="宋体" w:eastAsia="宋体" w:cs="宋体"/>
          <w:color w:val="auto"/>
          <w:kern w:val="0"/>
          <w:szCs w:val="21"/>
          <w:highlight w:val="none"/>
          <w:u w:val="single"/>
        </w:rPr>
        <w:t xml:space="preserve">的名称与地址）  </w:t>
      </w:r>
      <w:r>
        <w:rPr>
          <w:rFonts w:hint="eastAsia" w:ascii="宋体" w:hAnsi="宋体" w:eastAsia="宋体" w:cs="宋体"/>
          <w:color w:val="auto"/>
          <w:kern w:val="0"/>
          <w:szCs w:val="21"/>
          <w:highlight w:val="none"/>
        </w:rPr>
        <w:t>（下称“申请人”），已保证按拟签订的</w:t>
      </w:r>
      <w:r>
        <w:rPr>
          <w:rFonts w:ascii="宋体" w:hAnsi="宋体" w:eastAsia="宋体" w:cs="宋体"/>
          <w:color w:val="auto"/>
          <w:kern w:val="0"/>
          <w:szCs w:val="21"/>
          <w:highlight w:val="none"/>
          <w:u w:val="single"/>
        </w:rPr>
        <w:t xml:space="preserve"> 项目名称       （招标编号：         ）</w:t>
      </w:r>
      <w:r>
        <w:rPr>
          <w:rFonts w:hint="eastAsia" w:ascii="宋体" w:hAnsi="宋体" w:eastAsia="宋体" w:cs="宋体"/>
          <w:color w:val="auto"/>
          <w:kern w:val="0"/>
          <w:szCs w:val="21"/>
          <w:highlight w:val="none"/>
        </w:rPr>
        <w:t>合同（招标文件）中规定的义务履行合同。</w:t>
      </w:r>
    </w:p>
    <w:p w14:paraId="0A5296D0">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RMB</w:t>
      </w:r>
      <w:r>
        <w:rPr>
          <w:rFonts w:ascii="宋体" w:hAnsi="宋体" w:eastAsia="宋体" w:cs="宋体"/>
          <w:color w:val="auto"/>
          <w:kern w:val="0"/>
          <w:szCs w:val="21"/>
          <w:highlight w:val="none"/>
          <w:u w:val="single"/>
        </w:rPr>
        <w:t>元）</w:t>
      </w:r>
      <w:r>
        <w:rPr>
          <w:rFonts w:hint="eastAsia" w:ascii="宋体" w:hAnsi="宋体" w:eastAsia="宋体" w:cs="宋体"/>
          <w:color w:val="auto"/>
          <w:kern w:val="0"/>
          <w:szCs w:val="21"/>
          <w:highlight w:val="none"/>
        </w:rPr>
        <w:t>的无条件、不可撤销银行履约保函，作为申请人履行上述合同的担保。</w:t>
      </w:r>
    </w:p>
    <w:p w14:paraId="6205341B">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w:t>
      </w:r>
      <w:r>
        <w:rPr>
          <w:rFonts w:hint="eastAsia" w:ascii="宋体" w:hAnsi="宋体" w:eastAsia="宋体" w:cs="宋体"/>
          <w:color w:val="auto"/>
          <w:kern w:val="0"/>
          <w:szCs w:val="21"/>
          <w:highlight w:val="none"/>
          <w:lang w:val="en-US" w:eastAsia="zh-CN"/>
        </w:rPr>
        <w:t>后，</w:t>
      </w:r>
      <w:r>
        <w:rPr>
          <w:rFonts w:hint="eastAsia" w:ascii="宋体" w:hAnsi="宋体" w:eastAsia="宋体" w:cs="宋体"/>
          <w:color w:val="auto"/>
          <w:kern w:val="0"/>
          <w:szCs w:val="21"/>
          <w:highlight w:val="none"/>
        </w:rPr>
        <w:t>在保函限额内向受益人支付不超过人民币（大写）_________（¥_______元）的款项。</w:t>
      </w:r>
    </w:p>
    <w:p w14:paraId="159DC36B">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14:paraId="569A6FE3">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4D56B57E">
      <w:pPr>
        <w:widowControl/>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rPr>
        <w:t>本保函应自合同签订之日起至合同期限届满并完成合同全部服务义务后二十八（</w:t>
      </w:r>
      <w:r>
        <w:rPr>
          <w:rFonts w:ascii="宋体" w:hAnsi="宋体" w:eastAsia="宋体" w:cs="Times New Roman"/>
          <w:color w:val="auto"/>
          <w:kern w:val="0"/>
          <w:szCs w:val="21"/>
        </w:rPr>
        <w:t>28）日内保持有效</w:t>
      </w:r>
      <w:r>
        <w:rPr>
          <w:rFonts w:hint="eastAsia" w:ascii="宋体" w:hAnsi="宋体" w:eastAsia="宋体" w:cs="Times New Roman"/>
          <w:color w:val="auto"/>
          <w:kern w:val="0"/>
          <w:szCs w:val="21"/>
          <w:highlight w:val="none"/>
        </w:rPr>
        <w:t>。</w:t>
      </w:r>
    </w:p>
    <w:p w14:paraId="0D1545B7">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p>
    <w:p w14:paraId="2F4AE620">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保</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银</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行：</w:t>
      </w:r>
      <w:r>
        <w:rPr>
          <w:rFonts w:ascii="宋体" w:hAnsi="宋体" w:eastAsia="宋体" w:cs="宋体"/>
          <w:color w:val="auto"/>
          <w:kern w:val="0"/>
          <w:szCs w:val="21"/>
          <w:highlight w:val="none"/>
          <w:u w:val="single"/>
        </w:rPr>
        <w:t xml:space="preserve">          银行全称          (盖章)   </w:t>
      </w:r>
    </w:p>
    <w:p w14:paraId="40F29C4C">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ascii="宋体" w:hAnsi="宋体" w:eastAsia="宋体" w:cs="宋体"/>
          <w:color w:val="auto"/>
          <w:kern w:val="0"/>
          <w:szCs w:val="21"/>
          <w:highlight w:val="none"/>
          <w:u w:val="single"/>
        </w:rPr>
        <w:t xml:space="preserve">       (职务)         </w:t>
      </w:r>
    </w:p>
    <w:p w14:paraId="0FDA35B3">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(姓名)         </w:t>
      </w:r>
    </w:p>
    <w:p w14:paraId="347348AB">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(签章)         </w:t>
      </w:r>
    </w:p>
    <w:p w14:paraId="4BAC3BCB">
      <w:pPr>
        <w:autoSpaceDE w:val="0"/>
        <w:autoSpaceDN w:val="0"/>
        <w:adjustRightInd w:val="0"/>
        <w:spacing w:line="360" w:lineRule="auto"/>
        <w:ind w:left="840"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 xml:space="preserve">                                        </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69AC735F">
      <w:pPr>
        <w:widowControl/>
        <w:autoSpaceDE w:val="0"/>
        <w:autoSpaceDN w:val="0"/>
        <w:adjustRightInd w:val="0"/>
        <w:spacing w:line="360" w:lineRule="auto"/>
        <w:jc w:val="left"/>
        <w:rPr>
          <w:rFonts w:ascii="宋体" w:hAnsi="宋体" w:eastAsia="宋体" w:cs="宋体"/>
          <w:color w:val="auto"/>
          <w:kern w:val="0"/>
          <w:szCs w:val="21"/>
          <w:highlight w:val="none"/>
        </w:rPr>
      </w:pPr>
    </w:p>
    <w:p w14:paraId="01DE0D95">
      <w:pPr>
        <w:widowControl/>
        <w:autoSpaceDE w:val="0"/>
        <w:autoSpaceDN w:val="0"/>
        <w:adjustRightInd w:val="0"/>
        <w:spacing w:line="360" w:lineRule="auto"/>
        <w:jc w:val="left"/>
        <w:rPr>
          <w:rFonts w:ascii="宋体" w:hAnsi="宋体" w:eastAsia="宋体" w:cs="宋体"/>
          <w:color w:val="auto"/>
          <w:kern w:val="0"/>
          <w:szCs w:val="21"/>
          <w:highlight w:val="none"/>
        </w:rPr>
      </w:pPr>
    </w:p>
    <w:p w14:paraId="5DC80EDD">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sectPr>
          <w:footerReference r:id="rId7" w:type="default"/>
          <w:pgSz w:w="12240" w:h="15840"/>
          <w:pgMar w:top="1191" w:right="1043" w:bottom="1191" w:left="1043" w:header="720" w:footer="720" w:gutter="0"/>
          <w:pgNumType w:fmt="decimal"/>
          <w:cols w:space="720" w:num="1"/>
          <w:docGrid w:linePitch="326" w:charSpace="0"/>
        </w:sectPr>
      </w:pPr>
    </w:p>
    <w:p w14:paraId="3790E11F">
      <w:pPr>
        <w:autoSpaceDE w:val="0"/>
        <w:autoSpaceDN w:val="0"/>
        <w:adjustRightInd w:val="0"/>
        <w:spacing w:after="120" w:afterLines="50" w:line="360" w:lineRule="auto"/>
        <w:jc w:val="left"/>
        <w:outlineLvl w:val="9"/>
        <w:rPr>
          <w:rFonts w:hint="eastAsia" w:ascii="宋体" w:hAnsi="宋体" w:eastAsia="宋体" w:cs="Times New Roman"/>
          <w:b/>
          <w:color w:val="auto"/>
          <w:kern w:val="0"/>
          <w:sz w:val="28"/>
          <w:szCs w:val="28"/>
          <w:highlight w:val="none"/>
          <w:lang w:val="en-US" w:eastAsia="zh-CN"/>
        </w:rPr>
      </w:pPr>
      <w:r>
        <w:rPr>
          <w:rFonts w:hint="eastAsia" w:ascii="宋体" w:hAnsi="宋体" w:eastAsia="宋体" w:cs="Times New Roman"/>
          <w:b/>
          <w:color w:val="auto"/>
          <w:kern w:val="0"/>
          <w:sz w:val="28"/>
          <w:szCs w:val="28"/>
          <w:highlight w:val="none"/>
          <w:lang w:val="en-US" w:eastAsia="zh-CN"/>
        </w:rPr>
        <w:t>二、履约保证保险凭证格式</w:t>
      </w:r>
    </w:p>
    <w:p w14:paraId="34AA76A8">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p>
    <w:p w14:paraId="489BE45D">
      <w:pPr>
        <w:autoSpaceDE w:val="0"/>
        <w:autoSpaceDN w:val="0"/>
        <w:adjustRightInd w:val="0"/>
        <w:jc w:val="center"/>
        <w:outlineLvl w:val="9"/>
        <w:rPr>
          <w:rFonts w:hint="eastAsia" w:ascii="宋体" w:hAnsi="宋体" w:eastAsia="宋体" w:cs="Times New Roman"/>
          <w:b/>
          <w:color w:val="auto"/>
          <w:kern w:val="0"/>
          <w:sz w:val="30"/>
          <w:szCs w:val="30"/>
          <w:highlight w:val="none"/>
          <w:lang w:val="en-US" w:eastAsia="zh-CN"/>
        </w:rPr>
      </w:pPr>
      <w:r>
        <w:rPr>
          <w:rFonts w:hint="eastAsia" w:ascii="宋体" w:hAnsi="宋体" w:eastAsia="宋体" w:cs="Times New Roman"/>
          <w:b/>
          <w:color w:val="auto"/>
          <w:kern w:val="0"/>
          <w:sz w:val="30"/>
          <w:szCs w:val="30"/>
          <w:highlight w:val="none"/>
          <w:lang w:val="en-US" w:eastAsia="zh-CN"/>
        </w:rPr>
        <w:t>履约保证保险凭证</w:t>
      </w:r>
    </w:p>
    <w:p w14:paraId="62013600">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25A294E1">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编号：</w:t>
      </w:r>
    </w:p>
    <w:p w14:paraId="7AE8098C">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（下称“受益人”）： </w:t>
      </w:r>
    </w:p>
    <w:p w14:paraId="59D336B7">
      <w:pPr>
        <w:autoSpaceDE w:val="0"/>
        <w:autoSpaceDN w:val="0"/>
        <w:adjustRightInd w:val="0"/>
        <w:spacing w:line="360" w:lineRule="auto"/>
        <w:ind w:firstLine="437"/>
        <w:jc w:val="left"/>
        <w:rPr>
          <w:rFonts w:hint="eastAsia" w:ascii="宋体" w:hAnsi="宋体" w:eastAsia="宋体" w:cs="宋体"/>
          <w:color w:val="auto"/>
          <w:kern w:val="0"/>
          <w:szCs w:val="21"/>
          <w:highlight w:val="none"/>
          <w:lang w:val="en-US" w:eastAsia="zh-CN"/>
        </w:rPr>
      </w:pPr>
    </w:p>
    <w:p w14:paraId="4C45BD9F">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（下称“申请人”）已与贵方签订了</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。我方已接受申请人的请求，并出具《履约保证保险》保险单。</w:t>
      </w:r>
      <w:r>
        <w:rPr>
          <w:rFonts w:hint="default" w:ascii="宋体" w:hAnsi="宋体" w:eastAsia="宋体" w:cs="宋体"/>
          <w:color w:val="auto"/>
          <w:kern w:val="0"/>
          <w:szCs w:val="21"/>
          <w:highlight w:val="none"/>
          <w:lang w:val="en-US" w:eastAsia="zh-CN"/>
        </w:rPr>
        <w:t xml:space="preserve"> </w:t>
      </w:r>
    </w:p>
    <w:p w14:paraId="69BDCA47">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一、保证保险金额 </w:t>
      </w:r>
    </w:p>
    <w:p w14:paraId="48A37C5B">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元 （</w:t>
      </w:r>
      <w:r>
        <w:rPr>
          <w:rFonts w:hint="default" w:ascii="宋体" w:hAnsi="宋体" w:eastAsia="宋体" w:cs="宋体"/>
          <w:color w:val="auto"/>
          <w:kern w:val="0"/>
          <w:szCs w:val="21"/>
          <w:highlight w:val="none"/>
          <w:lang w:val="en-US" w:eastAsia="zh-CN"/>
        </w:rPr>
        <w:t>¥</w:t>
      </w:r>
      <w:r>
        <w:rPr>
          <w:rFonts w:hint="eastAsia" w:ascii="宋体" w:hAnsi="宋体" w:eastAsia="宋体" w:cs="宋体"/>
          <w:b/>
          <w:color w:val="auto"/>
          <w:kern w:val="0"/>
          <w:szCs w:val="21"/>
          <w:highlight w:val="none"/>
          <w:u w:val="single"/>
        </w:rPr>
        <w:t xml:space="preserve">               </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 xml:space="preserve">）。 </w:t>
      </w:r>
    </w:p>
    <w:p w14:paraId="4B031AE9">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二、保证保险的责任范围 </w:t>
      </w:r>
    </w:p>
    <w:p w14:paraId="052E9318">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在保险期间内，申请人因自身原因未按照与贵方签订的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 xml:space="preserve">履行相关义务，给贵方造成损失的，贵方可向我方提出索赔，我方按照保险合同的约定承担损失赔偿责任。 </w:t>
      </w:r>
    </w:p>
    <w:p w14:paraId="493721FB">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三、代偿的安排 </w:t>
      </w:r>
    </w:p>
    <w:p w14:paraId="215EB590">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3FD1187B">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四、生效时间 </w:t>
      </w:r>
    </w:p>
    <w:p w14:paraId="2EE42F7E">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本保险凭证自我方法定代表人（或其授权代理人）签字并加盖保险承保章之日起生效。 </w:t>
      </w:r>
    </w:p>
    <w:p w14:paraId="18E2566B">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五、其他</w:t>
      </w:r>
    </w:p>
    <w:p w14:paraId="0805A7BC">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rPr>
        <w:t>本履约保证保险应自合同签订之日起至合同期限届满并完成合同全部服务义务后二十八（</w:t>
      </w:r>
      <w:r>
        <w:rPr>
          <w:rFonts w:ascii="宋体" w:hAnsi="宋体" w:eastAsia="宋体" w:cs="Times New Roman"/>
          <w:color w:val="auto"/>
          <w:kern w:val="0"/>
          <w:szCs w:val="21"/>
        </w:rPr>
        <w:t>28）日内保持有效</w:t>
      </w:r>
      <w:r>
        <w:rPr>
          <w:rFonts w:hint="eastAsia" w:ascii="宋体" w:hAnsi="宋体" w:eastAsia="宋体" w:cs="Times New Roman"/>
          <w:color w:val="auto"/>
          <w:kern w:val="0"/>
          <w:szCs w:val="21"/>
          <w:highlight w:val="none"/>
        </w:rPr>
        <w:t>。</w:t>
      </w:r>
    </w:p>
    <w:p w14:paraId="3A64EF97">
      <w:pPr>
        <w:numPr>
          <w:ilvl w:val="0"/>
          <w:numId w:val="0"/>
        </w:numPr>
        <w:outlineLvl w:val="9"/>
        <w:rPr>
          <w:rFonts w:hint="default"/>
          <w:color w:val="auto"/>
          <w:highlight w:val="none"/>
          <w:lang w:val="en-US" w:eastAsia="zh-CN"/>
        </w:rPr>
      </w:pPr>
    </w:p>
    <w:p w14:paraId="5019A8C7">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附：《</w:t>
      </w:r>
      <w:r>
        <w:rPr>
          <w:rFonts w:hint="default" w:ascii="宋体" w:hAnsi="宋体" w:eastAsia="宋体" w:cs="宋体"/>
          <w:color w:val="auto"/>
          <w:kern w:val="0"/>
          <w:szCs w:val="21"/>
          <w:highlight w:val="none"/>
          <w:lang w:val="en-US" w:eastAsia="zh-CN"/>
        </w:rPr>
        <w:t xml:space="preserve">XXX </w:t>
      </w:r>
      <w:r>
        <w:rPr>
          <w:rFonts w:hint="eastAsia" w:ascii="宋体" w:hAnsi="宋体" w:eastAsia="宋体" w:cs="宋体"/>
          <w:color w:val="auto"/>
          <w:kern w:val="0"/>
          <w:szCs w:val="21"/>
          <w:highlight w:val="none"/>
          <w:lang w:val="en-US" w:eastAsia="zh-CN"/>
        </w:rPr>
        <w:t>保险有限公司履约保证保险（</w:t>
      </w:r>
      <w:r>
        <w:rPr>
          <w:rFonts w:hint="default" w:ascii="宋体" w:hAnsi="宋体" w:eastAsia="宋体" w:cs="宋体"/>
          <w:color w:val="auto"/>
          <w:kern w:val="0"/>
          <w:szCs w:val="21"/>
          <w:highlight w:val="none"/>
          <w:lang w:val="en-US" w:eastAsia="zh-CN"/>
        </w:rPr>
        <w:t xml:space="preserve">X </w:t>
      </w:r>
      <w:r>
        <w:rPr>
          <w:rFonts w:hint="eastAsia" w:ascii="宋体" w:hAnsi="宋体" w:eastAsia="宋体" w:cs="宋体"/>
          <w:color w:val="auto"/>
          <w:kern w:val="0"/>
          <w:szCs w:val="21"/>
          <w:highlight w:val="none"/>
          <w:lang w:val="en-US" w:eastAsia="zh-CN"/>
        </w:rPr>
        <w:t xml:space="preserve">款）条款》及保单 </w:t>
      </w:r>
    </w:p>
    <w:p w14:paraId="11EF8B04">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1CBF5DE6">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保险人：（盖章）</w:t>
      </w:r>
    </w:p>
    <w:p w14:paraId="74D29900">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法定代表人或授权代理人：</w:t>
      </w:r>
      <w:r>
        <w:rPr>
          <w:rFonts w:hint="default" w:ascii="宋体" w:hAnsi="宋体" w:eastAsia="宋体" w:cs="宋体"/>
          <w:color w:val="auto"/>
          <w:kern w:val="0"/>
          <w:szCs w:val="21"/>
          <w:highlight w:val="none"/>
          <w:lang w:val="en-US" w:eastAsia="zh-CN"/>
        </w:rPr>
        <w:t xml:space="preserve">________ </w:t>
      </w:r>
    </w:p>
    <w:p w14:paraId="37BB5C1F">
      <w:pPr>
        <w:jc w:val="right"/>
        <w:rPr>
          <w:rFonts w:hint="eastAsia" w:ascii="宋体" w:hAnsi="宋体" w:eastAsia="宋体" w:cs="Times New Roman"/>
          <w:b/>
          <w:color w:val="auto"/>
          <w:kern w:val="0"/>
          <w:sz w:val="28"/>
          <w:szCs w:val="28"/>
          <w:highlight w:val="none"/>
        </w:rPr>
      </w:pPr>
      <w:r>
        <w:rPr>
          <w:rFonts w:hint="eastAsia" w:ascii="宋体" w:hAnsi="宋体" w:eastAsia="宋体" w:cs="宋体"/>
          <w:color w:val="auto"/>
          <w:kern w:val="0"/>
          <w:szCs w:val="21"/>
          <w:highlight w:val="none"/>
          <w:lang w:val="en-US" w:eastAsia="zh-CN"/>
        </w:rPr>
        <w:t>年</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月</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日</w:t>
      </w:r>
      <w:r>
        <w:rPr>
          <w:rFonts w:hint="eastAsia" w:ascii="宋体" w:hAnsi="宋体" w:eastAsia="宋体" w:cs="Times New Roman"/>
          <w:b/>
          <w:color w:val="auto"/>
          <w:kern w:val="0"/>
          <w:sz w:val="28"/>
          <w:szCs w:val="28"/>
          <w:highlight w:val="none"/>
        </w:rPr>
        <w:br w:type="page"/>
      </w:r>
    </w:p>
    <w:p w14:paraId="315549EA">
      <w:pPr>
        <w:autoSpaceDE w:val="0"/>
        <w:autoSpaceDN w:val="0"/>
        <w:adjustRightInd w:val="0"/>
        <w:spacing w:after="120" w:afterLines="50" w:line="360" w:lineRule="auto"/>
        <w:jc w:val="left"/>
        <w:outlineLvl w:val="9"/>
        <w:rPr>
          <w:rFonts w:hint="eastAsia"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lang w:val="en-US" w:eastAsia="zh-CN"/>
        </w:rPr>
        <w:t>三</w:t>
      </w:r>
      <w:r>
        <w:rPr>
          <w:rFonts w:hint="eastAsia" w:ascii="宋体" w:hAnsi="宋体" w:eastAsia="宋体" w:cs="Times New Roman"/>
          <w:b/>
          <w:color w:val="auto"/>
          <w:kern w:val="0"/>
          <w:sz w:val="28"/>
          <w:szCs w:val="28"/>
          <w:highlight w:val="none"/>
        </w:rPr>
        <w:t>、担保公司履约担保书格式</w:t>
      </w:r>
    </w:p>
    <w:p w14:paraId="5B444456">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担保公司履约担保书</w:t>
      </w:r>
    </w:p>
    <w:p w14:paraId="0FDD253F">
      <w:pPr>
        <w:widowControl/>
        <w:autoSpaceDE w:val="0"/>
        <w:autoSpaceDN w:val="0"/>
        <w:adjustRightInd w:val="0"/>
        <w:spacing w:before="100" w:beforeAutospacing="1" w:after="100" w:afterAutospacing="1"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087A7145">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鉴于</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申请人</w:t>
      </w:r>
      <w:r>
        <w:rPr>
          <w:rFonts w:ascii="宋体" w:hAnsi="宋体" w:eastAsia="宋体" w:cs="Times New Roman"/>
          <w:color w:val="auto"/>
          <w:kern w:val="0"/>
          <w:szCs w:val="21"/>
          <w:highlight w:val="none"/>
          <w:u w:val="single"/>
        </w:rPr>
        <w:t xml:space="preserve">的名称与地址）  </w:t>
      </w:r>
      <w:r>
        <w:rPr>
          <w:rFonts w:ascii="宋体" w:hAnsi="宋体" w:eastAsia="宋体" w:cs="Times New Roman"/>
          <w:color w:val="auto"/>
          <w:kern w:val="0"/>
          <w:szCs w:val="21"/>
          <w:highlight w:val="none"/>
        </w:rPr>
        <w:t>（下称“</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”），已保证按</w:t>
      </w:r>
      <w:r>
        <w:rPr>
          <w:rFonts w:hint="eastAsia" w:ascii="宋体" w:hAnsi="宋体" w:eastAsia="宋体" w:cs="宋体"/>
          <w:color w:val="auto"/>
          <w:kern w:val="0"/>
          <w:szCs w:val="21"/>
          <w:highlight w:val="none"/>
        </w:rPr>
        <w:t>拟签订的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合同（招标文件）</w:t>
      </w:r>
      <w:r>
        <w:rPr>
          <w:rFonts w:ascii="宋体" w:hAnsi="宋体" w:eastAsia="宋体" w:cs="Times New Roman"/>
          <w:color w:val="auto"/>
          <w:kern w:val="0"/>
          <w:szCs w:val="21"/>
          <w:highlight w:val="none"/>
        </w:rPr>
        <w:t>中规定的义务履行合同。</w:t>
      </w:r>
    </w:p>
    <w:p w14:paraId="1F076568">
      <w:pPr>
        <w:widowControl/>
        <w:autoSpaceDE w:val="0"/>
        <w:autoSpaceDN w:val="0"/>
        <w:adjustRightInd w:val="0"/>
        <w:spacing w:line="360" w:lineRule="auto"/>
        <w:ind w:firstLine="567" w:firstLineChars="27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根据上述合同（招标文件）规定，</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应向受益人提供一份金额为人民币</w:t>
      </w:r>
      <w:r>
        <w:rPr>
          <w:rFonts w:hint="eastAsia" w:ascii="宋体" w:hAnsi="宋体" w:eastAsia="宋体" w:cs="宋体"/>
          <w:color w:val="auto"/>
          <w:kern w:val="0"/>
          <w:szCs w:val="21"/>
          <w:highlight w:val="none"/>
        </w:rPr>
        <w:t>（大写）</w:t>
      </w:r>
      <w:r>
        <w:rPr>
          <w:rFonts w:ascii="宋体" w:hAnsi="宋体" w:eastAsia="宋体" w:cs="Times New Roman"/>
          <w:color w:val="auto"/>
          <w:kern w:val="0"/>
          <w:szCs w:val="21"/>
          <w:highlight w:val="none"/>
          <w:u w:val="single"/>
        </w:rPr>
        <w:t xml:space="preserve">     （RMB元）</w:t>
      </w:r>
      <w:r>
        <w:rPr>
          <w:rFonts w:ascii="宋体" w:hAnsi="宋体" w:eastAsia="宋体" w:cs="Times New Roman"/>
          <w:color w:val="auto"/>
          <w:kern w:val="0"/>
          <w:szCs w:val="21"/>
          <w:highlight w:val="none"/>
        </w:rPr>
        <w:t>的</w:t>
      </w:r>
      <w:r>
        <w:rPr>
          <w:rFonts w:hint="eastAsia" w:ascii="宋体" w:hAnsi="宋体" w:eastAsia="宋体" w:cs="Times New Roman"/>
          <w:color w:val="auto"/>
          <w:kern w:val="0"/>
          <w:szCs w:val="21"/>
          <w:highlight w:val="none"/>
        </w:rPr>
        <w:t>无条件、</w:t>
      </w:r>
      <w:r>
        <w:rPr>
          <w:rFonts w:ascii="宋体" w:hAnsi="宋体" w:eastAsia="宋体" w:cs="Times New Roman"/>
          <w:bCs/>
          <w:color w:val="auto"/>
          <w:kern w:val="0"/>
          <w:szCs w:val="21"/>
          <w:highlight w:val="none"/>
        </w:rPr>
        <w:t>不可撤销</w:t>
      </w:r>
      <w:r>
        <w:rPr>
          <w:rFonts w:ascii="宋体" w:hAnsi="宋体" w:eastAsia="宋体" w:cs="Times New Roman"/>
          <w:color w:val="auto"/>
          <w:kern w:val="0"/>
          <w:szCs w:val="21"/>
          <w:highlight w:val="none"/>
        </w:rPr>
        <w:t>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，作为</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履行上述合同的担保</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Hans"/>
        </w:rPr>
        <w:t>我方</w:t>
      </w:r>
      <w:r>
        <w:rPr>
          <w:rFonts w:ascii="宋体" w:hAnsi="宋体" w:eastAsia="宋体" w:cs="宋体"/>
          <w:color w:val="auto"/>
          <w:kern w:val="0"/>
          <w:szCs w:val="21"/>
          <w:highlight w:val="none"/>
          <w:u w:val="single"/>
        </w:rPr>
        <w:t xml:space="preserve">  </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名称）</w:t>
      </w:r>
      <w:r>
        <w:rPr>
          <w:rFonts w:hint="eastAsia" w:ascii="宋体" w:hAnsi="宋体" w:eastAsia="宋体" w:cs="Times New Roman"/>
          <w:color w:val="auto"/>
          <w:kern w:val="0"/>
          <w:szCs w:val="21"/>
          <w:highlight w:val="none"/>
          <w:u w:val="single"/>
        </w:rPr>
        <w:t xml:space="preserve">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14:paraId="5EE94C05">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我方</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 xml:space="preserve">名称）  </w:t>
      </w:r>
      <w:r>
        <w:rPr>
          <w:rFonts w:ascii="宋体" w:hAnsi="宋体" w:eastAsia="宋体" w:cs="Times New Roman"/>
          <w:color w:val="auto"/>
          <w:kern w:val="0"/>
          <w:szCs w:val="21"/>
          <w:highlight w:val="none"/>
        </w:rPr>
        <w:t>，受</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的委托，</w:t>
      </w:r>
      <w:r>
        <w:rPr>
          <w:rFonts w:hint="eastAsia" w:ascii="宋体" w:hAnsi="宋体" w:eastAsia="宋体" w:cs="宋体"/>
          <w:color w:val="auto"/>
          <w:kern w:val="0"/>
          <w:szCs w:val="21"/>
          <w:highlight w:val="none"/>
        </w:rPr>
        <w:t>无条件和不可撤销地在受益人出具本担保书原件且提出因申请人没有履行上述合同规定，在担保书限额内向受益人支付不超过人民币（大写）_________（¥</w:t>
      </w:r>
      <w:r>
        <w:rPr>
          <w:rFonts w:ascii="宋体" w:hAnsi="宋体" w:eastAsia="宋体" w:cs="宋体"/>
          <w:color w:val="auto"/>
          <w:kern w:val="0"/>
          <w:szCs w:val="21"/>
          <w:highlight w:val="none"/>
        </w:rPr>
        <w:t>_______元）</w:t>
      </w:r>
      <w:r>
        <w:rPr>
          <w:rFonts w:hint="eastAsia" w:ascii="宋体" w:hAnsi="宋体" w:eastAsia="宋体" w:cs="宋体"/>
          <w:color w:val="auto"/>
          <w:kern w:val="0"/>
          <w:szCs w:val="21"/>
          <w:highlight w:val="none"/>
        </w:rPr>
        <w:t>的款项。</w:t>
      </w:r>
    </w:p>
    <w:p w14:paraId="1E5F36C7">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我方还同意，任何受益人与</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之间可能对合同条款的修改、规范或其他合同文件的变动补充，都不能免除我方按本</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函所承担的责任。因此，有关上述变动、补充和修改无须通知</w:t>
      </w:r>
      <w:r>
        <w:rPr>
          <w:rFonts w:hint="eastAsia" w:ascii="宋体" w:hAnsi="宋体" w:eastAsia="宋体" w:cs="Times New Roman"/>
          <w:color w:val="auto"/>
          <w:kern w:val="0"/>
          <w:szCs w:val="21"/>
          <w:highlight w:val="none"/>
        </w:rPr>
        <w:t>或征得</w:t>
      </w:r>
      <w:r>
        <w:rPr>
          <w:rFonts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60EC8AA2">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本保函应自合同签订之日起至合同期限届满并完成合同全部服务义务后二十八（28）日内保持有效。</w:t>
      </w:r>
    </w:p>
    <w:p w14:paraId="00F7EEAB">
      <w:pPr>
        <w:autoSpaceDE w:val="0"/>
        <w:autoSpaceDN w:val="0"/>
        <w:adjustRightInd w:val="0"/>
        <w:spacing w:line="360" w:lineRule="auto"/>
        <w:jc w:val="left"/>
        <w:rPr>
          <w:rFonts w:ascii="宋体" w:hAnsi="宋体" w:eastAsia="宋体" w:cs="Times New Roman"/>
          <w:color w:val="auto"/>
          <w:kern w:val="0"/>
          <w:szCs w:val="21"/>
          <w:highlight w:val="none"/>
        </w:rPr>
      </w:pPr>
    </w:p>
    <w:p w14:paraId="3B48F316">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法定代表人或其授权的代理人：（签字或盖私章）</w:t>
      </w:r>
    </w:p>
    <w:p w14:paraId="084DFA5F">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担保公司盖章：</w:t>
      </w:r>
    </w:p>
    <w:p w14:paraId="2E0F5F94">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联系电话：</w:t>
      </w:r>
    </w:p>
    <w:p w14:paraId="5E67F412">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w:t>
      </w:r>
    </w:p>
    <w:p w14:paraId="0D4B346C">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日期：    年   月   日</w:t>
      </w:r>
    </w:p>
    <w:p w14:paraId="78292780">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14:paraId="3EE8EE2E">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14:paraId="0C9DD3BA">
      <w:pPr>
        <w:autoSpaceDE w:val="0"/>
        <w:autoSpaceDN w:val="0"/>
        <w:adjustRightInd w:val="0"/>
        <w:spacing w:line="360" w:lineRule="auto"/>
        <w:jc w:val="left"/>
        <w:rPr>
          <w:rFonts w:ascii="宋体" w:hAnsi="宋体" w:eastAsia="宋体" w:cs="Times New Roman"/>
          <w:color w:val="auto"/>
          <w:kern w:val="0"/>
          <w:szCs w:val="21"/>
          <w:highlight w:val="none"/>
        </w:rPr>
      </w:pPr>
    </w:p>
    <w:p w14:paraId="670A06A0">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6AD172A1">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35DA660F">
      <w:pPr>
        <w:rPr>
          <w:color w:val="auto"/>
          <w:highlight w:val="none"/>
          <w:lang w:val="zh-CN"/>
        </w:rPr>
      </w:pPr>
    </w:p>
    <w:p w14:paraId="2AE6CA67">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120A2D76">
      <w:pPr>
        <w:widowControl/>
        <w:autoSpaceDE w:val="0"/>
        <w:autoSpaceDN w:val="0"/>
        <w:adjustRightInd w:val="0"/>
        <w:spacing w:line="360" w:lineRule="auto"/>
        <w:ind w:left="436" w:leftChars="-59" w:hanging="560" w:hangingChars="267"/>
        <w:jc w:val="left"/>
        <w:rPr>
          <w:rFonts w:ascii="宋体" w:hAnsi="宋体" w:eastAsia="宋体" w:cs="宋体"/>
          <w:color w:val="auto"/>
          <w:szCs w:val="24"/>
          <w:highlight w:val="none"/>
          <w:lang w:val="zh-CN"/>
        </w:rPr>
      </w:pPr>
    </w:p>
    <w:p w14:paraId="507439CA">
      <w:pPr>
        <w:rPr>
          <w:color w:val="auto"/>
          <w:lang w:val="zh-CN"/>
        </w:rPr>
      </w:pPr>
    </w:p>
    <w:p w14:paraId="5EA7422B">
      <w:pPr>
        <w:pageBreakBefore/>
        <w:numPr>
          <w:ilvl w:val="0"/>
          <w:numId w:val="0"/>
        </w:numPr>
        <w:tabs>
          <w:tab w:val="left" w:pos="1080"/>
        </w:tabs>
        <w:autoSpaceDE w:val="0"/>
        <w:autoSpaceDN w:val="0"/>
        <w:adjustRightInd w:val="0"/>
        <w:spacing w:line="360" w:lineRule="auto"/>
        <w:ind w:left="357" w:leftChars="-100" w:hanging="567" w:firstLineChars="0"/>
        <w:jc w:val="center"/>
        <w:outlineLvl w:val="0"/>
        <w:rPr>
          <w:rFonts w:hint="eastAsia" w:ascii="宋体" w:hAnsi="宋体" w:eastAsia="宋体" w:cs="宋体"/>
          <w:b/>
          <w:bCs/>
          <w:color w:val="auto"/>
          <w:kern w:val="44"/>
          <w:sz w:val="32"/>
          <w:szCs w:val="32"/>
          <w:lang w:val="zh-CN" w:eastAsia="zh-CN" w:bidi="ar-SA"/>
        </w:rPr>
        <w:sectPr>
          <w:headerReference r:id="rId8" w:type="first"/>
          <w:footerReference r:id="rId10" w:type="first"/>
          <w:footerReference r:id="rId9" w:type="default"/>
          <w:pgSz w:w="12240" w:h="15840"/>
          <w:pgMar w:top="1191" w:right="1043" w:bottom="1191" w:left="1043" w:header="720" w:footer="720" w:gutter="0"/>
          <w:pgNumType w:fmt="decimal"/>
          <w:cols w:space="720" w:num="1"/>
          <w:docGrid w:linePitch="326" w:charSpace="0"/>
        </w:sectPr>
      </w:pPr>
      <w:bookmarkStart w:id="733" w:name="_Toc20393"/>
      <w:bookmarkStart w:id="734" w:name="_Toc29705"/>
    </w:p>
    <w:p w14:paraId="39426056">
      <w:pPr>
        <w:pageBreakBefore/>
        <w:numPr>
          <w:ilvl w:val="0"/>
          <w:numId w:val="0"/>
        </w:numPr>
        <w:tabs>
          <w:tab w:val="left" w:pos="1080"/>
        </w:tabs>
        <w:autoSpaceDE w:val="0"/>
        <w:autoSpaceDN w:val="0"/>
        <w:adjustRightInd w:val="0"/>
        <w:spacing w:line="360" w:lineRule="auto"/>
        <w:ind w:left="357" w:leftChars="-100" w:hanging="567" w:firstLineChars="0"/>
        <w:jc w:val="center"/>
        <w:outlineLvl w:val="0"/>
        <w:rPr>
          <w:rFonts w:hint="eastAsia" w:ascii="宋体" w:hAnsi="宋体" w:eastAsia="宋体" w:cs="宋体"/>
          <w:b/>
          <w:bCs/>
          <w:color w:val="auto"/>
          <w:kern w:val="44"/>
          <w:sz w:val="32"/>
          <w:szCs w:val="32"/>
          <w:highlight w:val="none"/>
          <w:lang w:val="zh-CN"/>
        </w:rPr>
      </w:pPr>
      <w:r>
        <w:rPr>
          <w:rFonts w:hint="eastAsia" w:ascii="宋体" w:hAnsi="宋体" w:eastAsia="宋体" w:cs="宋体"/>
          <w:b/>
          <w:bCs/>
          <w:color w:val="auto"/>
          <w:kern w:val="44"/>
          <w:sz w:val="32"/>
          <w:szCs w:val="32"/>
          <w:lang w:val="zh-CN" w:eastAsia="zh-CN" w:bidi="ar-SA"/>
        </w:rPr>
        <w:t>第六篇</w:t>
      </w:r>
      <w:r>
        <w:rPr>
          <w:rFonts w:hint="eastAsia" w:ascii="宋体" w:hAnsi="宋体" w:eastAsia="宋体" w:cs="宋体"/>
          <w:b/>
          <w:bCs/>
          <w:color w:val="auto"/>
          <w:kern w:val="44"/>
          <w:sz w:val="32"/>
          <w:szCs w:val="32"/>
          <w:highlight w:val="none"/>
          <w:lang w:val="en-US" w:eastAsia="zh-CN"/>
        </w:rPr>
        <w:t xml:space="preserve"> </w:t>
      </w:r>
      <w:r>
        <w:rPr>
          <w:rFonts w:hint="eastAsia" w:ascii="宋体" w:hAnsi="宋体" w:eastAsia="宋体" w:cs="宋体"/>
          <w:b/>
          <w:bCs/>
          <w:color w:val="auto"/>
          <w:kern w:val="44"/>
          <w:sz w:val="32"/>
          <w:szCs w:val="32"/>
          <w:highlight w:val="none"/>
          <w:lang w:val="zh-CN"/>
        </w:rPr>
        <w:t>投标文件格式</w:t>
      </w:r>
      <w:bookmarkEnd w:id="506"/>
      <w:bookmarkEnd w:id="507"/>
      <w:bookmarkEnd w:id="508"/>
      <w:bookmarkEnd w:id="509"/>
      <w:bookmarkEnd w:id="510"/>
      <w:bookmarkEnd w:id="511"/>
      <w:bookmarkEnd w:id="512"/>
      <w:bookmarkEnd w:id="733"/>
      <w:bookmarkEnd w:id="734"/>
    </w:p>
    <w:p w14:paraId="582CF281">
      <w:pPr>
        <w:pStyle w:val="52"/>
        <w:numPr>
          <w:ilvl w:val="0"/>
          <w:numId w:val="0"/>
        </w:numPr>
        <w:jc w:val="center"/>
        <w:outlineLvl w:val="1"/>
        <w:rPr>
          <w:rFonts w:hint="eastAsia" w:ascii="宋体" w:hAnsi="宋体" w:eastAsia="宋体" w:cs="宋体"/>
          <w:b/>
          <w:bCs w:val="0"/>
          <w:color w:val="auto"/>
          <w:sz w:val="32"/>
          <w:szCs w:val="32"/>
          <w:highlight w:val="none"/>
          <w:lang w:val="en-US" w:eastAsia="zh-CN"/>
        </w:rPr>
      </w:pPr>
      <w:bookmarkStart w:id="735" w:name="_Toc11545"/>
      <w:r>
        <w:rPr>
          <w:rFonts w:hint="eastAsia" w:ascii="宋体" w:hAnsi="宋体" w:eastAsia="宋体" w:cs="宋体"/>
          <w:b/>
          <w:bCs w:val="0"/>
          <w:color w:val="auto"/>
          <w:sz w:val="32"/>
          <w:szCs w:val="32"/>
          <w:highlight w:val="none"/>
          <w:lang w:val="en-US" w:eastAsia="zh-CN"/>
        </w:rPr>
        <w:t>一 商务标格式</w:t>
      </w:r>
      <w:bookmarkEnd w:id="735"/>
    </w:p>
    <w:p w14:paraId="24A7D1CD">
      <w:pPr>
        <w:pStyle w:val="19"/>
        <w:spacing w:line="360" w:lineRule="auto"/>
        <w:jc w:val="center"/>
        <w:rPr>
          <w:rFonts w:hint="eastAsia" w:ascii="宋体" w:hAnsi="宋体" w:eastAsia="宋体" w:cs="宋体"/>
          <w:color w:val="auto"/>
          <w:sz w:val="84"/>
          <w:highlight w:val="none"/>
        </w:rPr>
        <w:sectPr>
          <w:footerReference r:id="rId11" w:type="default"/>
          <w:pgSz w:w="12240" w:h="15840"/>
          <w:pgMar w:top="1191" w:right="1043" w:bottom="1191" w:left="1043" w:header="720" w:footer="720" w:gutter="0"/>
          <w:pgNumType w:fmt="decimal"/>
          <w:cols w:space="720" w:num="1"/>
          <w:docGrid w:linePitch="326" w:charSpace="0"/>
        </w:sectPr>
      </w:pPr>
      <w:bookmarkStart w:id="736" w:name="_Toc102860411"/>
      <w:bookmarkStart w:id="737" w:name="_Toc21133_WPSOffice_Level2"/>
      <w:bookmarkStart w:id="738" w:name="_Toc102860067"/>
      <w:bookmarkStart w:id="739" w:name="_Toc104991868"/>
      <w:bookmarkStart w:id="740" w:name="_Toc533708121"/>
      <w:bookmarkStart w:id="741" w:name="_Toc1977721"/>
      <w:bookmarkStart w:id="742" w:name="_Toc94107202"/>
      <w:bookmarkStart w:id="743" w:name="_Toc140596921"/>
      <w:bookmarkStart w:id="744" w:name="_Toc142508362"/>
      <w:bookmarkStart w:id="745" w:name="_Toc486167709"/>
    </w:p>
    <w:p w14:paraId="55D1CCE7">
      <w:pPr>
        <w:pStyle w:val="19"/>
        <w:spacing w:line="360" w:lineRule="auto"/>
        <w:jc w:val="center"/>
        <w:rPr>
          <w:rFonts w:hint="eastAsia" w:ascii="宋体" w:hAnsi="宋体" w:eastAsia="宋体" w:cs="宋体"/>
          <w:color w:val="auto"/>
          <w:sz w:val="84"/>
          <w:highlight w:val="none"/>
        </w:rPr>
      </w:pPr>
    </w:p>
    <w:p w14:paraId="6D9BF706">
      <w:pPr>
        <w:pStyle w:val="19"/>
        <w:spacing w:line="360" w:lineRule="auto"/>
        <w:jc w:val="center"/>
        <w:rPr>
          <w:rFonts w:hint="eastAsia" w:ascii="宋体" w:hAnsi="宋体" w:eastAsia="宋体" w:cs="宋体"/>
          <w:color w:val="auto"/>
          <w:sz w:val="84"/>
          <w:highlight w:val="none"/>
        </w:rPr>
      </w:pPr>
    </w:p>
    <w:p w14:paraId="0DA52DC3">
      <w:pPr>
        <w:pStyle w:val="19"/>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566318F2">
      <w:pPr>
        <w:pStyle w:val="19"/>
        <w:spacing w:line="360" w:lineRule="auto"/>
        <w:rPr>
          <w:rFonts w:hint="eastAsia" w:ascii="宋体" w:hAnsi="宋体" w:eastAsia="宋体" w:cs="宋体"/>
          <w:color w:val="auto"/>
          <w:highlight w:val="none"/>
        </w:rPr>
      </w:pPr>
    </w:p>
    <w:p w14:paraId="6ED5FB9F">
      <w:pPr>
        <w:pStyle w:val="19"/>
        <w:spacing w:line="360" w:lineRule="auto"/>
        <w:rPr>
          <w:rFonts w:hint="eastAsia" w:ascii="宋体" w:hAnsi="宋体" w:eastAsia="宋体" w:cs="宋体"/>
          <w:color w:val="auto"/>
          <w:highlight w:val="none"/>
        </w:rPr>
      </w:pPr>
    </w:p>
    <w:p w14:paraId="2BCA16E6">
      <w:pPr>
        <w:pStyle w:val="19"/>
        <w:spacing w:line="360" w:lineRule="auto"/>
        <w:rPr>
          <w:rFonts w:hint="eastAsia" w:ascii="宋体" w:hAnsi="宋体" w:eastAsia="宋体" w:cs="宋体"/>
          <w:color w:val="auto"/>
          <w:highlight w:val="none"/>
        </w:rPr>
      </w:pPr>
    </w:p>
    <w:p w14:paraId="5A5D4796">
      <w:pPr>
        <w:pStyle w:val="19"/>
        <w:spacing w:line="360" w:lineRule="auto"/>
        <w:rPr>
          <w:rFonts w:hint="eastAsia" w:ascii="宋体" w:hAnsi="宋体" w:eastAsia="宋体" w:cs="宋体"/>
          <w:color w:val="auto"/>
          <w:highlight w:val="none"/>
        </w:rPr>
      </w:pPr>
    </w:p>
    <w:p w14:paraId="3974261B">
      <w:pPr>
        <w:pStyle w:val="19"/>
        <w:spacing w:line="360" w:lineRule="auto"/>
        <w:rPr>
          <w:rFonts w:hint="eastAsia" w:ascii="宋体" w:hAnsi="宋体" w:eastAsia="宋体" w:cs="宋体"/>
          <w:color w:val="auto"/>
          <w:highlight w:val="none"/>
        </w:rPr>
      </w:pPr>
    </w:p>
    <w:p w14:paraId="4AB1F8BF">
      <w:pPr>
        <w:pStyle w:val="19"/>
        <w:spacing w:line="360" w:lineRule="auto"/>
        <w:rPr>
          <w:rFonts w:hint="eastAsia" w:ascii="宋体" w:hAnsi="宋体" w:eastAsia="宋体" w:cs="宋体"/>
          <w:color w:val="auto"/>
          <w:highlight w:val="none"/>
        </w:rPr>
      </w:pPr>
    </w:p>
    <w:p w14:paraId="1C08602B">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52B500EC">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3E820945">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投标文件商务标 </w:t>
      </w:r>
    </w:p>
    <w:p w14:paraId="527AF47B">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4436A9FD">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（企业数字证书电子签名）   </w:t>
      </w:r>
    </w:p>
    <w:p w14:paraId="67989725">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6D22168C">
      <w:pPr>
        <w:pStyle w:val="19"/>
        <w:spacing w:line="360" w:lineRule="auto"/>
        <w:rPr>
          <w:rFonts w:hint="eastAsia" w:ascii="宋体" w:hAnsi="宋体" w:eastAsia="宋体" w:cs="宋体"/>
          <w:color w:val="auto"/>
          <w:highlight w:val="none"/>
        </w:rPr>
      </w:pPr>
    </w:p>
    <w:p w14:paraId="6FC4913E">
      <w:pPr>
        <w:pStyle w:val="1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AEFC0BC">
      <w:pPr>
        <w:pStyle w:val="19"/>
        <w:spacing w:line="500" w:lineRule="exact"/>
        <w:jc w:val="center"/>
        <w:outlineLvl w:val="1"/>
        <w:rPr>
          <w:rFonts w:hint="eastAsia" w:ascii="宋体" w:hAnsi="宋体" w:eastAsia="宋体" w:cs="宋体"/>
          <w:b/>
          <w:bCs/>
          <w:color w:val="auto"/>
          <w:sz w:val="24"/>
          <w:szCs w:val="24"/>
          <w:highlight w:val="none"/>
        </w:rPr>
      </w:pPr>
      <w:bookmarkStart w:id="746" w:name="_Toc16205"/>
      <w:bookmarkStart w:id="747" w:name="_Toc27422"/>
      <w:bookmarkStart w:id="748" w:name="_Toc10999"/>
      <w:bookmarkStart w:id="749" w:name="_Toc31361"/>
      <w:bookmarkStart w:id="750" w:name="_Toc195714374"/>
      <w:bookmarkStart w:id="751" w:name="_Toc17612"/>
      <w:bookmarkStart w:id="752" w:name="_Toc25406"/>
      <w:r>
        <w:rPr>
          <w:rFonts w:hint="eastAsia" w:ascii="宋体" w:hAnsi="宋体" w:eastAsia="宋体" w:cs="宋体"/>
          <w:b/>
          <w:bCs/>
          <w:color w:val="auto"/>
          <w:sz w:val="24"/>
          <w:szCs w:val="24"/>
          <w:highlight w:val="none"/>
        </w:rPr>
        <w:t>目录</w:t>
      </w:r>
      <w:bookmarkEnd w:id="746"/>
      <w:bookmarkEnd w:id="747"/>
      <w:bookmarkEnd w:id="748"/>
      <w:bookmarkEnd w:id="749"/>
      <w:bookmarkEnd w:id="750"/>
      <w:bookmarkEnd w:id="751"/>
      <w:bookmarkEnd w:id="752"/>
    </w:p>
    <w:p w14:paraId="01C373B8">
      <w:pPr>
        <w:spacing w:line="360" w:lineRule="auto"/>
        <w:ind w:firstLine="420" w:firstLineChars="200"/>
        <w:rPr>
          <w:rFonts w:hint="eastAsia" w:ascii="宋体" w:hAnsi="宋体" w:eastAsia="宋体" w:cs="宋体"/>
          <w:color w:val="auto"/>
          <w:lang w:val="zh-CN"/>
        </w:rPr>
      </w:pPr>
      <w:r>
        <w:rPr>
          <w:rFonts w:hint="eastAsia" w:ascii="宋体" w:hAnsi="宋体" w:eastAsia="宋体" w:cs="宋体"/>
          <w:color w:val="auto"/>
        </w:rPr>
        <w:t>一、</w:t>
      </w:r>
      <w:r>
        <w:rPr>
          <w:rFonts w:hint="eastAsia" w:ascii="宋体" w:hAnsi="宋体" w:eastAsia="宋体" w:cs="宋体"/>
          <w:color w:val="auto"/>
          <w:lang w:val="zh-CN"/>
        </w:rPr>
        <w:t>投标函；</w:t>
      </w:r>
    </w:p>
    <w:p w14:paraId="48834864">
      <w:pPr>
        <w:spacing w:line="360" w:lineRule="auto"/>
        <w:ind w:firstLine="420" w:firstLineChars="200"/>
        <w:rPr>
          <w:rFonts w:hint="eastAsia" w:ascii="宋体" w:hAnsi="宋体" w:eastAsia="宋体" w:cs="宋体"/>
          <w:color w:val="auto"/>
          <w:lang w:val="zh-CN"/>
        </w:rPr>
      </w:pPr>
      <w:r>
        <w:rPr>
          <w:rFonts w:hint="eastAsia" w:ascii="宋体" w:hAnsi="宋体" w:eastAsia="宋体" w:cs="宋体"/>
          <w:color w:val="auto"/>
          <w:lang w:val="en-US" w:eastAsia="zh-CN"/>
        </w:rPr>
        <w:t>二</w:t>
      </w:r>
      <w:r>
        <w:rPr>
          <w:rFonts w:hint="eastAsia" w:ascii="宋体" w:hAnsi="宋体" w:eastAsia="宋体" w:cs="宋体"/>
          <w:color w:val="auto"/>
          <w:lang w:val="zh-CN"/>
        </w:rPr>
        <w:t>、投标承诺书；</w:t>
      </w:r>
    </w:p>
    <w:p w14:paraId="4DD064D7">
      <w:pPr>
        <w:spacing w:line="360" w:lineRule="auto"/>
        <w:ind w:firstLine="420" w:firstLineChars="200"/>
        <w:rPr>
          <w:rFonts w:hint="eastAsia" w:ascii="宋体" w:hAnsi="宋体" w:eastAsia="宋体" w:cs="宋体"/>
          <w:color w:val="auto"/>
          <w:lang w:val="zh-CN"/>
        </w:rPr>
      </w:pPr>
      <w:r>
        <w:rPr>
          <w:rFonts w:hint="eastAsia" w:ascii="宋体" w:hAnsi="宋体" w:eastAsia="宋体" w:cs="宋体"/>
          <w:color w:val="auto"/>
          <w:lang w:val="zh-CN"/>
        </w:rPr>
        <w:t>三、供货及/或提供服务过程承诺函；</w:t>
      </w:r>
    </w:p>
    <w:p w14:paraId="47697922">
      <w:pPr>
        <w:spacing w:line="360" w:lineRule="auto"/>
        <w:ind w:firstLine="420" w:firstLineChars="200"/>
        <w:rPr>
          <w:rFonts w:hint="eastAsia" w:ascii="宋体" w:hAnsi="宋体" w:eastAsia="宋体" w:cs="宋体"/>
          <w:color w:val="auto"/>
          <w:lang w:val="zh-CN"/>
        </w:rPr>
      </w:pPr>
      <w:r>
        <w:rPr>
          <w:rFonts w:hint="eastAsia" w:ascii="宋体" w:hAnsi="宋体" w:eastAsia="宋体" w:cs="宋体"/>
          <w:color w:val="auto"/>
          <w:lang w:val="zh-CN"/>
        </w:rPr>
        <w:t>四、投标报价表格式；</w:t>
      </w:r>
    </w:p>
    <w:p w14:paraId="27ECD6CB">
      <w:pPr>
        <w:spacing w:line="360" w:lineRule="auto"/>
        <w:ind w:firstLine="420" w:firstLineChars="200"/>
        <w:rPr>
          <w:rFonts w:hint="eastAsia" w:ascii="宋体" w:hAnsi="宋体" w:eastAsia="宋体" w:cs="宋体"/>
          <w:color w:val="auto"/>
          <w:lang w:val="zh-CN"/>
        </w:rPr>
      </w:pPr>
      <w:r>
        <w:rPr>
          <w:rFonts w:hint="eastAsia" w:ascii="宋体" w:hAnsi="宋体" w:eastAsia="宋体" w:cs="宋体"/>
          <w:color w:val="auto"/>
          <w:lang w:val="zh-CN"/>
        </w:rPr>
        <w:t>五、投标人资格证明文件：</w:t>
      </w:r>
    </w:p>
    <w:p w14:paraId="2B47791E">
      <w:pPr>
        <w:spacing w:line="360" w:lineRule="auto"/>
        <w:ind w:firstLine="420" w:firstLineChars="200"/>
        <w:rPr>
          <w:rFonts w:hint="eastAsia" w:ascii="宋体" w:hAnsi="宋体" w:eastAsia="宋体" w:cs="宋体"/>
          <w:color w:val="auto"/>
          <w:lang w:val="zh-CN"/>
        </w:rPr>
      </w:pPr>
      <w:r>
        <w:rPr>
          <w:rFonts w:hint="eastAsia" w:ascii="宋体" w:hAnsi="宋体" w:eastAsia="宋体" w:cs="宋体"/>
          <w:color w:val="auto"/>
          <w:lang w:val="en-US" w:eastAsia="zh-CN"/>
        </w:rPr>
        <w:t>5.1</w:t>
      </w:r>
      <w:r>
        <w:rPr>
          <w:rFonts w:hint="eastAsia" w:ascii="宋体" w:hAnsi="宋体" w:eastAsia="宋体" w:cs="宋体"/>
          <w:color w:val="auto"/>
          <w:lang w:val="zh-CN"/>
        </w:rPr>
        <w:t>多证合一营业执照</w:t>
      </w:r>
      <w:r>
        <w:rPr>
          <w:rFonts w:hint="eastAsia" w:ascii="宋体" w:hAnsi="宋体" w:eastAsia="宋体" w:cs="宋体"/>
          <w:color w:val="auto"/>
        </w:rPr>
        <w:t>（或事业单位法人证书）</w:t>
      </w:r>
      <w:r>
        <w:rPr>
          <w:rFonts w:hint="eastAsia" w:ascii="宋体" w:hAnsi="宋体" w:eastAsia="宋体" w:cs="宋体"/>
          <w:color w:val="auto"/>
          <w:lang w:val="en-US" w:eastAsia="zh-CN"/>
        </w:rPr>
        <w:t>原件扫</w:t>
      </w:r>
      <w:r>
        <w:rPr>
          <w:rFonts w:hint="eastAsia" w:ascii="宋体" w:hAnsi="宋体" w:eastAsia="宋体" w:cs="宋体"/>
          <w:color w:val="auto"/>
          <w:lang w:val="zh-CN"/>
        </w:rPr>
        <w:t>描件；</w:t>
      </w:r>
    </w:p>
    <w:p w14:paraId="645515A0">
      <w:pPr>
        <w:spacing w:line="360" w:lineRule="auto"/>
        <w:ind w:firstLine="420" w:firstLineChars="200"/>
        <w:rPr>
          <w:rFonts w:hint="eastAsia" w:ascii="宋体" w:hAnsi="宋体" w:eastAsia="宋体" w:cs="宋体"/>
          <w:color w:val="auto"/>
          <w:lang w:val="zh-CN"/>
        </w:rPr>
      </w:pPr>
      <w:r>
        <w:rPr>
          <w:rFonts w:hint="eastAsia" w:ascii="宋体" w:hAnsi="宋体" w:eastAsia="宋体" w:cs="宋体"/>
          <w:color w:val="auto"/>
          <w:lang w:val="en-US" w:eastAsia="zh-CN"/>
        </w:rPr>
        <w:t>5.2</w:t>
      </w:r>
      <w:r>
        <w:rPr>
          <w:rFonts w:hint="eastAsia" w:ascii="宋体" w:hAnsi="宋体" w:eastAsia="宋体" w:cs="宋体"/>
          <w:color w:val="auto"/>
          <w:lang w:val="zh-CN"/>
        </w:rPr>
        <w:t>开户许可证原件扫描件（基本存款账户），如投标人企业银行账户开户所在地区已取消企业银行账户许可，投标人应提供基本存款账户开户名称、开户银行、账号、编号等信息及相关备案证明（如有）或其他能证明其为基本存款账户的资料原件扫描件；</w:t>
      </w:r>
    </w:p>
    <w:p w14:paraId="05AD32B9">
      <w:pPr>
        <w:spacing w:line="360" w:lineRule="auto"/>
        <w:ind w:firstLine="420" w:firstLineChars="200"/>
        <w:rPr>
          <w:rFonts w:hint="eastAsia" w:ascii="宋体" w:hAnsi="宋体" w:eastAsia="宋体" w:cs="宋体"/>
          <w:color w:val="auto"/>
          <w:lang w:val="zh-CN"/>
        </w:rPr>
      </w:pPr>
      <w:r>
        <w:rPr>
          <w:rFonts w:hint="eastAsia" w:ascii="宋体" w:hAnsi="宋体" w:eastAsia="宋体" w:cs="宋体"/>
          <w:color w:val="auto"/>
          <w:lang w:val="en-US" w:eastAsia="zh-CN"/>
        </w:rPr>
        <w:t>5.3</w:t>
      </w:r>
      <w:r>
        <w:rPr>
          <w:rFonts w:hint="eastAsia" w:ascii="宋体" w:hAnsi="宋体" w:eastAsia="宋体" w:cs="宋体"/>
          <w:color w:val="auto"/>
          <w:lang w:val="zh-CN"/>
        </w:rPr>
        <w:t>法定代表人身份证明书和法定代表人授权书（法定代表人投标时只提供法定代表人身份证明书，委托</w:t>
      </w:r>
      <w:r>
        <w:rPr>
          <w:rFonts w:hint="eastAsia" w:ascii="宋体" w:hAnsi="宋体" w:eastAsia="宋体" w:cs="宋体"/>
          <w:color w:val="auto"/>
        </w:rPr>
        <w:t>他人</w:t>
      </w:r>
      <w:r>
        <w:rPr>
          <w:rFonts w:hint="eastAsia" w:ascii="宋体" w:hAnsi="宋体" w:eastAsia="宋体" w:cs="宋体"/>
          <w:color w:val="auto"/>
          <w:lang w:val="zh-CN"/>
        </w:rPr>
        <w:t>为投标代表时同时提供法定代表人授权书）；</w:t>
      </w:r>
    </w:p>
    <w:p w14:paraId="6841689A">
      <w:pPr>
        <w:spacing w:line="360" w:lineRule="auto"/>
        <w:ind w:firstLine="420" w:firstLineChars="200"/>
        <w:rPr>
          <w:rFonts w:hint="eastAsia" w:ascii="宋体" w:hAnsi="宋体" w:eastAsia="宋体" w:cs="宋体"/>
          <w:color w:val="auto"/>
          <w:lang w:eastAsia="zh-CN"/>
        </w:rPr>
      </w:pPr>
      <w:r>
        <w:rPr>
          <w:rFonts w:hint="eastAsia" w:ascii="宋体" w:hAnsi="宋体" w:eastAsia="宋体" w:cs="宋体"/>
          <w:color w:val="auto"/>
          <w:lang w:val="en-US" w:eastAsia="zh-CN"/>
        </w:rPr>
        <w:t>5.4</w:t>
      </w:r>
      <w:r>
        <w:rPr>
          <w:rFonts w:hint="eastAsia" w:ascii="宋体" w:hAnsi="宋体" w:eastAsia="宋体" w:cs="宋体"/>
          <w:color w:val="auto"/>
        </w:rPr>
        <w:t>资格业绩【</w:t>
      </w:r>
      <w:r>
        <w:rPr>
          <w:rFonts w:hint="eastAsia" w:ascii="宋体" w:hAnsi="宋体" w:eastAsia="宋体" w:cs="宋体"/>
          <w:color w:val="auto"/>
          <w:lang w:val="zh-CN"/>
        </w:rPr>
        <w:t>投标人202</w:t>
      </w:r>
      <w:r>
        <w:rPr>
          <w:rFonts w:hint="eastAsia" w:ascii="宋体" w:hAnsi="宋体" w:eastAsia="宋体" w:cs="宋体"/>
          <w:color w:val="auto"/>
          <w:lang w:val="en-US" w:eastAsia="zh-CN"/>
        </w:rPr>
        <w:t>2</w:t>
      </w:r>
      <w:r>
        <w:rPr>
          <w:rFonts w:hint="eastAsia" w:ascii="宋体" w:hAnsi="宋体" w:eastAsia="宋体" w:cs="宋体"/>
          <w:color w:val="auto"/>
          <w:lang w:val="zh-CN"/>
        </w:rPr>
        <w:t>年1月1日以来(以合同签订日期为准)至少承接一个物业管理服务项目业绩(服务内容必须为物业管理服务且同时包含保洁（或清洁或环境卫生）及保安（或安保或秩序维护）服务，合同签订日期为</w:t>
      </w:r>
      <w:r>
        <w:rPr>
          <w:rFonts w:hint="eastAsia" w:ascii="宋体" w:hAnsi="宋体" w:eastAsia="宋体" w:cs="宋体"/>
          <w:color w:val="auto"/>
          <w:lang w:val="en-US" w:eastAsia="zh-CN"/>
        </w:rPr>
        <w:t>2022</w:t>
      </w:r>
      <w:r>
        <w:rPr>
          <w:rFonts w:hint="eastAsia" w:ascii="宋体" w:hAnsi="宋体" w:eastAsia="宋体" w:cs="宋体"/>
          <w:color w:val="auto"/>
          <w:lang w:val="zh-CN"/>
        </w:rPr>
        <w:t>年</w:t>
      </w:r>
      <w:r>
        <w:rPr>
          <w:rFonts w:hint="eastAsia" w:ascii="宋体" w:hAnsi="宋体" w:eastAsia="宋体" w:cs="宋体"/>
          <w:color w:val="auto"/>
          <w:lang w:val="en-US" w:eastAsia="zh-CN"/>
        </w:rPr>
        <w:t>1</w:t>
      </w:r>
      <w:r>
        <w:rPr>
          <w:rFonts w:hint="eastAsia" w:ascii="宋体" w:hAnsi="宋体" w:eastAsia="宋体" w:cs="宋体"/>
          <w:color w:val="auto"/>
          <w:lang w:val="zh-CN"/>
        </w:rPr>
        <w:t>月</w:t>
      </w:r>
      <w:r>
        <w:rPr>
          <w:rFonts w:hint="eastAsia" w:ascii="宋体" w:hAnsi="宋体" w:eastAsia="宋体" w:cs="宋体"/>
          <w:color w:val="auto"/>
          <w:lang w:val="en-US" w:eastAsia="zh-CN"/>
        </w:rPr>
        <w:t>1</w:t>
      </w:r>
      <w:r>
        <w:rPr>
          <w:rFonts w:hint="eastAsia" w:ascii="宋体" w:hAnsi="宋体" w:eastAsia="宋体" w:cs="宋体"/>
          <w:color w:val="auto"/>
          <w:lang w:val="zh-CN"/>
        </w:rPr>
        <w:t>日或以后）</w:t>
      </w:r>
      <w:r>
        <w:rPr>
          <w:rFonts w:hint="eastAsia" w:ascii="宋体" w:hAnsi="宋体" w:eastAsia="宋体" w:cs="宋体"/>
          <w:color w:val="auto"/>
        </w:rPr>
        <w:t>，资格业绩证明材料提交要求详见招标文件第六篇投标文件格式</w:t>
      </w:r>
      <w:r>
        <w:rPr>
          <w:rFonts w:hint="eastAsia" w:ascii="宋体" w:hAnsi="宋体" w:eastAsia="宋体" w:cs="宋体"/>
          <w:color w:val="auto"/>
          <w:lang w:val="en-US" w:eastAsia="zh-CN"/>
        </w:rPr>
        <w:t>5</w:t>
      </w:r>
      <w:r>
        <w:rPr>
          <w:rFonts w:hint="eastAsia" w:ascii="宋体" w:hAnsi="宋体" w:eastAsia="宋体" w:cs="宋体"/>
          <w:color w:val="auto"/>
        </w:rPr>
        <w:t>.</w:t>
      </w:r>
      <w:r>
        <w:rPr>
          <w:rFonts w:hint="eastAsia" w:ascii="宋体" w:hAnsi="宋体" w:eastAsia="宋体" w:cs="宋体"/>
          <w:color w:val="auto"/>
          <w:lang w:val="en-US" w:eastAsia="zh-CN"/>
        </w:rPr>
        <w:t>4</w:t>
      </w:r>
      <w:r>
        <w:rPr>
          <w:rFonts w:hint="eastAsia" w:ascii="宋体" w:hAnsi="宋体" w:eastAsia="宋体" w:cs="宋体"/>
          <w:color w:val="auto"/>
        </w:rPr>
        <w:t>】</w:t>
      </w:r>
      <w:r>
        <w:rPr>
          <w:rFonts w:hint="eastAsia" w:ascii="宋体" w:hAnsi="宋体" w:eastAsia="宋体" w:cs="宋体"/>
          <w:color w:val="auto"/>
          <w:lang w:eastAsia="zh-CN"/>
        </w:rPr>
        <w:t>；</w:t>
      </w:r>
    </w:p>
    <w:p w14:paraId="4E310604">
      <w:pPr>
        <w:spacing w:line="360" w:lineRule="auto"/>
        <w:ind w:firstLine="420" w:firstLineChars="200"/>
        <w:rPr>
          <w:rFonts w:hint="eastAsia" w:ascii="宋体" w:hAnsi="宋体" w:eastAsia="宋体" w:cs="宋体"/>
          <w:color w:val="auto"/>
          <w:lang w:val="zh-CN"/>
        </w:rPr>
      </w:pPr>
      <w:r>
        <w:rPr>
          <w:rFonts w:hint="eastAsia" w:ascii="宋体" w:hAnsi="宋体" w:eastAsia="宋体" w:cs="宋体"/>
          <w:color w:val="auto"/>
          <w:lang w:val="en-US" w:eastAsia="zh-CN"/>
        </w:rPr>
        <w:t>5.5</w:t>
      </w:r>
      <w:r>
        <w:rPr>
          <w:rFonts w:hint="eastAsia" w:ascii="宋体" w:hAnsi="宋体" w:eastAsia="宋体" w:cs="宋体"/>
          <w:color w:val="auto"/>
          <w:lang w:val="zh-CN"/>
        </w:rPr>
        <w:t>最近3年投标人牵涉的其他（失信和违法）</w:t>
      </w:r>
      <w:r>
        <w:rPr>
          <w:rFonts w:hint="eastAsia" w:ascii="宋体" w:hAnsi="宋体" w:eastAsia="宋体" w:cs="宋体"/>
          <w:color w:val="auto"/>
        </w:rPr>
        <w:t>处罚说明</w:t>
      </w:r>
      <w:r>
        <w:rPr>
          <w:rFonts w:hint="eastAsia" w:ascii="宋体" w:hAnsi="宋体" w:eastAsia="宋体" w:cs="宋体"/>
          <w:color w:val="auto"/>
          <w:lang w:val="zh-CN"/>
        </w:rPr>
        <w:t>；</w:t>
      </w:r>
    </w:p>
    <w:p w14:paraId="3FDB2A14">
      <w:pPr>
        <w:spacing w:line="360" w:lineRule="auto"/>
        <w:ind w:firstLine="420" w:firstLineChars="200"/>
        <w:rPr>
          <w:rFonts w:hint="eastAsia" w:ascii="宋体" w:hAnsi="宋体" w:eastAsia="宋体" w:cs="宋体"/>
          <w:color w:val="auto"/>
          <w:lang w:val="zh-CN"/>
        </w:rPr>
      </w:pPr>
      <w:r>
        <w:rPr>
          <w:rFonts w:hint="eastAsia" w:ascii="宋体" w:hAnsi="宋体" w:eastAsia="宋体" w:cs="宋体"/>
          <w:color w:val="auto"/>
          <w:lang w:val="en-US" w:eastAsia="zh-CN"/>
        </w:rPr>
        <w:t>六</w:t>
      </w:r>
      <w:r>
        <w:rPr>
          <w:rFonts w:hint="eastAsia" w:ascii="宋体" w:hAnsi="宋体" w:eastAsia="宋体" w:cs="宋体"/>
          <w:color w:val="auto"/>
          <w:lang w:val="zh-CN"/>
        </w:rPr>
        <w:t>、投标人基本情况一览表；</w:t>
      </w:r>
    </w:p>
    <w:p w14:paraId="76E7371F">
      <w:pPr>
        <w:spacing w:line="360" w:lineRule="auto"/>
        <w:ind w:firstLine="420" w:firstLineChars="200"/>
        <w:rPr>
          <w:rFonts w:hint="eastAsia" w:ascii="宋体" w:hAnsi="宋体" w:eastAsia="宋体" w:cs="宋体"/>
          <w:color w:val="auto"/>
          <w:lang w:val="zh-CN"/>
        </w:rPr>
      </w:pPr>
      <w:r>
        <w:rPr>
          <w:rFonts w:hint="eastAsia" w:ascii="宋体" w:hAnsi="宋体" w:eastAsia="宋体" w:cs="宋体"/>
          <w:color w:val="auto"/>
          <w:lang w:val="zh-CN"/>
        </w:rPr>
        <w:t>七、投标人财务状况表；</w:t>
      </w:r>
    </w:p>
    <w:p w14:paraId="0E2E09AC">
      <w:pPr>
        <w:spacing w:line="360" w:lineRule="auto"/>
        <w:ind w:firstLine="420" w:firstLineChars="200"/>
        <w:rPr>
          <w:rFonts w:hint="eastAsia" w:ascii="宋体" w:hAnsi="宋体" w:eastAsia="宋体" w:cs="宋体"/>
          <w:color w:val="auto"/>
          <w:lang w:val="zh-CN"/>
        </w:rPr>
      </w:pPr>
      <w:r>
        <w:rPr>
          <w:rFonts w:hint="eastAsia" w:ascii="宋体" w:hAnsi="宋体" w:eastAsia="宋体" w:cs="宋体"/>
          <w:color w:val="auto"/>
          <w:lang w:eastAsia="zh-CN"/>
        </w:rPr>
        <w:t>八</w:t>
      </w:r>
      <w:r>
        <w:rPr>
          <w:rFonts w:hint="eastAsia" w:ascii="宋体" w:hAnsi="宋体" w:eastAsia="宋体" w:cs="宋体"/>
          <w:color w:val="auto"/>
          <w:lang w:val="zh-CN"/>
        </w:rPr>
        <w:t>、标准化体系认证；</w:t>
      </w:r>
    </w:p>
    <w:p w14:paraId="679C4886">
      <w:pPr>
        <w:spacing w:line="360" w:lineRule="auto"/>
        <w:ind w:firstLine="420" w:firstLineChars="200"/>
        <w:rPr>
          <w:rFonts w:hint="eastAsia" w:ascii="宋体" w:hAnsi="宋体" w:eastAsia="宋体" w:cs="宋体"/>
          <w:color w:val="auto"/>
          <w:lang w:val="zh-CN"/>
        </w:rPr>
      </w:pPr>
      <w:r>
        <w:rPr>
          <w:rFonts w:hint="eastAsia" w:ascii="宋体" w:hAnsi="宋体" w:eastAsia="宋体" w:cs="宋体"/>
          <w:color w:val="auto"/>
          <w:lang w:val="en-US" w:eastAsia="zh-CN"/>
        </w:rPr>
        <w:t>九</w:t>
      </w:r>
      <w:r>
        <w:rPr>
          <w:rFonts w:hint="eastAsia" w:ascii="宋体" w:hAnsi="宋体" w:eastAsia="宋体" w:cs="宋体"/>
          <w:color w:val="auto"/>
          <w:lang w:eastAsia="zh-CN"/>
        </w:rPr>
        <w:t>、</w:t>
      </w:r>
      <w:r>
        <w:rPr>
          <w:rFonts w:hint="eastAsia" w:ascii="宋体" w:hAnsi="宋体" w:eastAsia="宋体" w:cs="宋体"/>
          <w:color w:val="auto"/>
        </w:rPr>
        <w:t>合同条款响应程度（合同条款偏离表）；</w:t>
      </w:r>
    </w:p>
    <w:p w14:paraId="1CB17588">
      <w:pPr>
        <w:spacing w:line="360" w:lineRule="auto"/>
        <w:ind w:firstLine="420" w:firstLineChars="200"/>
        <w:rPr>
          <w:rFonts w:hint="eastAsia" w:ascii="宋体" w:hAnsi="宋体" w:eastAsia="宋体" w:cs="宋体"/>
          <w:color w:val="auto"/>
          <w:lang w:val="zh-CN"/>
        </w:rPr>
      </w:pPr>
      <w:r>
        <w:rPr>
          <w:rFonts w:hint="eastAsia" w:ascii="宋体" w:hAnsi="宋体" w:eastAsia="宋体" w:cs="宋体"/>
          <w:color w:val="auto"/>
          <w:lang w:val="en-US" w:eastAsia="zh-CN"/>
        </w:rPr>
        <w:t>十</w:t>
      </w:r>
      <w:r>
        <w:rPr>
          <w:rFonts w:hint="eastAsia" w:ascii="宋体" w:hAnsi="宋体" w:eastAsia="宋体" w:cs="宋体"/>
          <w:color w:val="auto"/>
          <w:lang w:val="zh-CN"/>
        </w:rPr>
        <w:t>、业绩表；</w:t>
      </w:r>
    </w:p>
    <w:p w14:paraId="43987E9B">
      <w:pPr>
        <w:spacing w:line="360" w:lineRule="auto"/>
        <w:ind w:firstLine="42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十一、服务便利性；</w:t>
      </w:r>
    </w:p>
    <w:p w14:paraId="4332869F">
      <w:pPr>
        <w:spacing w:line="360" w:lineRule="auto"/>
        <w:ind w:firstLine="420" w:firstLineChars="200"/>
        <w:rPr>
          <w:rFonts w:hint="eastAsia" w:ascii="宋体" w:hAnsi="宋体" w:eastAsia="宋体" w:cs="宋体"/>
          <w:b/>
          <w:bCs/>
          <w:color w:val="auto"/>
          <w:szCs w:val="21"/>
          <w:highlight w:val="none"/>
          <w:u w:val="none"/>
        </w:rPr>
      </w:pPr>
      <w:r>
        <w:rPr>
          <w:rFonts w:hint="eastAsia" w:ascii="宋体" w:hAnsi="宋体" w:eastAsia="宋体" w:cs="宋体"/>
          <w:color w:val="auto"/>
          <w:lang w:val="en-US" w:eastAsia="zh-CN"/>
        </w:rPr>
        <w:t>十二</w:t>
      </w:r>
      <w:r>
        <w:rPr>
          <w:rFonts w:hint="eastAsia" w:ascii="宋体" w:hAnsi="宋体" w:eastAsia="宋体" w:cs="宋体"/>
          <w:color w:val="auto"/>
          <w:lang w:eastAsia="zh-CN"/>
        </w:rPr>
        <w:t>、</w:t>
      </w:r>
      <w:r>
        <w:rPr>
          <w:rFonts w:hint="eastAsia" w:ascii="宋体" w:hAnsi="宋体" w:eastAsia="宋体" w:cs="宋体"/>
          <w:color w:val="auto"/>
          <w:lang w:val="zh-CN"/>
        </w:rPr>
        <w:t>投标人资格证明文件以外的其他资质证书、知识产权证书及获得的相关获奖、认证证书、社会评价资料证明文件扫描件等投标人认为有需要证明其具备为本次招标项目提供服务能力的有关其它商务文件（不做强制要求）。</w:t>
      </w:r>
      <w:r>
        <w:rPr>
          <w:rFonts w:hint="eastAsia" w:ascii="宋体" w:hAnsi="宋体" w:eastAsia="宋体" w:cs="宋体"/>
          <w:b/>
          <w:bCs/>
          <w:color w:val="auto"/>
          <w:szCs w:val="21"/>
          <w:highlight w:val="none"/>
          <w:u w:val="none"/>
        </w:rPr>
        <w:br w:type="page"/>
      </w:r>
    </w:p>
    <w:p w14:paraId="12C8B4A6">
      <w:pPr>
        <w:rPr>
          <w:rFonts w:hint="eastAsia" w:ascii="宋体" w:hAnsi="宋体" w:eastAsia="宋体" w:cs="宋体"/>
          <w:b/>
          <w:color w:val="auto"/>
          <w:kern w:val="0"/>
          <w:sz w:val="32"/>
          <w:szCs w:val="32"/>
          <w:highlight w:val="none"/>
        </w:rPr>
      </w:pPr>
    </w:p>
    <w:p w14:paraId="142A2284">
      <w:pPr>
        <w:tabs>
          <w:tab w:val="left" w:pos="567"/>
        </w:tabs>
        <w:autoSpaceDE w:val="0"/>
        <w:autoSpaceDN w:val="0"/>
        <w:adjustRightInd w:val="0"/>
        <w:spacing w:line="360" w:lineRule="auto"/>
        <w:ind w:left="357" w:leftChars="-100" w:hanging="567"/>
        <w:jc w:val="left"/>
        <w:outlineLvl w:val="1"/>
        <w:rPr>
          <w:rFonts w:hint="eastAsia" w:ascii="宋体" w:hAnsi="宋体" w:eastAsia="宋体" w:cs="宋体"/>
          <w:b/>
          <w:color w:val="auto"/>
          <w:kern w:val="0"/>
          <w:sz w:val="32"/>
          <w:szCs w:val="32"/>
          <w:highlight w:val="none"/>
        </w:rPr>
      </w:pPr>
      <w:bookmarkStart w:id="753" w:name="_Toc13281"/>
      <w:bookmarkStart w:id="754" w:name="_Toc23782"/>
      <w:bookmarkStart w:id="755" w:name="_Toc27679"/>
      <w:bookmarkStart w:id="756" w:name="_Toc9119"/>
      <w:r>
        <w:rPr>
          <w:rFonts w:hint="eastAsia" w:ascii="宋体" w:hAnsi="宋体" w:eastAsia="宋体" w:cs="宋体"/>
          <w:b/>
          <w:color w:val="auto"/>
          <w:kern w:val="0"/>
          <w:sz w:val="32"/>
          <w:szCs w:val="32"/>
          <w:highlight w:val="none"/>
        </w:rPr>
        <w:t>一、投标函格式</w:t>
      </w:r>
      <w:bookmarkEnd w:id="736"/>
      <w:bookmarkEnd w:id="737"/>
      <w:bookmarkEnd w:id="738"/>
      <w:bookmarkEnd w:id="739"/>
      <w:bookmarkEnd w:id="740"/>
      <w:bookmarkEnd w:id="741"/>
      <w:bookmarkEnd w:id="742"/>
      <w:bookmarkEnd w:id="743"/>
      <w:bookmarkEnd w:id="744"/>
      <w:bookmarkEnd w:id="745"/>
      <w:bookmarkEnd w:id="753"/>
      <w:bookmarkEnd w:id="754"/>
      <w:bookmarkEnd w:id="755"/>
      <w:bookmarkEnd w:id="756"/>
    </w:p>
    <w:p w14:paraId="44CAAE03">
      <w:pPr>
        <w:autoSpaceDE w:val="0"/>
        <w:autoSpaceDN w:val="0"/>
        <w:adjustRightInd w:val="0"/>
        <w:spacing w:line="360" w:lineRule="auto"/>
        <w:jc w:val="center"/>
        <w:outlineLvl w:val="9"/>
        <w:rPr>
          <w:rFonts w:hint="eastAsia" w:ascii="宋体" w:hAnsi="宋体" w:eastAsia="宋体" w:cs="宋体"/>
          <w:b/>
          <w:bCs/>
          <w:color w:val="auto"/>
          <w:sz w:val="30"/>
          <w:szCs w:val="30"/>
          <w:highlight w:val="none"/>
        </w:rPr>
      </w:pPr>
      <w:bookmarkStart w:id="757" w:name="_Toc16695_WPSOffice_Level3"/>
      <w:r>
        <w:rPr>
          <w:rFonts w:hint="eastAsia" w:ascii="宋体" w:hAnsi="宋体" w:eastAsia="宋体" w:cs="宋体"/>
          <w:b/>
          <w:bCs/>
          <w:color w:val="auto"/>
          <w:sz w:val="30"/>
          <w:szCs w:val="30"/>
          <w:highlight w:val="none"/>
          <w:lang w:val="zh-CN"/>
        </w:rPr>
        <w:t>投 标 函</w:t>
      </w:r>
      <w:bookmarkEnd w:id="757"/>
    </w:p>
    <w:p w14:paraId="763970EF">
      <w:pPr>
        <w:autoSpaceDE w:val="0"/>
        <w:autoSpaceDN w:val="0"/>
        <w:adjustRightInd w:val="0"/>
        <w:spacing w:line="360" w:lineRule="auto"/>
        <w:outlineLvl w:val="9"/>
        <w:rPr>
          <w:rFonts w:hint="eastAsia" w:ascii="宋体" w:hAnsi="宋体" w:eastAsia="宋体" w:cs="宋体"/>
          <w:color w:val="auto"/>
          <w:szCs w:val="21"/>
          <w:highlight w:val="none"/>
          <w:lang w:val="zh-CN"/>
        </w:rPr>
      </w:pPr>
    </w:p>
    <w:p w14:paraId="695A60AE">
      <w:pPr>
        <w:autoSpaceDE w:val="0"/>
        <w:autoSpaceDN w:val="0"/>
        <w:adjustRightInd w:val="0"/>
        <w:spacing w:line="360" w:lineRule="auto"/>
        <w:outlineLvl w:val="9"/>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lang w:eastAsia="zh-CN"/>
        </w:rPr>
        <w:t>东莞市置拓投资有限公司</w:t>
      </w:r>
    </w:p>
    <w:p w14:paraId="2044033F">
      <w:pPr>
        <w:autoSpaceDE w:val="0"/>
        <w:autoSpaceDN w:val="0"/>
        <w:adjustRightInd w:val="0"/>
        <w:spacing w:line="360" w:lineRule="auto"/>
        <w:outlineLvl w:val="9"/>
        <w:rPr>
          <w:rFonts w:hint="eastAsia" w:ascii="宋体" w:hAnsi="宋体" w:eastAsia="宋体" w:cs="宋体"/>
          <w:color w:val="auto"/>
          <w:szCs w:val="21"/>
          <w:highlight w:val="none"/>
        </w:rPr>
      </w:pPr>
    </w:p>
    <w:p w14:paraId="6FA81E5B">
      <w:pPr>
        <w:wordWrap w:val="0"/>
        <w:autoSpaceDE w:val="0"/>
        <w:autoSpaceDN w:val="0"/>
        <w:adjustRightInd w:val="0"/>
        <w:spacing w:line="360" w:lineRule="auto"/>
        <w:ind w:firstLine="42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lang w:eastAsia="zh-CN"/>
        </w:rPr>
        <w:t>东莞市置拓投资有限公司水业大厦2026-2027年度物业管理服务采购项目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14:paraId="7F25FE4C">
      <w:pPr>
        <w:autoSpaceDE w:val="0"/>
        <w:autoSpaceDN w:val="0"/>
        <w:adjustRightInd w:val="0"/>
        <w:spacing w:line="360" w:lineRule="auto"/>
        <w:ind w:firstLine="42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14:paraId="005403C1">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（—）我方决定参加招标编号为</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zh-CN"/>
        </w:rPr>
        <w:t>的投标；</w:t>
      </w:r>
    </w:p>
    <w:p w14:paraId="04E7F431">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14:paraId="73E53E08">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14:paraId="60EDAD74">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w:t>
      </w:r>
      <w:r>
        <w:rPr>
          <w:rFonts w:hint="eastAsia" w:ascii="宋体" w:hAnsi="宋体" w:eastAsia="宋体" w:cs="宋体"/>
          <w:color w:val="auto"/>
          <w:szCs w:val="21"/>
          <w:highlight w:val="none"/>
          <w:lang w:val="en-US" w:eastAsia="zh-CN"/>
        </w:rPr>
        <w:t>回</w:t>
      </w:r>
      <w:r>
        <w:rPr>
          <w:rFonts w:hint="eastAsia" w:ascii="宋体" w:hAnsi="宋体" w:eastAsia="宋体" w:cs="宋体"/>
          <w:color w:val="auto"/>
          <w:szCs w:val="21"/>
          <w:highlight w:val="none"/>
          <w:lang w:val="zh-CN"/>
        </w:rPr>
        <w:t>投标，则不予退还我方投标保证金；</w:t>
      </w:r>
    </w:p>
    <w:p w14:paraId="27873C06">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14:paraId="475709D9">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14:paraId="1B9E9FBC">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14:paraId="0114940B">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001A0C90">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62FD38A6">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14:paraId="0DCE3A14">
      <w:pPr>
        <w:autoSpaceDE w:val="0"/>
        <w:autoSpaceDN w:val="0"/>
        <w:adjustRightInd w:val="0"/>
        <w:spacing w:line="360" w:lineRule="auto"/>
        <w:ind w:firstLine="315" w:firstLineChars="150"/>
        <w:outlineLvl w:val="9"/>
        <w:rPr>
          <w:rFonts w:hint="eastAsia" w:ascii="宋体" w:hAnsi="宋体" w:eastAsia="宋体" w:cs="宋体"/>
          <w:color w:val="auto"/>
          <w:szCs w:val="21"/>
          <w:highlight w:val="none"/>
          <w:lang w:val="zh-CN"/>
        </w:rPr>
      </w:pPr>
      <w:bookmarkStart w:id="758" w:name="_Toc3743"/>
      <w:r>
        <w:rPr>
          <w:rFonts w:hint="eastAsia" w:ascii="宋体" w:hAnsi="宋体" w:eastAsia="宋体" w:cs="宋体"/>
          <w:color w:val="auto"/>
          <w:szCs w:val="21"/>
          <w:highlight w:val="none"/>
          <w:lang w:val="zh-CN"/>
        </w:rPr>
        <w:t>（十一）所有与本投标有关的函件请发往下列地址：</w:t>
      </w:r>
      <w:bookmarkEnd w:id="758"/>
    </w:p>
    <w:p w14:paraId="47AAA001">
      <w:pPr>
        <w:autoSpaceDE w:val="0"/>
        <w:autoSpaceDN w:val="0"/>
        <w:adjustRightInd w:val="0"/>
        <w:spacing w:line="360" w:lineRule="auto"/>
        <w:ind w:left="395" w:leftChars="-12" w:hanging="420" w:hangingChars="200"/>
        <w:outlineLvl w:val="9"/>
        <w:rPr>
          <w:rFonts w:hint="eastAsia" w:ascii="宋体" w:hAnsi="宋体" w:eastAsia="宋体" w:cs="宋体"/>
          <w:color w:val="auto"/>
          <w:szCs w:val="21"/>
          <w:highlight w:val="none"/>
          <w:u w:val="single"/>
          <w:lang w:val="zh-CN"/>
        </w:rPr>
      </w:pPr>
    </w:p>
    <w:p w14:paraId="10682A37">
      <w:pPr>
        <w:autoSpaceDE w:val="0"/>
        <w:autoSpaceDN w:val="0"/>
        <w:adjustRightInd w:val="0"/>
        <w:spacing w:line="360" w:lineRule="auto"/>
        <w:ind w:firstLine="420" w:firstLineChars="200"/>
        <w:outlineLvl w:val="9"/>
        <w:rPr>
          <w:rFonts w:hint="eastAsia"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4E2735D5">
      <w:pPr>
        <w:autoSpaceDE w:val="0"/>
        <w:autoSpaceDN w:val="0"/>
        <w:adjustRightInd w:val="0"/>
        <w:spacing w:line="360" w:lineRule="auto"/>
        <w:ind w:firstLine="420" w:firstLineChars="20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717D99B7">
      <w:pPr>
        <w:autoSpaceDE w:val="0"/>
        <w:autoSpaceDN w:val="0"/>
        <w:adjustRightInd w:val="0"/>
        <w:spacing w:line="360" w:lineRule="auto"/>
        <w:ind w:firstLine="420" w:firstLineChars="20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34FFF026">
      <w:pPr>
        <w:autoSpaceDE w:val="0"/>
        <w:autoSpaceDN w:val="0"/>
        <w:adjustRightInd w:val="0"/>
        <w:spacing w:line="360" w:lineRule="auto"/>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49D54AAD">
      <w:pPr>
        <w:autoSpaceDE w:val="0"/>
        <w:autoSpaceDN w:val="0"/>
        <w:adjustRightInd w:val="0"/>
        <w:spacing w:line="360" w:lineRule="auto"/>
        <w:ind w:firstLine="4960" w:firstLineChars="2362"/>
        <w:outlineLvl w:val="9"/>
        <w:rPr>
          <w:rFonts w:hint="eastAsia" w:ascii="宋体" w:hAnsi="宋体" w:eastAsia="宋体" w:cs="宋体"/>
          <w:color w:val="auto"/>
          <w:szCs w:val="21"/>
          <w:highlight w:val="none"/>
          <w:lang w:val="zh-CN"/>
        </w:rPr>
      </w:pPr>
    </w:p>
    <w:p w14:paraId="57EEE696">
      <w:pPr>
        <w:autoSpaceDE w:val="0"/>
        <w:autoSpaceDN w:val="0"/>
        <w:adjustRightInd w:val="0"/>
        <w:spacing w:line="360" w:lineRule="auto"/>
        <w:ind w:firstLine="4960" w:firstLineChars="236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4005689F">
      <w:pPr>
        <w:autoSpaceDE w:val="0"/>
        <w:autoSpaceDN w:val="0"/>
        <w:adjustRightInd w:val="0"/>
        <w:spacing w:line="360" w:lineRule="auto"/>
        <w:ind w:firstLine="4960" w:firstLineChars="236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（电子签名）</w:t>
      </w:r>
    </w:p>
    <w:p w14:paraId="64094F98">
      <w:pPr>
        <w:autoSpaceDE w:val="0"/>
        <w:autoSpaceDN w:val="0"/>
        <w:adjustRightInd w:val="0"/>
        <w:spacing w:line="360" w:lineRule="auto"/>
        <w:ind w:firstLine="4960" w:firstLineChars="2362"/>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25480FA0">
      <w:pPr>
        <w:tabs>
          <w:tab w:val="left" w:pos="567"/>
        </w:tabs>
        <w:autoSpaceDE w:val="0"/>
        <w:autoSpaceDN w:val="0"/>
        <w:adjustRightInd w:val="0"/>
        <w:spacing w:line="360" w:lineRule="auto"/>
        <w:ind w:left="357" w:leftChars="-100" w:hanging="567"/>
        <w:jc w:val="center"/>
        <w:outlineLvl w:val="9"/>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说明：由投标人使用投标人的企业数字证书，法定代表人或其授权代表数字证书电子签名。</w:t>
      </w:r>
    </w:p>
    <w:p w14:paraId="70CC6AE5">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bookmarkStart w:id="759" w:name="_Toc142508363"/>
      <w:bookmarkStart w:id="760" w:name="_Toc28613_WPSOffice_Level2"/>
      <w:bookmarkStart w:id="761" w:name="_Toc94107203"/>
      <w:bookmarkStart w:id="762" w:name="_Toc140596922"/>
      <w:bookmarkStart w:id="763" w:name="_Toc102860068"/>
      <w:bookmarkStart w:id="764" w:name="_Toc102860412"/>
      <w:bookmarkStart w:id="765" w:name="_Toc1977722"/>
      <w:bookmarkStart w:id="766" w:name="_Toc486167710"/>
      <w:bookmarkStart w:id="767" w:name="_Toc12417"/>
      <w:bookmarkStart w:id="768" w:name="_Toc533708122"/>
      <w:bookmarkStart w:id="769" w:name="_Toc30995"/>
      <w:bookmarkStart w:id="770" w:name="_Toc3104"/>
      <w:bookmarkStart w:id="771" w:name="_Toc104991869"/>
    </w:p>
    <w:p w14:paraId="7DBB2418">
      <w:pPr>
        <w:tabs>
          <w:tab w:val="left" w:pos="567"/>
        </w:tabs>
        <w:autoSpaceDE w:val="0"/>
        <w:autoSpaceDN w:val="0"/>
        <w:adjustRightInd w:val="0"/>
        <w:spacing w:line="360" w:lineRule="auto"/>
        <w:ind w:left="357" w:leftChars="-100" w:hanging="567"/>
        <w:jc w:val="left"/>
        <w:outlineLvl w:val="1"/>
        <w:rPr>
          <w:rFonts w:hint="eastAsia" w:ascii="宋体" w:hAnsi="宋体" w:eastAsia="宋体" w:cs="宋体"/>
          <w:b/>
          <w:color w:val="auto"/>
          <w:kern w:val="0"/>
          <w:sz w:val="32"/>
          <w:szCs w:val="32"/>
          <w:highlight w:val="none"/>
        </w:rPr>
      </w:pPr>
      <w:bookmarkStart w:id="772" w:name="_Toc22497"/>
      <w:r>
        <w:rPr>
          <w:rFonts w:hint="eastAsia" w:ascii="宋体" w:hAnsi="宋体" w:eastAsia="宋体" w:cs="宋体"/>
          <w:b/>
          <w:color w:val="auto"/>
          <w:kern w:val="0"/>
          <w:sz w:val="32"/>
          <w:szCs w:val="32"/>
          <w:highlight w:val="none"/>
        </w:rPr>
        <w:t>二、投标承诺书格式</w:t>
      </w:r>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p>
    <w:p w14:paraId="18523EC3">
      <w:pPr>
        <w:autoSpaceDE w:val="0"/>
        <w:autoSpaceDN w:val="0"/>
        <w:adjustRightInd w:val="0"/>
        <w:spacing w:line="360" w:lineRule="auto"/>
        <w:jc w:val="center"/>
        <w:outlineLvl w:val="9"/>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投标承诺书</w:t>
      </w:r>
    </w:p>
    <w:p w14:paraId="51BDCA7B">
      <w:pPr>
        <w:widowControl/>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p>
    <w:p w14:paraId="57D841D1">
      <w:pPr>
        <w:widowControl/>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（投标人名称）已完整阅读了</w:t>
      </w:r>
      <w:r>
        <w:rPr>
          <w:rFonts w:hint="eastAsia" w:ascii="宋体" w:hAnsi="宋体" w:eastAsia="宋体" w:cs="宋体"/>
          <w:color w:val="auto"/>
          <w:kern w:val="0"/>
          <w:szCs w:val="21"/>
          <w:highlight w:val="none"/>
          <w:u w:val="single"/>
          <w:lang w:eastAsia="zh-CN"/>
        </w:rPr>
        <w:t>东莞市置拓投资有限公司水业大厦2026-2027年度物业管理服务采购项目</w:t>
      </w:r>
      <w:r>
        <w:rPr>
          <w:rFonts w:hint="eastAsia" w:ascii="宋体" w:hAnsi="宋体" w:eastAsia="宋体" w:cs="宋体"/>
          <w:color w:val="auto"/>
          <w:kern w:val="0"/>
          <w:szCs w:val="21"/>
          <w:highlight w:val="none"/>
        </w:rPr>
        <w:t>（招标编号：</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宋体"/>
          <w:color w:val="auto"/>
          <w:kern w:val="0"/>
          <w:szCs w:val="21"/>
          <w:highlight w:val="none"/>
          <w:lang w:eastAsia="zh-CN"/>
        </w:rPr>
        <w:t>异议</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cr/>
      </w:r>
      <w:r>
        <w:rPr>
          <w:rFonts w:hint="eastAsia" w:ascii="宋体" w:hAnsi="宋体" w:eastAsia="宋体" w:cs="宋体"/>
          <w:color w:val="auto"/>
          <w:kern w:val="0"/>
          <w:szCs w:val="21"/>
          <w:highlight w:val="none"/>
        </w:rPr>
        <w:t xml:space="preserve">    我方承诺，若我方存在通过弄虚作假、虚假响应招标文件要求等手段骗取中标的，招标人有权或协助主管部门认定我方严重失信的不良行为，纳入相关企业信用“黑名单”，限制我方参与依法必须招标项目的投标，并向行政主管部门报送结果。同时，招标人有权根据《关于对环境保护领域失信生产经营单位及其有关人员开展联合惩戒的合作备忘录》等规定，通过“信用中国”网站向社会公示我方的失信行为，实现“一处失信、处处受限”。</w:t>
      </w:r>
    </w:p>
    <w:p w14:paraId="21D57BF6">
      <w:pPr>
        <w:widowControl/>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若我方在投标或履行本合同过程中存在提供虚假材料、虚假响应招标文件要求等弄虚作假行为，或未能根据招标文件投标人须知第29.2款约定按时提供原件核查的，因此导致我方无法参与</w:t>
      </w:r>
      <w:r>
        <w:rPr>
          <w:rFonts w:hint="eastAsia" w:ascii="宋体" w:hAnsi="宋体" w:eastAsia="宋体" w:cs="宋体"/>
          <w:color w:val="auto"/>
          <w:kern w:val="0"/>
          <w:szCs w:val="21"/>
          <w:highlight w:val="none"/>
          <w:lang w:eastAsia="zh-CN"/>
        </w:rPr>
        <w:t>东莞市水务环境投资控股集团有限公司</w:t>
      </w:r>
      <w:r>
        <w:rPr>
          <w:rFonts w:hint="eastAsia" w:ascii="宋体" w:hAnsi="宋体" w:eastAsia="宋体" w:cs="宋体"/>
          <w:color w:val="auto"/>
          <w:kern w:val="0"/>
          <w:szCs w:val="21"/>
          <w:highlight w:val="none"/>
        </w:rPr>
        <w:t>相关招标采购活动的，由我方自行承担全部后果。</w:t>
      </w:r>
    </w:p>
    <w:p w14:paraId="66E56950">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p>
    <w:p w14:paraId="3955CE93">
      <w:pPr>
        <w:autoSpaceDE w:val="0"/>
        <w:autoSpaceDN w:val="0"/>
        <w:adjustRightInd w:val="0"/>
        <w:spacing w:line="360" w:lineRule="auto"/>
        <w:jc w:val="left"/>
        <w:outlineLvl w:val="9"/>
        <w:rPr>
          <w:rFonts w:hint="eastAsia" w:ascii="宋体" w:hAnsi="宋体" w:eastAsia="宋体" w:cs="宋体"/>
          <w:color w:val="auto"/>
          <w:kern w:val="0"/>
          <w:sz w:val="24"/>
          <w:szCs w:val="24"/>
          <w:highlight w:val="none"/>
        </w:rPr>
      </w:pPr>
    </w:p>
    <w:p w14:paraId="651D4BF0">
      <w:pPr>
        <w:autoSpaceDE w:val="0"/>
        <w:autoSpaceDN w:val="0"/>
        <w:adjustRightInd w:val="0"/>
        <w:spacing w:line="360" w:lineRule="auto"/>
        <w:jc w:val="left"/>
        <w:outlineLvl w:val="9"/>
        <w:rPr>
          <w:rFonts w:hint="eastAsia" w:ascii="宋体" w:hAnsi="宋体" w:eastAsia="宋体" w:cs="宋体"/>
          <w:color w:val="auto"/>
          <w:kern w:val="0"/>
          <w:sz w:val="24"/>
          <w:szCs w:val="24"/>
          <w:highlight w:val="none"/>
        </w:rPr>
      </w:pPr>
    </w:p>
    <w:p w14:paraId="3FDB9E4D">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15D9B213">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（电子签名）</w:t>
      </w:r>
    </w:p>
    <w:p w14:paraId="78E1C439">
      <w:pPr>
        <w:autoSpaceDE w:val="0"/>
        <w:autoSpaceDN w:val="0"/>
        <w:adjustRightInd w:val="0"/>
        <w:spacing w:line="360" w:lineRule="auto"/>
        <w:ind w:firstLine="4960" w:firstLineChars="2362"/>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387ABAE3">
      <w:pPr>
        <w:autoSpaceDE w:val="0"/>
        <w:autoSpaceDN w:val="0"/>
        <w:adjustRightInd w:val="0"/>
        <w:spacing w:line="360" w:lineRule="auto"/>
        <w:jc w:val="center"/>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说明：由投标人使用投标人的企业数字证书，法定代表人或其授权代表数字证书电子签名。</w:t>
      </w:r>
    </w:p>
    <w:p w14:paraId="055040B4">
      <w:pPr>
        <w:autoSpaceDE w:val="0"/>
        <w:autoSpaceDN w:val="0"/>
        <w:adjustRightInd w:val="0"/>
        <w:spacing w:line="360" w:lineRule="auto"/>
        <w:jc w:val="left"/>
        <w:rPr>
          <w:rFonts w:hint="eastAsia" w:ascii="宋体" w:hAnsi="宋体" w:eastAsia="宋体" w:cs="宋体"/>
          <w:color w:val="auto"/>
          <w:kern w:val="0"/>
          <w:sz w:val="24"/>
          <w:szCs w:val="24"/>
          <w:highlight w:val="none"/>
        </w:rPr>
      </w:pPr>
    </w:p>
    <w:p w14:paraId="6163F38A">
      <w:pPr>
        <w:autoSpaceDE w:val="0"/>
        <w:autoSpaceDN w:val="0"/>
        <w:adjustRightInd w:val="0"/>
        <w:spacing w:line="360" w:lineRule="auto"/>
        <w:ind w:firstLine="480" w:firstLineChars="200"/>
        <w:jc w:val="left"/>
        <w:outlineLvl w:val="9"/>
        <w:rPr>
          <w:rFonts w:hint="eastAsia" w:ascii="宋体" w:hAnsi="宋体" w:eastAsia="宋体" w:cs="宋体"/>
          <w:color w:val="auto"/>
          <w:kern w:val="0"/>
          <w:sz w:val="24"/>
          <w:szCs w:val="24"/>
          <w:highlight w:val="none"/>
        </w:rPr>
      </w:pPr>
    </w:p>
    <w:p w14:paraId="16453300">
      <w:pPr>
        <w:autoSpaceDE w:val="0"/>
        <w:autoSpaceDN w:val="0"/>
        <w:adjustRightInd w:val="0"/>
        <w:spacing w:line="360" w:lineRule="auto"/>
        <w:jc w:val="left"/>
        <w:outlineLvl w:val="9"/>
        <w:rPr>
          <w:rFonts w:hint="eastAsia" w:ascii="宋体" w:hAnsi="宋体" w:eastAsia="宋体" w:cs="宋体"/>
          <w:color w:val="auto"/>
          <w:kern w:val="0"/>
          <w:sz w:val="24"/>
          <w:szCs w:val="24"/>
          <w:highlight w:val="none"/>
        </w:rPr>
      </w:pPr>
    </w:p>
    <w:p w14:paraId="6321D1A1">
      <w:pPr>
        <w:autoSpaceDE w:val="0"/>
        <w:autoSpaceDN w:val="0"/>
        <w:adjustRightInd w:val="0"/>
        <w:spacing w:line="360" w:lineRule="auto"/>
        <w:jc w:val="left"/>
        <w:outlineLvl w:val="9"/>
        <w:rPr>
          <w:rFonts w:hint="eastAsia" w:ascii="宋体" w:hAnsi="宋体" w:eastAsia="宋体" w:cs="宋体"/>
          <w:color w:val="auto"/>
          <w:kern w:val="0"/>
          <w:sz w:val="24"/>
          <w:szCs w:val="24"/>
          <w:highlight w:val="none"/>
        </w:rPr>
      </w:pPr>
      <w:bookmarkStart w:id="773" w:name="_Toc316896755"/>
      <w:bookmarkStart w:id="774" w:name="_Toc311032584"/>
      <w:bookmarkStart w:id="775" w:name="_Toc326768876"/>
    </w:p>
    <w:p w14:paraId="2A6AC676">
      <w:pPr>
        <w:rPr>
          <w:rFonts w:hint="eastAsia" w:ascii="宋体" w:hAnsi="宋体" w:eastAsia="宋体" w:cs="宋体"/>
          <w:b/>
          <w:color w:val="auto"/>
          <w:kern w:val="44"/>
          <w:sz w:val="32"/>
          <w:szCs w:val="32"/>
          <w:highlight w:val="none"/>
        </w:rPr>
      </w:pPr>
      <w:bookmarkStart w:id="776" w:name="_Toc94107204"/>
      <w:bookmarkStart w:id="777" w:name="_Toc86764083"/>
      <w:bookmarkStart w:id="778" w:name="_Toc102860413"/>
      <w:bookmarkStart w:id="779" w:name="_Toc24336"/>
      <w:bookmarkStart w:id="780" w:name="_Toc5075"/>
      <w:bookmarkStart w:id="781" w:name="_Toc142508364"/>
      <w:bookmarkStart w:id="782" w:name="_Toc82182546"/>
      <w:bookmarkStart w:id="783" w:name="_Toc140596923"/>
      <w:bookmarkStart w:id="784" w:name="_Toc104991870"/>
      <w:bookmarkStart w:id="785" w:name="_Toc102860069"/>
      <w:bookmarkStart w:id="786" w:name="_Toc16764"/>
      <w:bookmarkStart w:id="787" w:name="_Toc29910"/>
      <w:bookmarkStart w:id="788" w:name="_Toc486167711"/>
      <w:bookmarkStart w:id="789" w:name="_Toc533708123"/>
      <w:bookmarkStart w:id="790" w:name="_Toc7024_WPSOffice_Level2"/>
      <w:bookmarkStart w:id="791" w:name="_Toc1977723"/>
      <w:r>
        <w:rPr>
          <w:rFonts w:hint="eastAsia" w:ascii="宋体" w:hAnsi="宋体" w:eastAsia="宋体" w:cs="宋体"/>
          <w:b/>
          <w:color w:val="auto"/>
          <w:kern w:val="44"/>
          <w:sz w:val="32"/>
          <w:szCs w:val="32"/>
          <w:highlight w:val="none"/>
        </w:rPr>
        <w:br w:type="page"/>
      </w:r>
    </w:p>
    <w:p w14:paraId="310A3225">
      <w:pPr>
        <w:pageBreakBefore/>
        <w:autoSpaceDE w:val="0"/>
        <w:autoSpaceDN w:val="0"/>
        <w:adjustRightInd w:val="0"/>
        <w:spacing w:line="360" w:lineRule="auto"/>
        <w:jc w:val="left"/>
        <w:outlineLvl w:val="1"/>
        <w:rPr>
          <w:rFonts w:hint="eastAsia" w:ascii="宋体" w:hAnsi="宋体" w:eastAsia="宋体" w:cs="宋体"/>
          <w:b/>
          <w:color w:val="auto"/>
          <w:kern w:val="44"/>
          <w:sz w:val="32"/>
          <w:szCs w:val="32"/>
          <w:highlight w:val="none"/>
        </w:rPr>
      </w:pPr>
      <w:r>
        <w:rPr>
          <w:rFonts w:hint="eastAsia" w:ascii="宋体" w:hAnsi="宋体" w:eastAsia="宋体" w:cs="宋体"/>
          <w:b/>
          <w:color w:val="auto"/>
          <w:kern w:val="44"/>
          <w:sz w:val="32"/>
          <w:szCs w:val="32"/>
          <w:highlight w:val="none"/>
          <w:lang w:val="en-US" w:eastAsia="zh-CN"/>
        </w:rPr>
        <w:t>三</w:t>
      </w:r>
      <w:r>
        <w:rPr>
          <w:rFonts w:hint="eastAsia" w:ascii="宋体" w:hAnsi="宋体" w:eastAsia="宋体" w:cs="宋体"/>
          <w:b/>
          <w:color w:val="auto"/>
          <w:kern w:val="44"/>
          <w:sz w:val="32"/>
          <w:szCs w:val="32"/>
          <w:highlight w:val="none"/>
        </w:rPr>
        <w:t>、供货及/或提供服务过程承诺函格式</w:t>
      </w:r>
    </w:p>
    <w:p w14:paraId="64115601">
      <w:pPr>
        <w:autoSpaceDE w:val="0"/>
        <w:autoSpaceDN w:val="0"/>
        <w:adjustRightInd w:val="0"/>
        <w:spacing w:line="360" w:lineRule="auto"/>
        <w:jc w:val="center"/>
        <w:outlineLvl w:val="9"/>
        <w:rPr>
          <w:rFonts w:hint="eastAsia"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14:paraId="01F3C84F">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lang w:eastAsia="zh-CN"/>
        </w:rPr>
        <w:t>东莞市置拓投资有限公司</w:t>
      </w:r>
      <w:r>
        <w:rPr>
          <w:rFonts w:hint="eastAsia" w:ascii="宋体" w:hAnsi="宋体" w:eastAsia="宋体" w:cs="宋体"/>
          <w:color w:val="auto"/>
          <w:kern w:val="0"/>
          <w:szCs w:val="21"/>
          <w:highlight w:val="none"/>
        </w:rPr>
        <w:t>：</w:t>
      </w:r>
    </w:p>
    <w:p w14:paraId="261ADECB">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宋体"/>
          <w:color w:val="auto"/>
          <w:kern w:val="0"/>
          <w:szCs w:val="21"/>
          <w:highlight w:val="none"/>
          <w:lang w:eastAsia="zh-CN"/>
        </w:rPr>
        <w:t>东莞市置拓投资有限公司水业大厦2026-2027年度物业管理服务采购项目</w:t>
      </w:r>
      <w:r>
        <w:rPr>
          <w:rFonts w:hint="eastAsia" w:ascii="宋体" w:hAnsi="宋体" w:eastAsia="宋体" w:cs="宋体"/>
          <w:color w:val="auto"/>
          <w:kern w:val="0"/>
          <w:szCs w:val="21"/>
          <w:highlight w:val="none"/>
        </w:rPr>
        <w:t>(招标编号：</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14:paraId="3AB09E60">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14:paraId="38AB0BA2">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14:paraId="14F9954D">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27D58FB6">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7C6ED852">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2C04049C">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12666816">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14:paraId="7BB1EF7F">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14:paraId="49C8B519">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1202C232">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14:paraId="313826AB">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14:paraId="01C91AD2">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14:paraId="79853122">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130E7659">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14:paraId="0A4FD066">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14:paraId="707FAC22">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2D83F02B">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1861ADDE">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14:paraId="120DB9E8">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3FC29E15">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w:t>
      </w:r>
      <w:r>
        <w:rPr>
          <w:rFonts w:hint="eastAsia" w:ascii="宋体" w:hAnsi="宋体" w:eastAsia="宋体" w:cs="宋体"/>
          <w:color w:val="auto"/>
          <w:kern w:val="0"/>
          <w:szCs w:val="21"/>
          <w:highlight w:val="none"/>
          <w:lang w:val="en-US" w:eastAsia="zh-CN"/>
        </w:rPr>
        <w:t>2000</w:t>
      </w:r>
      <w:r>
        <w:rPr>
          <w:rFonts w:hint="eastAsia" w:ascii="宋体" w:hAnsi="宋体" w:eastAsia="宋体" w:cs="宋体"/>
          <w:color w:val="auto"/>
          <w:kern w:val="0"/>
          <w:szCs w:val="21"/>
          <w:highlight w:val="none"/>
        </w:rPr>
        <w:t>元/次作为违约金。</w:t>
      </w:r>
    </w:p>
    <w:p w14:paraId="65206AC7">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08770785">
      <w:pPr>
        <w:autoSpaceDE w:val="0"/>
        <w:autoSpaceDN w:val="0"/>
        <w:adjustRightInd w:val="0"/>
        <w:spacing w:line="360" w:lineRule="auto"/>
        <w:ind w:firstLine="504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77E2C318">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4B8B954C">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（电子签名）</w:t>
      </w:r>
    </w:p>
    <w:p w14:paraId="374C133E">
      <w:pPr>
        <w:autoSpaceDE w:val="0"/>
        <w:autoSpaceDN w:val="0"/>
        <w:adjustRightInd w:val="0"/>
        <w:spacing w:line="360" w:lineRule="auto"/>
        <w:ind w:firstLine="4960" w:firstLineChars="2362"/>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55B08FE1">
      <w:pPr>
        <w:autoSpaceDE w:val="0"/>
        <w:autoSpaceDN w:val="0"/>
        <w:adjustRightInd w:val="0"/>
        <w:spacing w:line="360" w:lineRule="auto"/>
        <w:jc w:val="center"/>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说明：由投标人使用投标人的企业数字证书，法定代表人或其授权代表数字证书电子签名。</w:t>
      </w:r>
    </w:p>
    <w:p w14:paraId="15A477C9">
      <w:pPr>
        <w:pageBreakBefore/>
        <w:autoSpaceDE w:val="0"/>
        <w:autoSpaceDN w:val="0"/>
        <w:adjustRightInd w:val="0"/>
        <w:spacing w:line="360" w:lineRule="auto"/>
        <w:jc w:val="left"/>
        <w:outlineLvl w:val="1"/>
        <w:rPr>
          <w:rFonts w:ascii="宋体" w:hAnsi="宋体" w:eastAsia="宋体" w:cs="宋体"/>
          <w:color w:val="auto"/>
          <w:sz w:val="32"/>
          <w:szCs w:val="32"/>
        </w:rPr>
      </w:pPr>
      <w:r>
        <w:rPr>
          <w:rFonts w:hint="eastAsia" w:ascii="宋体" w:hAnsi="宋体" w:eastAsia="宋体" w:cs="宋体"/>
          <w:b/>
          <w:bCs/>
          <w:color w:val="auto"/>
          <w:spacing w:val="-3"/>
          <w:sz w:val="32"/>
          <w:szCs w:val="32"/>
          <w:lang w:val="en-US" w:eastAsia="zh-CN"/>
        </w:rPr>
        <w:t>四</w:t>
      </w:r>
      <w:r>
        <w:rPr>
          <w:rFonts w:ascii="宋体" w:hAnsi="宋体" w:eastAsia="宋体" w:cs="宋体"/>
          <w:b/>
          <w:bCs/>
          <w:color w:val="auto"/>
          <w:spacing w:val="-3"/>
          <w:sz w:val="32"/>
          <w:szCs w:val="32"/>
        </w:rPr>
        <w:t>、投标报价表格式</w:t>
      </w:r>
    </w:p>
    <w:p w14:paraId="6155887F">
      <w:pPr>
        <w:spacing w:before="242" w:line="218" w:lineRule="auto"/>
        <w:ind w:left="4379"/>
        <w:rPr>
          <w:rFonts w:ascii="宋体" w:hAnsi="宋体" w:eastAsia="宋体" w:cs="宋体"/>
          <w:color w:val="auto"/>
          <w:sz w:val="32"/>
          <w:szCs w:val="32"/>
        </w:rPr>
      </w:pPr>
      <w:r>
        <w:rPr>
          <w:rFonts w:hint="eastAsia" w:ascii="宋体" w:hAnsi="宋体" w:eastAsia="宋体" w:cs="宋体"/>
          <w:b/>
          <w:bCs/>
          <w:color w:val="auto"/>
          <w:spacing w:val="-3"/>
          <w:sz w:val="32"/>
          <w:szCs w:val="32"/>
          <w:lang w:val="en-US" w:eastAsia="zh-CN"/>
        </w:rPr>
        <w:t>4.</w:t>
      </w:r>
      <w:r>
        <w:rPr>
          <w:rFonts w:ascii="宋体" w:hAnsi="宋体" w:eastAsia="宋体" w:cs="宋体"/>
          <w:b/>
          <w:bCs/>
          <w:color w:val="auto"/>
          <w:spacing w:val="-3"/>
          <w:sz w:val="32"/>
          <w:szCs w:val="32"/>
        </w:rPr>
        <w:t>1</w:t>
      </w:r>
      <w:r>
        <w:rPr>
          <w:rFonts w:ascii="宋体" w:hAnsi="宋体" w:eastAsia="宋体" w:cs="宋体"/>
          <w:color w:val="auto"/>
          <w:spacing w:val="-3"/>
          <w:sz w:val="32"/>
          <w:szCs w:val="32"/>
        </w:rPr>
        <w:t xml:space="preserve"> </w:t>
      </w:r>
      <w:r>
        <w:rPr>
          <w:rFonts w:ascii="宋体" w:hAnsi="宋体" w:eastAsia="宋体" w:cs="宋体"/>
          <w:b/>
          <w:bCs/>
          <w:color w:val="auto"/>
          <w:spacing w:val="-3"/>
          <w:sz w:val="32"/>
          <w:szCs w:val="32"/>
        </w:rPr>
        <w:t>投标报价表</w:t>
      </w:r>
    </w:p>
    <w:p w14:paraId="757A361C">
      <w:pPr>
        <w:keepNext w:val="0"/>
        <w:keepLines w:val="0"/>
        <w:pageBreakBefore w:val="0"/>
        <w:widowControl w:val="0"/>
        <w:kinsoku/>
        <w:wordWrap/>
        <w:overflowPunct/>
        <w:topLinePunct w:val="0"/>
        <w:autoSpaceDE/>
        <w:autoSpaceDN/>
        <w:bidi w:val="0"/>
        <w:adjustRightInd/>
        <w:snapToGrid/>
        <w:spacing w:before="65" w:line="360" w:lineRule="auto"/>
        <w:ind w:left="1047"/>
        <w:textAlignment w:val="auto"/>
        <w:rPr>
          <w:rFonts w:ascii="宋体" w:hAnsi="宋体" w:eastAsia="宋体" w:cs="宋体"/>
          <w:color w:val="auto"/>
          <w:sz w:val="20"/>
          <w:szCs w:val="20"/>
        </w:rPr>
      </w:pPr>
      <w:r>
        <w:rPr>
          <w:rFonts w:ascii="宋体" w:hAnsi="宋体" w:eastAsia="宋体" w:cs="宋体"/>
          <w:b/>
          <w:bCs/>
          <w:color w:val="auto"/>
          <w:spacing w:val="14"/>
          <w:sz w:val="20"/>
          <w:szCs w:val="20"/>
        </w:rPr>
        <w:t>项目名称：</w:t>
      </w:r>
      <w:r>
        <w:rPr>
          <w:rFonts w:hint="eastAsia" w:ascii="宋体" w:hAnsi="宋体" w:eastAsia="宋体" w:cs="宋体"/>
          <w:color w:val="auto"/>
          <w:kern w:val="0"/>
          <w:szCs w:val="21"/>
          <w:highlight w:val="none"/>
          <w:u w:val="single"/>
          <w:lang w:eastAsia="zh-CN"/>
        </w:rPr>
        <w:t>东莞市置拓投资有限公司水业大厦2026-2027年度物业管理服务采购项目</w:t>
      </w:r>
    </w:p>
    <w:p w14:paraId="54A90D90">
      <w:pPr>
        <w:keepNext w:val="0"/>
        <w:keepLines w:val="0"/>
        <w:pageBreakBefore w:val="0"/>
        <w:widowControl w:val="0"/>
        <w:kinsoku/>
        <w:wordWrap/>
        <w:overflowPunct/>
        <w:topLinePunct w:val="0"/>
        <w:autoSpaceDE/>
        <w:autoSpaceDN/>
        <w:bidi w:val="0"/>
        <w:adjustRightInd/>
        <w:snapToGrid/>
        <w:spacing w:before="152" w:line="360" w:lineRule="auto"/>
        <w:ind w:left="1047"/>
        <w:textAlignment w:val="auto"/>
        <w:rPr>
          <w:rFonts w:ascii="宋体" w:hAnsi="宋体" w:eastAsia="宋体" w:cs="宋体"/>
          <w:b/>
          <w:bCs/>
          <w:color w:val="auto"/>
          <w:spacing w:val="16"/>
          <w:sz w:val="20"/>
          <w:szCs w:val="20"/>
        </w:rPr>
      </w:pPr>
      <w:r>
        <w:rPr>
          <w:rFonts w:ascii="宋体" w:hAnsi="宋体" w:eastAsia="宋体" w:cs="宋体"/>
          <w:b/>
          <w:bCs/>
          <w:color w:val="auto"/>
          <w:spacing w:val="16"/>
          <w:sz w:val="20"/>
          <w:szCs w:val="20"/>
        </w:rPr>
        <w:t>招标编号：</w:t>
      </w:r>
    </w:p>
    <w:tbl>
      <w:tblPr>
        <w:tblStyle w:val="213"/>
        <w:tblW w:w="42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8"/>
        <w:gridCol w:w="1070"/>
        <w:gridCol w:w="1738"/>
        <w:gridCol w:w="1155"/>
        <w:gridCol w:w="2388"/>
        <w:gridCol w:w="1672"/>
      </w:tblGrid>
      <w:tr w14:paraId="00D85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2" w:hRule="atLeast"/>
          <w:jc w:val="center"/>
        </w:trPr>
        <w:tc>
          <w:tcPr>
            <w:tcW w:w="395" w:type="pct"/>
            <w:vAlign w:val="center"/>
          </w:tcPr>
          <w:p w14:paraId="32BE9539">
            <w:pPr>
              <w:pStyle w:val="212"/>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eastAsia="宋体"/>
                <w:color w:val="auto"/>
                <w:spacing w:val="4"/>
                <w:sz w:val="21"/>
                <w:szCs w:val="21"/>
                <w:lang w:val="en-US" w:eastAsia="zh-CN"/>
              </w:rPr>
            </w:pPr>
            <w:r>
              <w:rPr>
                <w:rFonts w:hint="eastAsia"/>
                <w:color w:val="auto"/>
                <w:spacing w:val="4"/>
                <w:sz w:val="21"/>
                <w:szCs w:val="21"/>
                <w:lang w:val="en-US" w:eastAsia="zh-CN"/>
              </w:rPr>
              <w:t>序号</w:t>
            </w:r>
          </w:p>
        </w:tc>
        <w:tc>
          <w:tcPr>
            <w:tcW w:w="614" w:type="pct"/>
            <w:vAlign w:val="center"/>
          </w:tcPr>
          <w:p w14:paraId="2323A054">
            <w:pPr>
              <w:pStyle w:val="212"/>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eastAsia="宋体"/>
                <w:color w:val="auto"/>
                <w:sz w:val="21"/>
                <w:szCs w:val="21"/>
                <w:lang w:val="en-US" w:eastAsia="zh-CN"/>
              </w:rPr>
            </w:pPr>
            <w:r>
              <w:rPr>
                <w:rFonts w:hint="eastAsia"/>
                <w:color w:val="auto"/>
                <w:sz w:val="21"/>
                <w:szCs w:val="21"/>
                <w:lang w:val="en-US" w:eastAsia="zh-CN"/>
              </w:rPr>
              <w:t>服务内容</w:t>
            </w:r>
          </w:p>
        </w:tc>
        <w:tc>
          <w:tcPr>
            <w:tcW w:w="997" w:type="pct"/>
            <w:vAlign w:val="center"/>
          </w:tcPr>
          <w:p w14:paraId="07B4A054">
            <w:pPr>
              <w:pStyle w:val="212"/>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color w:val="auto"/>
                <w:spacing w:val="4"/>
                <w:sz w:val="21"/>
                <w:szCs w:val="21"/>
              </w:rPr>
            </w:pPr>
            <w:r>
              <w:rPr>
                <w:color w:val="auto"/>
                <w:spacing w:val="4"/>
                <w:sz w:val="21"/>
                <w:szCs w:val="21"/>
              </w:rPr>
              <w:t>费用类别</w:t>
            </w:r>
          </w:p>
        </w:tc>
        <w:tc>
          <w:tcPr>
            <w:tcW w:w="662" w:type="pct"/>
            <w:vAlign w:val="center"/>
          </w:tcPr>
          <w:p w14:paraId="4AF5B949">
            <w:pPr>
              <w:pStyle w:val="212"/>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eastAsia="宋体"/>
                <w:color w:val="auto"/>
                <w:spacing w:val="4"/>
                <w:sz w:val="21"/>
                <w:szCs w:val="21"/>
                <w:lang w:val="en-US" w:eastAsia="zh-CN"/>
              </w:rPr>
            </w:pPr>
            <w:r>
              <w:rPr>
                <w:rFonts w:hint="eastAsia"/>
                <w:color w:val="auto"/>
                <w:spacing w:val="4"/>
                <w:sz w:val="21"/>
                <w:szCs w:val="21"/>
                <w:lang w:val="en-US" w:eastAsia="zh-CN"/>
              </w:rPr>
              <w:t>服务期</w:t>
            </w:r>
          </w:p>
        </w:tc>
        <w:tc>
          <w:tcPr>
            <w:tcW w:w="1370" w:type="pct"/>
            <w:vAlign w:val="center"/>
          </w:tcPr>
          <w:p w14:paraId="11639D6B">
            <w:pPr>
              <w:pStyle w:val="212"/>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color w:val="auto"/>
                <w:sz w:val="21"/>
                <w:szCs w:val="21"/>
              </w:rPr>
            </w:pPr>
            <w:r>
              <w:rPr>
                <w:color w:val="auto"/>
                <w:spacing w:val="1"/>
                <w:sz w:val="21"/>
                <w:szCs w:val="21"/>
              </w:rPr>
              <w:t>不含税报价</w:t>
            </w:r>
            <w:r>
              <w:rPr>
                <w:color w:val="auto"/>
                <w:spacing w:val="16"/>
                <w:sz w:val="21"/>
                <w:szCs w:val="21"/>
              </w:rPr>
              <w:t>(元)</w:t>
            </w:r>
          </w:p>
        </w:tc>
        <w:tc>
          <w:tcPr>
            <w:tcW w:w="959" w:type="pct"/>
            <w:vAlign w:val="center"/>
          </w:tcPr>
          <w:p w14:paraId="0DDCD1E7">
            <w:pPr>
              <w:pStyle w:val="212"/>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color w:val="auto"/>
                <w:sz w:val="21"/>
                <w:szCs w:val="21"/>
              </w:rPr>
            </w:pPr>
            <w:r>
              <w:rPr>
                <w:color w:val="auto"/>
                <w:spacing w:val="5"/>
                <w:sz w:val="21"/>
                <w:szCs w:val="21"/>
              </w:rPr>
              <w:t>备注</w:t>
            </w:r>
          </w:p>
        </w:tc>
      </w:tr>
      <w:tr w14:paraId="2C7DB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8" w:hRule="atLeast"/>
          <w:jc w:val="center"/>
        </w:trPr>
        <w:tc>
          <w:tcPr>
            <w:tcW w:w="395" w:type="pct"/>
            <w:vAlign w:val="center"/>
          </w:tcPr>
          <w:p w14:paraId="5CBF143B">
            <w:pPr>
              <w:pStyle w:val="212"/>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eastAsia="宋体"/>
                <w:color w:val="auto"/>
                <w:spacing w:val="14"/>
                <w:sz w:val="21"/>
                <w:szCs w:val="21"/>
                <w:lang w:val="en-US" w:eastAsia="zh-CN"/>
              </w:rPr>
            </w:pPr>
            <w:r>
              <w:rPr>
                <w:rFonts w:hint="eastAsia"/>
                <w:color w:val="auto"/>
                <w:spacing w:val="14"/>
                <w:sz w:val="21"/>
                <w:szCs w:val="21"/>
                <w:lang w:val="en-US" w:eastAsia="zh-CN"/>
              </w:rPr>
              <w:t>1</w:t>
            </w:r>
          </w:p>
        </w:tc>
        <w:tc>
          <w:tcPr>
            <w:tcW w:w="614" w:type="pct"/>
            <w:vMerge w:val="restart"/>
            <w:vAlign w:val="center"/>
          </w:tcPr>
          <w:p w14:paraId="4DE96F17">
            <w:pPr>
              <w:pStyle w:val="212"/>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eastAsia="宋体"/>
                <w:color w:val="auto"/>
                <w:spacing w:val="14"/>
                <w:sz w:val="21"/>
                <w:szCs w:val="21"/>
                <w:lang w:val="en-US" w:eastAsia="zh-CN"/>
              </w:rPr>
            </w:pPr>
            <w:r>
              <w:rPr>
                <w:rFonts w:hint="eastAsia"/>
                <w:color w:val="auto"/>
                <w:spacing w:val="14"/>
                <w:sz w:val="21"/>
                <w:szCs w:val="21"/>
                <w:lang w:val="en-US" w:eastAsia="zh-CN"/>
              </w:rPr>
              <w:t>物业管理服务</w:t>
            </w:r>
          </w:p>
        </w:tc>
        <w:tc>
          <w:tcPr>
            <w:tcW w:w="997" w:type="pct"/>
            <w:vAlign w:val="center"/>
          </w:tcPr>
          <w:p w14:paraId="4B6F61D0">
            <w:pPr>
              <w:pStyle w:val="212"/>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olor w:val="auto"/>
                <w:spacing w:val="14"/>
                <w:sz w:val="21"/>
                <w:szCs w:val="21"/>
                <w:lang w:val="zh-CN"/>
              </w:rPr>
            </w:pPr>
            <w:r>
              <w:rPr>
                <w:rFonts w:hint="eastAsia"/>
                <w:color w:val="auto"/>
                <w:spacing w:val="14"/>
                <w:sz w:val="21"/>
                <w:szCs w:val="21"/>
                <w:lang w:val="zh-CN"/>
              </w:rPr>
              <w:t>物业管理带教</w:t>
            </w:r>
            <w:r>
              <w:rPr>
                <w:rFonts w:hint="eastAsia" w:hAnsi="宋体" w:cs="仿宋_GB2312"/>
                <w:color w:val="auto"/>
                <w:sz w:val="21"/>
                <w:szCs w:val="21"/>
                <w:lang w:val="en-US" w:eastAsia="zh-CN"/>
              </w:rPr>
              <w:t>服务费用</w:t>
            </w:r>
          </w:p>
        </w:tc>
        <w:tc>
          <w:tcPr>
            <w:tcW w:w="662" w:type="pct"/>
            <w:vMerge w:val="restart"/>
            <w:vAlign w:val="center"/>
          </w:tcPr>
          <w:p w14:paraId="3A843324">
            <w:pPr>
              <w:pStyle w:val="212"/>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eastAsia="宋体"/>
                <w:color w:val="auto"/>
                <w:spacing w:val="14"/>
                <w:sz w:val="21"/>
                <w:szCs w:val="21"/>
                <w:lang w:val="en-US" w:eastAsia="zh-CN"/>
              </w:rPr>
            </w:pPr>
            <w:r>
              <w:rPr>
                <w:rFonts w:hint="eastAsia"/>
                <w:color w:val="auto"/>
                <w:spacing w:val="14"/>
                <w:sz w:val="21"/>
                <w:szCs w:val="21"/>
                <w:lang w:val="en-US" w:eastAsia="zh-CN"/>
              </w:rPr>
              <w:t>招标人书面通知中标人进场之日起至2027年12月31日</w:t>
            </w:r>
          </w:p>
        </w:tc>
        <w:tc>
          <w:tcPr>
            <w:tcW w:w="1370" w:type="pct"/>
            <w:vAlign w:val="center"/>
          </w:tcPr>
          <w:p w14:paraId="538BB9AD">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left"/>
              <w:textAlignment w:val="auto"/>
              <w:rPr>
                <w:rFonts w:ascii="Arial"/>
                <w:color w:val="auto"/>
                <w:sz w:val="21"/>
                <w:szCs w:val="21"/>
              </w:rPr>
            </w:pPr>
            <w:r>
              <w:rPr>
                <w:rFonts w:hint="eastAsia" w:ascii="宋体" w:hAnsi="宋体" w:eastAsia="宋体" w:cs="宋体"/>
                <w:color w:val="auto"/>
                <w:kern w:val="0"/>
                <w:szCs w:val="21"/>
                <w:highlight w:val="none"/>
              </w:rPr>
              <w:t>小写（人民币）</w:t>
            </w:r>
            <w:r>
              <w:rPr>
                <w:rFonts w:hint="eastAsia" w:ascii="宋体" w:hAnsi="宋体" w:eastAsia="宋体" w:cs="宋体"/>
                <w:color w:val="auto"/>
                <w:kern w:val="0"/>
                <w:szCs w:val="21"/>
                <w:highlight w:val="none"/>
                <w:lang w:eastAsia="zh-CN"/>
              </w:rPr>
              <w:t>：</w:t>
            </w:r>
          </w:p>
        </w:tc>
        <w:tc>
          <w:tcPr>
            <w:tcW w:w="959" w:type="pct"/>
            <w:vAlign w:val="center"/>
          </w:tcPr>
          <w:p w14:paraId="39717E32">
            <w:pPr>
              <w:pStyle w:val="212"/>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eastAsia="宋体"/>
                <w:color w:val="auto"/>
                <w:sz w:val="21"/>
                <w:szCs w:val="21"/>
                <w:lang w:val="en-US" w:eastAsia="zh-CN"/>
              </w:rPr>
            </w:pPr>
            <w:r>
              <w:rPr>
                <w:rFonts w:hint="eastAsia"/>
                <w:color w:val="auto"/>
                <w:sz w:val="21"/>
                <w:szCs w:val="21"/>
                <w:lang w:val="en-US" w:eastAsia="zh-CN"/>
              </w:rPr>
              <w:t>/</w:t>
            </w:r>
          </w:p>
        </w:tc>
      </w:tr>
      <w:tr w14:paraId="3B8AC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4" w:hRule="atLeast"/>
          <w:jc w:val="center"/>
        </w:trPr>
        <w:tc>
          <w:tcPr>
            <w:tcW w:w="395" w:type="pct"/>
            <w:vAlign w:val="center"/>
          </w:tcPr>
          <w:p w14:paraId="666C811B">
            <w:pPr>
              <w:pStyle w:val="212"/>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color w:val="auto"/>
                <w:spacing w:val="14"/>
                <w:sz w:val="21"/>
                <w:szCs w:val="21"/>
                <w:lang w:val="en-US" w:eastAsia="zh-CN"/>
              </w:rPr>
            </w:pPr>
            <w:r>
              <w:rPr>
                <w:rFonts w:hint="eastAsia"/>
                <w:color w:val="auto"/>
                <w:spacing w:val="14"/>
                <w:sz w:val="21"/>
                <w:szCs w:val="21"/>
                <w:lang w:val="en-US" w:eastAsia="zh-CN"/>
              </w:rPr>
              <w:t>2</w:t>
            </w:r>
          </w:p>
        </w:tc>
        <w:tc>
          <w:tcPr>
            <w:tcW w:w="614" w:type="pct"/>
            <w:vMerge w:val="continue"/>
            <w:vAlign w:val="center"/>
          </w:tcPr>
          <w:p w14:paraId="46B2A83B">
            <w:pPr>
              <w:pStyle w:val="212"/>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left"/>
              <w:textAlignment w:val="auto"/>
              <w:rPr>
                <w:rFonts w:hint="default"/>
                <w:color w:val="auto"/>
                <w:spacing w:val="14"/>
                <w:sz w:val="21"/>
                <w:szCs w:val="21"/>
                <w:lang w:val="en-US"/>
              </w:rPr>
            </w:pPr>
          </w:p>
        </w:tc>
        <w:tc>
          <w:tcPr>
            <w:tcW w:w="997" w:type="pct"/>
            <w:vAlign w:val="center"/>
          </w:tcPr>
          <w:p w14:paraId="349BFAAE">
            <w:pPr>
              <w:pStyle w:val="212"/>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color w:val="auto"/>
                <w:spacing w:val="14"/>
                <w:sz w:val="21"/>
                <w:szCs w:val="21"/>
                <w:lang w:val="en-US" w:eastAsia="zh-CN"/>
              </w:rPr>
            </w:pPr>
            <w:r>
              <w:rPr>
                <w:rFonts w:hint="default"/>
                <w:color w:val="auto"/>
                <w:spacing w:val="14"/>
                <w:sz w:val="21"/>
                <w:szCs w:val="21"/>
                <w:lang w:val="en-US" w:eastAsia="zh-CN"/>
              </w:rPr>
              <w:t>物业</w:t>
            </w:r>
            <w:r>
              <w:rPr>
                <w:rFonts w:hint="eastAsia"/>
                <w:color w:val="auto"/>
                <w:spacing w:val="14"/>
                <w:sz w:val="21"/>
                <w:szCs w:val="21"/>
                <w:lang w:val="en-US" w:eastAsia="zh-CN"/>
              </w:rPr>
              <w:t>管理运营</w:t>
            </w:r>
            <w:r>
              <w:rPr>
                <w:rFonts w:hint="default"/>
                <w:color w:val="auto"/>
                <w:spacing w:val="14"/>
                <w:sz w:val="21"/>
                <w:szCs w:val="21"/>
                <w:lang w:val="en-US" w:eastAsia="zh-CN"/>
              </w:rPr>
              <w:t>服务</w:t>
            </w:r>
            <w:r>
              <w:rPr>
                <w:rFonts w:hint="eastAsia"/>
                <w:color w:val="auto"/>
                <w:spacing w:val="14"/>
                <w:sz w:val="21"/>
                <w:szCs w:val="21"/>
                <w:lang w:val="en-US" w:eastAsia="zh-CN"/>
              </w:rPr>
              <w:t>费</w:t>
            </w:r>
            <w:r>
              <w:rPr>
                <w:rFonts w:hint="eastAsia" w:hAnsi="宋体" w:cs="仿宋_GB2312"/>
                <w:color w:val="auto"/>
                <w:sz w:val="21"/>
                <w:szCs w:val="21"/>
              </w:rPr>
              <w:t>用最高限额</w:t>
            </w:r>
          </w:p>
        </w:tc>
        <w:tc>
          <w:tcPr>
            <w:tcW w:w="662" w:type="pct"/>
            <w:vMerge w:val="continue"/>
            <w:vAlign w:val="center"/>
          </w:tcPr>
          <w:p w14:paraId="13E97F6D">
            <w:pPr>
              <w:pStyle w:val="212"/>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color w:val="auto"/>
                <w:spacing w:val="14"/>
                <w:sz w:val="21"/>
                <w:szCs w:val="21"/>
                <w:lang w:val="en-US" w:eastAsia="zh-CN"/>
              </w:rPr>
            </w:pPr>
          </w:p>
        </w:tc>
        <w:tc>
          <w:tcPr>
            <w:tcW w:w="1370" w:type="pct"/>
            <w:vAlign w:val="center"/>
          </w:tcPr>
          <w:p w14:paraId="705BFD20">
            <w:pPr>
              <w:pStyle w:val="212"/>
              <w:keepNext w:val="0"/>
              <w:keepLines w:val="0"/>
              <w:pageBreakBefore w:val="0"/>
              <w:widowControl w:val="0"/>
              <w:kinsoku/>
              <w:wordWrap/>
              <w:overflowPunct/>
              <w:topLinePunct w:val="0"/>
              <w:autoSpaceDE/>
              <w:autoSpaceDN/>
              <w:bidi w:val="0"/>
              <w:adjustRightInd w:val="0"/>
              <w:snapToGrid w:val="0"/>
              <w:spacing w:line="240" w:lineRule="auto"/>
              <w:ind w:left="210" w:right="0" w:hanging="210" w:hangingChars="100"/>
              <w:jc w:val="left"/>
              <w:textAlignment w:val="auto"/>
              <w:rPr>
                <w:color w:val="auto"/>
                <w:sz w:val="21"/>
                <w:szCs w:val="21"/>
              </w:rPr>
            </w:pPr>
            <w:r>
              <w:rPr>
                <w:rFonts w:hint="eastAsia" w:ascii="宋体" w:hAnsi="宋体" w:eastAsia="宋体" w:cs="宋体"/>
                <w:color w:val="auto"/>
                <w:kern w:val="0"/>
                <w:sz w:val="21"/>
                <w:szCs w:val="21"/>
                <w:highlight w:val="none"/>
              </w:rPr>
              <w:t>小写（人民币）</w:t>
            </w:r>
            <w:r>
              <w:rPr>
                <w:rFonts w:hint="eastAsia" w:ascii="宋体" w:hAnsi="宋体" w:eastAsia="宋体" w:cs="宋体"/>
                <w:color w:val="auto"/>
                <w:kern w:val="0"/>
                <w:sz w:val="21"/>
                <w:szCs w:val="21"/>
                <w:highlight w:val="none"/>
                <w:lang w:eastAsia="zh-CN"/>
              </w:rPr>
              <w:t>：</w:t>
            </w:r>
          </w:p>
        </w:tc>
        <w:tc>
          <w:tcPr>
            <w:tcW w:w="959" w:type="pct"/>
            <w:vAlign w:val="center"/>
          </w:tcPr>
          <w:p w14:paraId="1B2D55B2">
            <w:pPr>
              <w:pStyle w:val="212"/>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eastAsia="宋体"/>
                <w:color w:val="auto"/>
                <w:sz w:val="21"/>
                <w:szCs w:val="21"/>
                <w:lang w:val="en-US" w:eastAsia="zh-CN"/>
              </w:rPr>
            </w:pPr>
            <w:r>
              <w:rPr>
                <w:rFonts w:hint="eastAsia"/>
                <w:color w:val="auto"/>
                <w:sz w:val="21"/>
                <w:szCs w:val="21"/>
                <w:lang w:val="en-US" w:eastAsia="zh-CN"/>
              </w:rPr>
              <w:t>物业管理运营费用最高限额不含税报价应包含物业管理运营服务人工费用最高限额</w:t>
            </w:r>
          </w:p>
        </w:tc>
      </w:tr>
      <w:tr w14:paraId="07DB2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4" w:hRule="atLeast"/>
          <w:jc w:val="center"/>
        </w:trPr>
        <w:tc>
          <w:tcPr>
            <w:tcW w:w="395" w:type="pct"/>
            <w:vAlign w:val="center"/>
          </w:tcPr>
          <w:p w14:paraId="3C48212A">
            <w:pPr>
              <w:pStyle w:val="212"/>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color w:val="auto"/>
                <w:spacing w:val="14"/>
                <w:sz w:val="21"/>
                <w:szCs w:val="21"/>
                <w:lang w:val="en-US" w:eastAsia="zh-CN"/>
              </w:rPr>
            </w:pPr>
            <w:r>
              <w:rPr>
                <w:rFonts w:hint="eastAsia"/>
                <w:color w:val="auto"/>
                <w:spacing w:val="14"/>
                <w:sz w:val="21"/>
                <w:szCs w:val="21"/>
                <w:lang w:val="en-US" w:eastAsia="zh-CN"/>
              </w:rPr>
              <w:t>3</w:t>
            </w:r>
          </w:p>
        </w:tc>
        <w:tc>
          <w:tcPr>
            <w:tcW w:w="614" w:type="pct"/>
            <w:vMerge w:val="continue"/>
            <w:vAlign w:val="center"/>
          </w:tcPr>
          <w:p w14:paraId="60447088">
            <w:pPr>
              <w:pStyle w:val="212"/>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left"/>
              <w:textAlignment w:val="auto"/>
              <w:rPr>
                <w:rFonts w:hint="default"/>
                <w:color w:val="auto"/>
                <w:spacing w:val="14"/>
                <w:sz w:val="21"/>
                <w:szCs w:val="21"/>
                <w:lang w:val="en-US"/>
              </w:rPr>
            </w:pPr>
          </w:p>
        </w:tc>
        <w:tc>
          <w:tcPr>
            <w:tcW w:w="997" w:type="pct"/>
            <w:vAlign w:val="center"/>
          </w:tcPr>
          <w:p w14:paraId="34AAC2CB">
            <w:pPr>
              <w:pStyle w:val="212"/>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color w:val="auto"/>
                <w:spacing w:val="14"/>
                <w:sz w:val="21"/>
                <w:szCs w:val="21"/>
                <w:lang w:val="en-US" w:eastAsia="zh-CN"/>
              </w:rPr>
            </w:pPr>
            <w:r>
              <w:rPr>
                <w:rFonts w:hint="eastAsia" w:hAnsi="宋体" w:cs="宋体"/>
                <w:b w:val="0"/>
                <w:bCs w:val="0"/>
                <w:color w:val="auto"/>
                <w:sz w:val="21"/>
                <w:szCs w:val="21"/>
              </w:rPr>
              <w:t>其中</w:t>
            </w:r>
            <w:r>
              <w:rPr>
                <w:rFonts w:hint="eastAsia" w:ascii="宋体" w:eastAsia="宋体" w:cs="宋体"/>
                <w:b w:val="0"/>
                <w:bCs w:val="0"/>
                <w:color w:val="auto"/>
                <w:sz w:val="21"/>
                <w:szCs w:val="21"/>
                <w:lang w:val="en-US" w:eastAsia="zh-CN"/>
              </w:rPr>
              <w:t>物业管理运营服务</w:t>
            </w:r>
            <w:r>
              <w:rPr>
                <w:rFonts w:hint="eastAsia" w:ascii="宋体" w:eastAsia="宋体" w:cs="宋体"/>
                <w:b w:val="0"/>
                <w:bCs w:val="0"/>
                <w:color w:val="auto"/>
                <w:sz w:val="21"/>
                <w:szCs w:val="21"/>
              </w:rPr>
              <w:t>人工费用最高限额</w:t>
            </w:r>
            <w:r>
              <w:rPr>
                <w:rFonts w:hint="eastAsia" w:cs="宋体"/>
                <w:b w:val="0"/>
                <w:bCs w:val="0"/>
                <w:color w:val="auto"/>
                <w:sz w:val="21"/>
                <w:szCs w:val="21"/>
                <w:lang w:val="en-US" w:eastAsia="zh-CN"/>
              </w:rPr>
              <w:t>为</w:t>
            </w:r>
          </w:p>
        </w:tc>
        <w:tc>
          <w:tcPr>
            <w:tcW w:w="662" w:type="pct"/>
            <w:vMerge w:val="continue"/>
            <w:vAlign w:val="center"/>
          </w:tcPr>
          <w:p w14:paraId="3B386856">
            <w:pPr>
              <w:pStyle w:val="212"/>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color w:val="auto"/>
                <w:spacing w:val="14"/>
                <w:sz w:val="21"/>
                <w:szCs w:val="21"/>
                <w:lang w:val="en-US" w:eastAsia="zh-CN"/>
              </w:rPr>
            </w:pPr>
          </w:p>
        </w:tc>
        <w:tc>
          <w:tcPr>
            <w:tcW w:w="1370" w:type="pct"/>
            <w:vAlign w:val="center"/>
          </w:tcPr>
          <w:p w14:paraId="2D51B1AB">
            <w:pPr>
              <w:pStyle w:val="212"/>
              <w:keepNext w:val="0"/>
              <w:keepLines w:val="0"/>
              <w:pageBreakBefore w:val="0"/>
              <w:widowControl w:val="0"/>
              <w:kinsoku/>
              <w:wordWrap/>
              <w:overflowPunct/>
              <w:topLinePunct w:val="0"/>
              <w:autoSpaceDE/>
              <w:autoSpaceDN/>
              <w:bidi w:val="0"/>
              <w:adjustRightInd w:val="0"/>
              <w:snapToGrid w:val="0"/>
              <w:spacing w:line="240" w:lineRule="auto"/>
              <w:ind w:left="210" w:right="0" w:hanging="210" w:hangingChars="1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小写（人民币）</w:t>
            </w:r>
            <w:r>
              <w:rPr>
                <w:rFonts w:hint="eastAsia" w:ascii="宋体" w:hAnsi="宋体" w:eastAsia="宋体" w:cs="宋体"/>
                <w:color w:val="auto"/>
                <w:kern w:val="0"/>
                <w:sz w:val="21"/>
                <w:szCs w:val="21"/>
                <w:highlight w:val="none"/>
                <w:lang w:eastAsia="zh-CN"/>
              </w:rPr>
              <w:t>：</w:t>
            </w:r>
            <w:r>
              <w:rPr>
                <w:rFonts w:hint="eastAsia" w:cs="宋体"/>
                <w:color w:val="auto"/>
                <w:kern w:val="0"/>
                <w:sz w:val="21"/>
                <w:szCs w:val="21"/>
                <w:highlight w:val="none"/>
                <w:u w:val="single"/>
                <w:lang w:val="en-US" w:eastAsia="zh-CN"/>
              </w:rPr>
              <w:t xml:space="preserve">    </w:t>
            </w:r>
          </w:p>
        </w:tc>
        <w:tc>
          <w:tcPr>
            <w:tcW w:w="959" w:type="pct"/>
            <w:vAlign w:val="center"/>
          </w:tcPr>
          <w:p w14:paraId="0BC2BD85">
            <w:pPr>
              <w:pStyle w:val="212"/>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left"/>
              <w:textAlignment w:val="auto"/>
              <w:rPr>
                <w:color w:val="auto"/>
                <w:sz w:val="21"/>
                <w:szCs w:val="21"/>
              </w:rPr>
            </w:pPr>
            <w:r>
              <w:rPr>
                <w:color w:val="auto"/>
                <w:sz w:val="21"/>
                <w:szCs w:val="21"/>
              </w:rPr>
              <w:t>按</w:t>
            </w:r>
            <w:r>
              <w:rPr>
                <w:rFonts w:hint="eastAsia"/>
                <w:color w:val="auto"/>
                <w:sz w:val="21"/>
                <w:szCs w:val="21"/>
                <w:lang w:val="en-US" w:eastAsia="zh-CN"/>
              </w:rPr>
              <w:t>入驻</w:t>
            </w:r>
            <w:r>
              <w:rPr>
                <w:color w:val="auto"/>
                <w:sz w:val="21"/>
                <w:szCs w:val="21"/>
              </w:rPr>
              <w:t>率</w:t>
            </w:r>
            <w:r>
              <w:rPr>
                <w:rFonts w:hint="eastAsia" w:ascii="宋体" w:hAnsi="宋体" w:eastAsia="宋体" w:cs="宋体"/>
                <w:color w:val="auto"/>
                <w:kern w:val="2"/>
                <w:sz w:val="21"/>
                <w:szCs w:val="21"/>
                <w:highlight w:val="none"/>
                <w:lang w:val="en-US" w:eastAsia="zh-CN"/>
              </w:rPr>
              <w:t>≥</w:t>
            </w:r>
            <w:r>
              <w:rPr>
                <w:color w:val="auto"/>
                <w:sz w:val="21"/>
                <w:szCs w:val="21"/>
              </w:rPr>
              <w:t>70%时的人员配置要求</w:t>
            </w:r>
          </w:p>
        </w:tc>
      </w:tr>
      <w:tr w14:paraId="09CE8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0" w:hRule="atLeast"/>
          <w:jc w:val="center"/>
        </w:trPr>
        <w:tc>
          <w:tcPr>
            <w:tcW w:w="395" w:type="pct"/>
            <w:vAlign w:val="center"/>
          </w:tcPr>
          <w:p w14:paraId="62B7DA81">
            <w:pPr>
              <w:pStyle w:val="212"/>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color w:val="auto"/>
                <w:spacing w:val="14"/>
                <w:sz w:val="21"/>
                <w:szCs w:val="21"/>
                <w:lang w:val="en-US" w:eastAsia="zh-CN"/>
              </w:rPr>
            </w:pPr>
            <w:r>
              <w:rPr>
                <w:rFonts w:hint="eastAsia"/>
                <w:color w:val="auto"/>
                <w:spacing w:val="14"/>
                <w:sz w:val="21"/>
                <w:szCs w:val="21"/>
                <w:lang w:val="en-US" w:eastAsia="zh-CN"/>
              </w:rPr>
              <w:t>3</w:t>
            </w:r>
          </w:p>
        </w:tc>
        <w:tc>
          <w:tcPr>
            <w:tcW w:w="2274" w:type="pct"/>
            <w:gridSpan w:val="3"/>
            <w:vAlign w:val="center"/>
          </w:tcPr>
          <w:p w14:paraId="062A0AD2">
            <w:pPr>
              <w:pStyle w:val="212"/>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hAnsi="宋体" w:cs="宋体"/>
                <w:b w:val="0"/>
                <w:bCs w:val="0"/>
                <w:color w:val="auto"/>
                <w:sz w:val="21"/>
                <w:szCs w:val="21"/>
              </w:rPr>
            </w:pPr>
            <w:r>
              <w:rPr>
                <w:color w:val="auto"/>
                <w:spacing w:val="1"/>
                <w:sz w:val="21"/>
                <w:szCs w:val="21"/>
              </w:rPr>
              <w:t>不含税</w:t>
            </w:r>
            <w:r>
              <w:rPr>
                <w:rFonts w:hint="eastAsia"/>
                <w:color w:val="auto"/>
                <w:spacing w:val="1"/>
                <w:sz w:val="21"/>
                <w:szCs w:val="21"/>
                <w:lang w:eastAsia="zh-CN"/>
              </w:rPr>
              <w:t>总</w:t>
            </w:r>
            <w:r>
              <w:rPr>
                <w:color w:val="auto"/>
                <w:spacing w:val="1"/>
                <w:sz w:val="21"/>
                <w:szCs w:val="21"/>
              </w:rPr>
              <w:t>报价</w:t>
            </w:r>
            <w:r>
              <w:rPr>
                <w:color w:val="auto"/>
                <w:spacing w:val="16"/>
                <w:sz w:val="21"/>
                <w:szCs w:val="21"/>
              </w:rPr>
              <w:t>(元)</w:t>
            </w:r>
          </w:p>
        </w:tc>
        <w:tc>
          <w:tcPr>
            <w:tcW w:w="1370" w:type="pct"/>
            <w:vAlign w:val="center"/>
          </w:tcPr>
          <w:p w14:paraId="408242CA">
            <w:pPr>
              <w:pStyle w:val="212"/>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both"/>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小写（人民币）</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u w:val="single"/>
                <w:lang w:val="en-US" w:eastAsia="zh-CN"/>
              </w:rPr>
              <w:t xml:space="preserve">     </w:t>
            </w:r>
            <w:r>
              <w:rPr>
                <w:rFonts w:hint="eastAsia" w:cs="宋体"/>
                <w:color w:val="auto"/>
                <w:kern w:val="0"/>
                <w:sz w:val="21"/>
                <w:szCs w:val="21"/>
                <w:highlight w:val="none"/>
                <w:lang w:val="en-US" w:eastAsia="zh-CN"/>
              </w:rPr>
              <w:t>元</w:t>
            </w:r>
            <w:r>
              <w:rPr>
                <w:rFonts w:hint="eastAsia" w:ascii="宋体" w:hAnsi="宋体" w:eastAsia="宋体" w:cs="宋体"/>
                <w:color w:val="auto"/>
                <w:kern w:val="0"/>
                <w:sz w:val="21"/>
                <w:szCs w:val="21"/>
                <w:highlight w:val="none"/>
                <w:lang w:val="en-US" w:eastAsia="zh-CN"/>
              </w:rPr>
              <w:t xml:space="preserve"> </w:t>
            </w:r>
          </w:p>
          <w:p w14:paraId="0FF752C8">
            <w:pPr>
              <w:pStyle w:val="212"/>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both"/>
              <w:textAlignment w:val="auto"/>
              <w:rPr>
                <w:rFonts w:hint="eastAsia" w:ascii="宋体" w:hAnsi="宋体" w:eastAsia="宋体" w:cs="宋体"/>
                <w:color w:val="auto"/>
                <w:kern w:val="0"/>
                <w:sz w:val="21"/>
                <w:szCs w:val="21"/>
                <w:highlight w:val="none"/>
              </w:rPr>
            </w:pPr>
            <w:r>
              <w:rPr>
                <w:rFonts w:hint="eastAsia" w:hAnsi="宋体" w:cs="宋体"/>
                <w:color w:val="auto"/>
                <w:sz w:val="21"/>
                <w:szCs w:val="21"/>
              </w:rPr>
              <w:t>注：不含税总报价=</w:t>
            </w:r>
            <w:r>
              <w:rPr>
                <w:rFonts w:hint="eastAsia" w:hAnsi="宋体" w:cs="宋体"/>
                <w:color w:val="auto"/>
                <w:sz w:val="21"/>
                <w:szCs w:val="21"/>
                <w:lang w:val="en-US" w:eastAsia="zh-CN"/>
              </w:rPr>
              <w:t>1</w:t>
            </w:r>
            <w:r>
              <w:rPr>
                <w:rFonts w:hint="eastAsia" w:hAnsi="宋体" w:cs="宋体"/>
                <w:color w:val="auto"/>
                <w:sz w:val="21"/>
                <w:szCs w:val="21"/>
              </w:rPr>
              <w:t>+</w:t>
            </w:r>
            <w:r>
              <w:rPr>
                <w:rFonts w:hint="eastAsia" w:hAnsi="宋体" w:cs="宋体"/>
                <w:color w:val="auto"/>
                <w:sz w:val="21"/>
                <w:szCs w:val="21"/>
                <w:lang w:val="en-US" w:eastAsia="zh-CN"/>
              </w:rPr>
              <w:t>2</w:t>
            </w:r>
          </w:p>
        </w:tc>
        <w:tc>
          <w:tcPr>
            <w:tcW w:w="959" w:type="pct"/>
            <w:vAlign w:val="center"/>
          </w:tcPr>
          <w:p w14:paraId="44F32D7C">
            <w:pPr>
              <w:pStyle w:val="212"/>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eastAsia="宋体"/>
                <w:color w:val="auto"/>
                <w:sz w:val="21"/>
                <w:szCs w:val="21"/>
                <w:lang w:val="en-US" w:eastAsia="zh-CN"/>
              </w:rPr>
            </w:pPr>
            <w:r>
              <w:rPr>
                <w:rFonts w:hint="eastAsia"/>
                <w:color w:val="auto"/>
                <w:sz w:val="21"/>
                <w:szCs w:val="21"/>
                <w:lang w:val="en-US" w:eastAsia="zh-CN"/>
              </w:rPr>
              <w:t>/</w:t>
            </w:r>
          </w:p>
        </w:tc>
      </w:tr>
    </w:tbl>
    <w:p w14:paraId="677A9B9E">
      <w:pPr>
        <w:autoSpaceDE w:val="0"/>
        <w:autoSpaceDN w:val="0"/>
        <w:adjustRightIn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12EDD30B">
      <w:pPr>
        <w:autoSpaceDE w:val="0"/>
        <w:autoSpaceDN w:val="0"/>
        <w:adjustRightInd w:val="0"/>
        <w:snapToGrid w:val="0"/>
        <w:spacing w:line="360" w:lineRule="auto"/>
        <w:ind w:left="605" w:leftChars="18"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b/>
          <w:color w:val="auto"/>
          <w:kern w:val="0"/>
          <w:szCs w:val="21"/>
          <w:highlight w:val="none"/>
          <w:u w:val="single"/>
        </w:rPr>
        <w:t>本项目投标报价为不含税价</w:t>
      </w:r>
      <w:r>
        <w:rPr>
          <w:rFonts w:hint="eastAsia" w:ascii="宋体" w:hAnsi="宋体" w:eastAsia="宋体" w:cs="宋体"/>
          <w:b/>
          <w:color w:val="auto"/>
          <w:kern w:val="0"/>
          <w:szCs w:val="21"/>
          <w:highlight w:val="none"/>
          <w:u w:val="single"/>
          <w:lang w:val="en-US" w:eastAsia="zh-CN"/>
        </w:rPr>
        <w:t>[</w:t>
      </w:r>
      <w:r>
        <w:rPr>
          <w:rFonts w:hint="eastAsia" w:ascii="宋体" w:hAnsi="宋体" w:eastAsia="宋体" w:cs="宋体"/>
          <w:b/>
          <w:color w:val="auto"/>
          <w:kern w:val="0"/>
          <w:szCs w:val="21"/>
          <w:highlight w:val="none"/>
          <w:u w:val="single"/>
          <w:lang w:eastAsia="zh-CN"/>
        </w:rPr>
        <w:t>物业管理带教服务费用、物业管理运营服务费用最高限额（</w:t>
      </w:r>
      <w:r>
        <w:rPr>
          <w:rFonts w:hint="eastAsia" w:ascii="宋体" w:hAnsi="宋体" w:eastAsia="宋体" w:cs="宋体"/>
          <w:b/>
          <w:color w:val="auto"/>
          <w:kern w:val="0"/>
          <w:szCs w:val="21"/>
          <w:highlight w:val="none"/>
          <w:u w:val="single"/>
          <w:lang w:val="en-US" w:eastAsia="zh-CN"/>
        </w:rPr>
        <w:t>含</w:t>
      </w:r>
      <w:r>
        <w:rPr>
          <w:rFonts w:hint="eastAsia" w:ascii="宋体" w:hAnsi="宋体" w:eastAsia="宋体" w:cs="宋体"/>
          <w:b/>
          <w:color w:val="auto"/>
          <w:kern w:val="0"/>
          <w:szCs w:val="21"/>
          <w:highlight w:val="none"/>
          <w:u w:val="single"/>
          <w:lang w:eastAsia="zh-CN"/>
        </w:rPr>
        <w:t>物业管理运营服务人工费用最高限额），不含增值税</w:t>
      </w:r>
      <w:r>
        <w:rPr>
          <w:rFonts w:hint="eastAsia" w:ascii="宋体" w:hAnsi="宋体" w:eastAsia="宋体" w:cs="宋体"/>
          <w:b/>
          <w:color w:val="auto"/>
          <w:kern w:val="0"/>
          <w:szCs w:val="21"/>
          <w:highlight w:val="none"/>
          <w:u w:val="single"/>
          <w:lang w:val="en-US" w:eastAsia="zh-CN"/>
        </w:rPr>
        <w:t>]</w:t>
      </w:r>
      <w:r>
        <w:rPr>
          <w:rFonts w:hint="eastAsia" w:ascii="宋体" w:hAnsi="宋体" w:eastAsia="宋体" w:cs="宋体"/>
          <w:b/>
          <w:color w:val="auto"/>
          <w:kern w:val="0"/>
          <w:szCs w:val="21"/>
          <w:highlight w:val="none"/>
          <w:u w:val="single"/>
        </w:rPr>
        <w:t>，即为《中华人民共和国增值税暂行条例》（国务院令第691号修订版）规定的销售额</w:t>
      </w:r>
      <w:r>
        <w:rPr>
          <w:rFonts w:hint="eastAsia" w:ascii="宋体" w:hAnsi="宋体" w:eastAsia="宋体" w:cs="宋体"/>
          <w:color w:val="auto"/>
          <w:kern w:val="0"/>
          <w:szCs w:val="21"/>
          <w:highlight w:val="none"/>
        </w:rPr>
        <w:t>。本招标文件所称的不含税价是指不含本采购项目的投标人销项税额，包含了投标人完成合同义务（含投标人代缴代扣、分包及委外服务、施工、采购货物等所产生的价税）的其他全部费用。</w:t>
      </w:r>
      <w:r>
        <w:rPr>
          <w:rFonts w:hint="eastAsia" w:ascii="宋体" w:hAnsi="宋体" w:eastAsia="宋体" w:cs="宋体"/>
          <w:color w:val="auto"/>
          <w:szCs w:val="21"/>
          <w:highlight w:val="none"/>
          <w:lang w:val="zh-CN"/>
        </w:rPr>
        <w:t>本采购项目的销项税额由招标人承担</w:t>
      </w:r>
      <w:r>
        <w:rPr>
          <w:rFonts w:hint="eastAsia" w:ascii="宋体" w:hAnsi="宋体" w:eastAsia="宋体" w:cs="宋体"/>
          <w:color w:val="auto"/>
          <w:kern w:val="0"/>
          <w:szCs w:val="21"/>
          <w:highlight w:val="none"/>
        </w:rPr>
        <w:t>，不计入投标报价。</w:t>
      </w:r>
    </w:p>
    <w:p w14:paraId="6AFAE256">
      <w:pPr>
        <w:autoSpaceDE w:val="0"/>
        <w:autoSpaceDN w:val="0"/>
        <w:adjustRightInd w:val="0"/>
        <w:snapToGrid w:val="0"/>
        <w:spacing w:line="360" w:lineRule="auto"/>
        <w:ind w:left="605" w:leftChars="18" w:hanging="567" w:hangingChars="270"/>
        <w:jc w:val="left"/>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w:t>
      </w:r>
      <w:r>
        <w:rPr>
          <w:rFonts w:hint="eastAsia" w:ascii="宋体" w:hAnsi="宋体" w:eastAsia="宋体" w:cs="宋体"/>
          <w:b w:val="0"/>
          <w:bCs w:val="0"/>
          <w:color w:val="auto"/>
          <w:kern w:val="0"/>
          <w:szCs w:val="21"/>
          <w:highlight w:val="none"/>
          <w:lang w:val="en-US" w:eastAsia="zh-CN"/>
        </w:rPr>
        <w:t>2</w:t>
      </w:r>
      <w:r>
        <w:rPr>
          <w:rFonts w:hint="eastAsia" w:ascii="宋体" w:hAnsi="宋体" w:eastAsia="宋体" w:cs="宋体"/>
          <w:b w:val="0"/>
          <w:bCs w:val="0"/>
          <w:color w:val="auto"/>
          <w:kern w:val="0"/>
          <w:szCs w:val="21"/>
          <w:highlight w:val="none"/>
        </w:rPr>
        <w:t>）</w:t>
      </w:r>
      <w:r>
        <w:rPr>
          <w:rFonts w:hint="eastAsia" w:ascii="宋体" w:hAnsi="宋体" w:eastAsia="宋体" w:cs="宋体"/>
          <w:b/>
          <w:color w:val="auto"/>
          <w:szCs w:val="21"/>
          <w:u w:val="single"/>
        </w:rPr>
        <w:t>投标人的投标报价超过最高投标限价的或单项报价超过单项</w:t>
      </w:r>
      <w:r>
        <w:rPr>
          <w:rFonts w:hint="eastAsia" w:ascii="宋体" w:hAnsi="宋体" w:eastAsia="宋体" w:cs="宋体"/>
          <w:b/>
          <w:color w:val="auto"/>
          <w:szCs w:val="21"/>
          <w:u w:val="single"/>
          <w:lang w:val="zh-CN"/>
        </w:rPr>
        <w:t>最高投标限价的</w:t>
      </w:r>
      <w:r>
        <w:rPr>
          <w:rFonts w:hint="eastAsia" w:ascii="宋体" w:hAnsi="宋体" w:eastAsia="宋体" w:cs="宋体"/>
          <w:b/>
          <w:color w:val="auto"/>
          <w:szCs w:val="21"/>
          <w:u w:val="single"/>
        </w:rPr>
        <w:t>，该投标人的投标文件将被视为无效投标</w:t>
      </w:r>
      <w:r>
        <w:rPr>
          <w:rFonts w:hint="eastAsia" w:ascii="宋体" w:hAnsi="宋体" w:eastAsia="宋体" w:cs="宋体"/>
          <w:b/>
          <w:color w:val="auto"/>
          <w:szCs w:val="21"/>
        </w:rPr>
        <w:t>。</w:t>
      </w:r>
    </w:p>
    <w:p w14:paraId="59DECFE1">
      <w:pPr>
        <w:autoSpaceDE w:val="0"/>
        <w:autoSpaceDN w:val="0"/>
        <w:adjustRightInd w:val="0"/>
        <w:snapToGrid w:val="0"/>
        <w:spacing w:line="360" w:lineRule="auto"/>
        <w:ind w:left="605" w:leftChars="18" w:hanging="567" w:hangingChars="270"/>
        <w:jc w:val="left"/>
        <w:rPr>
          <w:rFonts w:hint="eastAsia" w:ascii="宋体" w:hAnsi="宋体" w:eastAsia="宋体" w:cs="宋体"/>
          <w:b/>
          <w:bCs/>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w:t>
      </w:r>
      <w:r>
        <w:rPr>
          <w:rFonts w:hint="eastAsia" w:ascii="宋体" w:hAnsi="宋体" w:eastAsia="宋体" w:cs="宋体"/>
          <w:b/>
          <w:color w:val="auto"/>
          <w:szCs w:val="21"/>
          <w:highlight w:val="none"/>
          <w:u w:val="single"/>
          <w:lang w:val="zh-CN"/>
        </w:rPr>
        <w:t>此表的不含税总报价指所有需招标人支付的本次招标范围内所有内容的金额总数即报价信封中的投标值</w:t>
      </w:r>
      <w:r>
        <w:rPr>
          <w:rFonts w:hint="eastAsia" w:ascii="宋体" w:hAnsi="宋体" w:eastAsia="宋体" w:cs="宋体"/>
          <w:b/>
          <w:bCs/>
          <w:color w:val="auto"/>
          <w:kern w:val="0"/>
          <w:szCs w:val="21"/>
          <w:highlight w:val="none"/>
        </w:rPr>
        <w:t>。</w:t>
      </w:r>
    </w:p>
    <w:p w14:paraId="79D28A9E">
      <w:pPr>
        <w:autoSpaceDE w:val="0"/>
        <w:autoSpaceDN w:val="0"/>
        <w:adjustRightInd w:val="0"/>
        <w:snapToGrid w:val="0"/>
        <w:spacing w:line="360" w:lineRule="auto"/>
        <w:ind w:left="605" w:leftChars="18" w:hanging="567" w:hangingChars="270"/>
        <w:jc w:val="left"/>
        <w:rPr>
          <w:rFonts w:hint="eastAsia" w:ascii="宋体" w:hAnsi="宋体" w:eastAsia="宋体" w:cs="宋体"/>
          <w:b/>
          <w:color w:val="auto"/>
          <w:szCs w:val="21"/>
          <w:highlight w:val="none"/>
          <w:lang w:val="zh-CN"/>
        </w:rPr>
      </w:pPr>
      <w:r>
        <w:rPr>
          <w:rFonts w:hint="eastAsia" w:ascii="宋体" w:hAnsi="宋体" w:eastAsia="宋体" w:cs="宋体"/>
          <w:bCs/>
          <w:color w:val="auto"/>
          <w:kern w:val="0"/>
          <w:szCs w:val="21"/>
          <w:highlight w:val="none"/>
          <w:lang w:val="zh-CN"/>
        </w:rPr>
        <w:t>（</w:t>
      </w:r>
      <w:r>
        <w:rPr>
          <w:rFonts w:hint="eastAsia" w:ascii="宋体" w:hAnsi="宋体" w:eastAsia="宋体" w:cs="宋体"/>
          <w:bCs/>
          <w:color w:val="auto"/>
          <w:kern w:val="0"/>
          <w:szCs w:val="21"/>
          <w:highlight w:val="none"/>
          <w:lang w:val="en-US" w:eastAsia="zh-CN"/>
        </w:rPr>
        <w:t>4</w:t>
      </w:r>
      <w:r>
        <w:rPr>
          <w:rFonts w:hint="eastAsia" w:ascii="宋体" w:hAnsi="宋体" w:eastAsia="宋体" w:cs="宋体"/>
          <w:bCs/>
          <w:color w:val="auto"/>
          <w:kern w:val="0"/>
          <w:szCs w:val="21"/>
          <w:highlight w:val="none"/>
          <w:lang w:val="zh-CN"/>
        </w:rPr>
        <w:t>）</w:t>
      </w:r>
      <w:r>
        <w:rPr>
          <w:rFonts w:hint="eastAsia" w:ascii="宋体" w:hAnsi="宋体" w:eastAsia="宋体" w:cs="宋体"/>
          <w:b/>
          <w:color w:val="auto"/>
          <w:szCs w:val="21"/>
          <w:highlight w:val="none"/>
          <w:u w:val="single"/>
          <w:lang w:val="zh-CN"/>
        </w:rPr>
        <w:t>本表内各子项目的投标报价之和应等于报价信封中的投标值。若本表内各子项目的投标报价之和不等于报价信封中的投标值时，以报价信封中的投标值为准，修</w:t>
      </w:r>
      <w:r>
        <w:rPr>
          <w:rFonts w:hint="eastAsia" w:ascii="宋体" w:hAnsi="宋体" w:eastAsia="宋体" w:cs="宋体"/>
          <w:b/>
          <w:color w:val="auto"/>
          <w:szCs w:val="21"/>
          <w:highlight w:val="none"/>
          <w:u w:val="single"/>
          <w:lang w:val="en-US" w:eastAsia="zh-CN"/>
        </w:rPr>
        <w:t>正投标报价</w:t>
      </w:r>
      <w:r>
        <w:rPr>
          <w:rFonts w:hint="eastAsia" w:ascii="宋体" w:hAnsi="宋体" w:eastAsia="宋体" w:cs="宋体"/>
          <w:b/>
          <w:color w:val="auto"/>
          <w:szCs w:val="21"/>
          <w:highlight w:val="none"/>
          <w:u w:val="single"/>
          <w:lang w:val="zh-CN"/>
        </w:rPr>
        <w:t>表内各子项目的投标报价</w:t>
      </w:r>
      <w:r>
        <w:rPr>
          <w:rFonts w:hint="eastAsia" w:ascii="宋体" w:hAnsi="宋体" w:eastAsia="宋体" w:cs="宋体"/>
          <w:b/>
          <w:color w:val="auto"/>
          <w:szCs w:val="21"/>
          <w:highlight w:val="none"/>
          <w:lang w:val="zh-CN"/>
        </w:rPr>
        <w:t>。</w:t>
      </w:r>
    </w:p>
    <w:p w14:paraId="290FB42A">
      <w:pPr>
        <w:autoSpaceDE w:val="0"/>
        <w:autoSpaceDN w:val="0"/>
        <w:adjustRightInd w:val="0"/>
        <w:snapToGrid w:val="0"/>
        <w:spacing w:line="360" w:lineRule="auto"/>
        <w:ind w:left="605" w:leftChars="18" w:hanging="567" w:hangingChars="270"/>
        <w:jc w:val="left"/>
        <w:rPr>
          <w:rFonts w:hint="eastAsia"/>
          <w:color w:val="auto"/>
          <w:lang w:val="zh-CN"/>
        </w:rPr>
      </w:pPr>
      <w:r>
        <w:rPr>
          <w:rFonts w:hint="eastAsia" w:ascii="宋体" w:hAnsi="宋体" w:eastAsia="宋体" w:cs="宋体"/>
          <w:bCs/>
          <w:color w:val="auto"/>
          <w:kern w:val="0"/>
          <w:szCs w:val="21"/>
          <w:highlight w:val="none"/>
          <w:lang w:val="zh-CN"/>
        </w:rPr>
        <w:t>（</w:t>
      </w:r>
      <w:r>
        <w:rPr>
          <w:rFonts w:hint="eastAsia" w:ascii="宋体" w:hAnsi="宋体" w:eastAsia="宋体" w:cs="宋体"/>
          <w:bCs/>
          <w:color w:val="auto"/>
          <w:kern w:val="0"/>
          <w:szCs w:val="21"/>
          <w:highlight w:val="none"/>
          <w:lang w:val="en-US" w:eastAsia="zh-CN"/>
        </w:rPr>
        <w:t>5</w:t>
      </w:r>
      <w:r>
        <w:rPr>
          <w:rFonts w:hint="eastAsia" w:ascii="宋体" w:hAnsi="宋体" w:eastAsia="宋体" w:cs="宋体"/>
          <w:bCs/>
          <w:color w:val="auto"/>
          <w:kern w:val="0"/>
          <w:szCs w:val="21"/>
          <w:highlight w:val="none"/>
          <w:lang w:val="zh-CN"/>
        </w:rPr>
        <w:t>）本投标报价表报价与分项报价明细表报价不一致的，以本投标报价表为准。对不同文字文本投标文件的解释发生异议的，以中文文本为准。</w:t>
      </w:r>
    </w:p>
    <w:p w14:paraId="06CBC313">
      <w:pPr>
        <w:autoSpaceDE w:val="0"/>
        <w:autoSpaceDN w:val="0"/>
        <w:adjustRightInd w:val="0"/>
        <w:snapToGrid w:val="0"/>
        <w:spacing w:line="360" w:lineRule="auto"/>
        <w:ind w:left="605" w:leftChars="18" w:hanging="567" w:hangingChars="270"/>
        <w:jc w:val="left"/>
        <w:rPr>
          <w:rFonts w:hint="eastAsia" w:ascii="宋体" w:hAnsi="宋体" w:eastAsia="宋体" w:cs="宋体"/>
          <w:b/>
          <w:bCs/>
          <w:color w:val="auto"/>
          <w:kern w:val="0"/>
          <w:szCs w:val="21"/>
          <w:highlight w:val="none"/>
        </w:rPr>
      </w:pPr>
      <w:r>
        <w:rPr>
          <w:rFonts w:hint="eastAsia" w:ascii="宋体" w:hAnsi="宋体" w:eastAsia="宋体" w:cs="宋体"/>
          <w:bCs/>
          <w:color w:val="auto"/>
          <w:kern w:val="0"/>
          <w:szCs w:val="21"/>
          <w:highlight w:val="none"/>
          <w:lang w:val="zh-CN"/>
        </w:rPr>
        <w:t>（</w:t>
      </w:r>
      <w:r>
        <w:rPr>
          <w:rFonts w:hint="eastAsia" w:ascii="宋体" w:hAnsi="宋体" w:eastAsia="宋体" w:cs="宋体"/>
          <w:bCs/>
          <w:color w:val="auto"/>
          <w:kern w:val="0"/>
          <w:szCs w:val="21"/>
          <w:highlight w:val="none"/>
          <w:lang w:val="en-US" w:eastAsia="zh-CN"/>
        </w:rPr>
        <w:t>6</w:t>
      </w:r>
      <w:r>
        <w:rPr>
          <w:rFonts w:hint="eastAsia" w:ascii="宋体" w:hAnsi="宋体" w:eastAsia="宋体" w:cs="宋体"/>
          <w:bCs/>
          <w:color w:val="auto"/>
          <w:kern w:val="0"/>
          <w:szCs w:val="21"/>
          <w:highlight w:val="none"/>
          <w:lang w:val="zh-CN"/>
        </w:rPr>
        <w:t>）</w:t>
      </w:r>
      <w:r>
        <w:rPr>
          <w:rFonts w:hint="eastAsia" w:ascii="宋体" w:hAnsi="宋体" w:eastAsia="宋体" w:cs="宋体"/>
          <w:b/>
          <w:bCs/>
          <w:color w:val="auto"/>
          <w:kern w:val="0"/>
          <w:szCs w:val="21"/>
          <w:highlight w:val="none"/>
        </w:rPr>
        <w:t>报价保留小数点后两位。</w:t>
      </w:r>
    </w:p>
    <w:p w14:paraId="498BBE9E">
      <w:pPr>
        <w:autoSpaceDE w:val="0"/>
        <w:autoSpaceDN w:val="0"/>
        <w:adjustRightInd w:val="0"/>
        <w:snapToGrid w:val="0"/>
        <w:spacing w:line="360" w:lineRule="auto"/>
        <w:ind w:left="605" w:leftChars="18" w:hanging="567" w:hangingChars="270"/>
        <w:jc w:val="left"/>
        <w:rPr>
          <w:rFonts w:ascii="宋体" w:hAnsi="宋体" w:eastAsia="宋体" w:cs="Times New Roman"/>
          <w:b/>
          <w:bCs/>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lang w:eastAsia="zh-CN"/>
        </w:rPr>
        <w:t>）</w:t>
      </w:r>
      <w:r>
        <w:rPr>
          <w:rFonts w:hint="eastAsia" w:ascii="宋体" w:hAnsi="宋体" w:eastAsia="宋体" w:cs="宋体"/>
          <w:b/>
          <w:bCs/>
          <w:color w:val="auto"/>
          <w:kern w:val="0"/>
          <w:szCs w:val="21"/>
          <w:highlight w:val="none"/>
        </w:rPr>
        <w:t>由投标人使用投标人的企业数字证书，法定代表人或其授权代表数字证书电子签名。</w:t>
      </w:r>
    </w:p>
    <w:p w14:paraId="7E13683C">
      <w:pPr>
        <w:pStyle w:val="191"/>
        <w:rPr>
          <w:rFonts w:hint="eastAsia"/>
          <w:color w:val="auto"/>
          <w:highlight w:val="none"/>
          <w:lang w:val="zh-CN"/>
        </w:rPr>
      </w:pPr>
    </w:p>
    <w:p w14:paraId="37A866AD">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2C4140E9">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（电子签名）</w:t>
      </w:r>
    </w:p>
    <w:p w14:paraId="52AD1197">
      <w:pPr>
        <w:autoSpaceDE w:val="0"/>
        <w:autoSpaceDN w:val="0"/>
        <w:adjustRightInd w:val="0"/>
        <w:spacing w:line="360" w:lineRule="auto"/>
        <w:ind w:firstLine="4960" w:firstLineChars="2362"/>
        <w:rPr>
          <w:rFonts w:hint="eastAsia"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2669663D">
      <w:pPr>
        <w:tabs>
          <w:tab w:val="left" w:pos="567"/>
        </w:tabs>
        <w:autoSpaceDE w:val="0"/>
        <w:autoSpaceDN w:val="0"/>
        <w:adjustRightInd w:val="0"/>
        <w:spacing w:line="360" w:lineRule="auto"/>
        <w:ind w:left="357" w:leftChars="-100" w:hanging="567"/>
        <w:jc w:val="center"/>
        <w:outlineLvl w:val="9"/>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说明：由投标人使用投标人的企业数字证书，法定代表人或其授权代表数字证书电子签名。</w:t>
      </w:r>
    </w:p>
    <w:p w14:paraId="4FBE69B5">
      <w:pPr>
        <w:autoSpaceDE w:val="0"/>
        <w:autoSpaceDN w:val="0"/>
        <w:adjustRightInd w:val="0"/>
        <w:spacing w:line="360" w:lineRule="auto"/>
        <w:ind w:firstLine="4960" w:firstLineChars="2362"/>
        <w:rPr>
          <w:rFonts w:hint="eastAsia" w:ascii="宋体" w:hAnsi="宋体" w:eastAsia="宋体" w:cs="Times New Roman"/>
          <w:color w:val="auto"/>
          <w:szCs w:val="24"/>
          <w:highlight w:val="none"/>
          <w:lang w:val="zh-CN"/>
        </w:rPr>
      </w:pPr>
    </w:p>
    <w:p w14:paraId="6A6A2A79">
      <w:pPr>
        <w:rPr>
          <w:rFonts w:hint="eastAsia" w:ascii="宋体" w:hAnsi="宋体" w:eastAsia="宋体" w:cs="宋体"/>
          <w:b/>
          <w:color w:val="auto"/>
          <w:kern w:val="44"/>
          <w:sz w:val="32"/>
          <w:szCs w:val="32"/>
          <w:highlight w:val="none"/>
        </w:rPr>
      </w:pPr>
    </w:p>
    <w:p w14:paraId="37B391D4">
      <w:pPr>
        <w:rPr>
          <w:rFonts w:ascii="宋体" w:hAnsi="宋体" w:eastAsia="宋体" w:cs="宋体"/>
          <w:b/>
          <w:bCs/>
          <w:color w:val="auto"/>
          <w:spacing w:val="-3"/>
          <w:sz w:val="32"/>
          <w:szCs w:val="32"/>
        </w:rPr>
      </w:pPr>
      <w:r>
        <w:rPr>
          <w:rFonts w:ascii="宋体" w:hAnsi="宋体" w:eastAsia="宋体" w:cs="宋体"/>
          <w:b/>
          <w:bCs/>
          <w:color w:val="auto"/>
          <w:spacing w:val="-3"/>
          <w:sz w:val="32"/>
          <w:szCs w:val="32"/>
        </w:rPr>
        <w:br w:type="page"/>
      </w:r>
    </w:p>
    <w:p w14:paraId="57CEEF38">
      <w:pPr>
        <w:spacing w:before="242" w:line="218" w:lineRule="auto"/>
        <w:ind w:left="4379"/>
        <w:rPr>
          <w:rFonts w:ascii="宋体" w:hAnsi="宋体" w:eastAsia="宋体" w:cs="宋体"/>
          <w:color w:val="auto"/>
          <w:sz w:val="32"/>
          <w:szCs w:val="32"/>
        </w:rPr>
      </w:pPr>
      <w:r>
        <w:rPr>
          <w:rFonts w:hint="eastAsia" w:ascii="宋体" w:hAnsi="宋体" w:eastAsia="宋体" w:cs="宋体"/>
          <w:b/>
          <w:bCs/>
          <w:color w:val="auto"/>
          <w:spacing w:val="-3"/>
          <w:sz w:val="32"/>
          <w:szCs w:val="32"/>
          <w:lang w:val="en-US" w:eastAsia="zh-CN"/>
        </w:rPr>
        <w:t>4</w:t>
      </w:r>
      <w:r>
        <w:rPr>
          <w:rFonts w:hint="eastAsia" w:ascii="宋体" w:hAnsi="宋体" w:eastAsia="宋体" w:cs="宋体"/>
          <w:b/>
          <w:bCs/>
          <w:color w:val="auto"/>
          <w:spacing w:val="-3"/>
          <w:sz w:val="32"/>
          <w:szCs w:val="32"/>
          <w:lang w:eastAsia="zh-CN"/>
        </w:rPr>
        <w:t>.</w:t>
      </w:r>
      <w:r>
        <w:rPr>
          <w:rFonts w:hint="eastAsia" w:ascii="宋体" w:hAnsi="宋体" w:eastAsia="宋体" w:cs="宋体"/>
          <w:b/>
          <w:bCs/>
          <w:color w:val="auto"/>
          <w:spacing w:val="-3"/>
          <w:sz w:val="32"/>
          <w:szCs w:val="32"/>
          <w:lang w:val="en-US" w:eastAsia="zh-CN"/>
        </w:rPr>
        <w:t>2</w:t>
      </w:r>
      <w:r>
        <w:rPr>
          <w:rFonts w:ascii="宋体" w:hAnsi="宋体" w:eastAsia="宋体" w:cs="宋体"/>
          <w:b/>
          <w:bCs/>
          <w:color w:val="auto"/>
          <w:spacing w:val="-3"/>
          <w:sz w:val="32"/>
          <w:szCs w:val="32"/>
        </w:rPr>
        <w:t xml:space="preserve"> </w:t>
      </w:r>
      <w:r>
        <w:rPr>
          <w:rFonts w:hint="eastAsia" w:ascii="宋体" w:hAnsi="宋体" w:eastAsia="宋体" w:cs="宋体"/>
          <w:b/>
          <w:bCs/>
          <w:color w:val="auto"/>
          <w:spacing w:val="-3"/>
          <w:sz w:val="32"/>
          <w:szCs w:val="32"/>
        </w:rPr>
        <w:t>分项报价表</w:t>
      </w:r>
    </w:p>
    <w:p w14:paraId="3E9D54BB">
      <w:pPr>
        <w:spacing w:before="65" w:line="219" w:lineRule="auto"/>
        <w:ind w:left="1047"/>
        <w:rPr>
          <w:rFonts w:ascii="宋体" w:hAnsi="宋体" w:eastAsia="宋体" w:cs="宋体"/>
          <w:b/>
          <w:bCs/>
          <w:color w:val="auto"/>
          <w:spacing w:val="14"/>
          <w:sz w:val="20"/>
          <w:szCs w:val="20"/>
        </w:rPr>
      </w:pPr>
    </w:p>
    <w:p w14:paraId="579F01BC">
      <w:pPr>
        <w:spacing w:before="65" w:line="219" w:lineRule="auto"/>
        <w:ind w:left="1047"/>
        <w:rPr>
          <w:rFonts w:ascii="宋体" w:hAnsi="宋体" w:eastAsia="宋体" w:cs="宋体"/>
          <w:color w:val="auto"/>
          <w:sz w:val="20"/>
          <w:szCs w:val="20"/>
        </w:rPr>
      </w:pPr>
      <w:r>
        <w:rPr>
          <w:rFonts w:ascii="宋体" w:hAnsi="宋体" w:eastAsia="宋体" w:cs="宋体"/>
          <w:b/>
          <w:bCs/>
          <w:color w:val="auto"/>
          <w:spacing w:val="14"/>
          <w:sz w:val="20"/>
          <w:szCs w:val="20"/>
        </w:rPr>
        <w:t>项目名称：</w:t>
      </w:r>
      <w:r>
        <w:rPr>
          <w:rFonts w:hint="eastAsia" w:ascii="宋体" w:hAnsi="宋体" w:eastAsia="宋体" w:cs="宋体"/>
          <w:color w:val="auto"/>
          <w:kern w:val="0"/>
          <w:szCs w:val="21"/>
          <w:highlight w:val="none"/>
          <w:u w:val="single"/>
          <w:lang w:eastAsia="zh-CN"/>
        </w:rPr>
        <w:t>东莞市置拓投资有限公司水业大厦2026-2027年度物业管理服务采购项目</w:t>
      </w:r>
    </w:p>
    <w:p w14:paraId="226345BC">
      <w:pPr>
        <w:spacing w:before="152" w:line="219" w:lineRule="auto"/>
        <w:ind w:left="1047"/>
        <w:rPr>
          <w:rFonts w:ascii="宋体" w:hAnsi="宋体" w:eastAsia="宋体" w:cs="宋体"/>
          <w:b/>
          <w:bCs/>
          <w:color w:val="auto"/>
          <w:spacing w:val="16"/>
          <w:sz w:val="20"/>
          <w:szCs w:val="20"/>
        </w:rPr>
      </w:pPr>
      <w:r>
        <w:rPr>
          <w:rFonts w:ascii="宋体" w:hAnsi="宋体" w:eastAsia="宋体" w:cs="宋体"/>
          <w:b/>
          <w:bCs/>
          <w:color w:val="auto"/>
          <w:spacing w:val="16"/>
          <w:sz w:val="20"/>
          <w:szCs w:val="20"/>
        </w:rPr>
        <w:t>招标编号：</w:t>
      </w:r>
    </w:p>
    <w:p w14:paraId="7FD217CC">
      <w:pPr>
        <w:adjustRightInd w:val="0"/>
        <w:snapToGrid w:val="0"/>
        <w:spacing w:line="240" w:lineRule="atLeast"/>
        <w:jc w:val="center"/>
        <w:rPr>
          <w:rFonts w:hint="eastAsia" w:ascii="宋体" w:hAnsi="宋体" w:eastAsia="宋体" w:cs="宋体"/>
          <w:b w:val="0"/>
          <w:color w:val="auto"/>
          <w:kern w:val="2"/>
          <w:sz w:val="21"/>
          <w:szCs w:val="21"/>
          <w:highlight w:val="none"/>
        </w:rPr>
      </w:pPr>
    </w:p>
    <w:p w14:paraId="160B129D">
      <w:pPr>
        <w:keepNext w:val="0"/>
        <w:keepLines w:val="0"/>
        <w:pageBreakBefore w:val="0"/>
        <w:widowControl/>
        <w:numPr>
          <w:ilvl w:val="-1"/>
          <w:numId w:val="0"/>
        </w:numPr>
        <w:kinsoku/>
        <w:wordWrap/>
        <w:overflowPunct/>
        <w:topLinePunct w:val="0"/>
        <w:autoSpaceDE/>
        <w:autoSpaceDN/>
        <w:bidi w:val="0"/>
        <w:adjustRightInd w:val="0"/>
        <w:snapToGrid w:val="0"/>
        <w:spacing w:line="240" w:lineRule="atLeast"/>
        <w:ind w:left="0"/>
        <w:jc w:val="lef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en-US" w:eastAsia="zh-CN"/>
        </w:rPr>
        <w:t>A、</w:t>
      </w:r>
      <w:r>
        <w:rPr>
          <w:rFonts w:hint="eastAsia" w:ascii="宋体" w:hAnsi="宋体" w:eastAsia="宋体" w:cs="宋体"/>
          <w:color w:val="auto"/>
          <w:spacing w:val="0"/>
          <w:sz w:val="21"/>
          <w:szCs w:val="21"/>
          <w:highlight w:val="none"/>
        </w:rPr>
        <w:t>物业管理运营服务费（按入驻率</w:t>
      </w:r>
      <w:r>
        <w:rPr>
          <w:rFonts w:hint="eastAsia" w:ascii="宋体" w:hAnsi="宋体" w:eastAsia="宋体" w:cs="宋体"/>
          <w:b w:val="0"/>
          <w:bCs w:val="0"/>
          <w:color w:val="auto"/>
          <w:spacing w:val="0"/>
          <w:sz w:val="21"/>
          <w:szCs w:val="21"/>
          <w:highlight w:val="none"/>
        </w:rPr>
        <w:t>≥</w:t>
      </w:r>
      <w:r>
        <w:rPr>
          <w:rFonts w:hint="eastAsia" w:ascii="宋体" w:hAnsi="宋体" w:eastAsia="宋体" w:cs="宋体"/>
          <w:color w:val="auto"/>
          <w:spacing w:val="0"/>
          <w:sz w:val="21"/>
          <w:szCs w:val="21"/>
          <w:highlight w:val="none"/>
        </w:rPr>
        <w:t>70%时的人员配置要求）</w:t>
      </w:r>
    </w:p>
    <w:tbl>
      <w:tblPr>
        <w:tblStyle w:val="41"/>
        <w:tblW w:w="89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50"/>
        <w:gridCol w:w="1644"/>
        <w:gridCol w:w="1813"/>
        <w:gridCol w:w="2168"/>
        <w:gridCol w:w="2718"/>
      </w:tblGrid>
      <w:tr w14:paraId="16CB1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atLeast"/>
          <w:jc w:val="center"/>
        </w:trPr>
        <w:tc>
          <w:tcPr>
            <w:tcW w:w="650" w:type="dxa"/>
            <w:tcBorders>
              <w:tl2br w:val="nil"/>
              <w:tr2bl w:val="nil"/>
            </w:tcBorders>
            <w:shd w:val="clear" w:color="auto" w:fill="auto"/>
            <w:vAlign w:val="center"/>
          </w:tcPr>
          <w:p w14:paraId="70F1310E">
            <w:pPr>
              <w:adjustRightInd w:val="0"/>
              <w:snapToGrid w:val="0"/>
              <w:spacing w:line="240" w:lineRule="atLeast"/>
              <w:ind w:firstLine="0" w:firstLineChars="0"/>
              <w:jc w:val="center"/>
              <w:rPr>
                <w:rFonts w:hint="eastAsia" w:ascii="宋体" w:hAnsi="宋体" w:eastAsia="宋体" w:cs="宋体"/>
                <w:b w:val="0"/>
                <w:bCs w:val="0"/>
                <w:color w:val="auto"/>
                <w:kern w:val="2"/>
                <w:sz w:val="21"/>
                <w:szCs w:val="21"/>
                <w:highlight w:val="none"/>
                <w:lang w:eastAsia="zh-CN" w:bidi="ar-SA"/>
              </w:rPr>
            </w:pPr>
            <w:r>
              <w:rPr>
                <w:rFonts w:hint="eastAsia" w:ascii="宋体" w:hAnsi="宋体" w:eastAsia="宋体" w:cs="宋体"/>
                <w:b w:val="0"/>
                <w:bCs w:val="0"/>
                <w:color w:val="auto"/>
                <w:kern w:val="2"/>
                <w:sz w:val="21"/>
                <w:szCs w:val="21"/>
                <w:highlight w:val="none"/>
                <w:lang w:val="en-US" w:eastAsia="zh-CN" w:bidi="ar-SA"/>
              </w:rPr>
              <w:t>序号</w:t>
            </w:r>
          </w:p>
        </w:tc>
        <w:tc>
          <w:tcPr>
            <w:tcW w:w="1644" w:type="dxa"/>
            <w:tcBorders>
              <w:tl2br w:val="nil"/>
              <w:tr2bl w:val="nil"/>
            </w:tcBorders>
            <w:shd w:val="clear" w:color="auto" w:fill="auto"/>
            <w:vAlign w:val="center"/>
          </w:tcPr>
          <w:p w14:paraId="41684760">
            <w:pPr>
              <w:adjustRightInd w:val="0"/>
              <w:snapToGrid w:val="0"/>
              <w:spacing w:line="240" w:lineRule="atLeast"/>
              <w:ind w:firstLine="0" w:firstLineChars="0"/>
              <w:jc w:val="center"/>
              <w:rPr>
                <w:rFonts w:hint="eastAsia" w:ascii="宋体" w:hAnsi="宋体" w:eastAsia="宋体" w:cs="宋体"/>
                <w:b w:val="0"/>
                <w:bCs w:val="0"/>
                <w:color w:val="auto"/>
                <w:kern w:val="2"/>
                <w:sz w:val="21"/>
                <w:szCs w:val="21"/>
                <w:highlight w:val="none"/>
                <w:lang w:eastAsia="zh-CN" w:bidi="ar-SA"/>
              </w:rPr>
            </w:pPr>
            <w:r>
              <w:rPr>
                <w:rFonts w:hint="eastAsia" w:ascii="宋体" w:hAnsi="宋体" w:eastAsia="宋体" w:cs="宋体"/>
                <w:b w:val="0"/>
                <w:bCs w:val="0"/>
                <w:color w:val="auto"/>
                <w:kern w:val="2"/>
                <w:sz w:val="21"/>
                <w:szCs w:val="21"/>
                <w:highlight w:val="none"/>
                <w:lang w:eastAsia="zh-CN" w:bidi="ar-SA"/>
              </w:rPr>
              <w:t>支出项目</w:t>
            </w:r>
          </w:p>
        </w:tc>
        <w:tc>
          <w:tcPr>
            <w:tcW w:w="1813" w:type="dxa"/>
            <w:tcBorders>
              <w:tl2br w:val="nil"/>
              <w:tr2bl w:val="nil"/>
            </w:tcBorders>
            <w:shd w:val="clear" w:color="auto" w:fill="auto"/>
            <w:vAlign w:val="center"/>
          </w:tcPr>
          <w:p w14:paraId="4F5FB2C4">
            <w:pPr>
              <w:adjustRightInd w:val="0"/>
              <w:snapToGrid w:val="0"/>
              <w:spacing w:line="240" w:lineRule="atLeast"/>
              <w:ind w:firstLine="0" w:firstLineChars="0"/>
              <w:jc w:val="center"/>
              <w:rPr>
                <w:rFonts w:hint="eastAsia" w:ascii="宋体" w:hAnsi="宋体" w:eastAsia="宋体" w:cs="宋体"/>
                <w:b w:val="0"/>
                <w:bCs w:val="0"/>
                <w:color w:val="auto"/>
                <w:kern w:val="2"/>
                <w:sz w:val="21"/>
                <w:szCs w:val="21"/>
                <w:highlight w:val="none"/>
                <w:lang w:eastAsia="zh-CN" w:bidi="ar-SA"/>
              </w:rPr>
            </w:pPr>
            <w:r>
              <w:rPr>
                <w:rFonts w:hint="eastAsia" w:ascii="宋体" w:hAnsi="宋体" w:eastAsia="宋体" w:cs="宋体"/>
                <w:b w:val="0"/>
                <w:bCs w:val="0"/>
                <w:color w:val="auto"/>
                <w:kern w:val="2"/>
                <w:sz w:val="21"/>
                <w:szCs w:val="21"/>
                <w:highlight w:val="none"/>
                <w:lang w:eastAsia="zh-CN" w:bidi="ar-SA"/>
              </w:rPr>
              <w:t>服务期</w:t>
            </w:r>
          </w:p>
        </w:tc>
        <w:tc>
          <w:tcPr>
            <w:tcW w:w="2168" w:type="dxa"/>
            <w:tcBorders>
              <w:tl2br w:val="nil"/>
              <w:tr2bl w:val="nil"/>
            </w:tcBorders>
            <w:shd w:val="clear" w:color="auto" w:fill="auto"/>
            <w:vAlign w:val="center"/>
          </w:tcPr>
          <w:p w14:paraId="6AEF9FFC">
            <w:pPr>
              <w:adjustRightInd w:val="0"/>
              <w:snapToGrid w:val="0"/>
              <w:spacing w:line="240" w:lineRule="atLeast"/>
              <w:ind w:firstLine="0" w:firstLineChars="0"/>
              <w:jc w:val="center"/>
              <w:rPr>
                <w:rFonts w:hint="eastAsia" w:ascii="宋体" w:hAnsi="宋体" w:eastAsia="宋体" w:cs="宋体"/>
                <w:b w:val="0"/>
                <w:bCs w:val="0"/>
                <w:color w:val="auto"/>
                <w:kern w:val="2"/>
                <w:sz w:val="21"/>
                <w:szCs w:val="21"/>
                <w:highlight w:val="none"/>
                <w:lang w:eastAsia="zh-CN" w:bidi="ar-SA"/>
              </w:rPr>
            </w:pPr>
            <w:r>
              <w:rPr>
                <w:rFonts w:hint="eastAsia" w:ascii="宋体" w:hAnsi="宋体" w:eastAsia="宋体" w:cs="宋体"/>
                <w:b w:val="0"/>
                <w:bCs w:val="0"/>
                <w:color w:val="auto"/>
                <w:kern w:val="2"/>
                <w:sz w:val="21"/>
                <w:szCs w:val="21"/>
                <w:highlight w:val="none"/>
                <w:lang w:eastAsia="zh-CN" w:bidi="ar-SA"/>
              </w:rPr>
              <w:t>不含税报价(元)</w:t>
            </w:r>
          </w:p>
        </w:tc>
        <w:tc>
          <w:tcPr>
            <w:tcW w:w="2718" w:type="dxa"/>
            <w:tcBorders>
              <w:tl2br w:val="nil"/>
              <w:tr2bl w:val="nil"/>
            </w:tcBorders>
            <w:shd w:val="clear" w:color="auto" w:fill="auto"/>
            <w:vAlign w:val="center"/>
          </w:tcPr>
          <w:p w14:paraId="24280313">
            <w:pPr>
              <w:adjustRightInd w:val="0"/>
              <w:snapToGrid w:val="0"/>
              <w:spacing w:line="240" w:lineRule="atLeast"/>
              <w:ind w:firstLine="0" w:firstLineChars="0"/>
              <w:jc w:val="center"/>
              <w:rPr>
                <w:rFonts w:hint="eastAsia" w:ascii="宋体" w:hAnsi="宋体" w:eastAsia="宋体" w:cs="宋体"/>
                <w:b w:val="0"/>
                <w:bCs w:val="0"/>
                <w:color w:val="auto"/>
                <w:kern w:val="2"/>
                <w:sz w:val="21"/>
                <w:szCs w:val="21"/>
                <w:highlight w:val="none"/>
                <w:lang w:eastAsia="zh-CN" w:bidi="ar-SA"/>
              </w:rPr>
            </w:pPr>
            <w:r>
              <w:rPr>
                <w:rFonts w:hint="eastAsia" w:ascii="宋体" w:hAnsi="宋体" w:eastAsia="宋体" w:cs="宋体"/>
                <w:b w:val="0"/>
                <w:bCs w:val="0"/>
                <w:color w:val="auto"/>
                <w:kern w:val="2"/>
                <w:sz w:val="21"/>
                <w:szCs w:val="21"/>
                <w:highlight w:val="none"/>
                <w:lang w:eastAsia="zh-CN" w:bidi="ar-SA"/>
              </w:rPr>
              <w:t>备注</w:t>
            </w:r>
          </w:p>
        </w:tc>
      </w:tr>
      <w:tr w14:paraId="7426D3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650" w:type="dxa"/>
            <w:tcBorders>
              <w:tl2br w:val="nil"/>
              <w:tr2bl w:val="nil"/>
            </w:tcBorders>
            <w:shd w:val="clear" w:color="auto" w:fill="auto"/>
            <w:vAlign w:val="center"/>
          </w:tcPr>
          <w:p w14:paraId="5F1B1AD1">
            <w:pPr>
              <w:adjustRightInd w:val="0"/>
              <w:snapToGrid w:val="0"/>
              <w:spacing w:line="240" w:lineRule="atLeast"/>
              <w:ind w:firstLine="0" w:firstLineChars="0"/>
              <w:jc w:val="center"/>
              <w:rPr>
                <w:rFonts w:hint="eastAsia" w:ascii="宋体" w:hAnsi="宋体" w:eastAsia="宋体" w:cs="宋体"/>
                <w:b w:val="0"/>
                <w:bCs w:val="0"/>
                <w:color w:val="auto"/>
                <w:kern w:val="2"/>
                <w:sz w:val="21"/>
                <w:szCs w:val="21"/>
                <w:highlight w:val="none"/>
                <w:lang w:eastAsia="zh-CN" w:bidi="ar-SA"/>
              </w:rPr>
            </w:pPr>
            <w:r>
              <w:rPr>
                <w:rFonts w:hint="eastAsia" w:ascii="宋体" w:hAnsi="宋体" w:eastAsia="宋体" w:cs="宋体"/>
                <w:b w:val="0"/>
                <w:bCs w:val="0"/>
                <w:color w:val="auto"/>
                <w:kern w:val="2"/>
                <w:sz w:val="21"/>
                <w:szCs w:val="21"/>
                <w:highlight w:val="none"/>
                <w:lang w:eastAsia="zh-CN" w:bidi="ar-SA"/>
              </w:rPr>
              <w:t>1</w:t>
            </w:r>
          </w:p>
        </w:tc>
        <w:tc>
          <w:tcPr>
            <w:tcW w:w="1644" w:type="dxa"/>
            <w:tcBorders>
              <w:tl2br w:val="nil"/>
              <w:tr2bl w:val="nil"/>
            </w:tcBorders>
            <w:shd w:val="clear" w:color="auto" w:fill="auto"/>
            <w:vAlign w:val="center"/>
          </w:tcPr>
          <w:p w14:paraId="5CCAA56C">
            <w:pPr>
              <w:adjustRightInd w:val="0"/>
              <w:snapToGrid w:val="0"/>
              <w:spacing w:line="240" w:lineRule="atLeast"/>
              <w:ind w:firstLine="0" w:firstLineChars="0"/>
              <w:jc w:val="center"/>
              <w:rPr>
                <w:rFonts w:hint="eastAsia" w:ascii="宋体" w:hAnsi="宋体" w:eastAsia="宋体" w:cs="宋体"/>
                <w:b w:val="0"/>
                <w:bCs w:val="0"/>
                <w:color w:val="auto"/>
                <w:kern w:val="2"/>
                <w:sz w:val="21"/>
                <w:szCs w:val="21"/>
                <w:highlight w:val="none"/>
                <w:lang w:eastAsia="zh-CN" w:bidi="ar-SA"/>
              </w:rPr>
            </w:pPr>
            <w:r>
              <w:rPr>
                <w:rFonts w:hint="eastAsia" w:ascii="宋体" w:hAnsi="宋体" w:eastAsia="宋体" w:cs="宋体"/>
                <w:b w:val="0"/>
                <w:bCs w:val="0"/>
                <w:color w:val="auto"/>
                <w:kern w:val="2"/>
                <w:sz w:val="21"/>
                <w:szCs w:val="21"/>
                <w:highlight w:val="none"/>
                <w:lang w:eastAsia="zh-CN" w:bidi="ar-SA"/>
              </w:rPr>
              <w:t>人工费用</w:t>
            </w:r>
          </w:p>
        </w:tc>
        <w:tc>
          <w:tcPr>
            <w:tcW w:w="1813" w:type="dxa"/>
            <w:vMerge w:val="restart"/>
            <w:tcBorders>
              <w:tl2br w:val="nil"/>
              <w:tr2bl w:val="nil"/>
            </w:tcBorders>
            <w:shd w:val="clear" w:color="auto" w:fill="auto"/>
            <w:vAlign w:val="center"/>
          </w:tcPr>
          <w:p w14:paraId="11936B72">
            <w:pPr>
              <w:adjustRightInd w:val="0"/>
              <w:snapToGrid w:val="0"/>
              <w:spacing w:line="240" w:lineRule="atLeast"/>
              <w:ind w:firstLine="0" w:firstLineChars="0"/>
              <w:jc w:val="center"/>
              <w:rPr>
                <w:rFonts w:hint="eastAsia" w:ascii="宋体" w:hAnsi="宋体" w:eastAsia="宋体" w:cs="宋体"/>
                <w:b w:val="0"/>
                <w:bCs w:val="0"/>
                <w:color w:val="auto"/>
                <w:kern w:val="2"/>
                <w:sz w:val="21"/>
                <w:szCs w:val="21"/>
                <w:highlight w:val="none"/>
                <w:lang w:eastAsia="zh-CN" w:bidi="ar-SA"/>
              </w:rPr>
            </w:pPr>
            <w:r>
              <w:rPr>
                <w:rFonts w:hint="eastAsia" w:ascii="宋体" w:hAnsi="宋体" w:eastAsia="宋体" w:cs="宋体"/>
                <w:color w:val="auto"/>
                <w:sz w:val="21"/>
                <w:szCs w:val="21"/>
                <w:lang w:val="en-US" w:eastAsia="zh-CN"/>
              </w:rPr>
              <w:t>自招标人书面通知中标人进场之日起至2027年12月31日</w:t>
            </w:r>
          </w:p>
        </w:tc>
        <w:tc>
          <w:tcPr>
            <w:tcW w:w="2168" w:type="dxa"/>
            <w:tcBorders>
              <w:tl2br w:val="nil"/>
              <w:tr2bl w:val="nil"/>
            </w:tcBorders>
            <w:shd w:val="clear" w:color="auto" w:fill="auto"/>
            <w:vAlign w:val="center"/>
          </w:tcPr>
          <w:p w14:paraId="5B82EC1E">
            <w:pPr>
              <w:adjustRightInd w:val="0"/>
              <w:snapToGrid w:val="0"/>
              <w:spacing w:line="240" w:lineRule="atLeast"/>
              <w:ind w:firstLine="0" w:firstLineChars="0"/>
              <w:jc w:val="center"/>
              <w:rPr>
                <w:rFonts w:hint="eastAsia" w:ascii="宋体" w:hAnsi="宋体" w:eastAsia="宋体" w:cs="宋体"/>
                <w:b w:val="0"/>
                <w:bCs w:val="0"/>
                <w:color w:val="auto"/>
                <w:kern w:val="2"/>
                <w:sz w:val="21"/>
                <w:szCs w:val="21"/>
                <w:highlight w:val="none"/>
                <w:lang w:val="en-US" w:eastAsia="zh-CN" w:bidi="ar-SA"/>
              </w:rPr>
            </w:pPr>
          </w:p>
        </w:tc>
        <w:tc>
          <w:tcPr>
            <w:tcW w:w="2718" w:type="dxa"/>
            <w:tcBorders>
              <w:tl2br w:val="nil"/>
              <w:tr2bl w:val="nil"/>
            </w:tcBorders>
            <w:shd w:val="clear" w:color="auto" w:fill="auto"/>
            <w:vAlign w:val="center"/>
          </w:tcPr>
          <w:p w14:paraId="52188171">
            <w:pPr>
              <w:adjustRightInd w:val="0"/>
              <w:snapToGrid w:val="0"/>
              <w:spacing w:line="240" w:lineRule="atLeast"/>
              <w:ind w:firstLine="0" w:firstLineChars="0"/>
              <w:jc w:val="center"/>
              <w:rPr>
                <w:rFonts w:hint="eastAsia" w:ascii="宋体" w:hAnsi="宋体" w:eastAsia="宋体" w:cs="宋体"/>
                <w:b w:val="0"/>
                <w:bCs w:val="0"/>
                <w:color w:val="auto"/>
                <w:kern w:val="2"/>
                <w:sz w:val="21"/>
                <w:szCs w:val="21"/>
                <w:highlight w:val="none"/>
                <w:lang w:eastAsia="zh-CN" w:bidi="ar-SA"/>
              </w:rPr>
            </w:pPr>
            <w:r>
              <w:rPr>
                <w:rFonts w:hint="eastAsia" w:ascii="宋体" w:hAnsi="宋体" w:eastAsia="宋体" w:cs="宋体"/>
                <w:b w:val="0"/>
                <w:bCs w:val="0"/>
                <w:color w:val="auto"/>
                <w:kern w:val="2"/>
                <w:sz w:val="21"/>
                <w:szCs w:val="21"/>
                <w:highlight w:val="none"/>
                <w:lang w:eastAsia="zh-CN" w:bidi="ar-SA"/>
              </w:rPr>
              <w:t>详见</w:t>
            </w:r>
            <w:r>
              <w:rPr>
                <w:rFonts w:hint="eastAsia" w:ascii="宋体" w:hAnsi="宋体" w:eastAsia="宋体" w:cs="宋体"/>
                <w:color w:val="auto"/>
                <w:spacing w:val="-3"/>
                <w:sz w:val="21"/>
                <w:szCs w:val="21"/>
              </w:rPr>
              <w:t>人工费用明细表</w:t>
            </w:r>
            <w:r>
              <w:rPr>
                <w:rFonts w:hint="eastAsia" w:ascii="宋体" w:hAnsi="宋体" w:eastAsia="宋体" w:cs="宋体"/>
                <w:b w:val="0"/>
                <w:bCs w:val="0"/>
                <w:color w:val="auto"/>
                <w:kern w:val="2"/>
                <w:sz w:val="21"/>
                <w:szCs w:val="21"/>
                <w:highlight w:val="none"/>
                <w:lang w:eastAsia="zh-CN" w:bidi="ar-SA"/>
              </w:rPr>
              <w:t>。</w:t>
            </w:r>
          </w:p>
        </w:tc>
      </w:tr>
      <w:tr w14:paraId="4A2FF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8" w:hRule="atLeast"/>
          <w:jc w:val="center"/>
        </w:trPr>
        <w:tc>
          <w:tcPr>
            <w:tcW w:w="650" w:type="dxa"/>
            <w:tcBorders>
              <w:tl2br w:val="nil"/>
              <w:tr2bl w:val="nil"/>
            </w:tcBorders>
            <w:shd w:val="clear" w:color="auto" w:fill="auto"/>
            <w:vAlign w:val="center"/>
          </w:tcPr>
          <w:p w14:paraId="182BA0CD">
            <w:pPr>
              <w:adjustRightInd w:val="0"/>
              <w:snapToGrid w:val="0"/>
              <w:spacing w:line="240" w:lineRule="atLeast"/>
              <w:ind w:firstLine="0" w:firstLineChars="0"/>
              <w:jc w:val="center"/>
              <w:rPr>
                <w:rFonts w:hint="eastAsia" w:ascii="宋体" w:hAnsi="宋体" w:eastAsia="宋体" w:cs="宋体"/>
                <w:b w:val="0"/>
                <w:bCs w:val="0"/>
                <w:color w:val="auto"/>
                <w:kern w:val="2"/>
                <w:sz w:val="21"/>
                <w:szCs w:val="21"/>
                <w:highlight w:val="none"/>
                <w:lang w:eastAsia="zh-CN" w:bidi="ar-SA"/>
              </w:rPr>
            </w:pPr>
            <w:r>
              <w:rPr>
                <w:rFonts w:hint="eastAsia" w:ascii="宋体" w:hAnsi="宋体" w:eastAsia="宋体" w:cs="宋体"/>
                <w:b w:val="0"/>
                <w:bCs w:val="0"/>
                <w:color w:val="auto"/>
                <w:kern w:val="2"/>
                <w:sz w:val="21"/>
                <w:szCs w:val="21"/>
                <w:highlight w:val="none"/>
                <w:lang w:eastAsia="zh-CN" w:bidi="ar-SA"/>
              </w:rPr>
              <w:t>2</w:t>
            </w:r>
          </w:p>
        </w:tc>
        <w:tc>
          <w:tcPr>
            <w:tcW w:w="1644" w:type="dxa"/>
            <w:tcBorders>
              <w:tl2br w:val="nil"/>
              <w:tr2bl w:val="nil"/>
            </w:tcBorders>
            <w:shd w:val="clear" w:color="auto" w:fill="auto"/>
            <w:vAlign w:val="center"/>
          </w:tcPr>
          <w:p w14:paraId="5A63D6C7">
            <w:pPr>
              <w:adjustRightInd w:val="0"/>
              <w:snapToGrid w:val="0"/>
              <w:spacing w:line="240" w:lineRule="atLeast"/>
              <w:ind w:firstLine="0" w:firstLineChars="0"/>
              <w:jc w:val="center"/>
              <w:rPr>
                <w:rFonts w:hint="eastAsia" w:ascii="宋体" w:hAnsi="宋体" w:eastAsia="宋体" w:cs="宋体"/>
                <w:b w:val="0"/>
                <w:bCs w:val="0"/>
                <w:color w:val="auto"/>
                <w:kern w:val="2"/>
                <w:sz w:val="21"/>
                <w:szCs w:val="21"/>
                <w:highlight w:val="none"/>
                <w:lang w:eastAsia="zh-CN" w:bidi="ar-SA"/>
              </w:rPr>
            </w:pPr>
            <w:r>
              <w:rPr>
                <w:rFonts w:hint="eastAsia" w:ascii="宋体" w:hAnsi="宋体" w:eastAsia="宋体" w:cs="宋体"/>
                <w:b w:val="0"/>
                <w:bCs w:val="0"/>
                <w:color w:val="auto"/>
                <w:kern w:val="2"/>
                <w:sz w:val="21"/>
                <w:szCs w:val="21"/>
                <w:highlight w:val="none"/>
                <w:lang w:eastAsia="zh-CN" w:bidi="ar-SA"/>
              </w:rPr>
              <w:t>日常设施维护费用（包括电梯、空调、消防等）</w:t>
            </w:r>
          </w:p>
        </w:tc>
        <w:tc>
          <w:tcPr>
            <w:tcW w:w="1813" w:type="dxa"/>
            <w:vMerge w:val="continue"/>
            <w:tcBorders>
              <w:tl2br w:val="nil"/>
              <w:tr2bl w:val="nil"/>
            </w:tcBorders>
            <w:shd w:val="clear" w:color="auto" w:fill="auto"/>
            <w:vAlign w:val="center"/>
          </w:tcPr>
          <w:p w14:paraId="0F569521">
            <w:pPr>
              <w:adjustRightInd w:val="0"/>
              <w:snapToGrid w:val="0"/>
              <w:spacing w:line="240" w:lineRule="atLeast"/>
              <w:ind w:left="0" w:leftChars="0" w:firstLine="210" w:firstLineChars="100"/>
              <w:jc w:val="center"/>
              <w:rPr>
                <w:rFonts w:hint="eastAsia" w:ascii="宋体" w:hAnsi="宋体" w:eastAsia="宋体" w:cs="宋体"/>
                <w:b w:val="0"/>
                <w:bCs w:val="0"/>
                <w:color w:val="auto"/>
                <w:kern w:val="2"/>
                <w:sz w:val="21"/>
                <w:szCs w:val="21"/>
                <w:highlight w:val="none"/>
                <w:lang w:eastAsia="zh-CN" w:bidi="ar-SA"/>
              </w:rPr>
            </w:pPr>
          </w:p>
        </w:tc>
        <w:tc>
          <w:tcPr>
            <w:tcW w:w="2168" w:type="dxa"/>
            <w:tcBorders>
              <w:tl2br w:val="nil"/>
              <w:tr2bl w:val="nil"/>
            </w:tcBorders>
            <w:shd w:val="clear" w:color="auto" w:fill="auto"/>
            <w:vAlign w:val="center"/>
          </w:tcPr>
          <w:p w14:paraId="5EF84667">
            <w:pPr>
              <w:adjustRightInd w:val="0"/>
              <w:snapToGrid w:val="0"/>
              <w:spacing w:line="240" w:lineRule="atLeast"/>
              <w:ind w:left="0" w:leftChars="0" w:firstLine="210" w:firstLineChars="100"/>
              <w:jc w:val="center"/>
              <w:rPr>
                <w:rFonts w:hint="eastAsia" w:ascii="宋体" w:hAnsi="宋体" w:eastAsia="宋体" w:cs="宋体"/>
                <w:b w:val="0"/>
                <w:bCs w:val="0"/>
                <w:color w:val="auto"/>
                <w:kern w:val="2"/>
                <w:sz w:val="21"/>
                <w:szCs w:val="21"/>
                <w:highlight w:val="none"/>
                <w:lang w:val="en-US" w:eastAsia="zh-CN" w:bidi="ar-SA"/>
              </w:rPr>
            </w:pPr>
          </w:p>
        </w:tc>
        <w:tc>
          <w:tcPr>
            <w:tcW w:w="2718" w:type="dxa"/>
            <w:tcBorders>
              <w:tl2br w:val="nil"/>
              <w:tr2bl w:val="nil"/>
            </w:tcBorders>
            <w:shd w:val="clear" w:color="auto" w:fill="auto"/>
            <w:vAlign w:val="center"/>
          </w:tcPr>
          <w:p w14:paraId="6D6CF883">
            <w:pPr>
              <w:adjustRightInd w:val="0"/>
              <w:snapToGrid w:val="0"/>
              <w:spacing w:line="240" w:lineRule="atLeast"/>
              <w:ind w:firstLine="0" w:firstLineChars="0"/>
              <w:jc w:val="center"/>
              <w:rPr>
                <w:rFonts w:hint="eastAsia" w:ascii="宋体" w:hAnsi="宋体" w:eastAsia="宋体" w:cs="宋体"/>
                <w:b w:val="0"/>
                <w:bCs w:val="0"/>
                <w:color w:val="auto"/>
                <w:kern w:val="2"/>
                <w:sz w:val="21"/>
                <w:szCs w:val="21"/>
                <w:highlight w:val="none"/>
                <w:lang w:val="en-US" w:eastAsia="zh-CN" w:bidi="ar-SA"/>
              </w:rPr>
            </w:pPr>
          </w:p>
        </w:tc>
      </w:tr>
      <w:tr w14:paraId="519F1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24" w:hRule="atLeast"/>
          <w:jc w:val="center"/>
        </w:trPr>
        <w:tc>
          <w:tcPr>
            <w:tcW w:w="650" w:type="dxa"/>
            <w:tcBorders>
              <w:tl2br w:val="nil"/>
              <w:tr2bl w:val="nil"/>
            </w:tcBorders>
            <w:shd w:val="clear" w:color="auto" w:fill="auto"/>
            <w:vAlign w:val="center"/>
          </w:tcPr>
          <w:p w14:paraId="141EA0B3">
            <w:pPr>
              <w:adjustRightInd w:val="0"/>
              <w:snapToGrid w:val="0"/>
              <w:spacing w:line="240" w:lineRule="atLeast"/>
              <w:ind w:firstLine="0" w:firstLineChars="0"/>
              <w:jc w:val="center"/>
              <w:rPr>
                <w:rFonts w:hint="eastAsia" w:ascii="宋体" w:hAnsi="宋体" w:eastAsia="宋体" w:cs="宋体"/>
                <w:b w:val="0"/>
                <w:bCs w:val="0"/>
                <w:color w:val="auto"/>
                <w:kern w:val="2"/>
                <w:sz w:val="21"/>
                <w:szCs w:val="21"/>
                <w:highlight w:val="none"/>
                <w:lang w:eastAsia="zh-CN" w:bidi="ar-SA"/>
              </w:rPr>
            </w:pPr>
            <w:r>
              <w:rPr>
                <w:rFonts w:hint="eastAsia" w:ascii="宋体" w:hAnsi="宋体" w:eastAsia="宋体" w:cs="宋体"/>
                <w:b w:val="0"/>
                <w:bCs w:val="0"/>
                <w:color w:val="auto"/>
                <w:kern w:val="2"/>
                <w:sz w:val="21"/>
                <w:szCs w:val="21"/>
                <w:highlight w:val="none"/>
                <w:lang w:eastAsia="zh-CN" w:bidi="ar-SA"/>
              </w:rPr>
              <w:t>3</w:t>
            </w:r>
          </w:p>
        </w:tc>
        <w:tc>
          <w:tcPr>
            <w:tcW w:w="1644" w:type="dxa"/>
            <w:tcBorders>
              <w:tl2br w:val="nil"/>
              <w:tr2bl w:val="nil"/>
            </w:tcBorders>
            <w:shd w:val="clear" w:color="auto" w:fill="auto"/>
            <w:vAlign w:val="center"/>
          </w:tcPr>
          <w:p w14:paraId="2B383699">
            <w:pPr>
              <w:adjustRightInd w:val="0"/>
              <w:snapToGrid w:val="0"/>
              <w:spacing w:line="240" w:lineRule="atLeast"/>
              <w:ind w:firstLine="0" w:firstLineChars="0"/>
              <w:jc w:val="center"/>
              <w:rPr>
                <w:rFonts w:hint="eastAsia" w:ascii="宋体" w:hAnsi="宋体" w:eastAsia="宋体" w:cs="宋体"/>
                <w:b w:val="0"/>
                <w:bCs w:val="0"/>
                <w:color w:val="auto"/>
                <w:kern w:val="2"/>
                <w:sz w:val="21"/>
                <w:szCs w:val="21"/>
                <w:highlight w:val="none"/>
                <w:lang w:eastAsia="zh-CN" w:bidi="ar-SA"/>
              </w:rPr>
            </w:pPr>
            <w:bookmarkStart w:id="792" w:name="OLE_LINK24"/>
            <w:r>
              <w:rPr>
                <w:rFonts w:hint="eastAsia" w:ascii="宋体" w:hAnsi="宋体" w:eastAsia="宋体" w:cs="宋体"/>
                <w:b w:val="0"/>
                <w:bCs w:val="0"/>
                <w:color w:val="auto"/>
                <w:kern w:val="2"/>
                <w:sz w:val="21"/>
                <w:szCs w:val="21"/>
                <w:highlight w:val="none"/>
                <w:lang w:eastAsia="zh-CN" w:bidi="ar-SA"/>
              </w:rPr>
              <w:t>工器具及材料</w:t>
            </w:r>
            <w:bookmarkEnd w:id="792"/>
            <w:r>
              <w:rPr>
                <w:rFonts w:hint="eastAsia" w:ascii="宋体" w:hAnsi="宋体" w:eastAsia="宋体" w:cs="宋体"/>
                <w:b w:val="0"/>
                <w:bCs w:val="0"/>
                <w:color w:val="auto"/>
                <w:kern w:val="2"/>
                <w:sz w:val="21"/>
                <w:szCs w:val="21"/>
                <w:highlight w:val="none"/>
                <w:lang w:eastAsia="zh-CN" w:bidi="ar-SA"/>
              </w:rPr>
              <w:t>费用</w:t>
            </w:r>
          </w:p>
        </w:tc>
        <w:tc>
          <w:tcPr>
            <w:tcW w:w="1813" w:type="dxa"/>
            <w:vMerge w:val="continue"/>
            <w:tcBorders>
              <w:tl2br w:val="nil"/>
              <w:tr2bl w:val="nil"/>
            </w:tcBorders>
            <w:shd w:val="clear" w:color="auto" w:fill="auto"/>
            <w:vAlign w:val="center"/>
          </w:tcPr>
          <w:p w14:paraId="1B493B8E">
            <w:pPr>
              <w:adjustRightInd w:val="0"/>
              <w:snapToGrid w:val="0"/>
              <w:spacing w:line="240" w:lineRule="atLeast"/>
              <w:ind w:left="0" w:leftChars="0" w:firstLine="210" w:firstLineChars="100"/>
              <w:jc w:val="center"/>
              <w:rPr>
                <w:rFonts w:hint="eastAsia" w:ascii="宋体" w:hAnsi="宋体" w:eastAsia="宋体" w:cs="宋体"/>
                <w:b w:val="0"/>
                <w:bCs w:val="0"/>
                <w:color w:val="auto"/>
                <w:kern w:val="2"/>
                <w:sz w:val="21"/>
                <w:szCs w:val="21"/>
                <w:highlight w:val="none"/>
                <w:lang w:eastAsia="zh-CN" w:bidi="ar-SA"/>
              </w:rPr>
            </w:pPr>
          </w:p>
        </w:tc>
        <w:tc>
          <w:tcPr>
            <w:tcW w:w="2168" w:type="dxa"/>
            <w:tcBorders>
              <w:tl2br w:val="nil"/>
              <w:tr2bl w:val="nil"/>
            </w:tcBorders>
            <w:shd w:val="clear" w:color="auto" w:fill="auto"/>
            <w:vAlign w:val="center"/>
          </w:tcPr>
          <w:p w14:paraId="12CD794A">
            <w:pPr>
              <w:adjustRightInd w:val="0"/>
              <w:snapToGrid w:val="0"/>
              <w:spacing w:line="240" w:lineRule="atLeast"/>
              <w:ind w:left="0" w:leftChars="0" w:firstLine="210" w:firstLineChars="100"/>
              <w:jc w:val="center"/>
              <w:rPr>
                <w:rFonts w:hint="eastAsia" w:ascii="宋体" w:hAnsi="宋体" w:eastAsia="宋体" w:cs="宋体"/>
                <w:b w:val="0"/>
                <w:bCs w:val="0"/>
                <w:color w:val="auto"/>
                <w:kern w:val="2"/>
                <w:sz w:val="21"/>
                <w:szCs w:val="21"/>
                <w:highlight w:val="none"/>
                <w:lang w:val="en-US" w:eastAsia="zh-CN" w:bidi="ar-SA"/>
              </w:rPr>
            </w:pPr>
          </w:p>
        </w:tc>
        <w:tc>
          <w:tcPr>
            <w:tcW w:w="2718" w:type="dxa"/>
            <w:tcBorders>
              <w:tl2br w:val="nil"/>
              <w:tr2bl w:val="nil"/>
            </w:tcBorders>
            <w:shd w:val="clear" w:color="auto" w:fill="auto"/>
            <w:vAlign w:val="center"/>
          </w:tcPr>
          <w:p w14:paraId="3EC6955B">
            <w:pPr>
              <w:adjustRightInd w:val="0"/>
              <w:snapToGrid w:val="0"/>
              <w:spacing w:line="240" w:lineRule="atLeast"/>
              <w:ind w:firstLine="0" w:firstLineChars="0"/>
              <w:jc w:val="center"/>
              <w:rPr>
                <w:rFonts w:hint="eastAsia" w:ascii="宋体" w:hAnsi="宋体" w:eastAsia="宋体" w:cs="宋体"/>
                <w:b w:val="0"/>
                <w:bCs w:val="0"/>
                <w:color w:val="auto"/>
                <w:kern w:val="2"/>
                <w:sz w:val="21"/>
                <w:szCs w:val="21"/>
                <w:highlight w:val="none"/>
                <w:lang w:eastAsia="zh-CN" w:bidi="ar-SA"/>
              </w:rPr>
            </w:pPr>
            <w:r>
              <w:rPr>
                <w:rFonts w:hint="eastAsia" w:ascii="宋体" w:hAnsi="宋体" w:eastAsia="宋体" w:cs="宋体"/>
                <w:color w:val="auto"/>
                <w:kern w:val="0"/>
                <w:sz w:val="21"/>
                <w:szCs w:val="21"/>
                <w:highlight w:val="none"/>
                <w:lang w:val="en-US" w:eastAsia="zh-CN" w:bidi="en-US"/>
              </w:rPr>
              <w:t>单次</w:t>
            </w:r>
            <w:r>
              <w:rPr>
                <w:rFonts w:hint="eastAsia" w:ascii="宋体" w:hAnsi="宋体" w:eastAsia="宋体" w:cs="宋体"/>
                <w:b w:val="0"/>
                <w:bCs w:val="0"/>
                <w:color w:val="auto"/>
                <w:kern w:val="2"/>
                <w:sz w:val="21"/>
                <w:szCs w:val="21"/>
                <w:highlight w:val="none"/>
                <w:lang w:eastAsia="zh-CN" w:bidi="ar-SA"/>
              </w:rPr>
              <w:t>工器具及材料</w:t>
            </w:r>
            <w:r>
              <w:rPr>
                <w:rFonts w:hint="eastAsia" w:ascii="宋体" w:hAnsi="宋体" w:eastAsia="宋体" w:cs="宋体"/>
                <w:color w:val="auto"/>
                <w:kern w:val="0"/>
                <w:sz w:val="21"/>
                <w:szCs w:val="21"/>
                <w:highlight w:val="none"/>
                <w:lang w:val="en-US" w:eastAsia="zh-CN" w:bidi="en-US"/>
              </w:rPr>
              <w:t>费用不超过5000元</w:t>
            </w:r>
            <w:r>
              <w:rPr>
                <w:rFonts w:hint="eastAsia" w:ascii="宋体" w:hAnsi="宋体" w:eastAsia="宋体" w:cs="宋体"/>
                <w:b w:val="0"/>
                <w:bCs w:val="0"/>
                <w:color w:val="auto"/>
                <w:kern w:val="2"/>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en-US"/>
              </w:rPr>
              <w:t>由中标人在工器具及材料费用中列支；单次</w:t>
            </w:r>
            <w:r>
              <w:rPr>
                <w:rFonts w:hint="eastAsia" w:ascii="宋体" w:hAnsi="宋体" w:eastAsia="宋体" w:cs="宋体"/>
                <w:b w:val="0"/>
                <w:bCs w:val="0"/>
                <w:color w:val="auto"/>
                <w:kern w:val="2"/>
                <w:sz w:val="21"/>
                <w:szCs w:val="21"/>
                <w:highlight w:val="none"/>
                <w:lang w:eastAsia="zh-CN" w:bidi="ar-SA"/>
              </w:rPr>
              <w:t>工器具及材料</w:t>
            </w:r>
            <w:r>
              <w:rPr>
                <w:rFonts w:hint="eastAsia" w:ascii="宋体" w:hAnsi="宋体" w:eastAsia="宋体" w:cs="宋体"/>
                <w:color w:val="auto"/>
                <w:kern w:val="0"/>
                <w:sz w:val="21"/>
                <w:szCs w:val="21"/>
                <w:highlight w:val="none"/>
                <w:lang w:val="en-US" w:eastAsia="zh-CN" w:bidi="en-US"/>
              </w:rPr>
              <w:t>费用超过5000元，由招标人负责或招标人委托中标人采购，不在工器具及材料费用费用中列支</w:t>
            </w:r>
            <w:r>
              <w:rPr>
                <w:rFonts w:hint="eastAsia" w:ascii="宋体" w:hAnsi="宋体" w:eastAsia="宋体" w:cs="宋体"/>
                <w:b w:val="0"/>
                <w:bCs w:val="0"/>
                <w:color w:val="auto"/>
                <w:kern w:val="2"/>
                <w:sz w:val="21"/>
                <w:szCs w:val="21"/>
                <w:highlight w:val="none"/>
                <w:lang w:val="en-US" w:eastAsia="zh-CN" w:bidi="ar-SA"/>
              </w:rPr>
              <w:t>。</w:t>
            </w:r>
          </w:p>
        </w:tc>
      </w:tr>
      <w:tr w14:paraId="13B52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50" w:type="dxa"/>
            <w:tcBorders>
              <w:tl2br w:val="nil"/>
              <w:tr2bl w:val="nil"/>
            </w:tcBorders>
            <w:shd w:val="clear" w:color="auto" w:fill="auto"/>
            <w:vAlign w:val="center"/>
          </w:tcPr>
          <w:p w14:paraId="009F7229">
            <w:pPr>
              <w:adjustRightInd w:val="0"/>
              <w:snapToGrid w:val="0"/>
              <w:spacing w:line="240" w:lineRule="atLeast"/>
              <w:ind w:firstLine="0" w:firstLineChars="0"/>
              <w:jc w:val="center"/>
              <w:rPr>
                <w:rFonts w:hint="eastAsia" w:ascii="宋体" w:hAnsi="宋体" w:eastAsia="宋体" w:cs="宋体"/>
                <w:b w:val="0"/>
                <w:bCs w:val="0"/>
                <w:color w:val="auto"/>
                <w:kern w:val="2"/>
                <w:sz w:val="21"/>
                <w:szCs w:val="21"/>
                <w:highlight w:val="none"/>
                <w:lang w:eastAsia="zh-CN" w:bidi="ar-SA"/>
              </w:rPr>
            </w:pPr>
            <w:r>
              <w:rPr>
                <w:rFonts w:hint="eastAsia" w:ascii="宋体" w:hAnsi="宋体" w:eastAsia="宋体" w:cs="宋体"/>
                <w:b w:val="0"/>
                <w:bCs w:val="0"/>
                <w:color w:val="auto"/>
                <w:kern w:val="2"/>
                <w:sz w:val="21"/>
                <w:szCs w:val="21"/>
                <w:highlight w:val="none"/>
                <w:lang w:eastAsia="zh-CN" w:bidi="ar-SA"/>
              </w:rPr>
              <w:t>4</w:t>
            </w:r>
          </w:p>
        </w:tc>
        <w:tc>
          <w:tcPr>
            <w:tcW w:w="1644" w:type="dxa"/>
            <w:tcBorders>
              <w:tl2br w:val="nil"/>
              <w:tr2bl w:val="nil"/>
            </w:tcBorders>
            <w:shd w:val="clear" w:color="auto" w:fill="auto"/>
            <w:vAlign w:val="center"/>
          </w:tcPr>
          <w:p w14:paraId="007901B2">
            <w:pPr>
              <w:adjustRightInd w:val="0"/>
              <w:snapToGrid w:val="0"/>
              <w:spacing w:line="240" w:lineRule="atLeast"/>
              <w:ind w:firstLine="0" w:firstLineChars="0"/>
              <w:jc w:val="center"/>
              <w:rPr>
                <w:rFonts w:hint="eastAsia" w:ascii="宋体" w:hAnsi="宋体" w:eastAsia="宋体" w:cs="宋体"/>
                <w:b w:val="0"/>
                <w:bCs w:val="0"/>
                <w:color w:val="auto"/>
                <w:kern w:val="2"/>
                <w:sz w:val="21"/>
                <w:szCs w:val="21"/>
                <w:highlight w:val="none"/>
                <w:lang w:eastAsia="zh-CN" w:bidi="ar-SA"/>
              </w:rPr>
            </w:pPr>
            <w:r>
              <w:rPr>
                <w:rFonts w:hint="eastAsia" w:ascii="宋体" w:hAnsi="宋体" w:eastAsia="宋体" w:cs="宋体"/>
                <w:b w:val="0"/>
                <w:bCs w:val="0"/>
                <w:color w:val="auto"/>
                <w:kern w:val="2"/>
                <w:sz w:val="21"/>
                <w:szCs w:val="21"/>
                <w:highlight w:val="none"/>
                <w:lang w:eastAsia="zh-CN" w:bidi="ar-SA"/>
              </w:rPr>
              <w:t>垃圾清运及处理费</w:t>
            </w:r>
          </w:p>
        </w:tc>
        <w:tc>
          <w:tcPr>
            <w:tcW w:w="1813" w:type="dxa"/>
            <w:vMerge w:val="continue"/>
            <w:tcBorders>
              <w:tl2br w:val="nil"/>
              <w:tr2bl w:val="nil"/>
            </w:tcBorders>
            <w:shd w:val="clear" w:color="auto" w:fill="auto"/>
            <w:vAlign w:val="center"/>
          </w:tcPr>
          <w:p w14:paraId="1859C372">
            <w:pPr>
              <w:adjustRightInd w:val="0"/>
              <w:snapToGrid w:val="0"/>
              <w:spacing w:line="240" w:lineRule="atLeast"/>
              <w:ind w:left="0" w:leftChars="0" w:firstLine="210" w:firstLineChars="100"/>
              <w:jc w:val="center"/>
              <w:rPr>
                <w:rFonts w:hint="eastAsia" w:ascii="宋体" w:hAnsi="宋体" w:eastAsia="宋体" w:cs="宋体"/>
                <w:b w:val="0"/>
                <w:bCs w:val="0"/>
                <w:color w:val="auto"/>
                <w:kern w:val="2"/>
                <w:sz w:val="21"/>
                <w:szCs w:val="21"/>
                <w:highlight w:val="none"/>
                <w:lang w:eastAsia="zh-CN" w:bidi="ar-SA"/>
              </w:rPr>
            </w:pPr>
          </w:p>
        </w:tc>
        <w:tc>
          <w:tcPr>
            <w:tcW w:w="2168" w:type="dxa"/>
            <w:tcBorders>
              <w:tl2br w:val="nil"/>
              <w:tr2bl w:val="nil"/>
            </w:tcBorders>
            <w:shd w:val="clear" w:color="auto" w:fill="auto"/>
            <w:vAlign w:val="center"/>
          </w:tcPr>
          <w:p w14:paraId="11F41174">
            <w:pPr>
              <w:adjustRightInd w:val="0"/>
              <w:snapToGrid w:val="0"/>
              <w:spacing w:line="240" w:lineRule="atLeast"/>
              <w:ind w:left="0" w:leftChars="0" w:firstLine="210" w:firstLineChars="100"/>
              <w:jc w:val="center"/>
              <w:rPr>
                <w:rFonts w:hint="eastAsia" w:ascii="宋体" w:hAnsi="宋体" w:eastAsia="宋体" w:cs="宋体"/>
                <w:b w:val="0"/>
                <w:bCs w:val="0"/>
                <w:color w:val="auto"/>
                <w:kern w:val="2"/>
                <w:sz w:val="21"/>
                <w:szCs w:val="21"/>
                <w:highlight w:val="none"/>
                <w:lang w:val="en-US" w:eastAsia="zh-CN" w:bidi="ar-SA"/>
              </w:rPr>
            </w:pPr>
          </w:p>
        </w:tc>
        <w:tc>
          <w:tcPr>
            <w:tcW w:w="2718" w:type="dxa"/>
            <w:tcBorders>
              <w:tl2br w:val="nil"/>
              <w:tr2bl w:val="nil"/>
            </w:tcBorders>
            <w:shd w:val="clear" w:color="auto" w:fill="auto"/>
            <w:vAlign w:val="center"/>
          </w:tcPr>
          <w:p w14:paraId="03503B73">
            <w:pPr>
              <w:adjustRightInd w:val="0"/>
              <w:snapToGrid w:val="0"/>
              <w:spacing w:line="240" w:lineRule="atLeast"/>
              <w:ind w:firstLine="0" w:firstLineChars="0"/>
              <w:jc w:val="center"/>
              <w:rPr>
                <w:rFonts w:hint="eastAsia" w:ascii="宋体" w:hAnsi="宋体" w:eastAsia="宋体" w:cs="宋体"/>
                <w:b w:val="0"/>
                <w:bCs w:val="0"/>
                <w:color w:val="auto"/>
                <w:kern w:val="2"/>
                <w:sz w:val="21"/>
                <w:szCs w:val="21"/>
                <w:highlight w:val="none"/>
                <w:lang w:eastAsia="zh-CN" w:bidi="ar-SA"/>
              </w:rPr>
            </w:pPr>
          </w:p>
        </w:tc>
      </w:tr>
      <w:tr w14:paraId="0FBF4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jc w:val="center"/>
        </w:trPr>
        <w:tc>
          <w:tcPr>
            <w:tcW w:w="650" w:type="dxa"/>
            <w:tcBorders>
              <w:tl2br w:val="nil"/>
              <w:tr2bl w:val="nil"/>
            </w:tcBorders>
            <w:shd w:val="clear" w:color="auto" w:fill="auto"/>
            <w:vAlign w:val="center"/>
          </w:tcPr>
          <w:p w14:paraId="3E9F4110">
            <w:pPr>
              <w:adjustRightInd w:val="0"/>
              <w:snapToGrid w:val="0"/>
              <w:spacing w:line="240" w:lineRule="atLeast"/>
              <w:ind w:firstLine="0" w:firstLineChars="0"/>
              <w:jc w:val="center"/>
              <w:rPr>
                <w:rFonts w:hint="eastAsia" w:ascii="宋体" w:hAnsi="宋体" w:eastAsia="宋体" w:cs="宋体"/>
                <w:b w:val="0"/>
                <w:bCs w:val="0"/>
                <w:color w:val="auto"/>
                <w:kern w:val="2"/>
                <w:sz w:val="21"/>
                <w:szCs w:val="21"/>
                <w:highlight w:val="none"/>
                <w:lang w:eastAsia="zh-CN" w:bidi="ar-SA"/>
              </w:rPr>
            </w:pPr>
            <w:r>
              <w:rPr>
                <w:rFonts w:hint="eastAsia" w:ascii="宋体" w:hAnsi="宋体" w:eastAsia="宋体" w:cs="宋体"/>
                <w:b w:val="0"/>
                <w:bCs w:val="0"/>
                <w:color w:val="auto"/>
                <w:kern w:val="2"/>
                <w:sz w:val="21"/>
                <w:szCs w:val="21"/>
                <w:highlight w:val="none"/>
                <w:lang w:eastAsia="zh-CN" w:bidi="ar-SA"/>
              </w:rPr>
              <w:t>5</w:t>
            </w:r>
          </w:p>
        </w:tc>
        <w:tc>
          <w:tcPr>
            <w:tcW w:w="1644" w:type="dxa"/>
            <w:tcBorders>
              <w:tl2br w:val="nil"/>
              <w:tr2bl w:val="nil"/>
            </w:tcBorders>
            <w:shd w:val="clear" w:color="auto" w:fill="auto"/>
            <w:vAlign w:val="center"/>
          </w:tcPr>
          <w:p w14:paraId="6D2EA4C0">
            <w:pPr>
              <w:adjustRightInd w:val="0"/>
              <w:snapToGrid w:val="0"/>
              <w:spacing w:line="240" w:lineRule="atLeast"/>
              <w:ind w:firstLine="0" w:firstLineChars="0"/>
              <w:jc w:val="center"/>
              <w:rPr>
                <w:rFonts w:hint="eastAsia" w:ascii="宋体" w:hAnsi="宋体" w:eastAsia="宋体" w:cs="宋体"/>
                <w:b w:val="0"/>
                <w:bCs w:val="0"/>
                <w:color w:val="auto"/>
                <w:kern w:val="2"/>
                <w:sz w:val="21"/>
                <w:szCs w:val="21"/>
                <w:highlight w:val="none"/>
                <w:lang w:eastAsia="zh-CN" w:bidi="ar-SA"/>
              </w:rPr>
            </w:pPr>
            <w:r>
              <w:rPr>
                <w:rFonts w:hint="eastAsia" w:ascii="宋体" w:hAnsi="宋体" w:eastAsia="宋体" w:cs="宋体"/>
                <w:b w:val="0"/>
                <w:bCs w:val="0"/>
                <w:color w:val="auto"/>
                <w:kern w:val="2"/>
                <w:sz w:val="21"/>
                <w:szCs w:val="21"/>
                <w:highlight w:val="none"/>
                <w:lang w:eastAsia="zh-CN" w:bidi="ar-SA"/>
              </w:rPr>
              <w:t>清洁耗材、日常耗材</w:t>
            </w:r>
          </w:p>
        </w:tc>
        <w:tc>
          <w:tcPr>
            <w:tcW w:w="1813" w:type="dxa"/>
            <w:vMerge w:val="continue"/>
            <w:tcBorders>
              <w:tl2br w:val="nil"/>
              <w:tr2bl w:val="nil"/>
            </w:tcBorders>
            <w:shd w:val="clear" w:color="auto" w:fill="auto"/>
            <w:vAlign w:val="center"/>
          </w:tcPr>
          <w:p w14:paraId="43B3EE31">
            <w:pPr>
              <w:adjustRightInd w:val="0"/>
              <w:snapToGrid w:val="0"/>
              <w:spacing w:line="240" w:lineRule="atLeast"/>
              <w:ind w:left="0" w:leftChars="0" w:firstLine="210" w:firstLineChars="100"/>
              <w:jc w:val="center"/>
              <w:rPr>
                <w:rFonts w:hint="eastAsia" w:ascii="宋体" w:hAnsi="宋体" w:eastAsia="宋体" w:cs="宋体"/>
                <w:b w:val="0"/>
                <w:bCs w:val="0"/>
                <w:color w:val="auto"/>
                <w:kern w:val="2"/>
                <w:sz w:val="21"/>
                <w:szCs w:val="21"/>
                <w:highlight w:val="none"/>
                <w:lang w:eastAsia="zh-CN" w:bidi="ar-SA"/>
              </w:rPr>
            </w:pPr>
          </w:p>
        </w:tc>
        <w:tc>
          <w:tcPr>
            <w:tcW w:w="2168" w:type="dxa"/>
            <w:tcBorders>
              <w:tl2br w:val="nil"/>
              <w:tr2bl w:val="nil"/>
            </w:tcBorders>
            <w:shd w:val="clear" w:color="auto" w:fill="auto"/>
            <w:vAlign w:val="center"/>
          </w:tcPr>
          <w:p w14:paraId="5A9B4E3B">
            <w:pPr>
              <w:adjustRightInd w:val="0"/>
              <w:snapToGrid w:val="0"/>
              <w:spacing w:line="240" w:lineRule="atLeast"/>
              <w:ind w:left="0" w:leftChars="0" w:firstLine="210" w:firstLineChars="100"/>
              <w:jc w:val="center"/>
              <w:rPr>
                <w:rFonts w:hint="eastAsia" w:ascii="宋体" w:hAnsi="宋体" w:eastAsia="宋体" w:cs="宋体"/>
                <w:b w:val="0"/>
                <w:bCs w:val="0"/>
                <w:color w:val="auto"/>
                <w:kern w:val="2"/>
                <w:sz w:val="21"/>
                <w:szCs w:val="21"/>
                <w:highlight w:val="none"/>
                <w:lang w:val="en-US" w:eastAsia="zh-CN" w:bidi="ar-SA"/>
              </w:rPr>
            </w:pPr>
          </w:p>
        </w:tc>
        <w:tc>
          <w:tcPr>
            <w:tcW w:w="2718" w:type="dxa"/>
            <w:tcBorders>
              <w:tl2br w:val="nil"/>
              <w:tr2bl w:val="nil"/>
            </w:tcBorders>
            <w:shd w:val="clear" w:color="auto" w:fill="auto"/>
            <w:vAlign w:val="center"/>
          </w:tcPr>
          <w:p w14:paraId="7847E1E8">
            <w:pPr>
              <w:adjustRightInd w:val="0"/>
              <w:snapToGrid w:val="0"/>
              <w:spacing w:line="240" w:lineRule="atLeast"/>
              <w:ind w:firstLine="0" w:firstLineChars="0"/>
              <w:jc w:val="center"/>
              <w:rPr>
                <w:rFonts w:hint="eastAsia" w:ascii="宋体" w:hAnsi="宋体" w:eastAsia="宋体" w:cs="宋体"/>
                <w:b w:val="0"/>
                <w:bCs w:val="0"/>
                <w:color w:val="auto"/>
                <w:kern w:val="2"/>
                <w:sz w:val="21"/>
                <w:szCs w:val="21"/>
                <w:highlight w:val="none"/>
                <w:lang w:eastAsia="zh-CN" w:bidi="ar-SA"/>
              </w:rPr>
            </w:pPr>
          </w:p>
        </w:tc>
      </w:tr>
      <w:tr w14:paraId="03CEF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9" w:hRule="atLeast"/>
          <w:jc w:val="center"/>
        </w:trPr>
        <w:tc>
          <w:tcPr>
            <w:tcW w:w="650" w:type="dxa"/>
            <w:tcBorders>
              <w:tl2br w:val="nil"/>
              <w:tr2bl w:val="nil"/>
            </w:tcBorders>
            <w:shd w:val="clear" w:color="auto" w:fill="auto"/>
            <w:vAlign w:val="center"/>
          </w:tcPr>
          <w:p w14:paraId="534435ED">
            <w:pPr>
              <w:adjustRightInd w:val="0"/>
              <w:snapToGrid w:val="0"/>
              <w:spacing w:line="240" w:lineRule="atLeast"/>
              <w:ind w:firstLine="0" w:firstLineChars="0"/>
              <w:jc w:val="center"/>
              <w:rPr>
                <w:rFonts w:hint="eastAsia" w:ascii="宋体" w:hAnsi="宋体" w:eastAsia="宋体" w:cs="宋体"/>
                <w:b w:val="0"/>
                <w:bCs w:val="0"/>
                <w:color w:val="auto"/>
                <w:kern w:val="2"/>
                <w:sz w:val="21"/>
                <w:szCs w:val="21"/>
                <w:highlight w:val="none"/>
                <w:lang w:eastAsia="zh-CN" w:bidi="ar-SA"/>
              </w:rPr>
            </w:pPr>
            <w:r>
              <w:rPr>
                <w:rFonts w:hint="eastAsia" w:ascii="宋体" w:hAnsi="宋体" w:eastAsia="宋体" w:cs="宋体"/>
                <w:b w:val="0"/>
                <w:bCs w:val="0"/>
                <w:color w:val="auto"/>
                <w:kern w:val="2"/>
                <w:sz w:val="21"/>
                <w:szCs w:val="21"/>
                <w:highlight w:val="none"/>
                <w:lang w:eastAsia="zh-CN" w:bidi="ar-SA"/>
              </w:rPr>
              <w:t>6</w:t>
            </w:r>
          </w:p>
        </w:tc>
        <w:tc>
          <w:tcPr>
            <w:tcW w:w="1644" w:type="dxa"/>
            <w:tcBorders>
              <w:tl2br w:val="nil"/>
              <w:tr2bl w:val="nil"/>
            </w:tcBorders>
            <w:shd w:val="clear" w:color="auto" w:fill="auto"/>
            <w:vAlign w:val="center"/>
          </w:tcPr>
          <w:p w14:paraId="1B570A0B">
            <w:pPr>
              <w:adjustRightInd w:val="0"/>
              <w:snapToGrid w:val="0"/>
              <w:spacing w:line="240" w:lineRule="atLeast"/>
              <w:ind w:firstLine="0" w:firstLineChars="0"/>
              <w:jc w:val="center"/>
              <w:rPr>
                <w:rFonts w:hint="eastAsia" w:ascii="宋体" w:hAnsi="宋体" w:eastAsia="宋体" w:cs="宋体"/>
                <w:b w:val="0"/>
                <w:bCs w:val="0"/>
                <w:color w:val="auto"/>
                <w:kern w:val="2"/>
                <w:sz w:val="21"/>
                <w:szCs w:val="21"/>
                <w:highlight w:val="none"/>
                <w:lang w:eastAsia="zh-CN" w:bidi="ar-SA"/>
              </w:rPr>
            </w:pPr>
            <w:r>
              <w:rPr>
                <w:rFonts w:hint="eastAsia" w:ascii="宋体" w:hAnsi="宋体" w:eastAsia="宋体" w:cs="宋体"/>
                <w:b w:val="0"/>
                <w:bCs w:val="0"/>
                <w:color w:val="auto"/>
                <w:kern w:val="2"/>
                <w:sz w:val="21"/>
                <w:szCs w:val="21"/>
                <w:highlight w:val="none"/>
                <w:lang w:eastAsia="zh-CN" w:bidi="ar-SA"/>
              </w:rPr>
              <w:t>绿化养护及材料费</w:t>
            </w:r>
          </w:p>
        </w:tc>
        <w:tc>
          <w:tcPr>
            <w:tcW w:w="1813" w:type="dxa"/>
            <w:vMerge w:val="continue"/>
            <w:tcBorders>
              <w:tl2br w:val="nil"/>
              <w:tr2bl w:val="nil"/>
            </w:tcBorders>
            <w:shd w:val="clear" w:color="auto" w:fill="auto"/>
            <w:vAlign w:val="center"/>
          </w:tcPr>
          <w:p w14:paraId="5158FF54">
            <w:pPr>
              <w:adjustRightInd w:val="0"/>
              <w:snapToGrid w:val="0"/>
              <w:spacing w:line="240" w:lineRule="atLeast"/>
              <w:ind w:left="0" w:leftChars="0" w:firstLine="210" w:firstLineChars="100"/>
              <w:jc w:val="center"/>
              <w:rPr>
                <w:rFonts w:hint="eastAsia" w:ascii="宋体" w:hAnsi="宋体" w:eastAsia="宋体" w:cs="宋体"/>
                <w:b w:val="0"/>
                <w:bCs w:val="0"/>
                <w:color w:val="auto"/>
                <w:kern w:val="2"/>
                <w:sz w:val="21"/>
                <w:szCs w:val="21"/>
                <w:highlight w:val="none"/>
                <w:lang w:eastAsia="zh-CN" w:bidi="ar-SA"/>
              </w:rPr>
            </w:pPr>
          </w:p>
        </w:tc>
        <w:tc>
          <w:tcPr>
            <w:tcW w:w="2168" w:type="dxa"/>
            <w:tcBorders>
              <w:tl2br w:val="nil"/>
              <w:tr2bl w:val="nil"/>
            </w:tcBorders>
            <w:shd w:val="clear" w:color="auto" w:fill="auto"/>
            <w:vAlign w:val="center"/>
          </w:tcPr>
          <w:p w14:paraId="05421224">
            <w:pPr>
              <w:adjustRightInd w:val="0"/>
              <w:snapToGrid w:val="0"/>
              <w:spacing w:line="240" w:lineRule="atLeast"/>
              <w:ind w:left="0" w:leftChars="0" w:firstLine="210" w:firstLineChars="100"/>
              <w:jc w:val="center"/>
              <w:rPr>
                <w:rFonts w:hint="eastAsia" w:ascii="宋体" w:hAnsi="宋体" w:eastAsia="宋体" w:cs="宋体"/>
                <w:b w:val="0"/>
                <w:bCs w:val="0"/>
                <w:color w:val="auto"/>
                <w:kern w:val="2"/>
                <w:sz w:val="21"/>
                <w:szCs w:val="21"/>
                <w:highlight w:val="none"/>
                <w:lang w:val="en-US" w:eastAsia="zh-CN" w:bidi="ar-SA"/>
              </w:rPr>
            </w:pPr>
          </w:p>
        </w:tc>
        <w:tc>
          <w:tcPr>
            <w:tcW w:w="2718" w:type="dxa"/>
            <w:tcBorders>
              <w:tl2br w:val="nil"/>
              <w:tr2bl w:val="nil"/>
            </w:tcBorders>
            <w:shd w:val="clear" w:color="auto" w:fill="auto"/>
            <w:vAlign w:val="center"/>
          </w:tcPr>
          <w:p w14:paraId="032DBA06">
            <w:pPr>
              <w:adjustRightInd w:val="0"/>
              <w:snapToGrid w:val="0"/>
              <w:spacing w:line="240" w:lineRule="atLeast"/>
              <w:ind w:firstLine="0" w:firstLineChars="0"/>
              <w:jc w:val="center"/>
              <w:rPr>
                <w:rFonts w:hint="eastAsia" w:ascii="宋体" w:hAnsi="宋体" w:eastAsia="宋体" w:cs="宋体"/>
                <w:b w:val="0"/>
                <w:bCs w:val="0"/>
                <w:color w:val="auto"/>
                <w:kern w:val="2"/>
                <w:sz w:val="21"/>
                <w:szCs w:val="21"/>
                <w:highlight w:val="none"/>
                <w:lang w:eastAsia="zh-CN" w:bidi="ar-SA"/>
              </w:rPr>
            </w:pPr>
          </w:p>
        </w:tc>
      </w:tr>
      <w:tr w14:paraId="6C46D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9" w:hRule="atLeast"/>
          <w:jc w:val="center"/>
        </w:trPr>
        <w:tc>
          <w:tcPr>
            <w:tcW w:w="650" w:type="dxa"/>
            <w:tcBorders>
              <w:tl2br w:val="nil"/>
              <w:tr2bl w:val="nil"/>
            </w:tcBorders>
            <w:shd w:val="clear" w:color="auto" w:fill="auto"/>
            <w:vAlign w:val="center"/>
          </w:tcPr>
          <w:p w14:paraId="5C394CDB">
            <w:pPr>
              <w:adjustRightInd w:val="0"/>
              <w:snapToGrid w:val="0"/>
              <w:spacing w:line="240" w:lineRule="atLeast"/>
              <w:ind w:firstLine="0" w:firstLineChars="0"/>
              <w:jc w:val="center"/>
              <w:rPr>
                <w:rFonts w:hint="eastAsia" w:ascii="宋体" w:hAnsi="宋体" w:eastAsia="宋体" w:cs="宋体"/>
                <w:b w:val="0"/>
                <w:bCs w:val="0"/>
                <w:color w:val="auto"/>
                <w:kern w:val="2"/>
                <w:sz w:val="21"/>
                <w:szCs w:val="21"/>
                <w:highlight w:val="none"/>
                <w:lang w:eastAsia="zh-CN" w:bidi="ar-SA"/>
              </w:rPr>
            </w:pPr>
            <w:r>
              <w:rPr>
                <w:rFonts w:hint="eastAsia" w:ascii="宋体" w:hAnsi="宋体" w:eastAsia="宋体" w:cs="宋体"/>
                <w:b w:val="0"/>
                <w:bCs w:val="0"/>
                <w:color w:val="auto"/>
                <w:kern w:val="2"/>
                <w:sz w:val="21"/>
                <w:szCs w:val="21"/>
                <w:highlight w:val="none"/>
                <w:lang w:eastAsia="zh-CN" w:bidi="ar-SA"/>
              </w:rPr>
              <w:t>7</w:t>
            </w:r>
          </w:p>
        </w:tc>
        <w:tc>
          <w:tcPr>
            <w:tcW w:w="1644" w:type="dxa"/>
            <w:tcBorders>
              <w:tl2br w:val="nil"/>
              <w:tr2bl w:val="nil"/>
            </w:tcBorders>
            <w:shd w:val="clear" w:color="auto" w:fill="auto"/>
            <w:vAlign w:val="center"/>
          </w:tcPr>
          <w:p w14:paraId="493463EA">
            <w:pPr>
              <w:adjustRightInd w:val="0"/>
              <w:snapToGrid w:val="0"/>
              <w:spacing w:line="240" w:lineRule="atLeast"/>
              <w:ind w:firstLine="0" w:firstLineChars="0"/>
              <w:jc w:val="center"/>
              <w:rPr>
                <w:rFonts w:hint="eastAsia" w:ascii="宋体" w:hAnsi="宋体" w:eastAsia="宋体" w:cs="宋体"/>
                <w:b w:val="0"/>
                <w:bCs w:val="0"/>
                <w:color w:val="auto"/>
                <w:kern w:val="2"/>
                <w:sz w:val="21"/>
                <w:szCs w:val="21"/>
                <w:highlight w:val="none"/>
                <w:lang w:eastAsia="zh-CN" w:bidi="ar-SA"/>
              </w:rPr>
            </w:pPr>
            <w:r>
              <w:rPr>
                <w:rFonts w:hint="eastAsia" w:ascii="宋体" w:hAnsi="宋体" w:eastAsia="宋体" w:cs="宋体"/>
                <w:b w:val="0"/>
                <w:bCs w:val="0"/>
                <w:color w:val="auto"/>
                <w:kern w:val="2"/>
                <w:sz w:val="21"/>
                <w:szCs w:val="21"/>
                <w:highlight w:val="none"/>
                <w:lang w:eastAsia="zh-CN" w:bidi="ar-SA"/>
              </w:rPr>
              <w:t>玻璃外墙清洗费</w:t>
            </w:r>
          </w:p>
        </w:tc>
        <w:tc>
          <w:tcPr>
            <w:tcW w:w="1813" w:type="dxa"/>
            <w:vMerge w:val="continue"/>
            <w:tcBorders>
              <w:tl2br w:val="nil"/>
              <w:tr2bl w:val="nil"/>
            </w:tcBorders>
            <w:shd w:val="clear" w:color="auto" w:fill="auto"/>
            <w:vAlign w:val="center"/>
          </w:tcPr>
          <w:p w14:paraId="24BC7DC3">
            <w:pPr>
              <w:adjustRightInd w:val="0"/>
              <w:snapToGrid w:val="0"/>
              <w:spacing w:line="240" w:lineRule="atLeast"/>
              <w:ind w:firstLine="0" w:firstLineChars="0"/>
              <w:jc w:val="center"/>
              <w:rPr>
                <w:rFonts w:hint="eastAsia" w:ascii="宋体" w:hAnsi="宋体" w:eastAsia="宋体" w:cs="宋体"/>
                <w:b w:val="0"/>
                <w:bCs w:val="0"/>
                <w:color w:val="auto"/>
                <w:kern w:val="2"/>
                <w:sz w:val="21"/>
                <w:szCs w:val="21"/>
                <w:highlight w:val="none"/>
                <w:lang w:eastAsia="zh-CN" w:bidi="ar-SA"/>
              </w:rPr>
            </w:pPr>
          </w:p>
        </w:tc>
        <w:tc>
          <w:tcPr>
            <w:tcW w:w="2168" w:type="dxa"/>
            <w:tcBorders>
              <w:tl2br w:val="nil"/>
              <w:tr2bl w:val="nil"/>
            </w:tcBorders>
            <w:shd w:val="clear" w:color="auto" w:fill="auto"/>
            <w:vAlign w:val="center"/>
          </w:tcPr>
          <w:p w14:paraId="3386B219">
            <w:pPr>
              <w:adjustRightInd w:val="0"/>
              <w:snapToGrid w:val="0"/>
              <w:spacing w:line="240" w:lineRule="atLeast"/>
              <w:ind w:firstLine="0" w:firstLineChars="0"/>
              <w:jc w:val="center"/>
              <w:rPr>
                <w:rFonts w:hint="eastAsia" w:ascii="宋体" w:hAnsi="宋体" w:eastAsia="宋体" w:cs="宋体"/>
                <w:b w:val="0"/>
                <w:bCs w:val="0"/>
                <w:color w:val="auto"/>
                <w:kern w:val="2"/>
                <w:sz w:val="21"/>
                <w:szCs w:val="21"/>
                <w:highlight w:val="none"/>
                <w:lang w:val="en-US" w:eastAsia="zh-CN" w:bidi="ar-SA"/>
              </w:rPr>
            </w:pPr>
          </w:p>
        </w:tc>
        <w:tc>
          <w:tcPr>
            <w:tcW w:w="2718" w:type="dxa"/>
            <w:tcBorders>
              <w:tl2br w:val="nil"/>
              <w:tr2bl w:val="nil"/>
            </w:tcBorders>
            <w:shd w:val="clear" w:color="auto" w:fill="auto"/>
            <w:vAlign w:val="center"/>
          </w:tcPr>
          <w:p w14:paraId="5EA2E2D6">
            <w:pPr>
              <w:adjustRightInd w:val="0"/>
              <w:snapToGrid w:val="0"/>
              <w:spacing w:line="240" w:lineRule="atLeast"/>
              <w:ind w:firstLine="0" w:firstLineChars="0"/>
              <w:jc w:val="center"/>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eastAsia="zh-CN" w:bidi="ar-SA"/>
              </w:rPr>
              <w:t>每年一次（</w:t>
            </w:r>
            <w:r>
              <w:rPr>
                <w:rFonts w:hint="eastAsia" w:ascii="宋体" w:hAnsi="宋体" w:eastAsia="宋体" w:cs="宋体"/>
                <w:b w:val="0"/>
                <w:bCs w:val="0"/>
                <w:color w:val="auto"/>
                <w:kern w:val="2"/>
                <w:sz w:val="21"/>
                <w:szCs w:val="21"/>
                <w:highlight w:val="none"/>
                <w:lang w:val="en-US" w:eastAsia="zh-CN" w:bidi="ar-SA"/>
              </w:rPr>
              <w:t>共2次</w:t>
            </w:r>
            <w:r>
              <w:rPr>
                <w:rFonts w:hint="eastAsia" w:ascii="宋体" w:hAnsi="宋体" w:eastAsia="宋体" w:cs="宋体"/>
                <w:b w:val="0"/>
                <w:bCs w:val="0"/>
                <w:color w:val="auto"/>
                <w:kern w:val="2"/>
                <w:sz w:val="21"/>
                <w:szCs w:val="21"/>
                <w:highlight w:val="none"/>
                <w:lang w:eastAsia="zh-CN" w:bidi="ar-SA"/>
              </w:rPr>
              <w:t>）</w:t>
            </w:r>
          </w:p>
        </w:tc>
      </w:tr>
      <w:tr w14:paraId="16813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6" w:hRule="atLeast"/>
          <w:jc w:val="center"/>
        </w:trPr>
        <w:tc>
          <w:tcPr>
            <w:tcW w:w="650" w:type="dxa"/>
            <w:tcBorders>
              <w:tl2br w:val="nil"/>
              <w:tr2bl w:val="nil"/>
            </w:tcBorders>
            <w:shd w:val="clear" w:color="auto" w:fill="auto"/>
            <w:vAlign w:val="center"/>
          </w:tcPr>
          <w:p w14:paraId="606FE8A2">
            <w:pPr>
              <w:adjustRightInd w:val="0"/>
              <w:snapToGrid w:val="0"/>
              <w:spacing w:line="240" w:lineRule="atLeast"/>
              <w:ind w:firstLine="0" w:firstLineChars="0"/>
              <w:jc w:val="center"/>
              <w:rPr>
                <w:rFonts w:hint="eastAsia" w:ascii="宋体" w:hAnsi="宋体" w:eastAsia="宋体" w:cs="宋体"/>
                <w:b w:val="0"/>
                <w:bCs w:val="0"/>
                <w:color w:val="auto"/>
                <w:kern w:val="2"/>
                <w:sz w:val="21"/>
                <w:szCs w:val="21"/>
                <w:highlight w:val="none"/>
                <w:lang w:eastAsia="zh-CN" w:bidi="ar-SA"/>
              </w:rPr>
            </w:pPr>
            <w:r>
              <w:rPr>
                <w:rFonts w:hint="eastAsia" w:ascii="宋体" w:hAnsi="宋体" w:eastAsia="宋体" w:cs="宋体"/>
                <w:b w:val="0"/>
                <w:bCs w:val="0"/>
                <w:color w:val="auto"/>
                <w:kern w:val="2"/>
                <w:sz w:val="21"/>
                <w:szCs w:val="21"/>
                <w:highlight w:val="none"/>
                <w:lang w:eastAsia="zh-CN" w:bidi="ar-SA"/>
              </w:rPr>
              <w:t>8</w:t>
            </w:r>
          </w:p>
        </w:tc>
        <w:tc>
          <w:tcPr>
            <w:tcW w:w="1644" w:type="dxa"/>
            <w:tcBorders>
              <w:tl2br w:val="nil"/>
              <w:tr2bl w:val="nil"/>
            </w:tcBorders>
            <w:shd w:val="clear" w:color="auto" w:fill="auto"/>
            <w:vAlign w:val="center"/>
          </w:tcPr>
          <w:p w14:paraId="6D020374">
            <w:pPr>
              <w:adjustRightInd w:val="0"/>
              <w:snapToGrid w:val="0"/>
              <w:spacing w:line="240" w:lineRule="atLeast"/>
              <w:ind w:firstLine="0" w:firstLineChars="0"/>
              <w:jc w:val="center"/>
              <w:rPr>
                <w:rFonts w:hint="eastAsia" w:ascii="宋体" w:hAnsi="宋体" w:eastAsia="宋体" w:cs="宋体"/>
                <w:b w:val="0"/>
                <w:bCs w:val="0"/>
                <w:color w:val="auto"/>
                <w:kern w:val="2"/>
                <w:sz w:val="21"/>
                <w:szCs w:val="21"/>
                <w:highlight w:val="none"/>
                <w:lang w:eastAsia="zh-CN" w:bidi="ar-SA"/>
              </w:rPr>
            </w:pPr>
            <w:r>
              <w:rPr>
                <w:rFonts w:hint="eastAsia" w:ascii="宋体" w:hAnsi="宋体" w:eastAsia="宋体" w:cs="宋体"/>
                <w:b w:val="0"/>
                <w:bCs w:val="0"/>
                <w:color w:val="auto"/>
                <w:kern w:val="2"/>
                <w:sz w:val="21"/>
                <w:szCs w:val="21"/>
                <w:highlight w:val="none"/>
                <w:lang w:eastAsia="zh-CN" w:bidi="ar-SA"/>
              </w:rPr>
              <w:t>“四害”消杀及白蚁防治费</w:t>
            </w:r>
          </w:p>
        </w:tc>
        <w:tc>
          <w:tcPr>
            <w:tcW w:w="1813" w:type="dxa"/>
            <w:vMerge w:val="continue"/>
            <w:tcBorders>
              <w:tl2br w:val="nil"/>
              <w:tr2bl w:val="nil"/>
            </w:tcBorders>
            <w:shd w:val="clear" w:color="auto" w:fill="auto"/>
            <w:vAlign w:val="center"/>
          </w:tcPr>
          <w:p w14:paraId="21FD798D">
            <w:pPr>
              <w:adjustRightInd w:val="0"/>
              <w:snapToGrid w:val="0"/>
              <w:spacing w:line="240" w:lineRule="atLeast"/>
              <w:ind w:firstLine="0" w:firstLineChars="0"/>
              <w:jc w:val="center"/>
              <w:rPr>
                <w:rFonts w:hint="eastAsia" w:ascii="宋体" w:hAnsi="宋体" w:eastAsia="宋体" w:cs="宋体"/>
                <w:b w:val="0"/>
                <w:bCs w:val="0"/>
                <w:color w:val="auto"/>
                <w:kern w:val="2"/>
                <w:sz w:val="21"/>
                <w:szCs w:val="21"/>
                <w:highlight w:val="none"/>
                <w:lang w:eastAsia="zh-CN" w:bidi="ar-SA"/>
              </w:rPr>
            </w:pPr>
          </w:p>
        </w:tc>
        <w:tc>
          <w:tcPr>
            <w:tcW w:w="2168" w:type="dxa"/>
            <w:tcBorders>
              <w:tl2br w:val="nil"/>
              <w:tr2bl w:val="nil"/>
            </w:tcBorders>
            <w:shd w:val="clear" w:color="auto" w:fill="auto"/>
            <w:vAlign w:val="center"/>
          </w:tcPr>
          <w:p w14:paraId="6124E64B">
            <w:pPr>
              <w:adjustRightInd w:val="0"/>
              <w:snapToGrid w:val="0"/>
              <w:spacing w:line="240" w:lineRule="atLeast"/>
              <w:ind w:firstLine="0" w:firstLineChars="0"/>
              <w:jc w:val="center"/>
              <w:rPr>
                <w:rFonts w:hint="eastAsia" w:ascii="宋体" w:hAnsi="宋体" w:eastAsia="宋体" w:cs="宋体"/>
                <w:b w:val="0"/>
                <w:bCs w:val="0"/>
                <w:color w:val="auto"/>
                <w:kern w:val="2"/>
                <w:sz w:val="21"/>
                <w:szCs w:val="21"/>
                <w:highlight w:val="none"/>
                <w:lang w:val="en-US" w:eastAsia="zh-CN" w:bidi="ar-SA"/>
              </w:rPr>
            </w:pPr>
          </w:p>
        </w:tc>
        <w:tc>
          <w:tcPr>
            <w:tcW w:w="2718" w:type="dxa"/>
            <w:tcBorders>
              <w:tl2br w:val="nil"/>
              <w:tr2bl w:val="nil"/>
            </w:tcBorders>
            <w:shd w:val="clear" w:color="auto" w:fill="auto"/>
            <w:vAlign w:val="center"/>
          </w:tcPr>
          <w:p w14:paraId="3EFE57D6">
            <w:pPr>
              <w:adjustRightInd w:val="0"/>
              <w:snapToGrid w:val="0"/>
              <w:spacing w:line="240" w:lineRule="atLeast"/>
              <w:ind w:firstLine="0" w:firstLineChars="0"/>
              <w:jc w:val="center"/>
              <w:rPr>
                <w:rFonts w:hint="eastAsia" w:ascii="宋体" w:hAnsi="宋体" w:eastAsia="宋体" w:cs="宋体"/>
                <w:b w:val="0"/>
                <w:bCs w:val="0"/>
                <w:color w:val="auto"/>
                <w:kern w:val="2"/>
                <w:sz w:val="21"/>
                <w:szCs w:val="21"/>
                <w:highlight w:val="none"/>
                <w:lang w:eastAsia="zh-CN" w:bidi="ar-SA"/>
              </w:rPr>
            </w:pPr>
          </w:p>
        </w:tc>
      </w:tr>
      <w:tr w14:paraId="2B6CD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6" w:hRule="atLeast"/>
          <w:jc w:val="center"/>
        </w:trPr>
        <w:tc>
          <w:tcPr>
            <w:tcW w:w="650" w:type="dxa"/>
            <w:tcBorders>
              <w:tl2br w:val="nil"/>
              <w:tr2bl w:val="nil"/>
            </w:tcBorders>
            <w:shd w:val="clear" w:color="auto" w:fill="auto"/>
            <w:vAlign w:val="center"/>
          </w:tcPr>
          <w:p w14:paraId="5B96D304">
            <w:pPr>
              <w:adjustRightInd w:val="0"/>
              <w:snapToGrid w:val="0"/>
              <w:spacing w:line="240" w:lineRule="atLeast"/>
              <w:ind w:firstLine="0" w:firstLineChars="0"/>
              <w:jc w:val="center"/>
              <w:rPr>
                <w:rFonts w:hint="eastAsia" w:ascii="宋体" w:hAnsi="宋体" w:eastAsia="宋体" w:cs="宋体"/>
                <w:b w:val="0"/>
                <w:bCs w:val="0"/>
                <w:color w:val="auto"/>
                <w:kern w:val="2"/>
                <w:sz w:val="21"/>
                <w:szCs w:val="21"/>
                <w:highlight w:val="none"/>
                <w:lang w:eastAsia="zh-CN" w:bidi="ar-SA"/>
              </w:rPr>
            </w:pPr>
            <w:r>
              <w:rPr>
                <w:rFonts w:hint="eastAsia" w:ascii="宋体" w:hAnsi="宋体" w:eastAsia="宋体" w:cs="宋体"/>
                <w:b w:val="0"/>
                <w:bCs w:val="0"/>
                <w:color w:val="auto"/>
                <w:kern w:val="2"/>
                <w:sz w:val="21"/>
                <w:szCs w:val="21"/>
                <w:highlight w:val="none"/>
                <w:lang w:eastAsia="zh-CN" w:bidi="ar-SA"/>
              </w:rPr>
              <w:t>9</w:t>
            </w:r>
          </w:p>
        </w:tc>
        <w:tc>
          <w:tcPr>
            <w:tcW w:w="1644" w:type="dxa"/>
            <w:tcBorders>
              <w:tl2br w:val="nil"/>
              <w:tr2bl w:val="nil"/>
            </w:tcBorders>
            <w:shd w:val="clear" w:color="auto" w:fill="auto"/>
            <w:vAlign w:val="center"/>
          </w:tcPr>
          <w:p w14:paraId="0BEC3109">
            <w:pPr>
              <w:adjustRightInd w:val="0"/>
              <w:snapToGrid w:val="0"/>
              <w:spacing w:line="240" w:lineRule="atLeast"/>
              <w:ind w:firstLine="0" w:firstLineChars="0"/>
              <w:jc w:val="center"/>
              <w:rPr>
                <w:rFonts w:hint="eastAsia" w:ascii="宋体" w:hAnsi="宋体" w:eastAsia="宋体" w:cs="宋体"/>
                <w:b w:val="0"/>
                <w:bCs w:val="0"/>
                <w:color w:val="auto"/>
                <w:kern w:val="2"/>
                <w:sz w:val="21"/>
                <w:szCs w:val="21"/>
                <w:highlight w:val="none"/>
                <w:lang w:eastAsia="zh-CN" w:bidi="ar-SA"/>
              </w:rPr>
            </w:pPr>
            <w:r>
              <w:rPr>
                <w:rFonts w:hint="eastAsia" w:ascii="宋体" w:hAnsi="宋体" w:eastAsia="宋体" w:cs="宋体"/>
                <w:b w:val="0"/>
                <w:bCs w:val="0"/>
                <w:color w:val="auto"/>
                <w:kern w:val="2"/>
                <w:sz w:val="21"/>
                <w:szCs w:val="21"/>
                <w:highlight w:val="none"/>
                <w:lang w:eastAsia="zh-CN" w:bidi="ar-SA"/>
              </w:rPr>
              <w:t>清洗生活水池、消防水池费（含人工、材料、检测费用）</w:t>
            </w:r>
          </w:p>
        </w:tc>
        <w:tc>
          <w:tcPr>
            <w:tcW w:w="1813" w:type="dxa"/>
            <w:vMerge w:val="continue"/>
            <w:tcBorders>
              <w:tl2br w:val="nil"/>
              <w:tr2bl w:val="nil"/>
            </w:tcBorders>
            <w:shd w:val="clear" w:color="auto" w:fill="auto"/>
            <w:vAlign w:val="center"/>
          </w:tcPr>
          <w:p w14:paraId="7B7CF337">
            <w:pPr>
              <w:adjustRightInd w:val="0"/>
              <w:snapToGrid w:val="0"/>
              <w:spacing w:line="240" w:lineRule="atLeast"/>
              <w:ind w:firstLine="0" w:firstLineChars="0"/>
              <w:jc w:val="center"/>
              <w:rPr>
                <w:rFonts w:hint="eastAsia" w:ascii="宋体" w:hAnsi="宋体" w:eastAsia="宋体" w:cs="宋体"/>
                <w:b w:val="0"/>
                <w:bCs w:val="0"/>
                <w:color w:val="auto"/>
                <w:kern w:val="2"/>
                <w:sz w:val="21"/>
                <w:szCs w:val="21"/>
                <w:highlight w:val="none"/>
                <w:lang w:eastAsia="zh-CN" w:bidi="ar-SA"/>
              </w:rPr>
            </w:pPr>
          </w:p>
        </w:tc>
        <w:tc>
          <w:tcPr>
            <w:tcW w:w="2168" w:type="dxa"/>
            <w:tcBorders>
              <w:tl2br w:val="nil"/>
              <w:tr2bl w:val="nil"/>
            </w:tcBorders>
            <w:shd w:val="clear" w:color="auto" w:fill="auto"/>
            <w:vAlign w:val="center"/>
          </w:tcPr>
          <w:p w14:paraId="2F301C0E">
            <w:pPr>
              <w:adjustRightInd w:val="0"/>
              <w:snapToGrid w:val="0"/>
              <w:spacing w:line="240" w:lineRule="atLeast"/>
              <w:ind w:firstLine="0" w:firstLineChars="0"/>
              <w:jc w:val="center"/>
              <w:rPr>
                <w:rFonts w:hint="eastAsia" w:ascii="宋体" w:hAnsi="宋体" w:eastAsia="宋体" w:cs="宋体"/>
                <w:b w:val="0"/>
                <w:bCs w:val="0"/>
                <w:color w:val="auto"/>
                <w:kern w:val="2"/>
                <w:sz w:val="21"/>
                <w:szCs w:val="21"/>
                <w:highlight w:val="none"/>
                <w:lang w:val="en-US" w:eastAsia="zh-CN" w:bidi="ar-SA"/>
              </w:rPr>
            </w:pPr>
          </w:p>
        </w:tc>
        <w:tc>
          <w:tcPr>
            <w:tcW w:w="2718" w:type="dxa"/>
            <w:tcBorders>
              <w:tl2br w:val="nil"/>
              <w:tr2bl w:val="nil"/>
            </w:tcBorders>
            <w:shd w:val="clear" w:color="auto" w:fill="auto"/>
            <w:vAlign w:val="center"/>
          </w:tcPr>
          <w:p w14:paraId="01C4A96C">
            <w:pPr>
              <w:adjustRightInd w:val="0"/>
              <w:snapToGrid w:val="0"/>
              <w:spacing w:line="240" w:lineRule="atLeast"/>
              <w:ind w:firstLine="0" w:firstLineChars="0"/>
              <w:jc w:val="center"/>
              <w:rPr>
                <w:rFonts w:hint="eastAsia" w:ascii="宋体" w:hAnsi="宋体" w:eastAsia="宋体" w:cs="宋体"/>
                <w:b w:val="0"/>
                <w:bCs w:val="0"/>
                <w:color w:val="auto"/>
                <w:kern w:val="2"/>
                <w:sz w:val="21"/>
                <w:szCs w:val="21"/>
                <w:highlight w:val="none"/>
                <w:lang w:eastAsia="zh-CN" w:bidi="ar-SA"/>
              </w:rPr>
            </w:pPr>
            <w:r>
              <w:rPr>
                <w:rFonts w:hint="eastAsia" w:ascii="宋体" w:hAnsi="宋体" w:eastAsia="宋体" w:cs="宋体"/>
                <w:b w:val="0"/>
                <w:bCs w:val="0"/>
                <w:color w:val="auto"/>
                <w:kern w:val="2"/>
                <w:sz w:val="21"/>
                <w:szCs w:val="21"/>
                <w:highlight w:val="none"/>
                <w:lang w:eastAsia="zh-CN" w:bidi="ar-SA"/>
              </w:rPr>
              <w:t>每半年一次（</w:t>
            </w:r>
            <w:r>
              <w:rPr>
                <w:rFonts w:hint="eastAsia" w:ascii="宋体" w:hAnsi="宋体" w:eastAsia="宋体" w:cs="宋体"/>
                <w:b w:val="0"/>
                <w:bCs w:val="0"/>
                <w:color w:val="auto"/>
                <w:kern w:val="2"/>
                <w:sz w:val="21"/>
                <w:szCs w:val="21"/>
                <w:highlight w:val="none"/>
                <w:lang w:val="en-US" w:eastAsia="zh-CN" w:bidi="ar-SA"/>
              </w:rPr>
              <w:t>共4次</w:t>
            </w:r>
            <w:r>
              <w:rPr>
                <w:rFonts w:hint="eastAsia" w:ascii="宋体" w:hAnsi="宋体" w:eastAsia="宋体" w:cs="宋体"/>
                <w:b w:val="0"/>
                <w:bCs w:val="0"/>
                <w:color w:val="auto"/>
                <w:kern w:val="2"/>
                <w:sz w:val="21"/>
                <w:szCs w:val="21"/>
                <w:highlight w:val="none"/>
                <w:lang w:eastAsia="zh-CN" w:bidi="ar-SA"/>
              </w:rPr>
              <w:t>）</w:t>
            </w:r>
          </w:p>
        </w:tc>
      </w:tr>
      <w:tr w14:paraId="5E276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jc w:val="center"/>
        </w:trPr>
        <w:tc>
          <w:tcPr>
            <w:tcW w:w="650" w:type="dxa"/>
            <w:tcBorders>
              <w:tl2br w:val="nil"/>
              <w:tr2bl w:val="nil"/>
            </w:tcBorders>
            <w:shd w:val="clear" w:color="auto" w:fill="auto"/>
            <w:vAlign w:val="center"/>
          </w:tcPr>
          <w:p w14:paraId="03A862EF">
            <w:pPr>
              <w:adjustRightInd w:val="0"/>
              <w:snapToGrid w:val="0"/>
              <w:spacing w:line="240" w:lineRule="atLeast"/>
              <w:ind w:firstLine="0" w:firstLineChars="0"/>
              <w:jc w:val="center"/>
              <w:rPr>
                <w:rFonts w:hint="eastAsia" w:ascii="宋体" w:hAnsi="宋体" w:eastAsia="宋体" w:cs="宋体"/>
                <w:b w:val="0"/>
                <w:bCs w:val="0"/>
                <w:color w:val="auto"/>
                <w:kern w:val="2"/>
                <w:sz w:val="21"/>
                <w:szCs w:val="21"/>
                <w:highlight w:val="none"/>
                <w:lang w:eastAsia="zh-CN" w:bidi="ar-SA"/>
              </w:rPr>
            </w:pPr>
            <w:r>
              <w:rPr>
                <w:rFonts w:hint="eastAsia" w:ascii="宋体" w:hAnsi="宋体" w:eastAsia="宋体" w:cs="宋体"/>
                <w:b w:val="0"/>
                <w:bCs w:val="0"/>
                <w:color w:val="auto"/>
                <w:kern w:val="2"/>
                <w:sz w:val="21"/>
                <w:szCs w:val="21"/>
                <w:highlight w:val="none"/>
                <w:lang w:eastAsia="zh-CN" w:bidi="ar-SA"/>
              </w:rPr>
              <w:t>10</w:t>
            </w:r>
          </w:p>
        </w:tc>
        <w:tc>
          <w:tcPr>
            <w:tcW w:w="1644" w:type="dxa"/>
            <w:tcBorders>
              <w:tl2br w:val="nil"/>
              <w:tr2bl w:val="nil"/>
            </w:tcBorders>
            <w:shd w:val="clear" w:color="auto" w:fill="auto"/>
            <w:vAlign w:val="center"/>
          </w:tcPr>
          <w:p w14:paraId="2D48853E">
            <w:pPr>
              <w:adjustRightInd w:val="0"/>
              <w:snapToGrid w:val="0"/>
              <w:spacing w:line="240" w:lineRule="atLeast"/>
              <w:ind w:firstLine="0" w:firstLineChars="0"/>
              <w:jc w:val="center"/>
              <w:rPr>
                <w:rFonts w:hint="eastAsia" w:ascii="宋体" w:hAnsi="宋体" w:eastAsia="宋体" w:cs="宋体"/>
                <w:b w:val="0"/>
                <w:bCs w:val="0"/>
                <w:color w:val="auto"/>
                <w:kern w:val="2"/>
                <w:sz w:val="21"/>
                <w:szCs w:val="21"/>
                <w:highlight w:val="none"/>
                <w:lang w:eastAsia="zh-CN" w:bidi="ar-SA"/>
              </w:rPr>
            </w:pPr>
            <w:r>
              <w:rPr>
                <w:rFonts w:hint="eastAsia" w:ascii="宋体" w:hAnsi="宋体" w:eastAsia="宋体" w:cs="宋体"/>
                <w:b w:val="0"/>
                <w:bCs w:val="0"/>
                <w:color w:val="auto"/>
                <w:kern w:val="2"/>
                <w:sz w:val="21"/>
                <w:szCs w:val="21"/>
                <w:highlight w:val="none"/>
                <w:lang w:eastAsia="zh-CN" w:bidi="ar-SA"/>
              </w:rPr>
              <w:t>化粪池、隔油池清洗费用</w:t>
            </w:r>
          </w:p>
        </w:tc>
        <w:tc>
          <w:tcPr>
            <w:tcW w:w="1813" w:type="dxa"/>
            <w:vMerge w:val="continue"/>
            <w:tcBorders>
              <w:tl2br w:val="nil"/>
              <w:tr2bl w:val="nil"/>
            </w:tcBorders>
            <w:shd w:val="clear" w:color="auto" w:fill="auto"/>
            <w:vAlign w:val="center"/>
          </w:tcPr>
          <w:p w14:paraId="640F8A30">
            <w:pPr>
              <w:adjustRightInd w:val="0"/>
              <w:snapToGrid w:val="0"/>
              <w:spacing w:line="240" w:lineRule="atLeast"/>
              <w:ind w:firstLine="0" w:firstLineChars="0"/>
              <w:jc w:val="center"/>
              <w:rPr>
                <w:rFonts w:hint="eastAsia" w:ascii="宋体" w:hAnsi="宋体" w:eastAsia="宋体" w:cs="宋体"/>
                <w:b w:val="0"/>
                <w:bCs w:val="0"/>
                <w:color w:val="auto"/>
                <w:kern w:val="2"/>
                <w:sz w:val="21"/>
                <w:szCs w:val="21"/>
                <w:highlight w:val="none"/>
                <w:lang w:eastAsia="zh-CN" w:bidi="ar-SA"/>
              </w:rPr>
            </w:pPr>
          </w:p>
        </w:tc>
        <w:tc>
          <w:tcPr>
            <w:tcW w:w="2168" w:type="dxa"/>
            <w:tcBorders>
              <w:tl2br w:val="nil"/>
              <w:tr2bl w:val="nil"/>
            </w:tcBorders>
            <w:shd w:val="clear" w:color="auto" w:fill="auto"/>
            <w:vAlign w:val="center"/>
          </w:tcPr>
          <w:p w14:paraId="76851044">
            <w:pPr>
              <w:adjustRightInd w:val="0"/>
              <w:snapToGrid w:val="0"/>
              <w:spacing w:line="240" w:lineRule="atLeast"/>
              <w:ind w:firstLine="0" w:firstLineChars="0"/>
              <w:jc w:val="center"/>
              <w:rPr>
                <w:rFonts w:hint="eastAsia" w:ascii="宋体" w:hAnsi="宋体" w:eastAsia="宋体" w:cs="宋体"/>
                <w:b w:val="0"/>
                <w:bCs w:val="0"/>
                <w:color w:val="auto"/>
                <w:kern w:val="2"/>
                <w:sz w:val="21"/>
                <w:szCs w:val="21"/>
                <w:highlight w:val="none"/>
                <w:lang w:val="en-US" w:eastAsia="zh-CN" w:bidi="ar-SA"/>
              </w:rPr>
            </w:pPr>
          </w:p>
        </w:tc>
        <w:tc>
          <w:tcPr>
            <w:tcW w:w="2718" w:type="dxa"/>
            <w:tcBorders>
              <w:tl2br w:val="nil"/>
              <w:tr2bl w:val="nil"/>
            </w:tcBorders>
            <w:shd w:val="clear" w:color="auto" w:fill="auto"/>
            <w:vAlign w:val="center"/>
          </w:tcPr>
          <w:p w14:paraId="1CFE1965">
            <w:pPr>
              <w:adjustRightInd w:val="0"/>
              <w:snapToGrid w:val="0"/>
              <w:spacing w:line="240" w:lineRule="atLeast"/>
              <w:ind w:firstLine="0" w:firstLineChars="0"/>
              <w:jc w:val="center"/>
              <w:rPr>
                <w:rFonts w:hint="eastAsia" w:ascii="宋体" w:hAnsi="宋体" w:eastAsia="宋体" w:cs="宋体"/>
                <w:b w:val="0"/>
                <w:bCs w:val="0"/>
                <w:color w:val="auto"/>
                <w:kern w:val="2"/>
                <w:sz w:val="21"/>
                <w:szCs w:val="21"/>
                <w:highlight w:val="none"/>
                <w:lang w:eastAsia="zh-CN" w:bidi="ar-SA"/>
              </w:rPr>
            </w:pPr>
            <w:r>
              <w:rPr>
                <w:rFonts w:hint="eastAsia" w:ascii="宋体" w:hAnsi="宋体" w:eastAsia="宋体" w:cs="宋体"/>
                <w:b w:val="0"/>
                <w:bCs w:val="0"/>
                <w:color w:val="auto"/>
                <w:kern w:val="2"/>
                <w:sz w:val="21"/>
                <w:szCs w:val="21"/>
                <w:highlight w:val="none"/>
                <w:lang w:eastAsia="zh-CN" w:bidi="ar-SA"/>
              </w:rPr>
              <w:t>每季度一次（</w:t>
            </w:r>
            <w:r>
              <w:rPr>
                <w:rFonts w:hint="eastAsia" w:ascii="宋体" w:hAnsi="宋体" w:eastAsia="宋体" w:cs="宋体"/>
                <w:b w:val="0"/>
                <w:bCs w:val="0"/>
                <w:color w:val="auto"/>
                <w:kern w:val="2"/>
                <w:sz w:val="21"/>
                <w:szCs w:val="21"/>
                <w:highlight w:val="none"/>
                <w:lang w:val="en-US" w:eastAsia="zh-CN" w:bidi="ar-SA"/>
              </w:rPr>
              <w:t>共7次</w:t>
            </w:r>
            <w:r>
              <w:rPr>
                <w:rFonts w:hint="eastAsia" w:ascii="宋体" w:hAnsi="宋体" w:eastAsia="宋体" w:cs="宋体"/>
                <w:b w:val="0"/>
                <w:bCs w:val="0"/>
                <w:color w:val="auto"/>
                <w:kern w:val="2"/>
                <w:sz w:val="21"/>
                <w:szCs w:val="21"/>
                <w:highlight w:val="none"/>
                <w:lang w:eastAsia="zh-CN" w:bidi="ar-SA"/>
              </w:rPr>
              <w:t>）</w:t>
            </w:r>
          </w:p>
        </w:tc>
      </w:tr>
      <w:tr w14:paraId="2A4DF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1" w:hRule="atLeast"/>
          <w:jc w:val="center"/>
        </w:trPr>
        <w:tc>
          <w:tcPr>
            <w:tcW w:w="650" w:type="dxa"/>
            <w:tcBorders>
              <w:tl2br w:val="nil"/>
              <w:tr2bl w:val="nil"/>
            </w:tcBorders>
            <w:shd w:val="clear" w:color="auto" w:fill="auto"/>
            <w:vAlign w:val="center"/>
          </w:tcPr>
          <w:p w14:paraId="1584940F">
            <w:pPr>
              <w:adjustRightInd w:val="0"/>
              <w:snapToGrid w:val="0"/>
              <w:spacing w:line="240" w:lineRule="atLeast"/>
              <w:ind w:firstLine="0" w:firstLineChars="0"/>
              <w:jc w:val="center"/>
              <w:rPr>
                <w:rFonts w:hint="eastAsia" w:ascii="宋体" w:hAnsi="宋体" w:eastAsia="宋体" w:cs="宋体"/>
                <w:b w:val="0"/>
                <w:bCs w:val="0"/>
                <w:color w:val="auto"/>
                <w:kern w:val="2"/>
                <w:sz w:val="21"/>
                <w:szCs w:val="21"/>
                <w:highlight w:val="none"/>
                <w:lang w:eastAsia="zh-CN" w:bidi="ar-SA"/>
              </w:rPr>
            </w:pPr>
            <w:r>
              <w:rPr>
                <w:rFonts w:hint="eastAsia" w:ascii="宋体" w:hAnsi="宋体" w:eastAsia="宋体" w:cs="宋体"/>
                <w:b w:val="0"/>
                <w:bCs w:val="0"/>
                <w:color w:val="auto"/>
                <w:kern w:val="2"/>
                <w:sz w:val="21"/>
                <w:szCs w:val="21"/>
                <w:highlight w:val="none"/>
                <w:lang w:eastAsia="zh-CN" w:bidi="ar-SA"/>
              </w:rPr>
              <w:t>11</w:t>
            </w:r>
          </w:p>
        </w:tc>
        <w:tc>
          <w:tcPr>
            <w:tcW w:w="1644" w:type="dxa"/>
            <w:tcBorders>
              <w:tl2br w:val="nil"/>
              <w:tr2bl w:val="nil"/>
            </w:tcBorders>
            <w:shd w:val="clear" w:color="auto" w:fill="auto"/>
            <w:vAlign w:val="center"/>
          </w:tcPr>
          <w:p w14:paraId="5141D5F5">
            <w:pPr>
              <w:adjustRightInd w:val="0"/>
              <w:snapToGrid w:val="0"/>
              <w:spacing w:line="240" w:lineRule="atLeast"/>
              <w:ind w:firstLine="0" w:firstLineChars="0"/>
              <w:jc w:val="center"/>
              <w:rPr>
                <w:rFonts w:hint="eastAsia" w:ascii="宋体" w:hAnsi="宋体" w:eastAsia="宋体" w:cs="宋体"/>
                <w:b w:val="0"/>
                <w:bCs w:val="0"/>
                <w:color w:val="auto"/>
                <w:kern w:val="2"/>
                <w:sz w:val="21"/>
                <w:szCs w:val="21"/>
                <w:highlight w:val="none"/>
                <w:lang w:eastAsia="zh-CN" w:bidi="ar-SA"/>
              </w:rPr>
            </w:pPr>
            <w:r>
              <w:rPr>
                <w:rFonts w:hint="eastAsia" w:ascii="宋体" w:hAnsi="宋体" w:eastAsia="宋体" w:cs="宋体"/>
                <w:b w:val="0"/>
                <w:bCs w:val="0"/>
                <w:color w:val="auto"/>
                <w:kern w:val="2"/>
                <w:sz w:val="21"/>
                <w:szCs w:val="21"/>
                <w:highlight w:val="none"/>
                <w:lang w:eastAsia="zh-CN" w:bidi="ar-SA"/>
              </w:rPr>
              <w:t>文化活动与节日装饰</w:t>
            </w:r>
          </w:p>
        </w:tc>
        <w:tc>
          <w:tcPr>
            <w:tcW w:w="1813" w:type="dxa"/>
            <w:vMerge w:val="continue"/>
            <w:tcBorders>
              <w:tl2br w:val="nil"/>
              <w:tr2bl w:val="nil"/>
            </w:tcBorders>
            <w:shd w:val="clear" w:color="auto" w:fill="auto"/>
            <w:vAlign w:val="center"/>
          </w:tcPr>
          <w:p w14:paraId="75D15612">
            <w:pPr>
              <w:adjustRightInd w:val="0"/>
              <w:snapToGrid w:val="0"/>
              <w:spacing w:line="240" w:lineRule="atLeast"/>
              <w:ind w:firstLine="0" w:firstLineChars="0"/>
              <w:jc w:val="center"/>
              <w:rPr>
                <w:rFonts w:hint="eastAsia" w:ascii="宋体" w:hAnsi="宋体" w:eastAsia="宋体" w:cs="宋体"/>
                <w:b w:val="0"/>
                <w:bCs w:val="0"/>
                <w:color w:val="auto"/>
                <w:kern w:val="2"/>
                <w:sz w:val="21"/>
                <w:szCs w:val="21"/>
                <w:highlight w:val="none"/>
                <w:lang w:eastAsia="zh-CN" w:bidi="ar-SA"/>
              </w:rPr>
            </w:pPr>
          </w:p>
        </w:tc>
        <w:tc>
          <w:tcPr>
            <w:tcW w:w="2168" w:type="dxa"/>
            <w:tcBorders>
              <w:tl2br w:val="nil"/>
              <w:tr2bl w:val="nil"/>
            </w:tcBorders>
            <w:shd w:val="clear" w:color="auto" w:fill="auto"/>
            <w:vAlign w:val="center"/>
          </w:tcPr>
          <w:p w14:paraId="04155354">
            <w:pPr>
              <w:adjustRightInd w:val="0"/>
              <w:snapToGrid w:val="0"/>
              <w:spacing w:line="240" w:lineRule="atLeast"/>
              <w:ind w:firstLine="0" w:firstLineChars="0"/>
              <w:jc w:val="center"/>
              <w:rPr>
                <w:rFonts w:hint="eastAsia" w:ascii="宋体" w:hAnsi="宋体" w:eastAsia="宋体" w:cs="宋体"/>
                <w:b w:val="0"/>
                <w:bCs w:val="0"/>
                <w:color w:val="auto"/>
                <w:kern w:val="2"/>
                <w:sz w:val="21"/>
                <w:szCs w:val="21"/>
                <w:highlight w:val="none"/>
                <w:lang w:eastAsia="zh-CN" w:bidi="ar-SA"/>
              </w:rPr>
            </w:pPr>
          </w:p>
        </w:tc>
        <w:tc>
          <w:tcPr>
            <w:tcW w:w="2718" w:type="dxa"/>
            <w:tcBorders>
              <w:tl2br w:val="nil"/>
              <w:tr2bl w:val="nil"/>
            </w:tcBorders>
            <w:shd w:val="clear" w:color="auto" w:fill="auto"/>
            <w:vAlign w:val="center"/>
          </w:tcPr>
          <w:p w14:paraId="6EAA6E46">
            <w:pPr>
              <w:adjustRightInd w:val="0"/>
              <w:snapToGrid w:val="0"/>
              <w:spacing w:line="240" w:lineRule="atLeast"/>
              <w:ind w:firstLine="0" w:firstLineChars="0"/>
              <w:jc w:val="center"/>
              <w:rPr>
                <w:rFonts w:hint="eastAsia" w:ascii="宋体" w:hAnsi="宋体" w:eastAsia="宋体" w:cs="宋体"/>
                <w:b w:val="0"/>
                <w:bCs w:val="0"/>
                <w:color w:val="auto"/>
                <w:kern w:val="2"/>
                <w:sz w:val="21"/>
                <w:szCs w:val="21"/>
                <w:highlight w:val="none"/>
                <w:lang w:eastAsia="zh-CN" w:bidi="ar-SA"/>
              </w:rPr>
            </w:pPr>
            <w:r>
              <w:rPr>
                <w:rFonts w:hint="eastAsia" w:ascii="宋体" w:hAnsi="宋体" w:eastAsia="宋体" w:cs="宋体"/>
                <w:b w:val="0"/>
                <w:bCs w:val="0"/>
                <w:color w:val="auto"/>
                <w:kern w:val="2"/>
                <w:sz w:val="21"/>
                <w:szCs w:val="21"/>
                <w:highlight w:val="none"/>
                <w:lang w:eastAsia="zh-CN" w:bidi="ar-SA"/>
              </w:rPr>
              <w:t>合同期内文化活动与节日装饰费用</w:t>
            </w:r>
          </w:p>
        </w:tc>
      </w:tr>
      <w:tr w14:paraId="5894B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jc w:val="center"/>
        </w:trPr>
        <w:tc>
          <w:tcPr>
            <w:tcW w:w="650" w:type="dxa"/>
            <w:tcBorders>
              <w:tl2br w:val="nil"/>
              <w:tr2bl w:val="nil"/>
            </w:tcBorders>
            <w:shd w:val="clear" w:color="auto" w:fill="auto"/>
            <w:vAlign w:val="center"/>
          </w:tcPr>
          <w:p w14:paraId="3B03EE55">
            <w:pPr>
              <w:adjustRightInd w:val="0"/>
              <w:snapToGrid w:val="0"/>
              <w:spacing w:line="240" w:lineRule="atLeast"/>
              <w:ind w:firstLine="0" w:firstLineChars="0"/>
              <w:jc w:val="center"/>
              <w:rPr>
                <w:rFonts w:hint="eastAsia" w:ascii="宋体" w:hAnsi="宋体" w:eastAsia="宋体" w:cs="宋体"/>
                <w:b w:val="0"/>
                <w:bCs w:val="0"/>
                <w:color w:val="auto"/>
                <w:kern w:val="2"/>
                <w:sz w:val="21"/>
                <w:szCs w:val="21"/>
                <w:highlight w:val="none"/>
                <w:lang w:eastAsia="zh-CN" w:bidi="ar-SA"/>
              </w:rPr>
            </w:pPr>
            <w:r>
              <w:rPr>
                <w:rFonts w:hint="eastAsia" w:ascii="宋体" w:hAnsi="宋体" w:eastAsia="宋体" w:cs="宋体"/>
                <w:b w:val="0"/>
                <w:bCs w:val="0"/>
                <w:color w:val="auto"/>
                <w:kern w:val="2"/>
                <w:sz w:val="21"/>
                <w:szCs w:val="21"/>
                <w:highlight w:val="none"/>
                <w:lang w:eastAsia="zh-CN" w:bidi="ar-SA"/>
              </w:rPr>
              <w:t>12</w:t>
            </w:r>
          </w:p>
        </w:tc>
        <w:tc>
          <w:tcPr>
            <w:tcW w:w="1644" w:type="dxa"/>
            <w:tcBorders>
              <w:tl2br w:val="nil"/>
              <w:tr2bl w:val="nil"/>
            </w:tcBorders>
            <w:shd w:val="clear" w:color="auto" w:fill="auto"/>
            <w:vAlign w:val="center"/>
          </w:tcPr>
          <w:p w14:paraId="6ED92A7B">
            <w:pPr>
              <w:adjustRightInd w:val="0"/>
              <w:snapToGrid w:val="0"/>
              <w:spacing w:line="240" w:lineRule="atLeast"/>
              <w:ind w:firstLine="0" w:firstLineChars="0"/>
              <w:jc w:val="center"/>
              <w:rPr>
                <w:rFonts w:hint="eastAsia" w:ascii="宋体" w:hAnsi="宋体" w:eastAsia="宋体" w:cs="宋体"/>
                <w:b w:val="0"/>
                <w:bCs w:val="0"/>
                <w:color w:val="auto"/>
                <w:kern w:val="2"/>
                <w:sz w:val="21"/>
                <w:szCs w:val="21"/>
                <w:highlight w:val="none"/>
                <w:lang w:eastAsia="zh-CN" w:bidi="ar-SA"/>
              </w:rPr>
            </w:pPr>
            <w:r>
              <w:rPr>
                <w:rFonts w:hint="eastAsia" w:ascii="宋体" w:hAnsi="宋体" w:eastAsia="宋体" w:cs="宋体"/>
                <w:b w:val="0"/>
                <w:bCs w:val="0"/>
                <w:color w:val="auto"/>
                <w:kern w:val="2"/>
                <w:sz w:val="21"/>
                <w:szCs w:val="21"/>
                <w:highlight w:val="none"/>
                <w:lang w:eastAsia="zh-CN" w:bidi="ar-SA"/>
              </w:rPr>
              <w:t>行政办公费用</w:t>
            </w:r>
          </w:p>
        </w:tc>
        <w:tc>
          <w:tcPr>
            <w:tcW w:w="1813" w:type="dxa"/>
            <w:vMerge w:val="continue"/>
            <w:tcBorders>
              <w:tl2br w:val="nil"/>
              <w:tr2bl w:val="nil"/>
            </w:tcBorders>
            <w:shd w:val="clear" w:color="auto" w:fill="auto"/>
            <w:vAlign w:val="center"/>
          </w:tcPr>
          <w:p w14:paraId="1003C813">
            <w:pPr>
              <w:adjustRightInd w:val="0"/>
              <w:snapToGrid w:val="0"/>
              <w:spacing w:line="240" w:lineRule="atLeast"/>
              <w:ind w:firstLine="0" w:firstLineChars="0"/>
              <w:jc w:val="center"/>
              <w:rPr>
                <w:rFonts w:hint="eastAsia" w:ascii="宋体" w:hAnsi="宋体" w:eastAsia="宋体" w:cs="宋体"/>
                <w:b w:val="0"/>
                <w:bCs w:val="0"/>
                <w:color w:val="auto"/>
                <w:kern w:val="2"/>
                <w:sz w:val="21"/>
                <w:szCs w:val="21"/>
                <w:highlight w:val="none"/>
                <w:lang w:eastAsia="zh-CN" w:bidi="ar-SA"/>
              </w:rPr>
            </w:pPr>
          </w:p>
        </w:tc>
        <w:tc>
          <w:tcPr>
            <w:tcW w:w="2168" w:type="dxa"/>
            <w:tcBorders>
              <w:tl2br w:val="nil"/>
              <w:tr2bl w:val="nil"/>
            </w:tcBorders>
            <w:shd w:val="clear" w:color="auto" w:fill="auto"/>
            <w:vAlign w:val="center"/>
          </w:tcPr>
          <w:p w14:paraId="17E84F95">
            <w:pPr>
              <w:adjustRightInd w:val="0"/>
              <w:snapToGrid w:val="0"/>
              <w:spacing w:line="240" w:lineRule="atLeast"/>
              <w:ind w:firstLine="0" w:firstLineChars="0"/>
              <w:jc w:val="center"/>
              <w:rPr>
                <w:rFonts w:hint="eastAsia" w:ascii="宋体" w:hAnsi="宋体" w:eastAsia="宋体" w:cs="宋体"/>
                <w:b w:val="0"/>
                <w:bCs w:val="0"/>
                <w:color w:val="auto"/>
                <w:kern w:val="2"/>
                <w:sz w:val="21"/>
                <w:szCs w:val="21"/>
                <w:highlight w:val="none"/>
                <w:lang w:val="en-US" w:eastAsia="zh-CN" w:bidi="ar-SA"/>
              </w:rPr>
            </w:pPr>
          </w:p>
        </w:tc>
        <w:tc>
          <w:tcPr>
            <w:tcW w:w="2718" w:type="dxa"/>
            <w:tcBorders>
              <w:tl2br w:val="nil"/>
              <w:tr2bl w:val="nil"/>
            </w:tcBorders>
            <w:shd w:val="clear" w:color="auto" w:fill="auto"/>
            <w:vAlign w:val="center"/>
          </w:tcPr>
          <w:p w14:paraId="4EB72346">
            <w:pPr>
              <w:adjustRightInd w:val="0"/>
              <w:snapToGrid w:val="0"/>
              <w:spacing w:line="240" w:lineRule="atLeast"/>
              <w:ind w:firstLine="0" w:firstLineChar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含服装费</w:t>
            </w:r>
          </w:p>
        </w:tc>
      </w:tr>
      <w:tr w14:paraId="31D5C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4107" w:type="dxa"/>
            <w:gridSpan w:val="3"/>
            <w:tcBorders>
              <w:tl2br w:val="nil"/>
              <w:tr2bl w:val="nil"/>
            </w:tcBorders>
            <w:shd w:val="clear" w:color="auto" w:fill="auto"/>
            <w:vAlign w:val="center"/>
          </w:tcPr>
          <w:p w14:paraId="3E457566">
            <w:pPr>
              <w:adjustRightInd w:val="0"/>
              <w:snapToGrid w:val="0"/>
              <w:spacing w:line="240" w:lineRule="atLeast"/>
              <w:ind w:firstLine="0" w:firstLineChars="0"/>
              <w:jc w:val="center"/>
              <w:rPr>
                <w:rFonts w:hint="eastAsia" w:ascii="宋体" w:hAnsi="宋体" w:eastAsia="宋体" w:cs="宋体"/>
                <w:b w:val="0"/>
                <w:bCs w:val="0"/>
                <w:color w:val="auto"/>
                <w:kern w:val="2"/>
                <w:sz w:val="21"/>
                <w:szCs w:val="21"/>
                <w:highlight w:val="none"/>
                <w:lang w:eastAsia="zh-CN" w:bidi="ar-SA"/>
              </w:rPr>
            </w:pPr>
            <w:r>
              <w:rPr>
                <w:rFonts w:hint="eastAsia" w:ascii="宋体" w:hAnsi="宋体" w:eastAsia="宋体" w:cs="宋体"/>
                <w:color w:val="auto"/>
                <w:sz w:val="21"/>
                <w:szCs w:val="21"/>
                <w:lang w:val="en-US" w:eastAsia="zh-CN"/>
              </w:rPr>
              <w:t>物业管理</w:t>
            </w:r>
            <w:r>
              <w:rPr>
                <w:rFonts w:hint="eastAsia" w:ascii="宋体" w:hAnsi="宋体" w:eastAsia="宋体" w:cs="宋体"/>
                <w:color w:val="auto"/>
                <w:sz w:val="21"/>
                <w:szCs w:val="21"/>
              </w:rPr>
              <w:t>运营</w:t>
            </w:r>
            <w:r>
              <w:rPr>
                <w:rFonts w:hint="eastAsia" w:ascii="宋体" w:hAnsi="宋体" w:eastAsia="宋体" w:cs="宋体"/>
                <w:color w:val="auto"/>
                <w:sz w:val="21"/>
                <w:szCs w:val="21"/>
                <w:lang w:val="en-US" w:eastAsia="zh-CN"/>
              </w:rPr>
              <w:t>服务</w:t>
            </w:r>
            <w:r>
              <w:rPr>
                <w:rFonts w:hint="eastAsia" w:ascii="宋体" w:hAnsi="宋体" w:eastAsia="宋体" w:cs="宋体"/>
                <w:color w:val="auto"/>
                <w:sz w:val="21"/>
                <w:szCs w:val="21"/>
              </w:rPr>
              <w:t>费用最高限额不含税合计</w:t>
            </w:r>
            <w:r>
              <w:rPr>
                <w:rFonts w:hint="eastAsia" w:ascii="宋体" w:hAnsi="宋体" w:eastAsia="宋体" w:cs="宋体"/>
                <w:color w:val="auto"/>
                <w:spacing w:val="2"/>
                <w:sz w:val="21"/>
                <w:szCs w:val="21"/>
              </w:rPr>
              <w:t>(元)</w:t>
            </w:r>
          </w:p>
        </w:tc>
        <w:tc>
          <w:tcPr>
            <w:tcW w:w="4886" w:type="dxa"/>
            <w:gridSpan w:val="2"/>
            <w:tcBorders>
              <w:tl2br w:val="nil"/>
              <w:tr2bl w:val="nil"/>
            </w:tcBorders>
            <w:shd w:val="clear" w:color="auto" w:fill="auto"/>
            <w:vAlign w:val="center"/>
          </w:tcPr>
          <w:p w14:paraId="2323717E">
            <w:pPr>
              <w:adjustRightInd w:val="0"/>
              <w:snapToGrid w:val="0"/>
              <w:spacing w:line="240" w:lineRule="atLeast"/>
              <w:ind w:firstLine="0" w:firstLineChars="0"/>
              <w:jc w:val="center"/>
              <w:rPr>
                <w:rFonts w:hint="eastAsia" w:ascii="宋体" w:hAnsi="宋体" w:eastAsia="宋体" w:cs="宋体"/>
                <w:b w:val="0"/>
                <w:bCs w:val="0"/>
                <w:color w:val="auto"/>
                <w:kern w:val="2"/>
                <w:sz w:val="21"/>
                <w:szCs w:val="21"/>
                <w:highlight w:val="none"/>
                <w:lang w:eastAsia="zh-CN" w:bidi="ar-SA"/>
              </w:rPr>
            </w:pPr>
          </w:p>
        </w:tc>
      </w:tr>
    </w:tbl>
    <w:p w14:paraId="508C5F0D">
      <w:pPr>
        <w:pStyle w:val="136"/>
        <w:ind w:left="0" w:leftChars="0" w:firstLine="0" w:firstLineChars="0"/>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说明：</w:t>
      </w:r>
    </w:p>
    <w:p w14:paraId="64D7F38B">
      <w:pPr>
        <w:pStyle w:val="18"/>
        <w:keepNext w:val="0"/>
        <w:keepLines w:val="0"/>
        <w:pageBreakBefore w:val="0"/>
        <w:widowControl w:val="0"/>
        <w:kinsoku/>
        <w:wordWrap/>
        <w:overflowPunct/>
        <w:topLinePunct w:val="0"/>
        <w:autoSpaceDE w:val="0"/>
        <w:autoSpaceDN w:val="0"/>
        <w:bidi w:val="0"/>
        <w:adjustRightInd w:val="0"/>
        <w:snapToGrid/>
        <w:spacing w:line="360" w:lineRule="auto"/>
        <w:ind w:left="525" w:right="0" w:hanging="525" w:hangingChars="250"/>
        <w:jc w:val="left"/>
        <w:textAlignment w:val="auto"/>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（1）投标人应根据自身情况分项列明</w:t>
      </w:r>
      <w:r>
        <w:rPr>
          <w:rFonts w:hint="eastAsia" w:hAnsi="宋体" w:cs="宋体"/>
          <w:b w:val="0"/>
          <w:bCs/>
          <w:color w:val="auto"/>
          <w:kern w:val="0"/>
          <w:sz w:val="21"/>
          <w:szCs w:val="21"/>
          <w:highlight w:val="none"/>
          <w:lang w:val="en-US" w:eastAsia="zh-CN" w:bidi="ar-SA"/>
        </w:rPr>
        <w:t>物业</w:t>
      </w:r>
      <w:r>
        <w:rPr>
          <w:rFonts w:hint="eastAsia" w:ascii="宋体" w:hAnsi="宋体" w:eastAsia="宋体" w:cs="宋体"/>
          <w:b w:val="0"/>
          <w:bCs/>
          <w:color w:val="auto"/>
          <w:kern w:val="0"/>
          <w:sz w:val="21"/>
          <w:szCs w:val="21"/>
          <w:highlight w:val="none"/>
          <w:lang w:val="en-US" w:eastAsia="zh-CN" w:bidi="ar-SA"/>
        </w:rPr>
        <w:t>管理</w:t>
      </w:r>
      <w:r>
        <w:rPr>
          <w:rFonts w:hint="eastAsia" w:hAnsi="宋体" w:cs="宋体"/>
          <w:b w:val="0"/>
          <w:bCs/>
          <w:color w:val="auto"/>
          <w:kern w:val="0"/>
          <w:sz w:val="21"/>
          <w:szCs w:val="21"/>
          <w:highlight w:val="none"/>
          <w:lang w:val="en-US" w:eastAsia="zh-CN" w:bidi="ar-SA"/>
        </w:rPr>
        <w:t>运营服务中</w:t>
      </w:r>
      <w:r>
        <w:rPr>
          <w:rFonts w:hint="eastAsia" w:ascii="宋体" w:hAnsi="宋体" w:eastAsia="宋体" w:cs="宋体"/>
          <w:b w:val="0"/>
          <w:bCs/>
          <w:color w:val="auto"/>
          <w:kern w:val="0"/>
          <w:sz w:val="21"/>
          <w:szCs w:val="21"/>
          <w:highlight w:val="none"/>
          <w:lang w:val="en-US" w:eastAsia="zh-CN" w:bidi="ar-SA"/>
        </w:rPr>
        <w:t>支出</w:t>
      </w:r>
      <w:r>
        <w:rPr>
          <w:rFonts w:hint="eastAsia" w:hAnsi="宋体" w:cs="宋体"/>
          <w:b w:val="0"/>
          <w:bCs/>
          <w:color w:val="auto"/>
          <w:kern w:val="0"/>
          <w:sz w:val="21"/>
          <w:szCs w:val="21"/>
          <w:highlight w:val="none"/>
          <w:lang w:val="en-US" w:eastAsia="zh-CN" w:bidi="ar-SA"/>
        </w:rPr>
        <w:t>项目</w:t>
      </w:r>
      <w:r>
        <w:rPr>
          <w:rFonts w:hint="eastAsia" w:ascii="宋体" w:hAnsi="宋体" w:eastAsia="宋体" w:cs="宋体"/>
          <w:b w:val="0"/>
          <w:bCs/>
          <w:color w:val="auto"/>
          <w:kern w:val="0"/>
          <w:sz w:val="21"/>
          <w:szCs w:val="21"/>
          <w:highlight w:val="none"/>
          <w:lang w:val="en-US" w:eastAsia="zh-CN" w:bidi="ar-SA"/>
        </w:rPr>
        <w:t>最高限额的报价，</w:t>
      </w:r>
      <w:r>
        <w:rPr>
          <w:rFonts w:hint="eastAsia" w:hAnsi="宋体" w:cs="宋体"/>
          <w:b w:val="0"/>
          <w:bCs/>
          <w:color w:val="auto"/>
          <w:kern w:val="0"/>
          <w:sz w:val="21"/>
          <w:szCs w:val="21"/>
          <w:highlight w:val="none"/>
          <w:lang w:val="en-US" w:eastAsia="zh-CN" w:bidi="ar-SA"/>
        </w:rPr>
        <w:t>物业管理运营服务中</w:t>
      </w:r>
      <w:r>
        <w:rPr>
          <w:rFonts w:hint="eastAsia" w:ascii="宋体" w:hAnsi="宋体" w:eastAsia="宋体" w:cs="宋体"/>
          <w:b w:val="0"/>
          <w:bCs/>
          <w:color w:val="auto"/>
          <w:kern w:val="0"/>
          <w:sz w:val="21"/>
          <w:szCs w:val="21"/>
          <w:highlight w:val="none"/>
          <w:lang w:val="en-US" w:eastAsia="zh-CN" w:bidi="ar-SA"/>
        </w:rPr>
        <w:t>各</w:t>
      </w:r>
      <w:r>
        <w:rPr>
          <w:rFonts w:hint="eastAsia" w:hAnsi="宋体" w:cs="宋体"/>
          <w:b w:val="0"/>
          <w:bCs/>
          <w:color w:val="auto"/>
          <w:kern w:val="0"/>
          <w:sz w:val="21"/>
          <w:szCs w:val="21"/>
          <w:highlight w:val="none"/>
          <w:lang w:val="en-US" w:eastAsia="zh-CN" w:bidi="ar-SA"/>
        </w:rPr>
        <w:t>支出</w:t>
      </w:r>
      <w:r>
        <w:rPr>
          <w:rFonts w:hint="eastAsia" w:ascii="宋体" w:hAnsi="宋体" w:eastAsia="宋体" w:cs="宋体"/>
          <w:b w:val="0"/>
          <w:bCs/>
          <w:color w:val="auto"/>
          <w:kern w:val="0"/>
          <w:sz w:val="21"/>
          <w:szCs w:val="21"/>
          <w:highlight w:val="none"/>
          <w:lang w:val="en-US" w:eastAsia="zh-CN" w:bidi="ar-SA"/>
        </w:rPr>
        <w:t>项</w:t>
      </w:r>
      <w:r>
        <w:rPr>
          <w:rFonts w:hint="eastAsia" w:hAnsi="宋体" w:cs="宋体"/>
          <w:b w:val="0"/>
          <w:bCs/>
          <w:color w:val="auto"/>
          <w:kern w:val="0"/>
          <w:sz w:val="21"/>
          <w:szCs w:val="21"/>
          <w:highlight w:val="none"/>
          <w:lang w:val="en-US" w:eastAsia="zh-CN" w:bidi="ar-SA"/>
        </w:rPr>
        <w:t>目</w:t>
      </w:r>
      <w:r>
        <w:rPr>
          <w:rFonts w:hint="eastAsia" w:ascii="宋体" w:hAnsi="宋体" w:eastAsia="宋体" w:cs="宋体"/>
          <w:b w:val="0"/>
          <w:bCs/>
          <w:color w:val="auto"/>
          <w:kern w:val="0"/>
          <w:sz w:val="21"/>
          <w:szCs w:val="21"/>
          <w:highlight w:val="none"/>
          <w:lang w:val="en-US" w:eastAsia="zh-CN" w:bidi="ar-SA"/>
        </w:rPr>
        <w:t>最高限额的报价作为中标人服务期量化考核的基础。服务期间的实际运营费用各</w:t>
      </w:r>
      <w:r>
        <w:rPr>
          <w:rFonts w:hint="eastAsia" w:hAnsi="宋体" w:cs="宋体"/>
          <w:b w:val="0"/>
          <w:bCs/>
          <w:color w:val="auto"/>
          <w:kern w:val="0"/>
          <w:sz w:val="21"/>
          <w:szCs w:val="21"/>
          <w:highlight w:val="none"/>
          <w:lang w:val="en-US" w:eastAsia="zh-CN" w:bidi="ar-SA"/>
        </w:rPr>
        <w:t>支出项目</w:t>
      </w:r>
      <w:r>
        <w:rPr>
          <w:rFonts w:hint="eastAsia" w:ascii="宋体" w:hAnsi="宋体" w:eastAsia="宋体" w:cs="宋体"/>
          <w:b w:val="0"/>
          <w:bCs/>
          <w:color w:val="auto"/>
          <w:kern w:val="0"/>
          <w:sz w:val="21"/>
          <w:szCs w:val="21"/>
          <w:highlight w:val="none"/>
          <w:lang w:val="en-US" w:eastAsia="zh-CN" w:bidi="ar-SA"/>
        </w:rPr>
        <w:t>（不含销项税额）单价和（不含销项税额）总价（含中标人委外实施的分包项目费用）不得超过分项明细表</w:t>
      </w:r>
      <w:r>
        <w:rPr>
          <w:rFonts w:hint="eastAsia" w:hAnsi="宋体" w:cs="宋体"/>
          <w:b w:val="0"/>
          <w:bCs/>
          <w:color w:val="auto"/>
          <w:kern w:val="0"/>
          <w:sz w:val="21"/>
          <w:szCs w:val="21"/>
          <w:highlight w:val="none"/>
          <w:lang w:val="en-US" w:eastAsia="zh-CN" w:bidi="ar-SA"/>
        </w:rPr>
        <w:t>对应支出项目</w:t>
      </w:r>
      <w:r>
        <w:rPr>
          <w:rFonts w:hint="eastAsia" w:ascii="宋体" w:hAnsi="宋体" w:eastAsia="宋体" w:cs="宋体"/>
          <w:b w:val="0"/>
          <w:bCs/>
          <w:color w:val="auto"/>
          <w:kern w:val="0"/>
          <w:sz w:val="21"/>
          <w:szCs w:val="21"/>
          <w:highlight w:val="none"/>
          <w:lang w:val="en-US" w:eastAsia="zh-CN" w:bidi="ar-SA"/>
        </w:rPr>
        <w:t>的最高限额，否则，招标人将按本合同有关违约责任约定处理。</w:t>
      </w:r>
    </w:p>
    <w:p w14:paraId="7DEAFA3C">
      <w:pPr>
        <w:pStyle w:val="18"/>
        <w:keepNext w:val="0"/>
        <w:keepLines w:val="0"/>
        <w:pageBreakBefore w:val="0"/>
        <w:widowControl w:val="0"/>
        <w:kinsoku/>
        <w:wordWrap/>
        <w:overflowPunct/>
        <w:topLinePunct w:val="0"/>
        <w:autoSpaceDE w:val="0"/>
        <w:autoSpaceDN w:val="0"/>
        <w:bidi w:val="0"/>
        <w:adjustRightInd w:val="0"/>
        <w:snapToGrid/>
        <w:spacing w:line="360" w:lineRule="auto"/>
        <w:ind w:left="420" w:right="0" w:hanging="420" w:hangingChars="200"/>
        <w:jc w:val="left"/>
        <w:textAlignment w:val="auto"/>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（2）报价保留两位小数，此表格不得修改。</w:t>
      </w:r>
    </w:p>
    <w:p w14:paraId="6AAE39CF">
      <w:pPr>
        <w:rPr>
          <w:rFonts w:hint="eastAsia" w:ascii="宋体" w:hAnsi="宋体" w:eastAsia="宋体" w:cs="宋体"/>
          <w:b w:val="0"/>
          <w:bCs/>
          <w:color w:val="auto"/>
          <w:kern w:val="0"/>
          <w:sz w:val="21"/>
          <w:szCs w:val="21"/>
          <w:highlight w:val="none"/>
          <w:lang w:val="en-US" w:eastAsia="zh-CN" w:bidi="ar-SA"/>
        </w:rPr>
      </w:pPr>
    </w:p>
    <w:p w14:paraId="0BD37994">
      <w:pPr>
        <w:rPr>
          <w:rFonts w:hint="eastAsia" w:ascii="宋体" w:hAnsi="宋体" w:eastAsia="宋体" w:cs="宋体"/>
          <w:color w:val="auto"/>
          <w:spacing w:val="31"/>
          <w:sz w:val="21"/>
          <w:szCs w:val="21"/>
          <w:lang w:val="en-US" w:eastAsia="zh-CN"/>
        </w:rPr>
      </w:pPr>
      <w:r>
        <w:rPr>
          <w:rFonts w:hint="eastAsia" w:ascii="宋体" w:hAnsi="宋体" w:eastAsia="宋体" w:cs="宋体"/>
          <w:color w:val="auto"/>
          <w:spacing w:val="31"/>
          <w:sz w:val="21"/>
          <w:szCs w:val="21"/>
          <w:lang w:val="en-US" w:eastAsia="zh-CN"/>
        </w:rPr>
        <w:br w:type="page"/>
      </w:r>
    </w:p>
    <w:p w14:paraId="464F2CA0">
      <w:pPr>
        <w:pStyle w:val="212"/>
        <w:spacing w:line="240" w:lineRule="auto"/>
        <w:jc w:val="left"/>
        <w:rPr>
          <w:rFonts w:hint="eastAsia" w:ascii="宋体" w:hAnsi="宋体" w:eastAsia="宋体" w:cs="宋体"/>
          <w:color w:val="auto"/>
          <w:spacing w:val="-3"/>
          <w:sz w:val="21"/>
          <w:szCs w:val="21"/>
        </w:rPr>
      </w:pPr>
      <w:r>
        <w:rPr>
          <w:rFonts w:hint="eastAsia" w:ascii="宋体" w:hAnsi="宋体" w:eastAsia="宋体" w:cs="宋体"/>
          <w:color w:val="auto"/>
          <w:spacing w:val="-3"/>
          <w:sz w:val="21"/>
          <w:szCs w:val="21"/>
          <w:lang w:val="en-US" w:eastAsia="zh-CN"/>
        </w:rPr>
        <w:t>B</w:t>
      </w:r>
      <w:r>
        <w:rPr>
          <w:rFonts w:hint="eastAsia" w:ascii="宋体" w:hAnsi="宋体" w:eastAsia="宋体" w:cs="宋体"/>
          <w:color w:val="auto"/>
          <w:spacing w:val="-3"/>
          <w:sz w:val="21"/>
          <w:szCs w:val="21"/>
        </w:rPr>
        <w:t>、人工费用明细表（按入驻率</w:t>
      </w:r>
      <w:r>
        <w:rPr>
          <w:rFonts w:hint="eastAsia" w:ascii="宋体" w:hAnsi="宋体" w:eastAsia="宋体" w:cs="宋体"/>
          <w:b w:val="0"/>
          <w:bCs w:val="0"/>
          <w:color w:val="auto"/>
          <w:spacing w:val="-3"/>
          <w:sz w:val="21"/>
          <w:szCs w:val="21"/>
        </w:rPr>
        <w:t>≥</w:t>
      </w:r>
      <w:r>
        <w:rPr>
          <w:rFonts w:hint="eastAsia" w:ascii="宋体" w:hAnsi="宋体" w:eastAsia="宋体" w:cs="宋体"/>
          <w:color w:val="auto"/>
          <w:spacing w:val="-3"/>
          <w:sz w:val="21"/>
          <w:szCs w:val="21"/>
        </w:rPr>
        <w:t>70%时的人员配置要求）</w:t>
      </w:r>
    </w:p>
    <w:tbl>
      <w:tblPr>
        <w:tblStyle w:val="213"/>
        <w:tblW w:w="505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88"/>
        <w:gridCol w:w="1210"/>
        <w:gridCol w:w="1159"/>
        <w:gridCol w:w="1755"/>
        <w:gridCol w:w="2310"/>
        <w:gridCol w:w="1693"/>
        <w:gridCol w:w="1457"/>
      </w:tblGrid>
      <w:tr w14:paraId="2908C6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35" w:type="pct"/>
            <w:vAlign w:val="center"/>
          </w:tcPr>
          <w:p w14:paraId="710E6AE5">
            <w:pPr>
              <w:pStyle w:val="212"/>
              <w:keepNext w:val="0"/>
              <w:keepLines w:val="0"/>
              <w:pageBreakBefore w:val="0"/>
              <w:widowControl w:val="0"/>
              <w:kinsoku/>
              <w:wordWrap/>
              <w:overflowPunct/>
              <w:topLinePunct w:val="0"/>
              <w:autoSpaceDE/>
              <w:autoSpaceDN/>
              <w:bidi w:val="0"/>
              <w:spacing w:line="240" w:lineRule="auto"/>
              <w:ind w:left="0"/>
              <w:jc w:val="center"/>
              <w:textAlignment w:val="auto"/>
              <w:rPr>
                <w:rFonts w:hint="eastAsia" w:ascii="宋体" w:hAnsi="宋体" w:eastAsia="宋体" w:cs="宋体"/>
                <w:color w:val="auto"/>
                <w:sz w:val="21"/>
                <w:szCs w:val="21"/>
              </w:rPr>
            </w:pPr>
            <w:r>
              <w:rPr>
                <w:rFonts w:hint="eastAsia" w:ascii="宋体" w:hAnsi="宋体" w:eastAsia="宋体" w:cs="宋体"/>
                <w:b/>
                <w:bCs/>
                <w:color w:val="auto"/>
                <w:spacing w:val="-5"/>
                <w:sz w:val="21"/>
                <w:szCs w:val="21"/>
              </w:rPr>
              <w:t>序号</w:t>
            </w:r>
          </w:p>
        </w:tc>
        <w:tc>
          <w:tcPr>
            <w:tcW w:w="589" w:type="pct"/>
            <w:vAlign w:val="center"/>
          </w:tcPr>
          <w:p w14:paraId="2F97BB23">
            <w:pPr>
              <w:pStyle w:val="212"/>
              <w:keepNext w:val="0"/>
              <w:keepLines w:val="0"/>
              <w:pageBreakBefore w:val="0"/>
              <w:widowControl w:val="0"/>
              <w:kinsoku/>
              <w:wordWrap/>
              <w:overflowPunct/>
              <w:topLinePunct w:val="0"/>
              <w:autoSpaceDE/>
              <w:autoSpaceDN/>
              <w:bidi w:val="0"/>
              <w:spacing w:line="240" w:lineRule="auto"/>
              <w:ind w:left="0"/>
              <w:jc w:val="center"/>
              <w:textAlignment w:val="auto"/>
              <w:rPr>
                <w:rFonts w:hint="eastAsia" w:ascii="宋体" w:hAnsi="宋体" w:eastAsia="宋体" w:cs="宋体"/>
                <w:color w:val="auto"/>
                <w:sz w:val="21"/>
                <w:szCs w:val="21"/>
              </w:rPr>
            </w:pPr>
            <w:r>
              <w:rPr>
                <w:rFonts w:hint="eastAsia" w:ascii="宋体" w:hAnsi="宋体" w:eastAsia="宋体" w:cs="宋体"/>
                <w:b/>
                <w:bCs/>
                <w:color w:val="auto"/>
                <w:spacing w:val="7"/>
                <w:sz w:val="21"/>
                <w:szCs w:val="21"/>
              </w:rPr>
              <w:t>部门</w:t>
            </w:r>
          </w:p>
        </w:tc>
        <w:tc>
          <w:tcPr>
            <w:tcW w:w="564" w:type="pct"/>
            <w:vAlign w:val="center"/>
          </w:tcPr>
          <w:p w14:paraId="349B6ADA">
            <w:pPr>
              <w:pStyle w:val="212"/>
              <w:keepNext w:val="0"/>
              <w:keepLines w:val="0"/>
              <w:pageBreakBefore w:val="0"/>
              <w:widowControl w:val="0"/>
              <w:kinsoku/>
              <w:wordWrap/>
              <w:overflowPunct/>
              <w:topLinePunct w:val="0"/>
              <w:autoSpaceDE/>
              <w:autoSpaceDN/>
              <w:bidi w:val="0"/>
              <w:spacing w:line="240" w:lineRule="auto"/>
              <w:ind w:left="0"/>
              <w:jc w:val="center"/>
              <w:textAlignment w:val="auto"/>
              <w:rPr>
                <w:rFonts w:hint="eastAsia" w:ascii="宋体" w:hAnsi="宋体" w:eastAsia="宋体" w:cs="宋体"/>
                <w:color w:val="auto"/>
                <w:sz w:val="21"/>
                <w:szCs w:val="21"/>
              </w:rPr>
            </w:pPr>
            <w:r>
              <w:rPr>
                <w:rFonts w:hint="eastAsia" w:ascii="宋体" w:hAnsi="宋体" w:eastAsia="宋体" w:cs="宋体"/>
                <w:b/>
                <w:bCs/>
                <w:color w:val="auto"/>
                <w:spacing w:val="-2"/>
                <w:sz w:val="21"/>
                <w:szCs w:val="21"/>
              </w:rPr>
              <w:t>岗位</w:t>
            </w:r>
          </w:p>
        </w:tc>
        <w:tc>
          <w:tcPr>
            <w:tcW w:w="854" w:type="pct"/>
            <w:vAlign w:val="center"/>
          </w:tcPr>
          <w:p w14:paraId="08B98878">
            <w:pPr>
              <w:pStyle w:val="212"/>
              <w:keepNext w:val="0"/>
              <w:keepLines w:val="0"/>
              <w:pageBreakBefore w:val="0"/>
              <w:widowControl w:val="0"/>
              <w:kinsoku/>
              <w:wordWrap/>
              <w:overflowPunct/>
              <w:topLinePunct w:val="0"/>
              <w:autoSpaceDE/>
              <w:autoSpaceDN/>
              <w:bidi w:val="0"/>
              <w:spacing w:line="240" w:lineRule="auto"/>
              <w:ind w:left="0"/>
              <w:jc w:val="center"/>
              <w:textAlignment w:val="auto"/>
              <w:rPr>
                <w:rFonts w:hint="eastAsia" w:ascii="宋体" w:hAnsi="宋体" w:eastAsia="宋体" w:cs="宋体"/>
                <w:color w:val="auto"/>
                <w:sz w:val="21"/>
                <w:szCs w:val="21"/>
              </w:rPr>
            </w:pPr>
            <w:r>
              <w:rPr>
                <w:rFonts w:hint="eastAsia" w:ascii="宋体" w:hAnsi="宋体" w:eastAsia="宋体" w:cs="宋体"/>
                <w:b/>
                <w:bCs/>
                <w:color w:val="auto"/>
                <w:spacing w:val="-4"/>
                <w:sz w:val="21"/>
                <w:szCs w:val="21"/>
              </w:rPr>
              <w:t>配备人数</w:t>
            </w:r>
          </w:p>
          <w:p w14:paraId="13E80CF0">
            <w:pPr>
              <w:pStyle w:val="212"/>
              <w:keepNext w:val="0"/>
              <w:keepLines w:val="0"/>
              <w:pageBreakBefore w:val="0"/>
              <w:widowControl w:val="0"/>
              <w:kinsoku/>
              <w:wordWrap/>
              <w:overflowPunct/>
              <w:topLinePunct w:val="0"/>
              <w:autoSpaceDE/>
              <w:autoSpaceDN/>
              <w:bidi w:val="0"/>
              <w:spacing w:line="240" w:lineRule="auto"/>
              <w:ind w:left="0"/>
              <w:jc w:val="center"/>
              <w:textAlignment w:val="auto"/>
              <w:rPr>
                <w:rFonts w:hint="eastAsia" w:ascii="宋体" w:hAnsi="宋体" w:eastAsia="宋体" w:cs="宋体"/>
                <w:color w:val="auto"/>
                <w:sz w:val="21"/>
                <w:szCs w:val="21"/>
              </w:rPr>
            </w:pPr>
            <w:r>
              <w:rPr>
                <w:rFonts w:hint="eastAsia" w:ascii="宋体" w:hAnsi="宋体" w:eastAsia="宋体" w:cs="宋体"/>
                <w:b/>
                <w:bCs/>
                <w:color w:val="auto"/>
                <w:spacing w:val="2"/>
                <w:sz w:val="21"/>
                <w:szCs w:val="21"/>
              </w:rPr>
              <w:t>(</w:t>
            </w:r>
            <w:r>
              <w:rPr>
                <w:rFonts w:hint="eastAsia" w:ascii="宋体" w:hAnsi="宋体" w:eastAsia="宋体" w:cs="宋体"/>
                <w:b/>
                <w:bCs/>
                <w:color w:val="auto"/>
                <w:spacing w:val="2"/>
                <w:sz w:val="21"/>
                <w:szCs w:val="21"/>
                <w:lang w:eastAsia="zh-CN"/>
              </w:rPr>
              <w:t>入驻</w:t>
            </w:r>
            <w:r>
              <w:rPr>
                <w:rFonts w:hint="eastAsia" w:ascii="宋体" w:hAnsi="宋体" w:eastAsia="宋体" w:cs="宋体"/>
                <w:b/>
                <w:bCs/>
                <w:color w:val="auto"/>
                <w:spacing w:val="2"/>
                <w:sz w:val="21"/>
                <w:szCs w:val="21"/>
              </w:rPr>
              <w:t>率≥70%)</w:t>
            </w:r>
          </w:p>
        </w:tc>
        <w:tc>
          <w:tcPr>
            <w:tcW w:w="1124" w:type="pct"/>
            <w:vAlign w:val="center"/>
          </w:tcPr>
          <w:p w14:paraId="440B754B">
            <w:pPr>
              <w:pStyle w:val="212"/>
              <w:keepNext w:val="0"/>
              <w:keepLines w:val="0"/>
              <w:pageBreakBefore w:val="0"/>
              <w:widowControl w:val="0"/>
              <w:kinsoku/>
              <w:wordWrap/>
              <w:overflowPunct/>
              <w:topLinePunct w:val="0"/>
              <w:autoSpaceDE/>
              <w:autoSpaceDN/>
              <w:bidi w:val="0"/>
              <w:spacing w:line="240" w:lineRule="auto"/>
              <w:ind w:left="0"/>
              <w:jc w:val="center"/>
              <w:textAlignment w:val="auto"/>
              <w:rPr>
                <w:rFonts w:hint="eastAsia" w:ascii="宋体" w:hAnsi="宋体" w:eastAsia="宋体" w:cs="宋体"/>
                <w:color w:val="auto"/>
                <w:sz w:val="21"/>
                <w:szCs w:val="21"/>
              </w:rPr>
            </w:pPr>
            <w:r>
              <w:rPr>
                <w:rFonts w:hint="eastAsia" w:ascii="宋体" w:hAnsi="宋体" w:eastAsia="宋体" w:cs="宋体"/>
                <w:b/>
                <w:bCs/>
                <w:color w:val="auto"/>
                <w:spacing w:val="-4"/>
                <w:sz w:val="21"/>
                <w:szCs w:val="21"/>
              </w:rPr>
              <w:t>不含税人工单价</w:t>
            </w:r>
          </w:p>
          <w:p w14:paraId="31B88A96">
            <w:pPr>
              <w:pStyle w:val="212"/>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b/>
                <w:bCs/>
                <w:color w:val="auto"/>
                <w:spacing w:val="6"/>
                <w:sz w:val="21"/>
                <w:szCs w:val="21"/>
              </w:rPr>
              <w:t>(元/月)</w:t>
            </w:r>
          </w:p>
        </w:tc>
        <w:tc>
          <w:tcPr>
            <w:tcW w:w="824" w:type="pct"/>
            <w:vAlign w:val="center"/>
          </w:tcPr>
          <w:p w14:paraId="1A0B935F">
            <w:pPr>
              <w:pStyle w:val="212"/>
              <w:keepNext w:val="0"/>
              <w:keepLines w:val="0"/>
              <w:pageBreakBefore w:val="0"/>
              <w:widowControl w:val="0"/>
              <w:kinsoku/>
              <w:wordWrap/>
              <w:overflowPunct/>
              <w:topLinePunct w:val="0"/>
              <w:autoSpaceDE/>
              <w:autoSpaceDN/>
              <w:bidi w:val="0"/>
              <w:spacing w:line="240" w:lineRule="auto"/>
              <w:ind w:left="111"/>
              <w:jc w:val="center"/>
              <w:textAlignment w:val="auto"/>
              <w:rPr>
                <w:rFonts w:hint="default" w:ascii="宋体" w:hAnsi="宋体" w:eastAsia="宋体" w:cs="宋体"/>
                <w:color w:val="auto"/>
                <w:sz w:val="21"/>
                <w:szCs w:val="21"/>
                <w:lang w:val="en-US" w:eastAsia="zh-CN"/>
              </w:rPr>
            </w:pPr>
            <w:r>
              <w:rPr>
                <w:rFonts w:hint="eastAsia" w:cs="宋体"/>
                <w:b/>
                <w:bCs/>
                <w:color w:val="auto"/>
                <w:szCs w:val="21"/>
                <w:lang w:val="en-US" w:eastAsia="zh-CN" w:bidi="ar"/>
              </w:rPr>
              <w:t>服务期内预估月份数量</w:t>
            </w:r>
          </w:p>
        </w:tc>
        <w:tc>
          <w:tcPr>
            <w:tcW w:w="708" w:type="pct"/>
            <w:vAlign w:val="center"/>
          </w:tcPr>
          <w:p w14:paraId="482B62F8">
            <w:pPr>
              <w:pStyle w:val="212"/>
              <w:keepNext w:val="0"/>
              <w:keepLines w:val="0"/>
              <w:pageBreakBefore w:val="0"/>
              <w:widowControl w:val="0"/>
              <w:kinsoku/>
              <w:wordWrap/>
              <w:overflowPunct/>
              <w:topLinePunct w:val="0"/>
              <w:autoSpaceDE/>
              <w:autoSpaceDN/>
              <w:bidi w:val="0"/>
              <w:spacing w:line="240" w:lineRule="auto"/>
              <w:ind w:left="0"/>
              <w:jc w:val="center"/>
              <w:textAlignment w:val="auto"/>
              <w:rPr>
                <w:rFonts w:hint="eastAsia" w:ascii="宋体" w:hAnsi="宋体" w:eastAsia="宋体" w:cs="宋体"/>
                <w:color w:val="auto"/>
                <w:sz w:val="21"/>
                <w:szCs w:val="21"/>
              </w:rPr>
            </w:pPr>
            <w:r>
              <w:rPr>
                <w:rFonts w:hint="eastAsia" w:ascii="宋体" w:hAnsi="宋体" w:eastAsia="宋体" w:cs="宋体"/>
                <w:b/>
                <w:bCs/>
                <w:color w:val="auto"/>
                <w:spacing w:val="-5"/>
                <w:sz w:val="21"/>
                <w:szCs w:val="21"/>
              </w:rPr>
              <w:t>不含税小计</w:t>
            </w:r>
          </w:p>
          <w:p w14:paraId="0E8783F0">
            <w:pPr>
              <w:pStyle w:val="212"/>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b/>
                <w:bCs/>
                <w:color w:val="auto"/>
                <w:spacing w:val="11"/>
                <w:sz w:val="21"/>
                <w:szCs w:val="21"/>
              </w:rPr>
              <w:t>(元)</w:t>
            </w:r>
          </w:p>
        </w:tc>
      </w:tr>
      <w:tr w14:paraId="0B31E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35" w:type="pct"/>
            <w:vMerge w:val="restart"/>
            <w:tcBorders>
              <w:bottom w:val="nil"/>
            </w:tcBorders>
            <w:vAlign w:val="center"/>
          </w:tcPr>
          <w:p w14:paraId="44AE9400">
            <w:pPr>
              <w:pStyle w:val="212"/>
              <w:keepNext w:val="0"/>
              <w:keepLines w:val="0"/>
              <w:pageBreakBefore w:val="0"/>
              <w:widowControl w:val="0"/>
              <w:kinsoku/>
              <w:wordWrap/>
              <w:overflowPunct/>
              <w:topLinePunct w:val="0"/>
              <w:autoSpaceDE/>
              <w:autoSpaceDN/>
              <w:bidi w:val="0"/>
              <w:spacing w:line="240" w:lineRule="auto"/>
              <w:ind w:left="254"/>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589" w:type="pct"/>
            <w:vMerge w:val="restart"/>
            <w:tcBorders>
              <w:bottom w:val="nil"/>
            </w:tcBorders>
            <w:vAlign w:val="center"/>
          </w:tcPr>
          <w:p w14:paraId="5AD0345C">
            <w:pPr>
              <w:pStyle w:val="212"/>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pacing w:val="-3"/>
                <w:sz w:val="21"/>
                <w:szCs w:val="21"/>
              </w:rPr>
              <w:t>综合支持</w:t>
            </w:r>
          </w:p>
        </w:tc>
        <w:tc>
          <w:tcPr>
            <w:tcW w:w="564" w:type="pct"/>
            <w:vAlign w:val="center"/>
          </w:tcPr>
          <w:p w14:paraId="465BB0C1">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项目经理</w:t>
            </w:r>
          </w:p>
        </w:tc>
        <w:tc>
          <w:tcPr>
            <w:tcW w:w="854" w:type="pct"/>
            <w:vAlign w:val="center"/>
          </w:tcPr>
          <w:p w14:paraId="5D866CFB">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w:t>
            </w:r>
          </w:p>
        </w:tc>
        <w:tc>
          <w:tcPr>
            <w:tcW w:w="1124" w:type="pct"/>
            <w:vAlign w:val="center"/>
          </w:tcPr>
          <w:p w14:paraId="286DA43C">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p>
        </w:tc>
        <w:tc>
          <w:tcPr>
            <w:tcW w:w="824" w:type="pct"/>
            <w:vAlign w:val="center"/>
          </w:tcPr>
          <w:p w14:paraId="7A4C9273">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bCs/>
                <w:color w:val="auto"/>
                <w:szCs w:val="21"/>
                <w:lang w:val="en-US" w:eastAsia="zh-CN" w:bidi="ar"/>
              </w:rPr>
              <w:t>22</w:t>
            </w:r>
            <w:r>
              <w:rPr>
                <w:rFonts w:hint="eastAsia" w:ascii="宋体" w:hAnsi="宋体" w:eastAsia="宋体" w:cs="宋体"/>
                <w:bCs/>
                <w:color w:val="auto"/>
                <w:szCs w:val="21"/>
                <w:lang w:bidi="ar"/>
              </w:rPr>
              <w:t>个月</w:t>
            </w:r>
          </w:p>
        </w:tc>
        <w:tc>
          <w:tcPr>
            <w:tcW w:w="708" w:type="pct"/>
            <w:vAlign w:val="center"/>
          </w:tcPr>
          <w:p w14:paraId="4B8D017D">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p>
        </w:tc>
      </w:tr>
      <w:tr w14:paraId="26D5D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35" w:type="pct"/>
            <w:vMerge w:val="continue"/>
            <w:tcBorders>
              <w:top w:val="nil"/>
              <w:bottom w:val="nil"/>
            </w:tcBorders>
            <w:vAlign w:val="center"/>
          </w:tcPr>
          <w:p w14:paraId="7E42F785">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p>
        </w:tc>
        <w:tc>
          <w:tcPr>
            <w:tcW w:w="589" w:type="pct"/>
            <w:vMerge w:val="continue"/>
            <w:tcBorders>
              <w:top w:val="nil"/>
              <w:bottom w:val="nil"/>
            </w:tcBorders>
            <w:vAlign w:val="center"/>
          </w:tcPr>
          <w:p w14:paraId="045194ED">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p>
        </w:tc>
        <w:tc>
          <w:tcPr>
            <w:tcW w:w="564" w:type="pct"/>
            <w:vAlign w:val="center"/>
          </w:tcPr>
          <w:p w14:paraId="06B2FFF5">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财务</w:t>
            </w:r>
            <w:r>
              <w:rPr>
                <w:rFonts w:hint="eastAsia" w:ascii="宋体" w:hAnsi="宋体" w:eastAsia="宋体" w:cs="宋体"/>
                <w:color w:val="auto"/>
                <w:kern w:val="2"/>
                <w:sz w:val="21"/>
                <w:szCs w:val="21"/>
                <w:highlight w:val="none"/>
                <w:lang w:val="en-US" w:eastAsia="zh-CN"/>
              </w:rPr>
              <w:t>专员</w:t>
            </w:r>
          </w:p>
        </w:tc>
        <w:tc>
          <w:tcPr>
            <w:tcW w:w="854" w:type="pct"/>
            <w:vAlign w:val="center"/>
          </w:tcPr>
          <w:p w14:paraId="0D1797FF">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w:t>
            </w:r>
          </w:p>
        </w:tc>
        <w:tc>
          <w:tcPr>
            <w:tcW w:w="1124" w:type="pct"/>
            <w:vAlign w:val="center"/>
          </w:tcPr>
          <w:p w14:paraId="0308E6A1">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p>
        </w:tc>
        <w:tc>
          <w:tcPr>
            <w:tcW w:w="824" w:type="pct"/>
            <w:vAlign w:val="center"/>
          </w:tcPr>
          <w:p w14:paraId="2ADC1E11">
            <w:pPr>
              <w:keepNext w:val="0"/>
              <w:keepLines w:val="0"/>
              <w:pageBreakBefore w:val="0"/>
              <w:widowControl w:val="0"/>
              <w:kinsoku/>
              <w:wordWrap/>
              <w:overflowPunct/>
              <w:topLinePunct w:val="0"/>
              <w:autoSpaceDE/>
              <w:autoSpaceDN/>
              <w:bidi w:val="0"/>
              <w:spacing w:line="240" w:lineRule="auto"/>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bCs/>
                <w:color w:val="auto"/>
                <w:szCs w:val="21"/>
                <w:lang w:val="en-US" w:eastAsia="zh-CN" w:bidi="ar"/>
              </w:rPr>
              <w:t>22</w:t>
            </w:r>
            <w:r>
              <w:rPr>
                <w:rFonts w:hint="eastAsia" w:ascii="宋体" w:hAnsi="宋体" w:eastAsia="宋体" w:cs="宋体"/>
                <w:bCs/>
                <w:color w:val="auto"/>
                <w:szCs w:val="21"/>
                <w:lang w:bidi="ar"/>
              </w:rPr>
              <w:t>个月</w:t>
            </w:r>
          </w:p>
        </w:tc>
        <w:tc>
          <w:tcPr>
            <w:tcW w:w="708" w:type="pct"/>
            <w:vAlign w:val="center"/>
          </w:tcPr>
          <w:p w14:paraId="4A883E63">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p>
        </w:tc>
      </w:tr>
      <w:tr w14:paraId="3D222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35" w:type="pct"/>
            <w:vMerge w:val="continue"/>
            <w:tcBorders>
              <w:top w:val="nil"/>
            </w:tcBorders>
            <w:vAlign w:val="center"/>
          </w:tcPr>
          <w:p w14:paraId="258BD522">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p>
        </w:tc>
        <w:tc>
          <w:tcPr>
            <w:tcW w:w="589" w:type="pct"/>
            <w:vMerge w:val="continue"/>
            <w:tcBorders>
              <w:top w:val="nil"/>
            </w:tcBorders>
            <w:vAlign w:val="center"/>
          </w:tcPr>
          <w:p w14:paraId="3E9845F5">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p>
        </w:tc>
        <w:tc>
          <w:tcPr>
            <w:tcW w:w="564" w:type="pct"/>
            <w:vAlign w:val="center"/>
          </w:tcPr>
          <w:p w14:paraId="4E0F4A34">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val="en-US" w:eastAsia="zh-CN"/>
              </w:rPr>
              <w:t>品质专员</w:t>
            </w:r>
          </w:p>
        </w:tc>
        <w:tc>
          <w:tcPr>
            <w:tcW w:w="854" w:type="pct"/>
            <w:vAlign w:val="center"/>
          </w:tcPr>
          <w:p w14:paraId="7CDA88C2">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w:t>
            </w:r>
          </w:p>
        </w:tc>
        <w:tc>
          <w:tcPr>
            <w:tcW w:w="1124" w:type="pct"/>
            <w:vAlign w:val="center"/>
          </w:tcPr>
          <w:p w14:paraId="62CD4FDB">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p>
        </w:tc>
        <w:tc>
          <w:tcPr>
            <w:tcW w:w="824" w:type="pct"/>
            <w:vAlign w:val="center"/>
          </w:tcPr>
          <w:p w14:paraId="54EBED8A">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bCs/>
                <w:color w:val="auto"/>
                <w:szCs w:val="21"/>
                <w:lang w:val="en-US" w:eastAsia="zh-CN" w:bidi="ar"/>
              </w:rPr>
              <w:t>22</w:t>
            </w:r>
            <w:r>
              <w:rPr>
                <w:rFonts w:hint="eastAsia" w:ascii="宋体" w:hAnsi="宋体" w:eastAsia="宋体" w:cs="宋体"/>
                <w:bCs/>
                <w:color w:val="auto"/>
                <w:szCs w:val="21"/>
                <w:lang w:bidi="ar"/>
              </w:rPr>
              <w:t>个月</w:t>
            </w:r>
          </w:p>
        </w:tc>
        <w:tc>
          <w:tcPr>
            <w:tcW w:w="708" w:type="pct"/>
            <w:vAlign w:val="center"/>
          </w:tcPr>
          <w:p w14:paraId="4F947AD8">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p>
        </w:tc>
      </w:tr>
      <w:tr w14:paraId="2E400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35" w:type="pct"/>
            <w:vMerge w:val="restart"/>
            <w:tcBorders>
              <w:bottom w:val="nil"/>
            </w:tcBorders>
            <w:vAlign w:val="center"/>
          </w:tcPr>
          <w:p w14:paraId="1042B90E">
            <w:pPr>
              <w:pStyle w:val="212"/>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589" w:type="pct"/>
            <w:vMerge w:val="restart"/>
            <w:tcBorders>
              <w:bottom w:val="nil"/>
            </w:tcBorders>
            <w:vAlign w:val="center"/>
          </w:tcPr>
          <w:p w14:paraId="38CB1B1D">
            <w:pPr>
              <w:pStyle w:val="212"/>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pacing w:val="3"/>
                <w:sz w:val="21"/>
                <w:szCs w:val="21"/>
              </w:rPr>
              <w:t>安保</w:t>
            </w:r>
          </w:p>
        </w:tc>
        <w:tc>
          <w:tcPr>
            <w:tcW w:w="564" w:type="pct"/>
            <w:vAlign w:val="center"/>
          </w:tcPr>
          <w:p w14:paraId="6B067D67">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安保负责人</w:t>
            </w:r>
          </w:p>
        </w:tc>
        <w:tc>
          <w:tcPr>
            <w:tcW w:w="854" w:type="pct"/>
            <w:vAlign w:val="center"/>
          </w:tcPr>
          <w:p w14:paraId="3178B5C3">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w:t>
            </w:r>
          </w:p>
        </w:tc>
        <w:tc>
          <w:tcPr>
            <w:tcW w:w="1124" w:type="pct"/>
            <w:vAlign w:val="center"/>
          </w:tcPr>
          <w:p w14:paraId="601ECCE7">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p>
        </w:tc>
        <w:tc>
          <w:tcPr>
            <w:tcW w:w="824" w:type="pct"/>
            <w:vAlign w:val="center"/>
          </w:tcPr>
          <w:p w14:paraId="1ED8F28E">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bCs/>
                <w:color w:val="auto"/>
                <w:szCs w:val="21"/>
                <w:lang w:val="en-US" w:eastAsia="zh-CN" w:bidi="ar"/>
              </w:rPr>
              <w:t>22</w:t>
            </w:r>
            <w:r>
              <w:rPr>
                <w:rFonts w:hint="eastAsia" w:ascii="宋体" w:hAnsi="宋体" w:eastAsia="宋体" w:cs="宋体"/>
                <w:bCs/>
                <w:color w:val="auto"/>
                <w:szCs w:val="21"/>
                <w:lang w:bidi="ar"/>
              </w:rPr>
              <w:t>个月</w:t>
            </w:r>
          </w:p>
        </w:tc>
        <w:tc>
          <w:tcPr>
            <w:tcW w:w="708" w:type="pct"/>
            <w:vAlign w:val="center"/>
          </w:tcPr>
          <w:p w14:paraId="0A31D3F2">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p>
        </w:tc>
      </w:tr>
      <w:tr w14:paraId="1A8F3C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35" w:type="pct"/>
            <w:vMerge w:val="continue"/>
            <w:tcBorders>
              <w:top w:val="nil"/>
              <w:bottom w:val="nil"/>
            </w:tcBorders>
            <w:vAlign w:val="center"/>
          </w:tcPr>
          <w:p w14:paraId="56479C3C">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p>
        </w:tc>
        <w:tc>
          <w:tcPr>
            <w:tcW w:w="589" w:type="pct"/>
            <w:vMerge w:val="continue"/>
            <w:tcBorders>
              <w:top w:val="nil"/>
              <w:bottom w:val="nil"/>
            </w:tcBorders>
            <w:vAlign w:val="center"/>
          </w:tcPr>
          <w:p w14:paraId="43C5B634">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p>
        </w:tc>
        <w:tc>
          <w:tcPr>
            <w:tcW w:w="564" w:type="pct"/>
            <w:vAlign w:val="center"/>
          </w:tcPr>
          <w:p w14:paraId="2610F095">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安全领班</w:t>
            </w:r>
          </w:p>
        </w:tc>
        <w:tc>
          <w:tcPr>
            <w:tcW w:w="854" w:type="pct"/>
            <w:vAlign w:val="center"/>
          </w:tcPr>
          <w:p w14:paraId="70247FCB">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2</w:t>
            </w:r>
          </w:p>
        </w:tc>
        <w:tc>
          <w:tcPr>
            <w:tcW w:w="1124" w:type="pct"/>
            <w:vAlign w:val="center"/>
          </w:tcPr>
          <w:p w14:paraId="765987D6">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p>
        </w:tc>
        <w:tc>
          <w:tcPr>
            <w:tcW w:w="824" w:type="pct"/>
            <w:vAlign w:val="center"/>
          </w:tcPr>
          <w:p w14:paraId="16908D15">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bCs/>
                <w:color w:val="auto"/>
                <w:szCs w:val="21"/>
                <w:lang w:val="en-US" w:eastAsia="zh-CN" w:bidi="ar"/>
              </w:rPr>
              <w:t>22</w:t>
            </w:r>
            <w:r>
              <w:rPr>
                <w:rFonts w:hint="eastAsia" w:ascii="宋体" w:hAnsi="宋体" w:eastAsia="宋体" w:cs="宋体"/>
                <w:bCs/>
                <w:color w:val="auto"/>
                <w:szCs w:val="21"/>
                <w:lang w:bidi="ar"/>
              </w:rPr>
              <w:t>个月</w:t>
            </w:r>
          </w:p>
        </w:tc>
        <w:tc>
          <w:tcPr>
            <w:tcW w:w="708" w:type="pct"/>
            <w:vAlign w:val="center"/>
          </w:tcPr>
          <w:p w14:paraId="000EAE64">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p>
        </w:tc>
      </w:tr>
      <w:tr w14:paraId="04DB70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35" w:type="pct"/>
            <w:vMerge w:val="continue"/>
            <w:tcBorders>
              <w:top w:val="nil"/>
            </w:tcBorders>
            <w:vAlign w:val="center"/>
          </w:tcPr>
          <w:p w14:paraId="1AC73E63">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p>
        </w:tc>
        <w:tc>
          <w:tcPr>
            <w:tcW w:w="589" w:type="pct"/>
            <w:vMerge w:val="continue"/>
            <w:tcBorders>
              <w:top w:val="nil"/>
            </w:tcBorders>
            <w:vAlign w:val="center"/>
          </w:tcPr>
          <w:p w14:paraId="759CF236">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p>
        </w:tc>
        <w:tc>
          <w:tcPr>
            <w:tcW w:w="564" w:type="pct"/>
            <w:vAlign w:val="center"/>
          </w:tcPr>
          <w:p w14:paraId="79DD8935">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安保员</w:t>
            </w:r>
          </w:p>
        </w:tc>
        <w:tc>
          <w:tcPr>
            <w:tcW w:w="854" w:type="pct"/>
            <w:vAlign w:val="center"/>
          </w:tcPr>
          <w:p w14:paraId="74AC1D47">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15</w:t>
            </w:r>
          </w:p>
        </w:tc>
        <w:tc>
          <w:tcPr>
            <w:tcW w:w="1124" w:type="pct"/>
            <w:vAlign w:val="center"/>
          </w:tcPr>
          <w:p w14:paraId="6E019302">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p>
        </w:tc>
        <w:tc>
          <w:tcPr>
            <w:tcW w:w="824" w:type="pct"/>
            <w:vAlign w:val="center"/>
          </w:tcPr>
          <w:p w14:paraId="55030DF3">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bCs/>
                <w:color w:val="auto"/>
                <w:szCs w:val="21"/>
                <w:lang w:val="en-US" w:eastAsia="zh-CN" w:bidi="ar"/>
              </w:rPr>
              <w:t>22</w:t>
            </w:r>
            <w:r>
              <w:rPr>
                <w:rFonts w:hint="eastAsia" w:ascii="宋体" w:hAnsi="宋体" w:eastAsia="宋体" w:cs="宋体"/>
                <w:bCs/>
                <w:color w:val="auto"/>
                <w:szCs w:val="21"/>
                <w:lang w:bidi="ar"/>
              </w:rPr>
              <w:t>个月</w:t>
            </w:r>
          </w:p>
        </w:tc>
        <w:tc>
          <w:tcPr>
            <w:tcW w:w="708" w:type="pct"/>
            <w:vAlign w:val="center"/>
          </w:tcPr>
          <w:p w14:paraId="1A1F52D2">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p>
        </w:tc>
      </w:tr>
      <w:tr w14:paraId="7F8BD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jc w:val="center"/>
        </w:trPr>
        <w:tc>
          <w:tcPr>
            <w:tcW w:w="335" w:type="pct"/>
            <w:vMerge w:val="restart"/>
            <w:tcBorders>
              <w:bottom w:val="nil"/>
            </w:tcBorders>
            <w:vAlign w:val="center"/>
          </w:tcPr>
          <w:p w14:paraId="795CC8CA">
            <w:pPr>
              <w:pStyle w:val="212"/>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589" w:type="pct"/>
            <w:vMerge w:val="restart"/>
            <w:tcBorders>
              <w:bottom w:val="nil"/>
            </w:tcBorders>
            <w:vAlign w:val="center"/>
          </w:tcPr>
          <w:p w14:paraId="60ACAF5D">
            <w:pPr>
              <w:pStyle w:val="212"/>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pacing w:val="-3"/>
                <w:sz w:val="21"/>
                <w:szCs w:val="21"/>
              </w:rPr>
              <w:t>环境</w:t>
            </w:r>
          </w:p>
        </w:tc>
        <w:tc>
          <w:tcPr>
            <w:tcW w:w="564" w:type="pct"/>
            <w:vAlign w:val="center"/>
          </w:tcPr>
          <w:p w14:paraId="44F7F06A">
            <w:pPr>
              <w:adjustRightInd w:val="0"/>
              <w:snapToGrid w:val="0"/>
              <w:spacing w:line="240" w:lineRule="atLeast"/>
              <w:ind w:firstLine="0" w:firstLineChars="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b w:val="0"/>
                <w:bCs w:val="0"/>
                <w:color w:val="auto"/>
                <w:kern w:val="2"/>
                <w:sz w:val="21"/>
                <w:szCs w:val="21"/>
                <w:highlight w:val="none"/>
                <w:lang w:eastAsia="zh-CN" w:bidi="ar-SA"/>
              </w:rPr>
              <w:t>环境负责人</w:t>
            </w:r>
          </w:p>
        </w:tc>
        <w:tc>
          <w:tcPr>
            <w:tcW w:w="854" w:type="pct"/>
            <w:vAlign w:val="center"/>
          </w:tcPr>
          <w:p w14:paraId="02684291">
            <w:pPr>
              <w:adjustRightInd w:val="0"/>
              <w:snapToGrid w:val="0"/>
              <w:spacing w:line="240" w:lineRule="atLeast"/>
              <w:ind w:firstLine="0" w:firstLineChars="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b w:val="0"/>
                <w:bCs w:val="0"/>
                <w:color w:val="auto"/>
                <w:kern w:val="2"/>
                <w:sz w:val="21"/>
                <w:szCs w:val="21"/>
                <w:highlight w:val="none"/>
                <w:lang w:eastAsia="zh-CN" w:bidi="ar-SA"/>
              </w:rPr>
              <w:t>1</w:t>
            </w:r>
          </w:p>
        </w:tc>
        <w:tc>
          <w:tcPr>
            <w:tcW w:w="1124" w:type="pct"/>
            <w:vAlign w:val="center"/>
          </w:tcPr>
          <w:p w14:paraId="121D5B3C">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p>
        </w:tc>
        <w:tc>
          <w:tcPr>
            <w:tcW w:w="824" w:type="pct"/>
            <w:vAlign w:val="center"/>
          </w:tcPr>
          <w:p w14:paraId="4CDF5DEE">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bCs/>
                <w:color w:val="auto"/>
                <w:szCs w:val="21"/>
                <w:lang w:val="en-US" w:eastAsia="zh-CN" w:bidi="ar"/>
              </w:rPr>
              <w:t>22</w:t>
            </w:r>
            <w:r>
              <w:rPr>
                <w:rFonts w:hint="eastAsia" w:ascii="宋体" w:hAnsi="宋体" w:eastAsia="宋体" w:cs="宋体"/>
                <w:bCs/>
                <w:color w:val="auto"/>
                <w:szCs w:val="21"/>
                <w:lang w:bidi="ar"/>
              </w:rPr>
              <w:t>个月</w:t>
            </w:r>
          </w:p>
        </w:tc>
        <w:tc>
          <w:tcPr>
            <w:tcW w:w="708" w:type="pct"/>
            <w:vAlign w:val="center"/>
          </w:tcPr>
          <w:p w14:paraId="6314E009">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p>
        </w:tc>
      </w:tr>
      <w:tr w14:paraId="3F66E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35" w:type="pct"/>
            <w:vMerge w:val="continue"/>
            <w:tcBorders>
              <w:top w:val="nil"/>
              <w:bottom w:val="nil"/>
            </w:tcBorders>
            <w:vAlign w:val="center"/>
          </w:tcPr>
          <w:p w14:paraId="2033EC76">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p>
        </w:tc>
        <w:tc>
          <w:tcPr>
            <w:tcW w:w="589" w:type="pct"/>
            <w:vMerge w:val="continue"/>
            <w:tcBorders>
              <w:top w:val="nil"/>
              <w:bottom w:val="nil"/>
            </w:tcBorders>
            <w:vAlign w:val="center"/>
          </w:tcPr>
          <w:p w14:paraId="344335C7">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p>
        </w:tc>
        <w:tc>
          <w:tcPr>
            <w:tcW w:w="564" w:type="pct"/>
            <w:vAlign w:val="center"/>
          </w:tcPr>
          <w:p w14:paraId="3E11EAF5">
            <w:pPr>
              <w:adjustRightInd w:val="0"/>
              <w:snapToGrid w:val="0"/>
              <w:spacing w:line="240" w:lineRule="atLeast"/>
              <w:ind w:firstLine="0" w:firstLineChars="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b w:val="0"/>
                <w:bCs w:val="0"/>
                <w:color w:val="auto"/>
                <w:kern w:val="2"/>
                <w:sz w:val="21"/>
                <w:szCs w:val="21"/>
                <w:highlight w:val="none"/>
                <w:lang w:eastAsia="zh-CN" w:bidi="ar-SA"/>
              </w:rPr>
              <w:t>保洁员</w:t>
            </w:r>
          </w:p>
        </w:tc>
        <w:tc>
          <w:tcPr>
            <w:tcW w:w="854" w:type="pct"/>
            <w:vAlign w:val="center"/>
          </w:tcPr>
          <w:p w14:paraId="03D9B13E">
            <w:pPr>
              <w:adjustRightInd w:val="0"/>
              <w:snapToGrid w:val="0"/>
              <w:spacing w:line="240" w:lineRule="atLeast"/>
              <w:ind w:firstLine="0" w:firstLineChars="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b w:val="0"/>
                <w:bCs w:val="0"/>
                <w:color w:val="auto"/>
                <w:kern w:val="2"/>
                <w:sz w:val="21"/>
                <w:szCs w:val="21"/>
                <w:highlight w:val="none"/>
                <w:lang w:val="en-US" w:eastAsia="zh-CN" w:bidi="ar-SA"/>
              </w:rPr>
              <w:t>30</w:t>
            </w:r>
          </w:p>
        </w:tc>
        <w:tc>
          <w:tcPr>
            <w:tcW w:w="1124" w:type="pct"/>
            <w:vAlign w:val="center"/>
          </w:tcPr>
          <w:p w14:paraId="1E4FF345">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p>
        </w:tc>
        <w:tc>
          <w:tcPr>
            <w:tcW w:w="824" w:type="pct"/>
            <w:vAlign w:val="center"/>
          </w:tcPr>
          <w:p w14:paraId="47E1C977">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bCs/>
                <w:color w:val="auto"/>
                <w:szCs w:val="21"/>
                <w:lang w:val="en-US" w:eastAsia="zh-CN" w:bidi="ar"/>
              </w:rPr>
              <w:t>22</w:t>
            </w:r>
            <w:r>
              <w:rPr>
                <w:rFonts w:hint="eastAsia" w:ascii="宋体" w:hAnsi="宋体" w:eastAsia="宋体" w:cs="宋体"/>
                <w:bCs/>
                <w:color w:val="auto"/>
                <w:szCs w:val="21"/>
                <w:lang w:bidi="ar"/>
              </w:rPr>
              <w:t>个月</w:t>
            </w:r>
          </w:p>
        </w:tc>
        <w:tc>
          <w:tcPr>
            <w:tcW w:w="708" w:type="pct"/>
            <w:vAlign w:val="center"/>
          </w:tcPr>
          <w:p w14:paraId="5BCCCABC">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p>
        </w:tc>
      </w:tr>
      <w:tr w14:paraId="6226B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35" w:type="pct"/>
            <w:vMerge w:val="continue"/>
            <w:tcBorders>
              <w:top w:val="nil"/>
            </w:tcBorders>
            <w:vAlign w:val="center"/>
          </w:tcPr>
          <w:p w14:paraId="1D13F0A5">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p>
        </w:tc>
        <w:tc>
          <w:tcPr>
            <w:tcW w:w="589" w:type="pct"/>
            <w:vMerge w:val="continue"/>
            <w:tcBorders>
              <w:top w:val="nil"/>
            </w:tcBorders>
            <w:vAlign w:val="center"/>
          </w:tcPr>
          <w:p w14:paraId="49C71F3D">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p>
        </w:tc>
        <w:tc>
          <w:tcPr>
            <w:tcW w:w="564" w:type="pct"/>
            <w:vAlign w:val="center"/>
          </w:tcPr>
          <w:p w14:paraId="52938619">
            <w:pPr>
              <w:adjustRightInd w:val="0"/>
              <w:snapToGrid w:val="0"/>
              <w:spacing w:line="240" w:lineRule="atLeast"/>
              <w:ind w:firstLine="0" w:firstLineChars="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b w:val="0"/>
                <w:bCs w:val="0"/>
                <w:color w:val="auto"/>
                <w:kern w:val="2"/>
                <w:sz w:val="21"/>
                <w:szCs w:val="21"/>
                <w:highlight w:val="none"/>
                <w:lang w:eastAsia="zh-CN" w:bidi="ar-SA"/>
              </w:rPr>
              <w:t>绿化养护</w:t>
            </w:r>
          </w:p>
        </w:tc>
        <w:tc>
          <w:tcPr>
            <w:tcW w:w="854" w:type="pct"/>
            <w:vAlign w:val="center"/>
          </w:tcPr>
          <w:p w14:paraId="09FE0EB7">
            <w:pPr>
              <w:adjustRightInd w:val="0"/>
              <w:snapToGrid w:val="0"/>
              <w:spacing w:line="240" w:lineRule="atLeast"/>
              <w:ind w:firstLine="0" w:firstLineChars="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b w:val="0"/>
                <w:bCs w:val="0"/>
                <w:color w:val="auto"/>
                <w:kern w:val="2"/>
                <w:sz w:val="21"/>
                <w:szCs w:val="21"/>
                <w:highlight w:val="none"/>
                <w:lang w:eastAsia="zh-CN" w:bidi="ar-SA"/>
              </w:rPr>
              <w:t>1</w:t>
            </w:r>
          </w:p>
        </w:tc>
        <w:tc>
          <w:tcPr>
            <w:tcW w:w="1124" w:type="pct"/>
            <w:vAlign w:val="center"/>
          </w:tcPr>
          <w:p w14:paraId="66CC3860">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p>
        </w:tc>
        <w:tc>
          <w:tcPr>
            <w:tcW w:w="824" w:type="pct"/>
            <w:vAlign w:val="center"/>
          </w:tcPr>
          <w:p w14:paraId="634E70D1">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bCs/>
                <w:color w:val="auto"/>
                <w:szCs w:val="21"/>
                <w:lang w:val="en-US" w:eastAsia="zh-CN" w:bidi="ar"/>
              </w:rPr>
              <w:t>22</w:t>
            </w:r>
            <w:r>
              <w:rPr>
                <w:rFonts w:hint="eastAsia" w:ascii="宋体" w:hAnsi="宋体" w:eastAsia="宋体" w:cs="宋体"/>
                <w:bCs/>
                <w:color w:val="auto"/>
                <w:szCs w:val="21"/>
                <w:lang w:bidi="ar"/>
              </w:rPr>
              <w:t>个月</w:t>
            </w:r>
          </w:p>
        </w:tc>
        <w:tc>
          <w:tcPr>
            <w:tcW w:w="708" w:type="pct"/>
            <w:vAlign w:val="center"/>
          </w:tcPr>
          <w:p w14:paraId="5CCB9A37">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p>
        </w:tc>
      </w:tr>
      <w:tr w14:paraId="1595C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35" w:type="pct"/>
            <w:vMerge w:val="restart"/>
            <w:tcBorders>
              <w:bottom w:val="nil"/>
            </w:tcBorders>
            <w:vAlign w:val="center"/>
          </w:tcPr>
          <w:p w14:paraId="6B5BC423">
            <w:pPr>
              <w:pStyle w:val="212"/>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589" w:type="pct"/>
            <w:vMerge w:val="restart"/>
            <w:tcBorders>
              <w:bottom w:val="nil"/>
            </w:tcBorders>
            <w:vAlign w:val="center"/>
          </w:tcPr>
          <w:p w14:paraId="3A10F5C0">
            <w:pPr>
              <w:pStyle w:val="212"/>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pacing w:val="-3"/>
                <w:sz w:val="21"/>
                <w:szCs w:val="21"/>
              </w:rPr>
              <w:t>客服</w:t>
            </w:r>
          </w:p>
        </w:tc>
        <w:tc>
          <w:tcPr>
            <w:tcW w:w="564" w:type="pct"/>
            <w:vAlign w:val="center"/>
          </w:tcPr>
          <w:p w14:paraId="0A792BDD">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客服负责人</w:t>
            </w:r>
          </w:p>
        </w:tc>
        <w:tc>
          <w:tcPr>
            <w:tcW w:w="854" w:type="pct"/>
            <w:vAlign w:val="center"/>
          </w:tcPr>
          <w:p w14:paraId="54A27252">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w:t>
            </w:r>
          </w:p>
        </w:tc>
        <w:tc>
          <w:tcPr>
            <w:tcW w:w="1124" w:type="pct"/>
            <w:vAlign w:val="center"/>
          </w:tcPr>
          <w:p w14:paraId="1AC5B8C0">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p>
        </w:tc>
        <w:tc>
          <w:tcPr>
            <w:tcW w:w="824" w:type="pct"/>
            <w:vAlign w:val="center"/>
          </w:tcPr>
          <w:p w14:paraId="67939CFC">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bCs/>
                <w:color w:val="auto"/>
                <w:szCs w:val="21"/>
                <w:lang w:val="en-US" w:eastAsia="zh-CN" w:bidi="ar"/>
              </w:rPr>
              <w:t>22</w:t>
            </w:r>
            <w:r>
              <w:rPr>
                <w:rFonts w:hint="eastAsia" w:ascii="宋体" w:hAnsi="宋体" w:eastAsia="宋体" w:cs="宋体"/>
                <w:bCs/>
                <w:color w:val="auto"/>
                <w:szCs w:val="21"/>
                <w:lang w:bidi="ar"/>
              </w:rPr>
              <w:t>个月</w:t>
            </w:r>
          </w:p>
        </w:tc>
        <w:tc>
          <w:tcPr>
            <w:tcW w:w="708" w:type="pct"/>
            <w:vAlign w:val="center"/>
          </w:tcPr>
          <w:p w14:paraId="767A4B2C">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p>
        </w:tc>
      </w:tr>
      <w:tr w14:paraId="3462D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35" w:type="pct"/>
            <w:vMerge w:val="continue"/>
            <w:tcBorders>
              <w:top w:val="nil"/>
            </w:tcBorders>
            <w:vAlign w:val="center"/>
          </w:tcPr>
          <w:p w14:paraId="14145ACA">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p>
        </w:tc>
        <w:tc>
          <w:tcPr>
            <w:tcW w:w="589" w:type="pct"/>
            <w:vMerge w:val="continue"/>
            <w:tcBorders>
              <w:top w:val="nil"/>
            </w:tcBorders>
            <w:vAlign w:val="center"/>
          </w:tcPr>
          <w:p w14:paraId="20C80518">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p>
        </w:tc>
        <w:tc>
          <w:tcPr>
            <w:tcW w:w="564" w:type="pct"/>
            <w:vAlign w:val="center"/>
          </w:tcPr>
          <w:p w14:paraId="51929EA9">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大堂客服</w:t>
            </w:r>
          </w:p>
        </w:tc>
        <w:tc>
          <w:tcPr>
            <w:tcW w:w="854" w:type="pct"/>
            <w:vAlign w:val="center"/>
          </w:tcPr>
          <w:p w14:paraId="2F943E32">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4</w:t>
            </w:r>
          </w:p>
        </w:tc>
        <w:tc>
          <w:tcPr>
            <w:tcW w:w="1124" w:type="pct"/>
            <w:vAlign w:val="center"/>
          </w:tcPr>
          <w:p w14:paraId="5B796D29">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p>
        </w:tc>
        <w:tc>
          <w:tcPr>
            <w:tcW w:w="824" w:type="pct"/>
            <w:vAlign w:val="center"/>
          </w:tcPr>
          <w:p w14:paraId="3415C01B">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bCs/>
                <w:color w:val="auto"/>
                <w:szCs w:val="21"/>
                <w:lang w:val="en-US" w:eastAsia="zh-CN" w:bidi="ar"/>
              </w:rPr>
              <w:t>22</w:t>
            </w:r>
            <w:r>
              <w:rPr>
                <w:rFonts w:hint="eastAsia" w:ascii="宋体" w:hAnsi="宋体" w:eastAsia="宋体" w:cs="宋体"/>
                <w:bCs/>
                <w:color w:val="auto"/>
                <w:szCs w:val="21"/>
                <w:lang w:bidi="ar"/>
              </w:rPr>
              <w:t>个月</w:t>
            </w:r>
          </w:p>
        </w:tc>
        <w:tc>
          <w:tcPr>
            <w:tcW w:w="708" w:type="pct"/>
            <w:vAlign w:val="center"/>
          </w:tcPr>
          <w:p w14:paraId="5E257C3C">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p>
        </w:tc>
      </w:tr>
      <w:tr w14:paraId="5A7A1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35" w:type="pct"/>
            <w:vMerge w:val="restart"/>
            <w:tcBorders>
              <w:bottom w:val="nil"/>
            </w:tcBorders>
            <w:vAlign w:val="center"/>
          </w:tcPr>
          <w:p w14:paraId="2B9D1C37">
            <w:pPr>
              <w:pStyle w:val="212"/>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589" w:type="pct"/>
            <w:vMerge w:val="restart"/>
            <w:tcBorders>
              <w:bottom w:val="nil"/>
            </w:tcBorders>
            <w:vAlign w:val="center"/>
          </w:tcPr>
          <w:p w14:paraId="1AC133D9">
            <w:pPr>
              <w:pStyle w:val="212"/>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pacing w:val="-3"/>
                <w:sz w:val="21"/>
                <w:szCs w:val="21"/>
              </w:rPr>
              <w:t>工程</w:t>
            </w:r>
          </w:p>
        </w:tc>
        <w:tc>
          <w:tcPr>
            <w:tcW w:w="564" w:type="pct"/>
            <w:vAlign w:val="center"/>
          </w:tcPr>
          <w:p w14:paraId="0EC2E8EE">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工程负责人</w:t>
            </w:r>
          </w:p>
        </w:tc>
        <w:tc>
          <w:tcPr>
            <w:tcW w:w="854" w:type="pct"/>
            <w:vAlign w:val="center"/>
          </w:tcPr>
          <w:p w14:paraId="406DB05C">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w:t>
            </w:r>
          </w:p>
        </w:tc>
        <w:tc>
          <w:tcPr>
            <w:tcW w:w="1124" w:type="pct"/>
            <w:vAlign w:val="center"/>
          </w:tcPr>
          <w:p w14:paraId="060AB93E">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p>
        </w:tc>
        <w:tc>
          <w:tcPr>
            <w:tcW w:w="824" w:type="pct"/>
            <w:vAlign w:val="center"/>
          </w:tcPr>
          <w:p w14:paraId="022EB623">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bCs/>
                <w:color w:val="auto"/>
                <w:szCs w:val="21"/>
                <w:lang w:val="en-US" w:eastAsia="zh-CN" w:bidi="ar"/>
              </w:rPr>
              <w:t>22</w:t>
            </w:r>
            <w:r>
              <w:rPr>
                <w:rFonts w:hint="eastAsia" w:ascii="宋体" w:hAnsi="宋体" w:eastAsia="宋体" w:cs="宋体"/>
                <w:bCs/>
                <w:color w:val="auto"/>
                <w:szCs w:val="21"/>
                <w:lang w:bidi="ar"/>
              </w:rPr>
              <w:t>个月</w:t>
            </w:r>
          </w:p>
        </w:tc>
        <w:tc>
          <w:tcPr>
            <w:tcW w:w="708" w:type="pct"/>
            <w:vAlign w:val="center"/>
          </w:tcPr>
          <w:p w14:paraId="013AC823">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p>
        </w:tc>
      </w:tr>
      <w:tr w14:paraId="5BBD42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35" w:type="pct"/>
            <w:vMerge w:val="continue"/>
            <w:vAlign w:val="center"/>
          </w:tcPr>
          <w:p w14:paraId="7B52F57E">
            <w:pPr>
              <w:pStyle w:val="212"/>
              <w:keepNext w:val="0"/>
              <w:keepLines w:val="0"/>
              <w:pageBreakBefore w:val="0"/>
              <w:widowControl w:val="0"/>
              <w:kinsoku/>
              <w:wordWrap/>
              <w:overflowPunct/>
              <w:topLinePunct w:val="0"/>
              <w:autoSpaceDE/>
              <w:autoSpaceDN/>
              <w:bidi w:val="0"/>
              <w:spacing w:line="240" w:lineRule="auto"/>
              <w:ind w:left="254"/>
              <w:jc w:val="center"/>
              <w:textAlignment w:val="auto"/>
              <w:rPr>
                <w:rFonts w:hint="eastAsia" w:ascii="宋体" w:hAnsi="宋体" w:eastAsia="宋体" w:cs="宋体"/>
                <w:color w:val="auto"/>
                <w:sz w:val="21"/>
                <w:szCs w:val="21"/>
              </w:rPr>
            </w:pPr>
          </w:p>
        </w:tc>
        <w:tc>
          <w:tcPr>
            <w:tcW w:w="589" w:type="pct"/>
            <w:vMerge w:val="continue"/>
            <w:vAlign w:val="center"/>
          </w:tcPr>
          <w:p w14:paraId="37D399AD">
            <w:pPr>
              <w:pStyle w:val="212"/>
              <w:keepNext w:val="0"/>
              <w:keepLines w:val="0"/>
              <w:pageBreakBefore w:val="0"/>
              <w:widowControl w:val="0"/>
              <w:kinsoku/>
              <w:wordWrap/>
              <w:overflowPunct/>
              <w:topLinePunct w:val="0"/>
              <w:autoSpaceDE/>
              <w:autoSpaceDN/>
              <w:bidi w:val="0"/>
              <w:spacing w:line="240" w:lineRule="auto"/>
              <w:ind w:left="320"/>
              <w:jc w:val="center"/>
              <w:textAlignment w:val="auto"/>
              <w:rPr>
                <w:rFonts w:hint="eastAsia" w:ascii="宋体" w:hAnsi="宋体" w:eastAsia="宋体" w:cs="宋体"/>
                <w:color w:val="auto"/>
                <w:spacing w:val="-3"/>
                <w:sz w:val="21"/>
                <w:szCs w:val="21"/>
              </w:rPr>
            </w:pPr>
          </w:p>
        </w:tc>
        <w:tc>
          <w:tcPr>
            <w:tcW w:w="564" w:type="pct"/>
            <w:vAlign w:val="center"/>
          </w:tcPr>
          <w:p w14:paraId="3538024B">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val="en-US" w:eastAsia="zh-CN"/>
              </w:rPr>
              <w:t>工程主管</w:t>
            </w:r>
          </w:p>
        </w:tc>
        <w:tc>
          <w:tcPr>
            <w:tcW w:w="854" w:type="pct"/>
            <w:vAlign w:val="center"/>
          </w:tcPr>
          <w:p w14:paraId="5D006FEA">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val="en-US" w:eastAsia="zh-CN"/>
              </w:rPr>
              <w:t>1</w:t>
            </w:r>
          </w:p>
        </w:tc>
        <w:tc>
          <w:tcPr>
            <w:tcW w:w="1124" w:type="pct"/>
            <w:vAlign w:val="center"/>
          </w:tcPr>
          <w:p w14:paraId="18E74559">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p>
        </w:tc>
        <w:tc>
          <w:tcPr>
            <w:tcW w:w="824" w:type="pct"/>
            <w:vAlign w:val="center"/>
          </w:tcPr>
          <w:p w14:paraId="064493E4">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pacing w:val="11"/>
                <w:sz w:val="21"/>
                <w:szCs w:val="21"/>
              </w:rPr>
            </w:pPr>
            <w:r>
              <w:rPr>
                <w:rFonts w:hint="eastAsia" w:ascii="宋体" w:hAnsi="宋体" w:eastAsia="宋体" w:cs="宋体"/>
                <w:bCs/>
                <w:color w:val="auto"/>
                <w:szCs w:val="21"/>
                <w:lang w:val="en-US" w:eastAsia="zh-CN" w:bidi="ar"/>
              </w:rPr>
              <w:t>22</w:t>
            </w:r>
            <w:r>
              <w:rPr>
                <w:rFonts w:hint="eastAsia" w:ascii="宋体" w:hAnsi="宋体" w:eastAsia="宋体" w:cs="宋体"/>
                <w:bCs/>
                <w:color w:val="auto"/>
                <w:szCs w:val="21"/>
                <w:lang w:bidi="ar"/>
              </w:rPr>
              <w:t>个月</w:t>
            </w:r>
          </w:p>
        </w:tc>
        <w:tc>
          <w:tcPr>
            <w:tcW w:w="708" w:type="pct"/>
            <w:vAlign w:val="center"/>
          </w:tcPr>
          <w:p w14:paraId="161A3860">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p>
        </w:tc>
      </w:tr>
      <w:tr w14:paraId="19E4F1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35" w:type="pct"/>
            <w:vMerge w:val="continue"/>
            <w:tcBorders>
              <w:top w:val="nil"/>
            </w:tcBorders>
            <w:vAlign w:val="center"/>
          </w:tcPr>
          <w:p w14:paraId="44388439">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p>
        </w:tc>
        <w:tc>
          <w:tcPr>
            <w:tcW w:w="589" w:type="pct"/>
            <w:vMerge w:val="continue"/>
            <w:tcBorders>
              <w:top w:val="nil"/>
            </w:tcBorders>
            <w:vAlign w:val="center"/>
          </w:tcPr>
          <w:p w14:paraId="2AA03263">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p>
        </w:tc>
        <w:tc>
          <w:tcPr>
            <w:tcW w:w="564" w:type="pct"/>
            <w:vAlign w:val="center"/>
          </w:tcPr>
          <w:p w14:paraId="1E74979E">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val="en-US" w:eastAsia="zh-CN"/>
              </w:rPr>
              <w:t>工程管理人员</w:t>
            </w:r>
          </w:p>
        </w:tc>
        <w:tc>
          <w:tcPr>
            <w:tcW w:w="854" w:type="pct"/>
            <w:vAlign w:val="center"/>
          </w:tcPr>
          <w:p w14:paraId="5D27D377">
            <w:pPr>
              <w:widowControl/>
              <w:spacing w:line="240" w:lineRule="auto"/>
              <w:ind w:firstLine="0" w:firstLineChars="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val="en-US" w:eastAsia="zh-CN"/>
              </w:rPr>
              <w:t>5</w:t>
            </w:r>
          </w:p>
        </w:tc>
        <w:tc>
          <w:tcPr>
            <w:tcW w:w="1124" w:type="pct"/>
            <w:vAlign w:val="center"/>
          </w:tcPr>
          <w:p w14:paraId="3E1FAEDE">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p>
        </w:tc>
        <w:tc>
          <w:tcPr>
            <w:tcW w:w="824" w:type="pct"/>
            <w:vAlign w:val="center"/>
          </w:tcPr>
          <w:p w14:paraId="243D4951">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bCs/>
                <w:color w:val="auto"/>
                <w:szCs w:val="21"/>
                <w:lang w:val="en-US" w:eastAsia="zh-CN" w:bidi="ar"/>
              </w:rPr>
              <w:t>22</w:t>
            </w:r>
            <w:r>
              <w:rPr>
                <w:rFonts w:hint="eastAsia" w:ascii="宋体" w:hAnsi="宋体" w:eastAsia="宋体" w:cs="宋体"/>
                <w:bCs/>
                <w:color w:val="auto"/>
                <w:szCs w:val="21"/>
                <w:lang w:bidi="ar"/>
              </w:rPr>
              <w:t>个月</w:t>
            </w:r>
          </w:p>
        </w:tc>
        <w:tc>
          <w:tcPr>
            <w:tcW w:w="708" w:type="pct"/>
            <w:vAlign w:val="center"/>
          </w:tcPr>
          <w:p w14:paraId="04B6245D">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p>
        </w:tc>
      </w:tr>
      <w:tr w14:paraId="4FFFE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342" w:type="pct"/>
            <w:gridSpan w:val="4"/>
            <w:vAlign w:val="center"/>
          </w:tcPr>
          <w:p w14:paraId="05E0F8D3">
            <w:pPr>
              <w:pStyle w:val="212"/>
              <w:keepNext w:val="0"/>
              <w:keepLines w:val="0"/>
              <w:pageBreakBefore w:val="0"/>
              <w:widowControl w:val="0"/>
              <w:kinsoku/>
              <w:wordWrap/>
              <w:overflowPunct/>
              <w:topLinePunct w:val="0"/>
              <w:autoSpaceDE/>
              <w:autoSpaceDN/>
              <w:bidi w:val="0"/>
              <w:spacing w:line="240" w:lineRule="auto"/>
              <w:ind w:left="504"/>
              <w:jc w:val="center"/>
              <w:textAlignment w:val="auto"/>
              <w:rPr>
                <w:rFonts w:hint="eastAsia" w:ascii="宋体" w:hAnsi="宋体" w:eastAsia="宋体" w:cs="宋体"/>
                <w:color w:val="auto"/>
                <w:sz w:val="21"/>
                <w:szCs w:val="21"/>
              </w:rPr>
            </w:pPr>
            <w:r>
              <w:rPr>
                <w:rFonts w:hint="eastAsia" w:ascii="宋体" w:hAnsi="宋体" w:eastAsia="宋体" w:cs="宋体"/>
                <w:color w:val="auto"/>
                <w:spacing w:val="2"/>
                <w:sz w:val="21"/>
                <w:szCs w:val="21"/>
              </w:rPr>
              <w:t>物业管理运营服务人工费用最高限额不含税合计(元)</w:t>
            </w:r>
          </w:p>
        </w:tc>
        <w:tc>
          <w:tcPr>
            <w:tcW w:w="2657" w:type="pct"/>
            <w:gridSpan w:val="3"/>
            <w:vAlign w:val="center"/>
          </w:tcPr>
          <w:p w14:paraId="34FB922A">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p>
        </w:tc>
      </w:tr>
    </w:tbl>
    <w:p w14:paraId="22603F7B">
      <w:pPr>
        <w:autoSpaceDE w:val="0"/>
        <w:autoSpaceDN w:val="0"/>
        <w:adjustRightInd w:val="0"/>
        <w:spacing w:line="360" w:lineRule="auto"/>
        <w:jc w:val="left"/>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说明：</w:t>
      </w:r>
    </w:p>
    <w:p w14:paraId="1D682AD9">
      <w:pPr>
        <w:keepNext w:val="0"/>
        <w:keepLines w:val="0"/>
        <w:pageBreakBefore w:val="0"/>
        <w:widowControl w:val="0"/>
        <w:kinsoku/>
        <w:wordWrap/>
        <w:overflowPunct/>
        <w:topLinePunct w:val="0"/>
        <w:autoSpaceDE w:val="0"/>
        <w:autoSpaceDN w:val="0"/>
        <w:bidi w:val="0"/>
        <w:adjustRightInd w:val="0"/>
        <w:spacing w:line="360" w:lineRule="auto"/>
        <w:ind w:left="525" w:leftChars="0" w:hanging="525" w:hangingChars="250"/>
        <w:jc w:val="left"/>
        <w:textAlignment w:val="auto"/>
        <w:outlineLvl w:val="9"/>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（1）以上投标人应按组织架构人员编制、职务列明不含税人工单价，该不含税人工单价将来作为运营管理不含税人工单价上限。</w:t>
      </w:r>
    </w:p>
    <w:p w14:paraId="0DAB5157">
      <w:pPr>
        <w:keepNext w:val="0"/>
        <w:keepLines w:val="0"/>
        <w:pageBreakBefore w:val="0"/>
        <w:widowControl w:val="0"/>
        <w:kinsoku/>
        <w:wordWrap/>
        <w:overflowPunct/>
        <w:topLinePunct w:val="0"/>
        <w:autoSpaceDE w:val="0"/>
        <w:autoSpaceDN w:val="0"/>
        <w:bidi w:val="0"/>
        <w:adjustRightInd w:val="0"/>
        <w:spacing w:line="360" w:lineRule="auto"/>
        <w:ind w:left="525" w:leftChars="0" w:hanging="525" w:hangingChars="250"/>
        <w:jc w:val="left"/>
        <w:textAlignment w:val="auto"/>
        <w:outlineLvl w:val="9"/>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en-US"/>
        </w:rPr>
        <w:t>（2）报价保留两位小数。</w:t>
      </w:r>
    </w:p>
    <w:p w14:paraId="6851A2D1">
      <w:pPr>
        <w:autoSpaceDE w:val="0"/>
        <w:autoSpaceDN w:val="0"/>
        <w:adjustRightInd w:val="0"/>
        <w:spacing w:line="360" w:lineRule="auto"/>
        <w:ind w:left="0" w:leftChars="0" w:firstLine="420" w:firstLineChars="200"/>
        <w:jc w:val="right"/>
        <w:outlineLvl w:val="9"/>
        <w:rPr>
          <w:rFonts w:hint="eastAsia" w:ascii="宋体" w:hAnsi="宋体" w:eastAsia="宋体" w:cs="宋体"/>
          <w:color w:val="auto"/>
          <w:kern w:val="0"/>
          <w:szCs w:val="21"/>
          <w:highlight w:val="none"/>
        </w:rPr>
      </w:pPr>
    </w:p>
    <w:p w14:paraId="76B7E270">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4B6DFA5B">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（电子签名）</w:t>
      </w:r>
    </w:p>
    <w:p w14:paraId="04880F3B">
      <w:pPr>
        <w:autoSpaceDE w:val="0"/>
        <w:autoSpaceDN w:val="0"/>
        <w:adjustRightInd w:val="0"/>
        <w:spacing w:line="360" w:lineRule="auto"/>
        <w:ind w:firstLine="4960" w:firstLineChars="2362"/>
        <w:rPr>
          <w:rFonts w:hint="eastAsia"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0A7ABEED">
      <w:pPr>
        <w:rPr>
          <w:rFonts w:hint="eastAsia" w:ascii="宋体" w:hAnsi="宋体" w:eastAsia="宋体" w:cs="宋体"/>
          <w:b/>
          <w:color w:val="auto"/>
          <w:kern w:val="44"/>
          <w:sz w:val="32"/>
          <w:szCs w:val="32"/>
          <w:highlight w:val="none"/>
        </w:rPr>
      </w:pPr>
      <w:r>
        <w:rPr>
          <w:rFonts w:hint="eastAsia" w:ascii="宋体" w:hAnsi="宋体" w:eastAsia="宋体" w:cs="宋体"/>
          <w:b/>
          <w:bCs/>
          <w:color w:val="auto"/>
          <w:szCs w:val="24"/>
          <w:highlight w:val="none"/>
          <w:lang w:val="zh-CN"/>
        </w:rPr>
        <w:t>说明：由投标人使用投标人的企业数字证书，法定代表人或其授权代表数字证书电子签名。</w:t>
      </w:r>
    </w:p>
    <w:bookmarkEnd w:id="776"/>
    <w:bookmarkEnd w:id="777"/>
    <w:bookmarkEnd w:id="778"/>
    <w:bookmarkEnd w:id="779"/>
    <w:bookmarkEnd w:id="780"/>
    <w:bookmarkEnd w:id="781"/>
    <w:bookmarkEnd w:id="782"/>
    <w:bookmarkEnd w:id="783"/>
    <w:bookmarkEnd w:id="784"/>
    <w:bookmarkEnd w:id="785"/>
    <w:bookmarkEnd w:id="786"/>
    <w:bookmarkEnd w:id="787"/>
    <w:p w14:paraId="1C29C9B2">
      <w:pPr>
        <w:keepNext w:val="0"/>
        <w:keepLines w:val="0"/>
        <w:pageBreakBefore/>
        <w:widowControl w:val="0"/>
        <w:tabs>
          <w:tab w:val="left" w:pos="567"/>
        </w:tabs>
        <w:kinsoku/>
        <w:wordWrap/>
        <w:overflowPunct/>
        <w:topLinePunct w:val="0"/>
        <w:autoSpaceDE w:val="0"/>
        <w:autoSpaceDN w:val="0"/>
        <w:bidi w:val="0"/>
        <w:adjustRightInd w:val="0"/>
        <w:snapToGrid/>
        <w:spacing w:line="360" w:lineRule="auto"/>
        <w:jc w:val="left"/>
        <w:textAlignment w:val="auto"/>
        <w:outlineLvl w:val="1"/>
        <w:rPr>
          <w:rFonts w:hint="eastAsia" w:ascii="宋体" w:hAnsi="宋体" w:eastAsia="宋体" w:cs="宋体"/>
          <w:b/>
          <w:color w:val="auto"/>
          <w:kern w:val="0"/>
          <w:sz w:val="32"/>
          <w:szCs w:val="32"/>
          <w:highlight w:val="none"/>
        </w:rPr>
      </w:pPr>
      <w:bookmarkStart w:id="793" w:name="_Toc142508366"/>
      <w:bookmarkStart w:id="794" w:name="_Toc18346"/>
      <w:bookmarkStart w:id="795" w:name="_Toc94107206"/>
      <w:bookmarkStart w:id="796" w:name="_Toc140596925"/>
      <w:bookmarkStart w:id="797" w:name="_Toc104991872"/>
      <w:bookmarkStart w:id="798" w:name="_Toc13416"/>
      <w:bookmarkStart w:id="799" w:name="_Toc1140"/>
      <w:bookmarkStart w:id="800" w:name="_Toc102860071"/>
      <w:bookmarkStart w:id="801" w:name="_Toc102860415"/>
      <w:bookmarkStart w:id="802" w:name="_Toc21106"/>
      <w:r>
        <w:rPr>
          <w:rFonts w:hint="eastAsia" w:ascii="宋体" w:hAnsi="宋体" w:eastAsia="宋体" w:cs="宋体"/>
          <w:b/>
          <w:color w:val="auto"/>
          <w:kern w:val="0"/>
          <w:sz w:val="32"/>
          <w:szCs w:val="32"/>
          <w:highlight w:val="none"/>
          <w:lang w:val="en-US" w:eastAsia="zh-CN"/>
        </w:rPr>
        <w:t>五</w:t>
      </w:r>
      <w:r>
        <w:rPr>
          <w:rFonts w:hint="eastAsia" w:ascii="宋体" w:hAnsi="宋体" w:eastAsia="宋体" w:cs="宋体"/>
          <w:b/>
          <w:color w:val="auto"/>
          <w:kern w:val="0"/>
          <w:sz w:val="32"/>
          <w:szCs w:val="32"/>
          <w:highlight w:val="none"/>
        </w:rPr>
        <w:t>、</w:t>
      </w:r>
      <w:bookmarkEnd w:id="788"/>
      <w:bookmarkEnd w:id="789"/>
      <w:bookmarkEnd w:id="790"/>
      <w:bookmarkEnd w:id="791"/>
      <w:bookmarkEnd w:id="793"/>
      <w:bookmarkEnd w:id="794"/>
      <w:bookmarkEnd w:id="795"/>
      <w:bookmarkEnd w:id="796"/>
      <w:bookmarkEnd w:id="797"/>
      <w:bookmarkEnd w:id="798"/>
      <w:bookmarkEnd w:id="799"/>
      <w:bookmarkEnd w:id="800"/>
      <w:bookmarkEnd w:id="801"/>
      <w:bookmarkStart w:id="803" w:name="_Toc104991875"/>
      <w:bookmarkStart w:id="804" w:name="_Toc142508369"/>
      <w:bookmarkStart w:id="805" w:name="_Toc1977725"/>
      <w:bookmarkStart w:id="806" w:name="_Toc6190"/>
      <w:bookmarkStart w:id="807" w:name="_Toc94107209"/>
      <w:bookmarkStart w:id="808" w:name="_Toc102860418"/>
      <w:bookmarkStart w:id="809" w:name="_Toc26516"/>
      <w:bookmarkStart w:id="810" w:name="_Toc140596928"/>
      <w:bookmarkStart w:id="811" w:name="_Toc102860074"/>
      <w:bookmarkStart w:id="812" w:name="_Toc23083"/>
      <w:bookmarkStart w:id="813" w:name="_Toc486167712"/>
      <w:bookmarkStart w:id="814" w:name="_Toc533708124"/>
      <w:bookmarkStart w:id="815" w:name="_Toc20759_WPSOffice_Level2"/>
      <w:r>
        <w:rPr>
          <w:rFonts w:hint="eastAsia" w:ascii="宋体" w:hAnsi="宋体" w:eastAsia="宋体" w:cs="宋体"/>
          <w:b/>
          <w:color w:val="auto"/>
          <w:kern w:val="0"/>
          <w:sz w:val="32"/>
          <w:szCs w:val="32"/>
          <w:highlight w:val="none"/>
        </w:rPr>
        <w:t>投标人资格证明文件</w:t>
      </w:r>
      <w:bookmarkEnd w:id="802"/>
      <w:bookmarkEnd w:id="803"/>
      <w:bookmarkEnd w:id="804"/>
      <w:bookmarkEnd w:id="805"/>
      <w:bookmarkEnd w:id="806"/>
      <w:bookmarkEnd w:id="807"/>
      <w:bookmarkEnd w:id="808"/>
      <w:bookmarkEnd w:id="809"/>
      <w:bookmarkEnd w:id="810"/>
      <w:bookmarkEnd w:id="811"/>
      <w:bookmarkEnd w:id="812"/>
    </w:p>
    <w:p w14:paraId="105218FB">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bookmarkStart w:id="816" w:name="_Toc102860075"/>
      <w:bookmarkStart w:id="817" w:name="_Toc25267"/>
      <w:bookmarkStart w:id="818" w:name="_Toc140596929"/>
      <w:bookmarkStart w:id="819" w:name="_Toc104991876"/>
      <w:bookmarkStart w:id="820" w:name="_Toc29874"/>
      <w:bookmarkStart w:id="821" w:name="_Toc142508370"/>
      <w:bookmarkStart w:id="822" w:name="_Toc17358"/>
      <w:bookmarkStart w:id="823" w:name="_Toc94107210"/>
      <w:bookmarkStart w:id="824" w:name="_Toc102860419"/>
      <w:bookmarkStart w:id="825" w:name="_Toc21361"/>
      <w:bookmarkStart w:id="826" w:name="_Toc1977726"/>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.1 多证合一营业执照（或事业单位法人证书）</w:t>
      </w:r>
      <w:bookmarkEnd w:id="816"/>
      <w:bookmarkEnd w:id="817"/>
      <w:bookmarkEnd w:id="818"/>
      <w:bookmarkEnd w:id="819"/>
      <w:bookmarkEnd w:id="820"/>
      <w:bookmarkEnd w:id="821"/>
      <w:bookmarkEnd w:id="822"/>
      <w:bookmarkEnd w:id="823"/>
      <w:bookmarkEnd w:id="824"/>
      <w:r>
        <w:rPr>
          <w:rFonts w:hint="eastAsia" w:ascii="宋体" w:hAnsi="宋体" w:eastAsia="宋体" w:cs="宋体"/>
          <w:b/>
          <w:color w:val="auto"/>
          <w:kern w:val="0"/>
          <w:sz w:val="30"/>
          <w:szCs w:val="30"/>
          <w:highlight w:val="none"/>
        </w:rPr>
        <w:t>原件扫描件</w:t>
      </w:r>
      <w:bookmarkEnd w:id="825"/>
    </w:p>
    <w:p w14:paraId="41CDF9E5">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4911A138">
      <w:pPr>
        <w:tabs>
          <w:tab w:val="left" w:pos="567"/>
        </w:tabs>
        <w:autoSpaceDE w:val="0"/>
        <w:autoSpaceDN w:val="0"/>
        <w:adjustRightInd w:val="0"/>
        <w:spacing w:line="360" w:lineRule="auto"/>
        <w:ind w:firstLine="316" w:firstLineChars="150"/>
        <w:jc w:val="left"/>
        <w:outlineLvl w:val="9"/>
        <w:rPr>
          <w:rFonts w:hint="eastAsia" w:ascii="宋体" w:hAnsi="宋体" w:eastAsia="宋体" w:cs="宋体"/>
          <w:b/>
          <w:color w:val="auto"/>
          <w:kern w:val="0"/>
          <w:szCs w:val="21"/>
          <w:highlight w:val="none"/>
        </w:rPr>
        <w:sectPr>
          <w:footerReference r:id="rId12" w:type="default"/>
          <w:pgSz w:w="12240" w:h="15840"/>
          <w:pgMar w:top="1191" w:right="1043" w:bottom="1191" w:left="1043" w:header="720" w:footer="720" w:gutter="0"/>
          <w:pgNumType w:fmt="decimal"/>
          <w:cols w:space="720" w:num="1"/>
          <w:docGrid w:linePitch="326" w:charSpace="0"/>
        </w:sectPr>
      </w:pPr>
    </w:p>
    <w:p w14:paraId="34A7A352">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bookmarkStart w:id="827" w:name="_Toc102860420"/>
      <w:bookmarkStart w:id="828" w:name="_Toc142508371"/>
      <w:bookmarkStart w:id="829" w:name="_Toc7756"/>
      <w:bookmarkStart w:id="830" w:name="_Toc27861"/>
      <w:bookmarkStart w:id="831" w:name="_Toc140596930"/>
      <w:bookmarkStart w:id="832" w:name="_Toc104991877"/>
      <w:bookmarkStart w:id="833" w:name="_Toc102860076"/>
      <w:bookmarkStart w:id="834" w:name="_Toc94107211"/>
      <w:bookmarkStart w:id="835" w:name="_Toc25013"/>
      <w:bookmarkStart w:id="836" w:name="_Toc7493"/>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 xml:space="preserve">.2 </w:t>
      </w:r>
      <w:bookmarkEnd w:id="827"/>
      <w:bookmarkEnd w:id="828"/>
      <w:bookmarkEnd w:id="829"/>
      <w:bookmarkEnd w:id="830"/>
      <w:bookmarkEnd w:id="831"/>
      <w:bookmarkEnd w:id="832"/>
      <w:bookmarkEnd w:id="833"/>
      <w:bookmarkEnd w:id="834"/>
      <w:bookmarkEnd w:id="835"/>
      <w:r>
        <w:rPr>
          <w:rFonts w:hint="eastAsia" w:ascii="宋体" w:hAnsi="宋体" w:eastAsia="宋体" w:cs="宋体"/>
          <w:b/>
          <w:color w:val="auto"/>
          <w:kern w:val="0"/>
          <w:sz w:val="30"/>
          <w:szCs w:val="30"/>
          <w:highlight w:val="none"/>
        </w:rPr>
        <w:t>开户许可证原件扫描件（基本存款账户），如投标人企业银行账户开户所在地区已取消企业银行账户许可，投标人应提供基本存款账户开户名称、开户银行、账号、编号等信息及相关备案证明（如有）或其他能证明其为基本存款账户的资料原件扫描件</w:t>
      </w:r>
      <w:bookmarkEnd w:id="836"/>
    </w:p>
    <w:p w14:paraId="027F5823">
      <w:pPr>
        <w:tabs>
          <w:tab w:val="left" w:pos="567"/>
        </w:tabs>
        <w:autoSpaceDE w:val="0"/>
        <w:autoSpaceDN w:val="0"/>
        <w:adjustRightInd w:val="0"/>
        <w:spacing w:line="360" w:lineRule="auto"/>
        <w:jc w:val="left"/>
        <w:outlineLvl w:val="2"/>
        <w:rPr>
          <w:rFonts w:hint="eastAsia" w:ascii="宋体" w:hAnsi="宋体" w:eastAsia="宋体" w:cs="宋体"/>
          <w:b/>
          <w:color w:val="auto"/>
          <w:kern w:val="0"/>
          <w:szCs w:val="21"/>
          <w:highlight w:val="none"/>
        </w:rPr>
      </w:pPr>
      <w:r>
        <w:rPr>
          <w:rFonts w:hint="eastAsia" w:ascii="宋体" w:hAnsi="宋体" w:eastAsia="宋体" w:cs="宋体"/>
          <w:b/>
          <w:color w:val="auto"/>
          <w:kern w:val="0"/>
          <w:sz w:val="30"/>
          <w:szCs w:val="30"/>
          <w:highlight w:val="none"/>
        </w:rPr>
        <w:br w:type="page"/>
      </w:r>
      <w:bookmarkStart w:id="837" w:name="_Toc9132"/>
      <w:bookmarkStart w:id="838" w:name="_Toc102860077"/>
      <w:bookmarkStart w:id="839" w:name="_Toc142508372"/>
      <w:bookmarkStart w:id="840" w:name="_Toc7441"/>
      <w:bookmarkStart w:id="841" w:name="_Toc24579"/>
      <w:bookmarkStart w:id="842" w:name="_Toc104991878"/>
      <w:bookmarkStart w:id="843" w:name="_Toc102860421"/>
      <w:bookmarkStart w:id="844" w:name="_Toc94107212"/>
      <w:bookmarkStart w:id="845" w:name="_Toc140596931"/>
      <w:bookmarkStart w:id="846" w:name="_Toc17499"/>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.3 法定代表人身份证明书、法定代表人授权书格式（法定代表人投标时只需提供法定代表人身份证明书，委托他人为投标代表或签署投标文件时需同时提供法定代表人授权书）</w:t>
      </w:r>
      <w:bookmarkEnd w:id="837"/>
      <w:bookmarkEnd w:id="838"/>
      <w:bookmarkEnd w:id="839"/>
      <w:bookmarkEnd w:id="840"/>
      <w:bookmarkEnd w:id="841"/>
      <w:bookmarkEnd w:id="842"/>
      <w:bookmarkEnd w:id="843"/>
      <w:bookmarkEnd w:id="844"/>
      <w:bookmarkEnd w:id="845"/>
      <w:bookmarkEnd w:id="846"/>
    </w:p>
    <w:p w14:paraId="3AD08720">
      <w:pPr>
        <w:spacing w:before="120" w:after="120" w:line="360" w:lineRule="auto"/>
        <w:ind w:firstLine="426" w:firstLineChars="202"/>
        <w:outlineLvl w:val="9"/>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813"/>
      <w:bookmarkEnd w:id="814"/>
      <w:bookmarkEnd w:id="815"/>
      <w:bookmarkEnd w:id="826"/>
    </w:p>
    <w:p w14:paraId="5DC70641">
      <w:pPr>
        <w:spacing w:before="120" w:after="120" w:line="360" w:lineRule="auto"/>
        <w:ind w:firstLine="608" w:firstLineChars="202"/>
        <w:jc w:val="center"/>
        <w:outlineLvl w:val="9"/>
        <w:rPr>
          <w:rFonts w:hint="eastAsia" w:ascii="宋体" w:hAnsi="宋体" w:eastAsia="宋体" w:cs="宋体"/>
          <w:b/>
          <w:bCs/>
          <w:color w:val="auto"/>
          <w:sz w:val="30"/>
          <w:szCs w:val="30"/>
          <w:highlight w:val="none"/>
        </w:rPr>
      </w:pPr>
      <w:bookmarkStart w:id="847" w:name="_Toc11033_WPSOffice_Level3"/>
      <w:r>
        <w:rPr>
          <w:rFonts w:hint="eastAsia" w:ascii="宋体" w:hAnsi="宋体" w:eastAsia="宋体" w:cs="宋体"/>
          <w:b/>
          <w:color w:val="auto"/>
          <w:sz w:val="30"/>
          <w:szCs w:val="30"/>
          <w:highlight w:val="none"/>
        </w:rPr>
        <w:t>法定代</w:t>
      </w:r>
      <w:bookmarkStart w:id="848" w:name="_Toc36971359"/>
      <w:bookmarkStart w:id="849" w:name="_Toc45995270"/>
      <w:r>
        <w:rPr>
          <w:rFonts w:hint="eastAsia" w:ascii="宋体" w:hAnsi="宋体" w:eastAsia="宋体" w:cs="宋体"/>
          <w:b/>
          <w:color w:val="auto"/>
          <w:sz w:val="30"/>
          <w:szCs w:val="30"/>
          <w:highlight w:val="none"/>
        </w:rPr>
        <w:t>表人身份证明书</w:t>
      </w:r>
      <w:bookmarkEnd w:id="847"/>
    </w:p>
    <w:bookmarkEnd w:id="848"/>
    <w:bookmarkEnd w:id="849"/>
    <w:p w14:paraId="06D45379">
      <w:pPr>
        <w:spacing w:before="120" w:after="120"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14:paraId="01D04647">
      <w:pPr>
        <w:spacing w:before="120" w:after="120"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393306D7">
      <w:pPr>
        <w:spacing w:before="120" w:after="120" w:line="360" w:lineRule="auto"/>
        <w:ind w:firstLine="424" w:firstLineChars="202"/>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1AC9B078">
      <w:pPr>
        <w:spacing w:before="120" w:after="120"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7819517B">
      <w:pPr>
        <w:spacing w:before="120" w:after="120" w:line="360" w:lineRule="auto"/>
        <w:ind w:firstLine="424" w:firstLineChars="202"/>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14:paraId="759D26EC">
      <w:pPr>
        <w:spacing w:before="120" w:after="120" w:line="360" w:lineRule="auto"/>
        <w:ind w:firstLine="424" w:firstLineChars="202"/>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14:paraId="56B09176">
      <w:pPr>
        <w:spacing w:before="120" w:after="120"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附 法定代表人身份证原件扫描件</w:t>
      </w:r>
    </w:p>
    <w:p w14:paraId="2783C3B1">
      <w:pPr>
        <w:snapToGrid w:val="0"/>
        <w:spacing w:line="360" w:lineRule="auto"/>
        <w:ind w:firstLine="3465" w:firstLineChars="1650"/>
        <w:rPr>
          <w:rFonts w:hint="eastAsia" w:ascii="宋体" w:hAnsi="宋体" w:eastAsia="宋体" w:cs="宋体"/>
          <w:color w:val="auto"/>
          <w:kern w:val="3"/>
          <w:szCs w:val="24"/>
          <w:highlight w:val="none"/>
        </w:rPr>
      </w:pPr>
    </w:p>
    <w:p w14:paraId="6202E4C7">
      <w:pPr>
        <w:snapToGrid w:val="0"/>
        <w:spacing w:line="360" w:lineRule="auto"/>
        <w:ind w:firstLine="3465" w:firstLineChars="1650"/>
        <w:rPr>
          <w:rFonts w:hint="eastAsia" w:ascii="宋体" w:hAnsi="宋体" w:eastAsia="宋体" w:cs="宋体"/>
          <w:color w:val="auto"/>
          <w:kern w:val="3"/>
          <w:szCs w:val="24"/>
          <w:highlight w:val="none"/>
          <w:u w:val="single"/>
        </w:rPr>
      </w:pPr>
      <w:r>
        <w:rPr>
          <w:rFonts w:hint="eastAsia" w:ascii="宋体" w:hAnsi="宋体" w:eastAsia="宋体" w:cs="宋体"/>
          <w:color w:val="auto"/>
          <w:kern w:val="3"/>
          <w:szCs w:val="24"/>
          <w:highlight w:val="none"/>
        </w:rPr>
        <w:t>投 标 人：</w:t>
      </w:r>
      <w:r>
        <w:rPr>
          <w:rFonts w:hint="eastAsia" w:ascii="宋体" w:hAnsi="宋体" w:eastAsia="宋体" w:cs="宋体"/>
          <w:color w:val="auto"/>
          <w:kern w:val="3"/>
          <w:szCs w:val="24"/>
          <w:highlight w:val="none"/>
          <w:u w:val="single"/>
        </w:rPr>
        <w:t xml:space="preserve">             </w:t>
      </w:r>
      <w:r>
        <w:rPr>
          <w:rFonts w:hint="eastAsia" w:ascii="宋体" w:hAnsi="宋体" w:eastAsia="宋体" w:cs="宋体"/>
          <w:color w:val="auto"/>
          <w:szCs w:val="21"/>
          <w:highlight w:val="none"/>
          <w:u w:val="single"/>
        </w:rPr>
        <w:t>（企业数字证书电子签名）</w:t>
      </w:r>
    </w:p>
    <w:p w14:paraId="5083B42B">
      <w:pPr>
        <w:spacing w:before="120" w:after="120" w:line="360" w:lineRule="auto"/>
        <w:ind w:left="340" w:leftChars="162" w:firstLine="474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0AE8B58A">
      <w:pPr>
        <w:autoSpaceDE w:val="0"/>
        <w:autoSpaceDN w:val="0"/>
        <w:adjustRightInd w:val="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65408"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4A13866A"/>
                          <w:p w14:paraId="3A08D897"/>
                          <w:p w14:paraId="79132869"/>
                          <w:p w14:paraId="30CA77D8"/>
                          <w:p w14:paraId="7E264AA0">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5408;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4A13866A"/>
                    <w:p w14:paraId="3A08D897"/>
                    <w:p w14:paraId="79132869"/>
                    <w:p w14:paraId="30CA77D8"/>
                    <w:p w14:paraId="7E264AA0">
                      <w:pPr>
                        <w:jc w:val="center"/>
                        <w:rPr>
                          <w:szCs w:val="21"/>
                        </w:rPr>
                      </w:pPr>
                      <w:r>
                        <w:rPr>
                          <w:rFonts w:hint="eastAsia"/>
                          <w:szCs w:val="21"/>
                        </w:rPr>
                        <w:t>法定代表人身份证正面</w:t>
                      </w:r>
                    </w:p>
                  </w:txbxContent>
                </v:textbox>
              </v:shape>
            </w:pict>
          </mc:Fallback>
        </mc:AlternateContent>
      </w: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64384" behindDoc="0" locked="0" layoutInCell="1" allowOverlap="1">
                <wp:simplePos x="0" y="0"/>
                <wp:positionH relativeFrom="column">
                  <wp:posOffset>3128645</wp:posOffset>
                </wp:positionH>
                <wp:positionV relativeFrom="paragraph">
                  <wp:posOffset>109220</wp:posOffset>
                </wp:positionV>
                <wp:extent cx="2790825" cy="1962150"/>
                <wp:effectExtent l="4445" t="5080" r="5080" b="1397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5EE2C1CA"/>
                          <w:p w14:paraId="4C1939FE"/>
                          <w:p w14:paraId="287C3765"/>
                          <w:p w14:paraId="4C74CF23"/>
                          <w:p w14:paraId="4E188F41">
                            <w:pPr>
                              <w:jc w:val="center"/>
                              <w:rPr>
                                <w:szCs w:val="21"/>
                              </w:rPr>
                            </w:pPr>
                            <w:r>
                              <w:rPr>
                                <w:rFonts w:hint="eastAsia"/>
                                <w:szCs w:val="21"/>
                              </w:rPr>
                              <w:t>法定代表人身份证反面</w:t>
                            </w:r>
                          </w:p>
                          <w:p w14:paraId="0043331E">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4384;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5EE2C1CA"/>
                    <w:p w14:paraId="4C1939FE"/>
                    <w:p w14:paraId="287C3765"/>
                    <w:p w14:paraId="4C74CF23"/>
                    <w:p w14:paraId="4E188F41">
                      <w:pPr>
                        <w:jc w:val="center"/>
                        <w:rPr>
                          <w:szCs w:val="21"/>
                        </w:rPr>
                      </w:pPr>
                      <w:r>
                        <w:rPr>
                          <w:rFonts w:hint="eastAsia"/>
                          <w:szCs w:val="21"/>
                        </w:rPr>
                        <w:t>法定代表人身份证反面</w:t>
                      </w:r>
                    </w:p>
                    <w:p w14:paraId="0043331E">
                      <w:pPr>
                        <w:jc w:val="center"/>
                        <w:rPr>
                          <w:szCs w:val="21"/>
                        </w:rPr>
                      </w:pPr>
                    </w:p>
                  </w:txbxContent>
                </v:textbox>
              </v:shape>
            </w:pict>
          </mc:Fallback>
        </mc:AlternateContent>
      </w: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52A1A46A"/>
                          <w:p w14:paraId="4FCF7C76"/>
                          <w:p w14:paraId="2DECBE6B"/>
                          <w:p w14:paraId="4B0814CF"/>
                          <w:p w14:paraId="3FE2B0F4">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3360;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52A1A46A"/>
                    <w:p w14:paraId="4FCF7C76"/>
                    <w:p w14:paraId="2DECBE6B"/>
                    <w:p w14:paraId="4B0814CF"/>
                    <w:p w14:paraId="3FE2B0F4">
                      <w:pPr>
                        <w:jc w:val="center"/>
                      </w:pPr>
                      <w:r>
                        <w:rPr>
                          <w:rFonts w:hint="eastAsia"/>
                        </w:rPr>
                        <w:t>身份证正面</w:t>
                      </w:r>
                    </w:p>
                  </w:txbxContent>
                </v:textbox>
              </v:shape>
            </w:pict>
          </mc:Fallback>
        </mc:AlternateContent>
      </w:r>
    </w:p>
    <w:p w14:paraId="4749E227">
      <w:pPr>
        <w:autoSpaceDE w:val="0"/>
        <w:autoSpaceDN w:val="0"/>
        <w:adjustRightInd w:val="0"/>
        <w:jc w:val="left"/>
        <w:rPr>
          <w:rFonts w:hint="eastAsia" w:ascii="宋体" w:hAnsi="宋体" w:eastAsia="宋体" w:cs="宋体"/>
          <w:color w:val="auto"/>
          <w:kern w:val="0"/>
          <w:sz w:val="24"/>
          <w:szCs w:val="24"/>
          <w:highlight w:val="none"/>
        </w:rPr>
      </w:pPr>
    </w:p>
    <w:p w14:paraId="4094C664">
      <w:pPr>
        <w:autoSpaceDE w:val="0"/>
        <w:autoSpaceDN w:val="0"/>
        <w:adjustRightInd w:val="0"/>
        <w:jc w:val="left"/>
        <w:rPr>
          <w:rFonts w:hint="eastAsia" w:ascii="宋体" w:hAnsi="宋体" w:eastAsia="宋体" w:cs="宋体"/>
          <w:color w:val="auto"/>
          <w:kern w:val="0"/>
          <w:sz w:val="24"/>
          <w:szCs w:val="24"/>
          <w:highlight w:val="none"/>
        </w:rPr>
      </w:pPr>
    </w:p>
    <w:p w14:paraId="3043A614">
      <w:pPr>
        <w:autoSpaceDE w:val="0"/>
        <w:autoSpaceDN w:val="0"/>
        <w:adjustRightInd w:val="0"/>
        <w:jc w:val="left"/>
        <w:rPr>
          <w:rFonts w:hint="eastAsia" w:ascii="宋体" w:hAnsi="宋体" w:eastAsia="宋体" w:cs="宋体"/>
          <w:color w:val="auto"/>
          <w:kern w:val="0"/>
          <w:sz w:val="24"/>
          <w:szCs w:val="24"/>
          <w:highlight w:val="none"/>
        </w:rPr>
      </w:pPr>
    </w:p>
    <w:p w14:paraId="074123D3">
      <w:pPr>
        <w:autoSpaceDE w:val="0"/>
        <w:autoSpaceDN w:val="0"/>
        <w:adjustRightInd w:val="0"/>
        <w:jc w:val="left"/>
        <w:rPr>
          <w:rFonts w:hint="eastAsia" w:ascii="宋体" w:hAnsi="宋体" w:eastAsia="宋体" w:cs="宋体"/>
          <w:color w:val="auto"/>
          <w:kern w:val="0"/>
          <w:sz w:val="24"/>
          <w:szCs w:val="24"/>
          <w:highlight w:val="none"/>
        </w:rPr>
      </w:pPr>
    </w:p>
    <w:p w14:paraId="2D17B623">
      <w:pPr>
        <w:autoSpaceDE w:val="0"/>
        <w:autoSpaceDN w:val="0"/>
        <w:adjustRightInd w:val="0"/>
        <w:jc w:val="left"/>
        <w:rPr>
          <w:rFonts w:hint="eastAsia" w:ascii="宋体" w:hAnsi="宋体" w:eastAsia="宋体" w:cs="宋体"/>
          <w:color w:val="auto"/>
          <w:kern w:val="0"/>
          <w:sz w:val="24"/>
          <w:szCs w:val="24"/>
          <w:highlight w:val="none"/>
        </w:rPr>
      </w:pPr>
    </w:p>
    <w:p w14:paraId="087B40D4">
      <w:pPr>
        <w:autoSpaceDE w:val="0"/>
        <w:autoSpaceDN w:val="0"/>
        <w:adjustRightInd w:val="0"/>
        <w:jc w:val="left"/>
        <w:rPr>
          <w:rFonts w:hint="eastAsia" w:ascii="宋体" w:hAnsi="宋体" w:eastAsia="宋体" w:cs="宋体"/>
          <w:color w:val="auto"/>
          <w:kern w:val="0"/>
          <w:sz w:val="24"/>
          <w:szCs w:val="24"/>
          <w:highlight w:val="none"/>
        </w:rPr>
      </w:pPr>
    </w:p>
    <w:p w14:paraId="48AF3786">
      <w:pPr>
        <w:autoSpaceDE w:val="0"/>
        <w:autoSpaceDN w:val="0"/>
        <w:adjustRightInd w:val="0"/>
        <w:jc w:val="left"/>
        <w:rPr>
          <w:rFonts w:hint="eastAsia" w:ascii="宋体" w:hAnsi="宋体" w:eastAsia="宋体" w:cs="宋体"/>
          <w:color w:val="auto"/>
          <w:kern w:val="0"/>
          <w:sz w:val="24"/>
          <w:szCs w:val="24"/>
          <w:highlight w:val="none"/>
        </w:rPr>
      </w:pPr>
    </w:p>
    <w:p w14:paraId="30F53A6A">
      <w:pPr>
        <w:autoSpaceDE w:val="0"/>
        <w:autoSpaceDN w:val="0"/>
        <w:adjustRightInd w:val="0"/>
        <w:jc w:val="left"/>
        <w:rPr>
          <w:rFonts w:hint="eastAsia" w:ascii="宋体" w:hAnsi="宋体" w:eastAsia="宋体" w:cs="宋体"/>
          <w:color w:val="auto"/>
          <w:kern w:val="0"/>
          <w:sz w:val="24"/>
          <w:szCs w:val="24"/>
          <w:highlight w:val="none"/>
        </w:rPr>
      </w:pPr>
    </w:p>
    <w:p w14:paraId="49C250ED">
      <w:pPr>
        <w:autoSpaceDE w:val="0"/>
        <w:autoSpaceDN w:val="0"/>
        <w:adjustRightInd w:val="0"/>
        <w:jc w:val="left"/>
        <w:rPr>
          <w:rFonts w:hint="eastAsia" w:ascii="宋体" w:hAnsi="宋体" w:eastAsia="宋体" w:cs="宋体"/>
          <w:color w:val="auto"/>
          <w:kern w:val="0"/>
          <w:sz w:val="24"/>
          <w:szCs w:val="24"/>
          <w:highlight w:val="none"/>
        </w:rPr>
      </w:pPr>
    </w:p>
    <w:p w14:paraId="798FC43D">
      <w:pPr>
        <w:autoSpaceDE w:val="0"/>
        <w:autoSpaceDN w:val="0"/>
        <w:adjustRightInd w:val="0"/>
        <w:jc w:val="left"/>
        <w:rPr>
          <w:rFonts w:hint="eastAsia" w:ascii="宋体" w:hAnsi="宋体" w:eastAsia="宋体" w:cs="宋体"/>
          <w:b/>
          <w:color w:val="auto"/>
          <w:kern w:val="0"/>
          <w:szCs w:val="21"/>
          <w:highlight w:val="none"/>
        </w:rPr>
      </w:pPr>
    </w:p>
    <w:p w14:paraId="6C62F96A">
      <w:pPr>
        <w:autoSpaceDE w:val="0"/>
        <w:autoSpaceDN w:val="0"/>
        <w:adjustRightInd w:val="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14:paraId="09C044A8">
      <w:pPr>
        <w:autoSpaceDE w:val="0"/>
        <w:autoSpaceDN w:val="0"/>
        <w:adjustRightInd w:val="0"/>
        <w:jc w:val="left"/>
        <w:rPr>
          <w:rFonts w:hint="eastAsia" w:ascii="宋体" w:hAnsi="宋体" w:eastAsia="宋体" w:cs="宋体"/>
          <w:color w:val="auto"/>
          <w:kern w:val="0"/>
          <w:szCs w:val="21"/>
          <w:highlight w:val="none"/>
        </w:rPr>
      </w:pPr>
    </w:p>
    <w:p w14:paraId="064C6175">
      <w:pPr>
        <w:autoSpaceDE w:val="0"/>
        <w:autoSpaceDN w:val="0"/>
        <w:adjustRightInd w:val="0"/>
        <w:jc w:val="center"/>
        <w:outlineLvl w:val="9"/>
        <w:rPr>
          <w:rFonts w:hint="eastAsia" w:ascii="宋体" w:hAnsi="宋体" w:eastAsia="宋体" w:cs="宋体"/>
          <w:b/>
          <w:color w:val="auto"/>
          <w:kern w:val="0"/>
          <w:szCs w:val="21"/>
          <w:highlight w:val="none"/>
        </w:rPr>
      </w:pPr>
      <w:r>
        <w:rPr>
          <w:rFonts w:hint="eastAsia" w:ascii="宋体" w:hAnsi="宋体" w:eastAsia="宋体" w:cs="宋体"/>
          <w:b/>
          <w:bCs/>
          <w:color w:val="auto"/>
          <w:kern w:val="0"/>
          <w:szCs w:val="21"/>
          <w:highlight w:val="none"/>
        </w:rPr>
        <w:t>说明：由投标人使用投标人的企业数字证书电子签名。</w:t>
      </w:r>
    </w:p>
    <w:p w14:paraId="5A3EE78B">
      <w:pPr>
        <w:autoSpaceDE w:val="0"/>
        <w:autoSpaceDN w:val="0"/>
        <w:adjustRightInd w:val="0"/>
        <w:jc w:val="left"/>
        <w:outlineLvl w:val="9"/>
        <w:rPr>
          <w:rFonts w:hint="eastAsia" w:ascii="宋体" w:hAnsi="宋体" w:eastAsia="宋体" w:cs="宋体"/>
          <w:color w:val="auto"/>
          <w:kern w:val="0"/>
          <w:szCs w:val="21"/>
          <w:highlight w:val="none"/>
        </w:rPr>
      </w:pPr>
    </w:p>
    <w:p w14:paraId="6F6933C6">
      <w:pPr>
        <w:spacing w:before="120" w:after="120" w:line="360" w:lineRule="auto"/>
        <w:ind w:firstLine="424" w:firstLineChars="202"/>
        <w:outlineLvl w:val="9"/>
        <w:rPr>
          <w:rFonts w:hint="eastAsia"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773"/>
      <w:bookmarkEnd w:id="774"/>
      <w:bookmarkEnd w:id="775"/>
      <w:bookmarkStart w:id="850" w:name="_Toc1977727"/>
      <w:bookmarkStart w:id="851" w:name="_Toc486167713"/>
      <w:bookmarkStart w:id="852" w:name="_Toc533708125"/>
      <w:bookmarkStart w:id="853" w:name="_Toc6240_WPSOffice_Level2"/>
      <w:r>
        <w:rPr>
          <w:rFonts w:hint="eastAsia" w:ascii="宋体" w:hAnsi="宋体" w:eastAsia="宋体" w:cs="宋体"/>
          <w:b/>
          <w:color w:val="auto"/>
          <w:szCs w:val="24"/>
          <w:highlight w:val="none"/>
        </w:rPr>
        <w:t>（2）法定代表人授权书格式</w:t>
      </w:r>
      <w:bookmarkEnd w:id="850"/>
      <w:bookmarkEnd w:id="851"/>
      <w:bookmarkEnd w:id="852"/>
      <w:bookmarkEnd w:id="853"/>
    </w:p>
    <w:p w14:paraId="6C33D392">
      <w:pPr>
        <w:autoSpaceDE w:val="0"/>
        <w:autoSpaceDN w:val="0"/>
        <w:adjustRightInd w:val="0"/>
        <w:spacing w:line="360" w:lineRule="auto"/>
        <w:jc w:val="center"/>
        <w:outlineLvl w:val="9"/>
        <w:rPr>
          <w:rFonts w:hint="eastAsia" w:ascii="宋体" w:hAnsi="宋体" w:eastAsia="宋体" w:cs="宋体"/>
          <w:b/>
          <w:bCs/>
          <w:color w:val="auto"/>
          <w:sz w:val="30"/>
          <w:szCs w:val="30"/>
          <w:highlight w:val="none"/>
          <w:lang w:val="zh-CN"/>
        </w:rPr>
      </w:pPr>
    </w:p>
    <w:p w14:paraId="03777E13">
      <w:pPr>
        <w:autoSpaceDE w:val="0"/>
        <w:autoSpaceDN w:val="0"/>
        <w:adjustRightInd w:val="0"/>
        <w:spacing w:line="360" w:lineRule="auto"/>
        <w:jc w:val="center"/>
        <w:outlineLvl w:val="9"/>
        <w:rPr>
          <w:rFonts w:hint="eastAsia" w:ascii="宋体" w:hAnsi="宋体" w:eastAsia="宋体" w:cs="宋体"/>
          <w:b/>
          <w:bCs/>
          <w:color w:val="auto"/>
          <w:sz w:val="30"/>
          <w:szCs w:val="30"/>
          <w:highlight w:val="none"/>
          <w:lang w:val="zh-CN"/>
        </w:rPr>
      </w:pPr>
      <w:bookmarkStart w:id="854" w:name="_Toc29146_WPSOffice_Level3"/>
      <w:r>
        <w:rPr>
          <w:rFonts w:hint="eastAsia" w:ascii="宋体" w:hAnsi="宋体" w:eastAsia="宋体" w:cs="宋体"/>
          <w:b/>
          <w:bCs/>
          <w:color w:val="auto"/>
          <w:sz w:val="30"/>
          <w:szCs w:val="30"/>
          <w:highlight w:val="none"/>
          <w:lang w:val="zh-CN"/>
        </w:rPr>
        <w:t>法定代表人授权书</w:t>
      </w:r>
      <w:bookmarkEnd w:id="854"/>
    </w:p>
    <w:p w14:paraId="3BB3DEA4">
      <w:pPr>
        <w:autoSpaceDE w:val="0"/>
        <w:autoSpaceDN w:val="0"/>
        <w:adjustRightInd w:val="0"/>
        <w:spacing w:line="360" w:lineRule="auto"/>
        <w:jc w:val="center"/>
        <w:outlineLvl w:val="9"/>
        <w:rPr>
          <w:rFonts w:hint="eastAsia" w:ascii="宋体" w:hAnsi="宋体" w:eastAsia="宋体" w:cs="宋体"/>
          <w:color w:val="auto"/>
          <w:szCs w:val="28"/>
          <w:highlight w:val="none"/>
          <w:lang w:val="zh-CN"/>
        </w:rPr>
      </w:pPr>
    </w:p>
    <w:p w14:paraId="4DD17029">
      <w:pPr>
        <w:spacing w:before="120" w:after="120" w:line="360" w:lineRule="auto"/>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致：东莞市置拓投资有限公司</w:t>
      </w:r>
    </w:p>
    <w:p w14:paraId="3E6F3E9A">
      <w:pPr>
        <w:spacing w:before="120" w:after="120" w:line="360" w:lineRule="auto"/>
        <w:ind w:firstLine="630" w:firstLineChars="300"/>
        <w:outlineLvl w:val="9"/>
        <w:rPr>
          <w:rFonts w:hint="eastAsia"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1"/>
          <w:highlight w:val="none"/>
          <w:u w:val="single"/>
          <w:lang w:eastAsia="zh-CN"/>
        </w:rPr>
        <w:t>东莞市置拓投资有限公司水业大厦2026-2027年度物业管理服务采购项目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14:paraId="4799AEC5">
      <w:pPr>
        <w:spacing w:before="120" w:after="120"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09CFE80A">
      <w:pPr>
        <w:spacing w:before="120" w:after="120" w:line="360" w:lineRule="auto"/>
        <w:ind w:left="348" w:leftChars="136" w:hanging="62"/>
        <w:outlineLvl w:val="9"/>
        <w:rPr>
          <w:rFonts w:hint="eastAsia" w:ascii="宋体" w:hAnsi="宋体" w:eastAsia="宋体" w:cs="宋体"/>
          <w:color w:val="auto"/>
          <w:szCs w:val="24"/>
          <w:highlight w:val="none"/>
        </w:rPr>
      </w:pPr>
    </w:p>
    <w:p w14:paraId="5ECECA46">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lang w:val="zh-CN"/>
        </w:rPr>
        <w:t>（企业数字证书电子签名）</w:t>
      </w:r>
    </w:p>
    <w:p w14:paraId="45104C27">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14:paraId="6A22F428">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lang w:val="zh-CN"/>
        </w:rPr>
        <w:t>（电子签名）</w:t>
      </w:r>
    </w:p>
    <w:p w14:paraId="43A7F514">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0D0EC02A">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lang w:val="zh-CN"/>
        </w:rPr>
        <w:t>（电子签名）</w:t>
      </w:r>
    </w:p>
    <w:p w14:paraId="37665BA5">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6B5B2C1D">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7693282E">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73E7F16C">
      <w:pPr>
        <w:pStyle w:val="37"/>
        <w:widowControl w:val="0"/>
        <w:snapToGrid w:val="0"/>
        <w:spacing w:before="0" w:beforeAutospacing="0" w:after="0" w:afterAutospacing="0" w:line="360" w:lineRule="auto"/>
        <w:jc w:val="center"/>
        <w:rPr>
          <w:rFonts w:hint="eastAsia" w:ascii="宋体" w:hAnsi="宋体" w:eastAsia="宋体" w:cs="宋体"/>
          <w:b/>
          <w:color w:val="auto"/>
          <w:sz w:val="21"/>
          <w:szCs w:val="21"/>
          <w:highlight w:val="none"/>
          <w:lang w:bidi="ar"/>
        </w:rPr>
      </w:pPr>
    </w:p>
    <w:p w14:paraId="49AACF92">
      <w:pPr>
        <w:widowControl/>
        <w:autoSpaceDE w:val="0"/>
        <w:autoSpaceDN w:val="0"/>
        <w:spacing w:before="120" w:after="120" w:line="360" w:lineRule="auto"/>
        <w:ind w:right="781" w:rightChars="372" w:firstLine="422" w:firstLineChars="200"/>
        <w:jc w:val="center"/>
        <w:textAlignment w:val="bottom"/>
        <w:outlineLvl w:val="9"/>
        <w:rPr>
          <w:rFonts w:hint="eastAsia" w:ascii="宋体" w:hAnsi="宋体" w:eastAsia="宋体" w:cs="宋体"/>
          <w:b/>
          <w:bCs/>
          <w:color w:val="auto"/>
          <w:sz w:val="21"/>
          <w:szCs w:val="21"/>
          <w:highlight w:val="none"/>
          <w:u w:val="single"/>
          <w:lang w:bidi="ar"/>
        </w:rPr>
      </w:pPr>
      <w:r>
        <w:rPr>
          <w:rFonts w:hint="eastAsia" w:ascii="宋体" w:hAnsi="宋体" w:eastAsia="宋体" w:cs="宋体"/>
          <w:b/>
          <w:bCs/>
          <w:color w:val="auto"/>
          <w:sz w:val="21"/>
          <w:szCs w:val="21"/>
          <w:highlight w:val="none"/>
          <w:u w:val="single"/>
          <w:lang w:bidi="ar"/>
        </w:rPr>
        <w:t>说明：由投标人使用投标人的企业数字证书，法定代表人</w:t>
      </w:r>
      <w:r>
        <w:rPr>
          <w:rFonts w:hint="eastAsia" w:ascii="宋体" w:hAnsi="宋体" w:eastAsia="宋体" w:cs="宋体"/>
          <w:b/>
          <w:bCs/>
          <w:color w:val="auto"/>
          <w:sz w:val="21"/>
          <w:szCs w:val="21"/>
          <w:highlight w:val="none"/>
          <w:u w:val="single"/>
          <w:lang w:eastAsia="zh-CN" w:bidi="ar"/>
        </w:rPr>
        <w:t>、</w:t>
      </w:r>
      <w:r>
        <w:rPr>
          <w:rFonts w:hint="eastAsia" w:ascii="宋体" w:hAnsi="宋体" w:eastAsia="宋体" w:cs="宋体"/>
          <w:b/>
          <w:bCs/>
          <w:color w:val="auto"/>
          <w:sz w:val="21"/>
          <w:szCs w:val="21"/>
          <w:highlight w:val="none"/>
          <w:u w:val="single"/>
          <w:lang w:bidi="ar"/>
        </w:rPr>
        <w:t>其授权代表数字证书电子签名。</w:t>
      </w:r>
    </w:p>
    <w:p w14:paraId="16A9ABCF">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br w:type="page"/>
      </w:r>
    </w:p>
    <w:p w14:paraId="607D57F0">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附 法定代表人、被授权人身份证</w:t>
      </w:r>
      <w:r>
        <w:rPr>
          <w:rFonts w:hint="eastAsia" w:ascii="宋体" w:hAnsi="宋体" w:eastAsia="宋体" w:cs="宋体"/>
          <w:color w:val="auto"/>
          <w:szCs w:val="24"/>
          <w:highlight w:val="none"/>
          <w:lang w:eastAsia="zh-CN"/>
        </w:rPr>
        <w:t>扫描件</w:t>
      </w:r>
    </w:p>
    <w:p w14:paraId="3744D318">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61312"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206D21EE"/>
                          <w:p w14:paraId="4FB5D75C"/>
                          <w:p w14:paraId="2BFAD8FC"/>
                          <w:p w14:paraId="17A7A81D"/>
                          <w:p w14:paraId="1DF70D29">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1312;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206D21EE"/>
                    <w:p w14:paraId="4FB5D75C"/>
                    <w:p w14:paraId="2BFAD8FC"/>
                    <w:p w14:paraId="17A7A81D"/>
                    <w:p w14:paraId="1DF70D29">
                      <w:pPr>
                        <w:jc w:val="center"/>
                        <w:rPr>
                          <w:rFonts w:hAnsi="宋体"/>
                        </w:rPr>
                      </w:pPr>
                      <w:r>
                        <w:rPr>
                          <w:rFonts w:hint="eastAsia" w:hAnsi="宋体"/>
                        </w:rPr>
                        <w:t>法定代表人身份证反面</w:t>
                      </w:r>
                    </w:p>
                  </w:txbxContent>
                </v:textbox>
              </v:shape>
            </w:pict>
          </mc:Fallback>
        </mc:AlternateContent>
      </w:r>
      <w:r>
        <w:rPr>
          <w:rFonts w:hint="eastAsia" w:ascii="宋体" w:hAnsi="宋体" w:eastAsia="宋体" w:cs="宋体"/>
          <w:color w:val="auto"/>
          <w:szCs w:val="21"/>
          <w:highlight w:val="none"/>
        </w:rPr>
        <mc:AlternateContent>
          <mc:Choice Requires="wps">
            <w:drawing>
              <wp:anchor distT="0" distB="0" distL="114300" distR="114300" simplePos="0" relativeHeight="251659264"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38B8A198"/>
                          <w:p w14:paraId="41F95740"/>
                          <w:p w14:paraId="6A5D6870"/>
                          <w:p w14:paraId="4CB97734"/>
                          <w:p w14:paraId="3551A300">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59264;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38B8A198"/>
                    <w:p w14:paraId="41F95740"/>
                    <w:p w14:paraId="6A5D6870"/>
                    <w:p w14:paraId="4CB97734"/>
                    <w:p w14:paraId="3551A300">
                      <w:pPr>
                        <w:jc w:val="center"/>
                        <w:rPr>
                          <w:rFonts w:hAnsi="宋体"/>
                        </w:rPr>
                      </w:pPr>
                      <w:r>
                        <w:rPr>
                          <w:rFonts w:hint="eastAsia" w:hAnsi="宋体"/>
                        </w:rPr>
                        <w:t>法定代表人身份证正面</w:t>
                      </w:r>
                    </w:p>
                  </w:txbxContent>
                </v:textbox>
              </v:shape>
            </w:pict>
          </mc:Fallback>
        </mc:AlternateContent>
      </w:r>
    </w:p>
    <w:p w14:paraId="09794CD2">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58BC5E02">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2C7836BC">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0F897607">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17CABE2E">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6261321A">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0036EF81">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0151E425">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40D1D3F7">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7CB67CA6"/>
                          <w:p w14:paraId="7F63537C">
                            <w:pPr>
                              <w:jc w:val="center"/>
                              <w:rPr>
                                <w:rFonts w:hAnsi="宋体"/>
                                <w:color w:val="FF0000"/>
                              </w:rPr>
                            </w:pPr>
                          </w:p>
                          <w:p w14:paraId="6419E813">
                            <w:pPr>
                              <w:jc w:val="center"/>
                              <w:rPr>
                                <w:rFonts w:hAnsi="宋体"/>
                                <w:color w:val="FF0000"/>
                              </w:rPr>
                            </w:pPr>
                          </w:p>
                          <w:p w14:paraId="0756092F">
                            <w:pPr>
                              <w:jc w:val="center"/>
                              <w:rPr>
                                <w:rFonts w:hAnsi="宋体"/>
                                <w:color w:val="FF0000"/>
                              </w:rPr>
                            </w:pPr>
                          </w:p>
                          <w:p w14:paraId="3AD52DCD">
                            <w:pPr>
                              <w:jc w:val="center"/>
                            </w:pPr>
                            <w:r>
                              <w:rPr>
                                <w:rFonts w:hint="eastAsia" w:hAnsi="宋体"/>
                              </w:rPr>
                              <w:t>被授权人身份证反面</w:t>
                            </w:r>
                          </w:p>
                          <w:p w14:paraId="4E749602"/>
                          <w:p w14:paraId="2C53FAE1"/>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2336;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7CB67CA6"/>
                    <w:p w14:paraId="7F63537C">
                      <w:pPr>
                        <w:jc w:val="center"/>
                        <w:rPr>
                          <w:rFonts w:hAnsi="宋体"/>
                          <w:color w:val="FF0000"/>
                        </w:rPr>
                      </w:pPr>
                    </w:p>
                    <w:p w14:paraId="6419E813">
                      <w:pPr>
                        <w:jc w:val="center"/>
                        <w:rPr>
                          <w:rFonts w:hAnsi="宋体"/>
                          <w:color w:val="FF0000"/>
                        </w:rPr>
                      </w:pPr>
                    </w:p>
                    <w:p w14:paraId="0756092F">
                      <w:pPr>
                        <w:jc w:val="center"/>
                        <w:rPr>
                          <w:rFonts w:hAnsi="宋体"/>
                          <w:color w:val="FF0000"/>
                        </w:rPr>
                      </w:pPr>
                    </w:p>
                    <w:p w14:paraId="3AD52DCD">
                      <w:pPr>
                        <w:jc w:val="center"/>
                      </w:pPr>
                      <w:r>
                        <w:rPr>
                          <w:rFonts w:hint="eastAsia" w:hAnsi="宋体"/>
                        </w:rPr>
                        <w:t>被授权人身份证反面</w:t>
                      </w:r>
                    </w:p>
                    <w:p w14:paraId="4E749602"/>
                    <w:p w14:paraId="2C53FAE1"/>
                  </w:txbxContent>
                </v:textbox>
              </v:shape>
            </w:pict>
          </mc:Fallback>
        </mc:AlternateContent>
      </w:r>
      <w:r>
        <w:rPr>
          <w:rFonts w:hint="eastAsia" w:ascii="宋体" w:hAnsi="宋体" w:eastAsia="宋体" w:cs="宋体"/>
          <w:color w:val="auto"/>
          <w:szCs w:val="21"/>
          <w:highlight w:val="none"/>
        </w:rPr>
        <mc:AlternateContent>
          <mc:Choice Requires="wps">
            <w:drawing>
              <wp:anchor distT="0" distB="0" distL="114300" distR="114300" simplePos="0" relativeHeight="251660288"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59E17597"/>
                          <w:p w14:paraId="216428E7">
                            <w:pPr>
                              <w:jc w:val="center"/>
                              <w:rPr>
                                <w:rFonts w:hAnsi="宋体"/>
                                <w:color w:val="FF0000"/>
                              </w:rPr>
                            </w:pPr>
                          </w:p>
                          <w:p w14:paraId="2EF98DF6">
                            <w:pPr>
                              <w:jc w:val="center"/>
                              <w:rPr>
                                <w:rFonts w:hAnsi="宋体"/>
                                <w:color w:val="FF0000"/>
                              </w:rPr>
                            </w:pPr>
                          </w:p>
                          <w:p w14:paraId="1EF4C149">
                            <w:pPr>
                              <w:jc w:val="center"/>
                              <w:rPr>
                                <w:rFonts w:hAnsi="宋体"/>
                                <w:color w:val="FF0000"/>
                              </w:rPr>
                            </w:pPr>
                          </w:p>
                          <w:p w14:paraId="63A0866F">
                            <w:pPr>
                              <w:jc w:val="center"/>
                            </w:pPr>
                            <w:r>
                              <w:rPr>
                                <w:rFonts w:hint="eastAsia" w:hAnsi="宋体"/>
                              </w:rPr>
                              <w:t>被授权人身份证正面</w:t>
                            </w:r>
                          </w:p>
                          <w:p w14:paraId="4A4608B5"/>
                          <w:p w14:paraId="184989BA"/>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0288;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59E17597"/>
                    <w:p w14:paraId="216428E7">
                      <w:pPr>
                        <w:jc w:val="center"/>
                        <w:rPr>
                          <w:rFonts w:hAnsi="宋体"/>
                          <w:color w:val="FF0000"/>
                        </w:rPr>
                      </w:pPr>
                    </w:p>
                    <w:p w14:paraId="2EF98DF6">
                      <w:pPr>
                        <w:jc w:val="center"/>
                        <w:rPr>
                          <w:rFonts w:hAnsi="宋体"/>
                          <w:color w:val="FF0000"/>
                        </w:rPr>
                      </w:pPr>
                    </w:p>
                    <w:p w14:paraId="1EF4C149">
                      <w:pPr>
                        <w:jc w:val="center"/>
                        <w:rPr>
                          <w:rFonts w:hAnsi="宋体"/>
                          <w:color w:val="FF0000"/>
                        </w:rPr>
                      </w:pPr>
                    </w:p>
                    <w:p w14:paraId="63A0866F">
                      <w:pPr>
                        <w:jc w:val="center"/>
                      </w:pPr>
                      <w:r>
                        <w:rPr>
                          <w:rFonts w:hint="eastAsia" w:hAnsi="宋体"/>
                        </w:rPr>
                        <w:t>被授权人身份证正面</w:t>
                      </w:r>
                    </w:p>
                    <w:p w14:paraId="4A4608B5"/>
                    <w:p w14:paraId="184989BA"/>
                  </w:txbxContent>
                </v:textbox>
              </v:shape>
            </w:pict>
          </mc:Fallback>
        </mc:AlternateContent>
      </w:r>
    </w:p>
    <w:p w14:paraId="2D979594">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727BB6F2">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1A8DD42C">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522D548A">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49445DEC">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08B9C9E8">
      <w:pPr>
        <w:widowControl/>
        <w:autoSpaceDE w:val="0"/>
        <w:autoSpaceDN w:val="0"/>
        <w:spacing w:before="120" w:after="120" w:line="360" w:lineRule="auto"/>
        <w:ind w:right="781" w:rightChars="372" w:firstLine="422" w:firstLineChars="200"/>
        <w:textAlignment w:val="bottom"/>
        <w:outlineLvl w:val="9"/>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注：上述所附身份证应在有效期限内。</w:t>
      </w:r>
    </w:p>
    <w:p w14:paraId="2420C23A">
      <w:pPr>
        <w:rPr>
          <w:rFonts w:hint="eastAsia"/>
          <w:color w:val="auto"/>
        </w:rPr>
      </w:pPr>
    </w:p>
    <w:p w14:paraId="3A514724">
      <w:pPr>
        <w:pStyle w:val="18"/>
        <w:rPr>
          <w:rFonts w:hint="eastAsia"/>
          <w:color w:val="auto"/>
        </w:rPr>
        <w:sectPr>
          <w:footerReference r:id="rId14" w:type="first"/>
          <w:footerReference r:id="rId13" w:type="default"/>
          <w:pgSz w:w="12240" w:h="15840"/>
          <w:pgMar w:top="1191" w:right="1043" w:bottom="1191" w:left="1043" w:header="720" w:footer="720" w:gutter="0"/>
          <w:pgNumType w:fmt="decimal"/>
          <w:cols w:space="720" w:num="1"/>
          <w:docGrid w:linePitch="326" w:charSpace="0"/>
        </w:sectPr>
      </w:pPr>
    </w:p>
    <w:p w14:paraId="66389A7D">
      <w:pPr>
        <w:pStyle w:val="4"/>
        <w:pageBreakBefore/>
        <w:spacing w:line="360" w:lineRule="auto"/>
        <w:rPr>
          <w:rFonts w:hint="eastAsia" w:hAnsi="宋体" w:eastAsia="宋体"/>
          <w:b/>
          <w:color w:val="auto"/>
          <w:sz w:val="30"/>
          <w:szCs w:val="30"/>
          <w:highlight w:val="none"/>
          <w:lang w:val="zh-CN" w:eastAsia="zh-CN"/>
        </w:rPr>
      </w:pPr>
      <w:bookmarkStart w:id="855" w:name="_Toc31462"/>
      <w:bookmarkStart w:id="856" w:name="_Toc21968"/>
      <w:bookmarkStart w:id="857" w:name="_Toc16718"/>
      <w:bookmarkStart w:id="858" w:name="_Toc23386"/>
      <w:bookmarkStart w:id="859" w:name="_Toc13411"/>
      <w:bookmarkStart w:id="860" w:name="_Toc12400"/>
      <w:bookmarkStart w:id="861" w:name="_Toc32328"/>
      <w:bookmarkStart w:id="862" w:name="_Toc15716"/>
      <w:bookmarkStart w:id="863" w:name="_Toc94107214"/>
      <w:bookmarkStart w:id="864" w:name="_Toc104991880"/>
      <w:bookmarkStart w:id="865" w:name="_Toc142508373"/>
      <w:bookmarkStart w:id="866" w:name="_Toc1977730"/>
      <w:bookmarkStart w:id="867" w:name="_Toc140596933"/>
      <w:r>
        <w:rPr>
          <w:rFonts w:hint="eastAsia" w:hAnsi="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w:t>
      </w:r>
      <w:r>
        <w:rPr>
          <w:rFonts w:hint="eastAsia" w:hAnsi="宋体" w:cs="宋体"/>
          <w:b/>
          <w:color w:val="auto"/>
          <w:kern w:val="0"/>
          <w:sz w:val="30"/>
          <w:szCs w:val="30"/>
          <w:highlight w:val="none"/>
          <w:lang w:val="en-US" w:eastAsia="zh-CN"/>
        </w:rPr>
        <w:t>4</w:t>
      </w:r>
      <w:r>
        <w:rPr>
          <w:rFonts w:ascii="宋体" w:hAnsi="宋体" w:eastAsia="宋体" w:cs="宋体"/>
          <w:b/>
          <w:color w:val="auto"/>
          <w:kern w:val="0"/>
          <w:sz w:val="30"/>
          <w:szCs w:val="30"/>
          <w:highlight w:val="none"/>
        </w:rPr>
        <w:t xml:space="preserve"> </w:t>
      </w:r>
      <w:r>
        <w:rPr>
          <w:rFonts w:hint="eastAsia" w:hAnsi="宋体"/>
          <w:b/>
          <w:bCs/>
          <w:color w:val="auto"/>
          <w:kern w:val="2"/>
          <w:sz w:val="32"/>
          <w:szCs w:val="32"/>
          <w:highlight w:val="none"/>
        </w:rPr>
        <w:t>资格业绩</w:t>
      </w:r>
      <w:r>
        <w:rPr>
          <w:rFonts w:hint="eastAsia" w:ascii="宋体" w:hAnsi="宋体" w:eastAsia="宋体"/>
          <w:b/>
          <w:bCs/>
          <w:color w:val="auto"/>
          <w:sz w:val="32"/>
          <w:szCs w:val="32"/>
          <w:highlight w:val="none"/>
        </w:rPr>
        <w:t>【</w:t>
      </w:r>
      <w:bookmarkEnd w:id="855"/>
      <w:bookmarkEnd w:id="856"/>
      <w:bookmarkEnd w:id="857"/>
      <w:bookmarkEnd w:id="858"/>
      <w:r>
        <w:rPr>
          <w:rFonts w:hint="eastAsia" w:ascii="宋体" w:hAnsi="宋体" w:eastAsia="宋体"/>
          <w:b/>
          <w:bCs/>
          <w:color w:val="auto"/>
          <w:sz w:val="32"/>
          <w:szCs w:val="32"/>
          <w:highlight w:val="none"/>
        </w:rPr>
        <w:t>投标人2022年1月1日以来(以合同签订日期为准)至少承接一个物业管理服务项目业绩(服务内容必须为物业管理服务且同时包含保洁（或清洁或环境卫生）及保安（或安保或秩序维护）服务</w:t>
      </w:r>
      <w:r>
        <w:rPr>
          <w:rFonts w:hint="eastAsia" w:hAnsi="宋体"/>
          <w:b/>
          <w:bCs/>
          <w:color w:val="auto"/>
          <w:sz w:val="32"/>
          <w:szCs w:val="32"/>
          <w:highlight w:val="none"/>
          <w:lang w:eastAsia="zh-CN"/>
        </w:rPr>
        <w:t>，</w:t>
      </w:r>
      <w:r>
        <w:rPr>
          <w:rFonts w:hint="eastAsia" w:ascii="宋体" w:hAnsi="宋体" w:eastAsia="宋体"/>
          <w:b/>
          <w:bCs/>
          <w:color w:val="auto"/>
          <w:sz w:val="32"/>
          <w:szCs w:val="32"/>
          <w:highlight w:val="none"/>
        </w:rPr>
        <w:t>合同签订日期为2022年1月1日或以后）</w:t>
      </w:r>
      <w:r>
        <w:rPr>
          <w:rFonts w:hint="eastAsia" w:hAnsi="宋体"/>
          <w:b/>
          <w:bCs/>
          <w:color w:val="auto"/>
          <w:sz w:val="32"/>
          <w:szCs w:val="32"/>
          <w:highlight w:val="none"/>
          <w:lang w:eastAsia="zh-CN"/>
        </w:rPr>
        <w:t>】</w:t>
      </w:r>
      <w:bookmarkEnd w:id="859"/>
    </w:p>
    <w:tbl>
      <w:tblPr>
        <w:tblStyle w:val="41"/>
        <w:tblW w:w="464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810"/>
        <w:gridCol w:w="1560"/>
        <w:gridCol w:w="1350"/>
        <w:gridCol w:w="1380"/>
        <w:gridCol w:w="1050"/>
        <w:gridCol w:w="1503"/>
        <w:gridCol w:w="825"/>
      </w:tblGrid>
      <w:tr w14:paraId="00308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646" w:hRule="exact"/>
          <w:jc w:val="center"/>
        </w:trPr>
        <w:tc>
          <w:tcPr>
            <w:tcW w:w="810" w:type="dxa"/>
            <w:vAlign w:val="center"/>
          </w:tcPr>
          <w:p w14:paraId="1D382C9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560" w:type="dxa"/>
            <w:vAlign w:val="center"/>
          </w:tcPr>
          <w:p w14:paraId="64719A7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1350" w:type="dxa"/>
            <w:vAlign w:val="center"/>
          </w:tcPr>
          <w:p w14:paraId="570EC4A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项目规模</w:t>
            </w:r>
          </w:p>
        </w:tc>
        <w:tc>
          <w:tcPr>
            <w:tcW w:w="1380" w:type="dxa"/>
            <w:vAlign w:val="center"/>
          </w:tcPr>
          <w:p w14:paraId="32686DF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合同主要服务内容</w:t>
            </w:r>
          </w:p>
        </w:tc>
        <w:tc>
          <w:tcPr>
            <w:tcW w:w="1050" w:type="dxa"/>
            <w:vAlign w:val="center"/>
          </w:tcPr>
          <w:p w14:paraId="4587B72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w:t>
            </w:r>
          </w:p>
        </w:tc>
        <w:tc>
          <w:tcPr>
            <w:tcW w:w="1503" w:type="dxa"/>
            <w:vAlign w:val="center"/>
          </w:tcPr>
          <w:p w14:paraId="46B5B10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业主联系人及电话</w:t>
            </w:r>
          </w:p>
        </w:tc>
        <w:tc>
          <w:tcPr>
            <w:tcW w:w="825" w:type="dxa"/>
            <w:vAlign w:val="center"/>
          </w:tcPr>
          <w:p w14:paraId="02B6D9F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44540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9" w:hRule="exact"/>
          <w:jc w:val="center"/>
        </w:trPr>
        <w:tc>
          <w:tcPr>
            <w:tcW w:w="810" w:type="dxa"/>
            <w:vAlign w:val="center"/>
          </w:tcPr>
          <w:p w14:paraId="681B56F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560" w:type="dxa"/>
            <w:vAlign w:val="center"/>
          </w:tcPr>
          <w:p w14:paraId="656A295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350" w:type="dxa"/>
            <w:vAlign w:val="center"/>
          </w:tcPr>
          <w:p w14:paraId="34AD5E2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380" w:type="dxa"/>
            <w:vAlign w:val="center"/>
          </w:tcPr>
          <w:p w14:paraId="3D1789F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050" w:type="dxa"/>
            <w:vAlign w:val="center"/>
          </w:tcPr>
          <w:p w14:paraId="56EBF73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503" w:type="dxa"/>
            <w:vAlign w:val="center"/>
          </w:tcPr>
          <w:p w14:paraId="34DDD42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825" w:type="dxa"/>
            <w:vAlign w:val="center"/>
          </w:tcPr>
          <w:p w14:paraId="32990BC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67F6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79" w:hRule="exact"/>
          <w:jc w:val="center"/>
        </w:trPr>
        <w:tc>
          <w:tcPr>
            <w:tcW w:w="810" w:type="dxa"/>
            <w:vAlign w:val="center"/>
          </w:tcPr>
          <w:p w14:paraId="6F7C1A0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560" w:type="dxa"/>
            <w:vAlign w:val="center"/>
          </w:tcPr>
          <w:p w14:paraId="1A5D355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350" w:type="dxa"/>
            <w:vAlign w:val="center"/>
          </w:tcPr>
          <w:p w14:paraId="3098956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380" w:type="dxa"/>
            <w:vAlign w:val="center"/>
          </w:tcPr>
          <w:p w14:paraId="628B9A5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050" w:type="dxa"/>
            <w:vAlign w:val="center"/>
          </w:tcPr>
          <w:p w14:paraId="6351897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503" w:type="dxa"/>
            <w:vAlign w:val="center"/>
          </w:tcPr>
          <w:p w14:paraId="4FDE94D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825" w:type="dxa"/>
            <w:vAlign w:val="center"/>
          </w:tcPr>
          <w:p w14:paraId="2F039E9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bl>
    <w:p w14:paraId="28C956EE">
      <w:pPr>
        <w:spacing w:line="360" w:lineRule="auto"/>
        <w:ind w:left="424" w:hanging="424" w:hangingChars="201"/>
        <w:rPr>
          <w:rFonts w:hint="eastAsia" w:ascii="宋体" w:hAnsi="宋体" w:eastAsia="宋体" w:cs="宋体"/>
          <w:b/>
          <w:color w:val="auto"/>
          <w:szCs w:val="21"/>
          <w:highlight w:val="none"/>
          <w:lang w:val="zh-CN"/>
        </w:rPr>
      </w:pPr>
    </w:p>
    <w:p w14:paraId="29F5A708">
      <w:pPr>
        <w:spacing w:line="360" w:lineRule="auto"/>
        <w:ind w:left="424" w:hanging="424" w:hangingChars="201"/>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14:paraId="58094142">
      <w:pPr>
        <w:spacing w:line="360" w:lineRule="auto"/>
        <w:ind w:left="422" w:hanging="422" w:hangingChars="201"/>
        <w:rPr>
          <w:rFonts w:ascii="宋体" w:hAnsi="宋体" w:eastAsia="宋体" w:cs="宋体"/>
          <w:color w:val="auto"/>
          <w:szCs w:val="21"/>
        </w:rPr>
      </w:pPr>
      <w:bookmarkStart w:id="868" w:name="_Toc6253"/>
      <w:bookmarkStart w:id="869" w:name="_Toc14967"/>
      <w:r>
        <w:rPr>
          <w:rFonts w:hint="eastAsia" w:ascii="宋体" w:hAnsi="宋体" w:eastAsia="宋体" w:cs="宋体"/>
          <w:color w:val="auto"/>
          <w:szCs w:val="21"/>
          <w:lang w:val="zh-CN"/>
        </w:rPr>
        <w:t>（1）</w:t>
      </w:r>
      <w:r>
        <w:rPr>
          <w:rFonts w:hint="eastAsia" w:ascii="宋体" w:hAnsi="宋体" w:eastAsia="宋体" w:cs="宋体"/>
          <w:color w:val="auto"/>
          <w:szCs w:val="21"/>
        </w:rPr>
        <w:t>作为投标人资格条件证明的业绩放置在此处。</w:t>
      </w:r>
    </w:p>
    <w:p w14:paraId="02AE71C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lang w:val="en-US" w:eastAsia="zh-CN"/>
        </w:rPr>
        <w:t>2</w:t>
      </w:r>
      <w:r>
        <w:rPr>
          <w:rFonts w:hint="eastAsia" w:ascii="宋体" w:hAnsi="宋体" w:eastAsia="宋体" w:cs="宋体"/>
          <w:color w:val="auto"/>
          <w:szCs w:val="24"/>
          <w:highlight w:val="none"/>
          <w:lang w:val="zh-CN"/>
        </w:rPr>
        <w:t>）业绩须附合同扫描件（合同服务提供方为投标人），和已服务的任意一张发票扫描件（发票开具日期须在本项目招标公告发布之日前）；</w:t>
      </w:r>
    </w:p>
    <w:p w14:paraId="3944E4F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lang w:val="zh-CN"/>
        </w:rPr>
        <w:t>）合同业绩证明材料必须能反映评审条件：</w:t>
      </w:r>
      <w:r>
        <w:rPr>
          <w:rFonts w:hint="eastAsia" w:ascii="宋体" w:hAnsi="宋体" w:eastAsia="宋体" w:cs="宋体"/>
          <w:color w:val="auto"/>
          <w:szCs w:val="21"/>
        </w:rPr>
        <w:t>①</w:t>
      </w:r>
      <w:r>
        <w:rPr>
          <w:rFonts w:hint="eastAsia" w:ascii="宋体" w:hAnsi="宋体" w:eastAsia="宋体" w:cs="宋体"/>
          <w:color w:val="auto"/>
          <w:szCs w:val="24"/>
          <w:highlight w:val="none"/>
          <w:lang w:val="zh-CN"/>
        </w:rPr>
        <w:t>合同签订日期为20</w:t>
      </w:r>
      <w:r>
        <w:rPr>
          <w:rFonts w:hint="eastAsia" w:ascii="宋体" w:hAnsi="宋体" w:eastAsia="宋体" w:cs="宋体"/>
          <w:color w:val="auto"/>
          <w:szCs w:val="24"/>
          <w:highlight w:val="none"/>
          <w:lang w:val="en-US" w:eastAsia="zh-CN"/>
        </w:rPr>
        <w:t>22</w:t>
      </w:r>
      <w:r>
        <w:rPr>
          <w:rFonts w:hint="eastAsia" w:ascii="宋体" w:hAnsi="宋体" w:eastAsia="宋体" w:cs="宋体"/>
          <w:color w:val="auto"/>
          <w:szCs w:val="24"/>
          <w:highlight w:val="none"/>
          <w:lang w:val="zh-CN"/>
        </w:rPr>
        <w:t>年1月1日或以后；</w:t>
      </w:r>
      <w:r>
        <w:rPr>
          <w:rFonts w:hint="eastAsia" w:ascii="宋体" w:hAnsi="宋体" w:eastAsia="宋体" w:cs="宋体"/>
          <w:color w:val="auto"/>
          <w:szCs w:val="21"/>
        </w:rPr>
        <w:t>②合同服务内容必须</w:t>
      </w:r>
      <w:r>
        <w:rPr>
          <w:rFonts w:hint="eastAsia" w:ascii="宋体" w:hAnsi="宋体" w:eastAsia="宋体" w:cs="宋体"/>
          <w:color w:val="auto"/>
          <w:szCs w:val="24"/>
          <w:highlight w:val="none"/>
          <w:lang w:val="zh-CN"/>
        </w:rPr>
        <w:t>为物</w:t>
      </w:r>
      <w:r>
        <w:rPr>
          <w:rFonts w:hint="eastAsia" w:ascii="宋体" w:hAnsi="宋体" w:eastAsia="宋体" w:cs="宋体"/>
          <w:color w:val="auto"/>
          <w:szCs w:val="21"/>
          <w:lang w:val="zh-CN"/>
        </w:rPr>
        <w:t>业管理服务且同时包含保洁（或清洁或环境卫生）及保安</w:t>
      </w:r>
      <w:r>
        <w:rPr>
          <w:rFonts w:hint="eastAsia" w:ascii="宋体" w:hAnsi="宋体" w:eastAsia="宋体" w:cs="宋体"/>
          <w:color w:val="auto"/>
          <w:szCs w:val="21"/>
          <w:lang w:val="zh-CN" w:eastAsia="zh-CN"/>
        </w:rPr>
        <w:t>（或安保或秩序维护）</w:t>
      </w:r>
      <w:r>
        <w:rPr>
          <w:rFonts w:hint="eastAsia" w:ascii="宋体" w:hAnsi="宋体" w:eastAsia="宋体" w:cs="宋体"/>
          <w:color w:val="auto"/>
          <w:szCs w:val="21"/>
          <w:lang w:val="zh-CN"/>
        </w:rPr>
        <w:t>服务</w:t>
      </w:r>
      <w:r>
        <w:rPr>
          <w:rFonts w:hint="eastAsia" w:ascii="宋体" w:hAnsi="宋体" w:eastAsia="宋体" w:cs="宋体"/>
          <w:color w:val="auto"/>
          <w:szCs w:val="21"/>
          <w:lang w:val="en-US"/>
        </w:rPr>
        <w:t>，否则，需同时提供服务发包人</w:t>
      </w:r>
      <w:r>
        <w:rPr>
          <w:rFonts w:hint="eastAsia" w:ascii="宋体" w:hAnsi="宋体" w:eastAsia="宋体" w:cs="宋体"/>
          <w:color w:val="auto"/>
          <w:szCs w:val="21"/>
          <w:lang w:val="en-US" w:eastAsia="zh-CN"/>
        </w:rPr>
        <w:t>（业主）出具的书面文件扫描件</w:t>
      </w:r>
      <w:r>
        <w:rPr>
          <w:rFonts w:hint="eastAsia" w:ascii="宋体" w:hAnsi="宋体" w:eastAsia="宋体" w:cs="宋体"/>
          <w:color w:val="auto"/>
          <w:szCs w:val="21"/>
          <w:lang w:val="en-US"/>
        </w:rPr>
        <w:t>（需加盖服务发包人公章，即</w:t>
      </w:r>
      <w:r>
        <w:rPr>
          <w:rFonts w:hint="eastAsia" w:ascii="宋体" w:hAnsi="宋体" w:eastAsia="宋体" w:cs="宋体"/>
          <w:color w:val="auto"/>
          <w:szCs w:val="21"/>
          <w:lang w:val="en-US" w:eastAsia="zh-CN"/>
        </w:rPr>
        <w:t>扫描件</w:t>
      </w:r>
      <w:r>
        <w:rPr>
          <w:rFonts w:hint="eastAsia" w:ascii="宋体" w:hAnsi="宋体" w:eastAsia="宋体" w:cs="宋体"/>
          <w:color w:val="auto"/>
          <w:szCs w:val="21"/>
          <w:lang w:val="en-US"/>
        </w:rPr>
        <w:t>能显示服务发包人公章）</w:t>
      </w:r>
      <w:r>
        <w:rPr>
          <w:rFonts w:hint="eastAsia" w:ascii="宋体" w:hAnsi="宋体" w:eastAsia="宋体" w:cs="宋体"/>
          <w:color w:val="auto"/>
          <w:szCs w:val="21"/>
          <w:lang w:val="en-US" w:eastAsia="zh-CN"/>
        </w:rPr>
        <w:t>或</w:t>
      </w:r>
      <w:r>
        <w:rPr>
          <w:rFonts w:hint="eastAsia" w:ascii="宋体" w:hAnsi="宋体" w:eastAsia="宋体" w:cs="宋体"/>
          <w:color w:val="auto"/>
          <w:szCs w:val="21"/>
          <w:lang w:val="en-US"/>
        </w:rPr>
        <w:t>发包人</w:t>
      </w:r>
      <w:r>
        <w:rPr>
          <w:rFonts w:hint="eastAsia" w:ascii="宋体" w:hAnsi="宋体" w:eastAsia="宋体" w:cs="宋体"/>
          <w:color w:val="auto"/>
          <w:szCs w:val="21"/>
          <w:lang w:val="en-US" w:eastAsia="zh-CN"/>
        </w:rPr>
        <w:t>（业主）加盖公章反映条件的招标文件扫描件或政府部门</w:t>
      </w:r>
      <w:r>
        <w:rPr>
          <w:rFonts w:hint="eastAsia" w:ascii="宋体" w:hAnsi="宋体" w:eastAsia="宋体" w:cs="宋体"/>
          <w:color w:val="auto"/>
          <w:szCs w:val="21"/>
        </w:rPr>
        <w:t>出具的相关证明材料</w:t>
      </w:r>
      <w:r>
        <w:rPr>
          <w:rFonts w:hint="eastAsia" w:ascii="宋体" w:hAnsi="宋体" w:eastAsia="宋体" w:cs="宋体"/>
          <w:color w:val="auto"/>
          <w:szCs w:val="21"/>
          <w:lang w:val="en-US" w:eastAsia="zh-CN"/>
        </w:rPr>
        <w:t>扫描</w:t>
      </w:r>
      <w:r>
        <w:rPr>
          <w:rFonts w:hint="eastAsia" w:ascii="宋体" w:hAnsi="宋体" w:eastAsia="宋体" w:cs="宋体"/>
          <w:color w:val="auto"/>
          <w:szCs w:val="21"/>
          <w:lang w:val="en-US"/>
        </w:rPr>
        <w:t>件作为辅助证明，否则不得分。</w:t>
      </w:r>
    </w:p>
    <w:p w14:paraId="50D9B1CF">
      <w:pPr>
        <w:tabs>
          <w:tab w:val="left" w:pos="567"/>
        </w:tabs>
        <w:autoSpaceDE w:val="0"/>
        <w:autoSpaceDN w:val="0"/>
        <w:adjustRightInd w:val="0"/>
        <w:spacing w:line="360" w:lineRule="auto"/>
        <w:jc w:val="left"/>
        <w:outlineLvl w:val="9"/>
        <w:rPr>
          <w:rFonts w:ascii="宋体" w:hAnsi="宋体" w:eastAsia="宋体" w:cs="宋体"/>
          <w:b/>
          <w:color w:val="auto"/>
          <w:kern w:val="0"/>
          <w:sz w:val="30"/>
          <w:szCs w:val="30"/>
          <w:highlight w:val="none"/>
        </w:rPr>
      </w:pP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4</w:t>
      </w:r>
      <w:r>
        <w:rPr>
          <w:rFonts w:hint="eastAsia" w:ascii="宋体" w:hAnsi="宋体" w:eastAsia="宋体" w:cs="宋体"/>
          <w:b/>
          <w:color w:val="auto"/>
          <w:szCs w:val="21"/>
          <w:highlight w:val="none"/>
          <w:lang w:val="zh-CN"/>
        </w:rPr>
        <w:t>）</w:t>
      </w:r>
      <w:bookmarkEnd w:id="868"/>
      <w:bookmarkEnd w:id="869"/>
      <w:r>
        <w:rPr>
          <w:rFonts w:hint="eastAsia" w:ascii="宋体" w:hAnsi="宋体" w:eastAsia="宋体" w:cs="宋体"/>
          <w:b/>
          <w:color w:val="auto"/>
          <w:szCs w:val="21"/>
          <w:highlight w:val="none"/>
          <w:lang w:val="zh-CN"/>
        </w:rPr>
        <w:t>未按上述要求在此格式下提供证明材料的业绩，或在此格式下所附材料无法证明符合资格要求的业绩，按无效投标文件处理。</w:t>
      </w:r>
    </w:p>
    <w:bookmarkEnd w:id="860"/>
    <w:bookmarkEnd w:id="861"/>
    <w:bookmarkEnd w:id="862"/>
    <w:p w14:paraId="0D963C82">
      <w:pPr>
        <w:autoSpaceDE/>
        <w:autoSpaceDN/>
        <w:adjustRightInd/>
        <w:spacing w:line="360" w:lineRule="auto"/>
        <w:ind w:firstLine="0" w:firstLineChars="0"/>
        <w:outlineLvl w:val="9"/>
        <w:rPr>
          <w:rFonts w:hint="eastAsia" w:ascii="宋体" w:hAnsi="宋体" w:eastAsia="宋体" w:cs="宋体"/>
          <w:b/>
          <w:color w:val="auto"/>
          <w:kern w:val="2"/>
          <w:sz w:val="21"/>
          <w:szCs w:val="21"/>
          <w:highlight w:val="none"/>
          <w:lang w:val="zh-CN"/>
        </w:rPr>
      </w:pPr>
    </w:p>
    <w:p w14:paraId="160CCFC7">
      <w:pPr>
        <w:autoSpaceDE/>
        <w:autoSpaceDN/>
        <w:adjustRightInd/>
        <w:spacing w:line="360" w:lineRule="auto"/>
        <w:ind w:firstLine="0" w:firstLineChars="0"/>
        <w:outlineLvl w:val="9"/>
        <w:rPr>
          <w:rFonts w:hint="eastAsia" w:ascii="宋体" w:hAnsi="宋体" w:eastAsia="宋体" w:cs="宋体"/>
          <w:b/>
          <w:color w:val="auto"/>
          <w:kern w:val="2"/>
          <w:sz w:val="21"/>
          <w:szCs w:val="21"/>
          <w:highlight w:val="none"/>
          <w:lang w:val="zh-CN"/>
        </w:rPr>
      </w:pPr>
    </w:p>
    <w:p w14:paraId="5E092EFD">
      <w:pPr>
        <w:autoSpaceDE/>
        <w:autoSpaceDN/>
        <w:adjustRightInd/>
        <w:spacing w:line="360" w:lineRule="auto"/>
        <w:ind w:firstLine="3780" w:firstLineChars="180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60696BA4">
      <w:pPr>
        <w:autoSpaceDE w:val="0"/>
        <w:autoSpaceDN w:val="0"/>
        <w:adjustRightInd w:val="0"/>
        <w:spacing w:line="360" w:lineRule="auto"/>
        <w:ind w:firstLine="3780" w:firstLineChars="1800"/>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51102691">
      <w:pPr>
        <w:autoSpaceDE w:val="0"/>
        <w:autoSpaceDN w:val="0"/>
        <w:adjustRightInd w:val="0"/>
        <w:spacing w:line="360" w:lineRule="auto"/>
        <w:jc w:val="center"/>
        <w:rPr>
          <w:rFonts w:hint="eastAsia" w:ascii="宋体" w:hAnsi="宋体" w:eastAsia="宋体" w:cs="宋体"/>
          <w:b/>
          <w:bCs/>
          <w:color w:val="auto"/>
          <w:szCs w:val="24"/>
          <w:highlight w:val="none"/>
          <w:lang w:val="zh-CN"/>
        </w:rPr>
      </w:pPr>
    </w:p>
    <w:p w14:paraId="742C0B50">
      <w:pPr>
        <w:autoSpaceDE w:val="0"/>
        <w:autoSpaceDN w:val="0"/>
        <w:adjustRightInd w:val="0"/>
        <w:spacing w:line="360" w:lineRule="auto"/>
        <w:jc w:val="center"/>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说明：由投标人使用投标人的企业数字证书电子签名。</w:t>
      </w:r>
    </w:p>
    <w:p w14:paraId="1CEE5DF0">
      <w:pPr>
        <w:rPr>
          <w:rFonts w:hint="eastAsia" w:ascii="宋体" w:hAnsi="宋体" w:eastAsia="宋体" w:cs="宋体"/>
          <w:b/>
          <w:color w:val="auto"/>
          <w:kern w:val="0"/>
          <w:sz w:val="30"/>
          <w:szCs w:val="30"/>
          <w:highlight w:val="none"/>
          <w:lang w:val="en-US" w:eastAsia="zh-CN"/>
        </w:rPr>
      </w:pPr>
      <w:bookmarkStart w:id="870" w:name="_Toc8121"/>
      <w:bookmarkStart w:id="871" w:name="_Toc21843"/>
      <w:bookmarkStart w:id="872" w:name="_Toc15489"/>
      <w:bookmarkStart w:id="873" w:name="_Toc7508"/>
      <w:r>
        <w:rPr>
          <w:rFonts w:hint="eastAsia" w:ascii="宋体" w:hAnsi="宋体" w:eastAsia="宋体" w:cs="宋体"/>
          <w:b/>
          <w:color w:val="auto"/>
          <w:kern w:val="0"/>
          <w:sz w:val="30"/>
          <w:szCs w:val="30"/>
          <w:highlight w:val="none"/>
          <w:lang w:val="en-US" w:eastAsia="zh-CN"/>
        </w:rPr>
        <w:br w:type="page"/>
      </w:r>
    </w:p>
    <w:p w14:paraId="0D3C50C8">
      <w:pPr>
        <w:tabs>
          <w:tab w:val="left" w:pos="567"/>
        </w:tabs>
        <w:autoSpaceDE w:val="0"/>
        <w:autoSpaceDN w:val="0"/>
        <w:adjustRightInd w:val="0"/>
        <w:spacing w:line="360" w:lineRule="auto"/>
        <w:jc w:val="left"/>
        <w:outlineLvl w:val="2"/>
        <w:rPr>
          <w:rFonts w:hint="eastAsia" w:ascii="宋体" w:hAnsi="宋体" w:eastAsia="宋体" w:cs="宋体"/>
          <w:b/>
          <w:bCs/>
          <w:color w:val="auto"/>
          <w:sz w:val="32"/>
          <w:szCs w:val="32"/>
          <w:highlight w:val="none"/>
          <w:lang w:val="zh-CN"/>
        </w:rPr>
      </w:pPr>
      <w:r>
        <w:rPr>
          <w:rFonts w:hint="eastAsia" w:ascii="宋体" w:hAnsi="宋体" w:eastAsia="宋体" w:cs="宋体"/>
          <w:b/>
          <w:color w:val="auto"/>
          <w:kern w:val="0"/>
          <w:sz w:val="30"/>
          <w:szCs w:val="30"/>
          <w:highlight w:val="none"/>
          <w:lang w:val="en-US" w:eastAsia="zh-CN"/>
        </w:rPr>
        <w:t xml:space="preserve">5.5 </w:t>
      </w:r>
      <w:r>
        <w:rPr>
          <w:rFonts w:hint="eastAsia" w:ascii="宋体" w:hAnsi="宋体" w:eastAsia="宋体" w:cs="宋体"/>
          <w:b/>
          <w:color w:val="auto"/>
          <w:kern w:val="0"/>
          <w:sz w:val="30"/>
          <w:szCs w:val="30"/>
          <w:highlight w:val="none"/>
        </w:rPr>
        <w:t>最近3年投标人牵涉的其他（失信和违法）处罚说明格式</w:t>
      </w:r>
      <w:bookmarkEnd w:id="863"/>
      <w:bookmarkEnd w:id="864"/>
      <w:bookmarkEnd w:id="865"/>
      <w:bookmarkEnd w:id="866"/>
      <w:bookmarkEnd w:id="867"/>
      <w:bookmarkEnd w:id="870"/>
      <w:bookmarkEnd w:id="871"/>
      <w:bookmarkEnd w:id="872"/>
      <w:bookmarkEnd w:id="873"/>
    </w:p>
    <w:p w14:paraId="2012BCBE">
      <w:pPr>
        <w:autoSpaceDE w:val="0"/>
        <w:autoSpaceDN w:val="0"/>
        <w:adjustRightInd w:val="0"/>
        <w:spacing w:line="360" w:lineRule="auto"/>
        <w:jc w:val="center"/>
        <w:outlineLvl w:val="9"/>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329DE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577D6023">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14:paraId="31C834CC">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14:paraId="1FF5E7F9">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14:paraId="36188D31">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30179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494A61D8">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14:paraId="65529F05">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268" w:type="dxa"/>
            <w:vAlign w:val="center"/>
          </w:tcPr>
          <w:p w14:paraId="676EEAFE">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276" w:type="dxa"/>
            <w:vAlign w:val="center"/>
          </w:tcPr>
          <w:p w14:paraId="1E946EAF">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562A1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1C357F5A">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14:paraId="0C493C4E">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268" w:type="dxa"/>
            <w:vAlign w:val="center"/>
          </w:tcPr>
          <w:p w14:paraId="2C2B9352">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276" w:type="dxa"/>
            <w:vAlign w:val="center"/>
          </w:tcPr>
          <w:p w14:paraId="65D57383">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371F0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17DEB922">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w:t>
            </w:r>
            <w:r>
              <w:rPr>
                <w:rFonts w:hint="eastAsia" w:ascii="宋体" w:hAnsi="宋体" w:eastAsia="宋体" w:cs="宋体"/>
                <w:color w:val="auto"/>
                <w:kern w:val="0"/>
                <w:szCs w:val="21"/>
                <w:highlight w:val="none"/>
                <w:lang w:val="en-US" w:eastAsia="zh-CN"/>
              </w:rPr>
              <w:t>政府采购</w:t>
            </w:r>
            <w:r>
              <w:rPr>
                <w:rFonts w:hint="eastAsia" w:ascii="宋体" w:hAnsi="宋体" w:eastAsia="宋体" w:cs="宋体"/>
                <w:color w:val="auto"/>
                <w:kern w:val="0"/>
                <w:szCs w:val="21"/>
                <w:highlight w:val="none"/>
              </w:rPr>
              <w:t>严重违法失信行为记录名单</w:t>
            </w:r>
          </w:p>
        </w:tc>
        <w:tc>
          <w:tcPr>
            <w:tcW w:w="1417" w:type="dxa"/>
            <w:vAlign w:val="center"/>
          </w:tcPr>
          <w:p w14:paraId="037B7021">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268" w:type="dxa"/>
            <w:vAlign w:val="center"/>
          </w:tcPr>
          <w:p w14:paraId="6A7B861C">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276" w:type="dxa"/>
            <w:vAlign w:val="center"/>
          </w:tcPr>
          <w:p w14:paraId="09CE688E">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bl>
    <w:p w14:paraId="38FFCE98">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p>
    <w:p w14:paraId="0A32FD30">
      <w:pPr>
        <w:autoSpaceDE w:val="0"/>
        <w:autoSpaceDN w:val="0"/>
        <w:adjustRightInd w:val="0"/>
        <w:spacing w:line="360" w:lineRule="auto"/>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w:t>
      </w:r>
      <w:r>
        <w:rPr>
          <w:rFonts w:hint="eastAsia" w:ascii="宋体" w:hAnsi="宋体" w:eastAsia="宋体" w:cs="宋体"/>
          <w:color w:val="auto"/>
          <w:kern w:val="0"/>
          <w:szCs w:val="21"/>
          <w:highlight w:val="none"/>
          <w:lang w:eastAsia="zh-CN"/>
        </w:rPr>
        <w:t>扫描件</w:t>
      </w:r>
      <w:r>
        <w:rPr>
          <w:rFonts w:hint="eastAsia" w:ascii="宋体" w:hAnsi="宋体" w:eastAsia="宋体" w:cs="宋体"/>
          <w:color w:val="auto"/>
          <w:kern w:val="0"/>
          <w:szCs w:val="21"/>
          <w:highlight w:val="none"/>
        </w:rPr>
        <w:t>；若出现相关处罚的处罚期满,但处罚公示没有及时更新的情况,投标人须提供相关材料(</w:t>
      </w:r>
      <w:r>
        <w:rPr>
          <w:rFonts w:hint="eastAsia" w:ascii="宋体" w:hAnsi="宋体" w:eastAsia="宋体" w:cs="宋体"/>
          <w:color w:val="auto"/>
          <w:kern w:val="0"/>
          <w:szCs w:val="21"/>
          <w:highlight w:val="none"/>
          <w:lang w:eastAsia="zh-CN"/>
        </w:rPr>
        <w:t>扫描件</w:t>
      </w:r>
      <w:r>
        <w:rPr>
          <w:rFonts w:hint="eastAsia" w:ascii="宋体" w:hAnsi="宋体" w:eastAsia="宋体" w:cs="宋体"/>
          <w:color w:val="auto"/>
          <w:kern w:val="0"/>
          <w:szCs w:val="21"/>
          <w:highlight w:val="none"/>
        </w:rPr>
        <w:t>)佐证，需原件备查</w:t>
      </w:r>
      <w:r>
        <w:rPr>
          <w:rFonts w:hint="eastAsia" w:ascii="宋体" w:hAnsi="宋体" w:eastAsia="宋体" w:cs="宋体"/>
          <w:color w:val="auto"/>
          <w:szCs w:val="21"/>
          <w:highlight w:val="none"/>
          <w:lang w:val="zh-CN"/>
        </w:rPr>
        <w:t>。</w:t>
      </w:r>
    </w:p>
    <w:p w14:paraId="79F97BAF">
      <w:pPr>
        <w:autoSpaceDE w:val="0"/>
        <w:autoSpaceDN w:val="0"/>
        <w:adjustRightInd w:val="0"/>
        <w:ind w:right="-23" w:rightChars="-11"/>
        <w:jc w:val="left"/>
        <w:outlineLvl w:val="9"/>
        <w:rPr>
          <w:rFonts w:hint="eastAsia" w:ascii="宋体" w:hAnsi="宋体" w:eastAsia="宋体" w:cs="宋体"/>
          <w:b/>
          <w:bCs/>
          <w:color w:val="auto"/>
          <w:kern w:val="0"/>
          <w:szCs w:val="21"/>
          <w:highlight w:val="none"/>
          <w:lang w:val="zh-CN"/>
        </w:rPr>
      </w:pPr>
    </w:p>
    <w:p w14:paraId="2B9B5DD8">
      <w:pPr>
        <w:autoSpaceDE w:val="0"/>
        <w:autoSpaceDN w:val="0"/>
        <w:adjustRightInd w:val="0"/>
        <w:spacing w:line="360" w:lineRule="auto"/>
        <w:jc w:val="center"/>
        <w:outlineLvl w:val="9"/>
        <w:rPr>
          <w:rFonts w:hint="eastAsia" w:ascii="宋体" w:hAnsi="宋体" w:eastAsia="宋体" w:cs="宋体"/>
          <w:color w:val="auto"/>
          <w:kern w:val="0"/>
          <w:sz w:val="24"/>
          <w:szCs w:val="24"/>
          <w:highlight w:val="none"/>
        </w:rPr>
      </w:pPr>
    </w:p>
    <w:p w14:paraId="37BF4CD0">
      <w:pPr>
        <w:spacing w:line="360" w:lineRule="auto"/>
        <w:ind w:firstLine="494" w:firstLineChars="206"/>
        <w:outlineLvl w:val="9"/>
        <w:rPr>
          <w:rFonts w:hint="eastAsia" w:ascii="宋体" w:hAnsi="宋体" w:eastAsia="宋体" w:cs="宋体"/>
          <w:color w:val="auto"/>
          <w:kern w:val="0"/>
          <w:sz w:val="24"/>
          <w:szCs w:val="24"/>
          <w:highlight w:val="none"/>
        </w:rPr>
      </w:pPr>
    </w:p>
    <w:p w14:paraId="394A73CD">
      <w:pPr>
        <w:spacing w:line="360" w:lineRule="auto"/>
        <w:ind w:firstLine="494" w:firstLineChars="206"/>
        <w:outlineLvl w:val="9"/>
        <w:rPr>
          <w:rFonts w:hint="eastAsia" w:ascii="宋体" w:hAnsi="宋体" w:eastAsia="宋体" w:cs="宋体"/>
          <w:color w:val="auto"/>
          <w:kern w:val="0"/>
          <w:sz w:val="24"/>
          <w:szCs w:val="24"/>
          <w:highlight w:val="none"/>
        </w:rPr>
      </w:pPr>
    </w:p>
    <w:p w14:paraId="4C92DCD4">
      <w:pPr>
        <w:spacing w:line="360" w:lineRule="auto"/>
        <w:ind w:firstLine="494" w:firstLineChars="206"/>
        <w:outlineLvl w:val="9"/>
        <w:rPr>
          <w:rFonts w:hint="eastAsia" w:ascii="宋体" w:hAnsi="宋体" w:eastAsia="宋体" w:cs="宋体"/>
          <w:color w:val="auto"/>
          <w:kern w:val="0"/>
          <w:sz w:val="24"/>
          <w:szCs w:val="24"/>
          <w:highlight w:val="none"/>
        </w:rPr>
      </w:pPr>
    </w:p>
    <w:p w14:paraId="11BE9AD4">
      <w:pPr>
        <w:autoSpaceDE w:val="0"/>
        <w:autoSpaceDN w:val="0"/>
        <w:adjustRightInd w:val="0"/>
        <w:spacing w:line="360" w:lineRule="auto"/>
        <w:ind w:firstLine="3780" w:firstLineChars="1800"/>
        <w:rPr>
          <w:rFonts w:hint="eastAsia" w:ascii="宋体" w:hAnsi="宋体" w:eastAsia="宋体" w:cs="宋体"/>
          <w:color w:val="auto"/>
          <w:szCs w:val="21"/>
          <w:highlight w:val="none"/>
          <w:lang w:val="zh-CN"/>
        </w:rPr>
      </w:pPr>
      <w:bookmarkStart w:id="874" w:name="_Toc104991881"/>
      <w:bookmarkStart w:id="875" w:name="_Toc102860423"/>
      <w:bookmarkStart w:id="876" w:name="_Toc486167714"/>
      <w:bookmarkStart w:id="877" w:name="_Toc1977731"/>
      <w:bookmarkStart w:id="878" w:name="_Toc533708126"/>
      <w:bookmarkStart w:id="879" w:name="_Toc140596934"/>
      <w:bookmarkStart w:id="880" w:name="_Toc102860079"/>
      <w:bookmarkStart w:id="881" w:name="_Toc6412"/>
      <w:bookmarkStart w:id="882" w:name="_Toc2031_WPSOffice_Level2"/>
      <w:bookmarkStart w:id="883" w:name="_Toc30939"/>
      <w:bookmarkStart w:id="884" w:name="_Toc94107215"/>
      <w:bookmarkStart w:id="885" w:name="_Toc142508374"/>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3179698F">
      <w:pPr>
        <w:autoSpaceDE w:val="0"/>
        <w:autoSpaceDN w:val="0"/>
        <w:adjustRightInd w:val="0"/>
        <w:spacing w:line="360" w:lineRule="auto"/>
        <w:ind w:firstLine="3780" w:firstLineChars="1800"/>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4439BD57">
      <w:pPr>
        <w:autoSpaceDE w:val="0"/>
        <w:autoSpaceDN w:val="0"/>
        <w:adjustRightInd w:val="0"/>
        <w:spacing w:line="360" w:lineRule="auto"/>
        <w:jc w:val="center"/>
        <w:rPr>
          <w:rFonts w:hint="eastAsia" w:ascii="宋体" w:hAnsi="宋体" w:eastAsia="宋体" w:cs="宋体"/>
          <w:b/>
          <w:bCs/>
          <w:color w:val="auto"/>
          <w:szCs w:val="24"/>
          <w:highlight w:val="none"/>
          <w:lang w:val="zh-CN"/>
        </w:rPr>
      </w:pPr>
    </w:p>
    <w:p w14:paraId="5ACC3D99">
      <w:pPr>
        <w:autoSpaceDE w:val="0"/>
        <w:autoSpaceDN w:val="0"/>
        <w:adjustRightInd w:val="0"/>
        <w:spacing w:line="360" w:lineRule="auto"/>
        <w:jc w:val="center"/>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说明：由投标人使用投标人的企业数字证书电子签名。</w:t>
      </w:r>
    </w:p>
    <w:p w14:paraId="3474491F">
      <w:pPr>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br w:type="page"/>
      </w:r>
    </w:p>
    <w:p w14:paraId="166F013C">
      <w:pPr>
        <w:tabs>
          <w:tab w:val="left" w:pos="567"/>
        </w:tabs>
        <w:autoSpaceDE w:val="0"/>
        <w:autoSpaceDN w:val="0"/>
        <w:adjustRightInd w:val="0"/>
        <w:spacing w:line="360" w:lineRule="auto"/>
        <w:jc w:val="left"/>
        <w:outlineLvl w:val="1"/>
        <w:rPr>
          <w:rFonts w:hint="eastAsia" w:ascii="宋体" w:hAnsi="宋体" w:eastAsia="宋体" w:cs="宋体"/>
          <w:color w:val="auto"/>
          <w:kern w:val="0"/>
          <w:szCs w:val="21"/>
          <w:highlight w:val="none"/>
          <w:u w:val="single"/>
        </w:rPr>
      </w:pPr>
      <w:bookmarkStart w:id="886" w:name="_Toc17508"/>
      <w:bookmarkStart w:id="887" w:name="_Toc19796"/>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kern w:val="0"/>
          <w:sz w:val="32"/>
          <w:szCs w:val="32"/>
          <w:highlight w:val="none"/>
        </w:rPr>
        <w:t>、投标人基本情况一览表</w:t>
      </w:r>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p>
    <w:p w14:paraId="6C1542E5">
      <w:pPr>
        <w:autoSpaceDE w:val="0"/>
        <w:autoSpaceDN w:val="0"/>
        <w:adjustRightInd w:val="0"/>
        <w:spacing w:line="360" w:lineRule="auto"/>
        <w:jc w:val="center"/>
        <w:outlineLvl w:val="9"/>
        <w:rPr>
          <w:rFonts w:hint="eastAsia" w:ascii="宋体" w:hAnsi="宋体" w:eastAsia="宋体" w:cs="宋体"/>
          <w:b/>
          <w:bCs/>
          <w:color w:val="auto"/>
          <w:sz w:val="30"/>
          <w:szCs w:val="30"/>
          <w:highlight w:val="none"/>
        </w:rPr>
      </w:pPr>
      <w:bookmarkStart w:id="888" w:name="_Toc2773_WPSOffice_Level3"/>
      <w:r>
        <w:rPr>
          <w:rFonts w:hint="eastAsia" w:ascii="宋体" w:hAnsi="宋体" w:eastAsia="宋体" w:cs="宋体"/>
          <w:b/>
          <w:bCs/>
          <w:color w:val="auto"/>
          <w:sz w:val="30"/>
          <w:szCs w:val="30"/>
          <w:highlight w:val="none"/>
          <w:lang w:val="zh-CN"/>
        </w:rPr>
        <w:t>投标人基本情况一览表</w:t>
      </w:r>
      <w:bookmarkEnd w:id="888"/>
    </w:p>
    <w:p w14:paraId="615673A3">
      <w:pPr>
        <w:autoSpaceDE w:val="0"/>
        <w:autoSpaceDN w:val="0"/>
        <w:adjustRightInd w:val="0"/>
        <w:spacing w:line="360" w:lineRule="auto"/>
        <w:ind w:firstLine="42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14:paraId="1C87983A">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14:paraId="04DD4027">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14:paraId="15DA2E27">
      <w:pPr>
        <w:autoSpaceDE w:val="0"/>
        <w:autoSpaceDN w:val="0"/>
        <w:adjustRightInd w:val="0"/>
        <w:spacing w:line="360" w:lineRule="auto"/>
        <w:ind w:firstLine="66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14:paraId="7D882369">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14:paraId="087776A7">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14:paraId="1819577F">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14:paraId="61A713E6">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 ____</w:t>
      </w:r>
    </w:p>
    <w:p w14:paraId="31E2F64D">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14:paraId="1B27C3FC">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14:paraId="6FCB69AC">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14:paraId="0A9EB448">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14:paraId="68D714A9">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14:paraId="5192709C">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14:paraId="2C9B744A">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14:paraId="04E8D776">
      <w:pPr>
        <w:autoSpaceDE w:val="0"/>
        <w:autoSpaceDN w:val="0"/>
        <w:adjustRightInd w:val="0"/>
        <w:spacing w:line="360" w:lineRule="auto"/>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14:paraId="2755BE4E">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14:paraId="080B2272">
      <w:pPr>
        <w:autoSpaceDE w:val="0"/>
        <w:autoSpaceDN w:val="0"/>
        <w:adjustRightInd w:val="0"/>
        <w:spacing w:line="360" w:lineRule="auto"/>
        <w:ind w:firstLine="630" w:firstLineChars="3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14:paraId="1AA184C1">
      <w:pPr>
        <w:autoSpaceDE w:val="0"/>
        <w:autoSpaceDN w:val="0"/>
        <w:adjustRightInd w:val="0"/>
        <w:spacing w:line="360" w:lineRule="auto"/>
        <w:ind w:firstLine="1155" w:firstLineChars="55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2EB01685">
      <w:pPr>
        <w:autoSpaceDE w:val="0"/>
        <w:autoSpaceDN w:val="0"/>
        <w:adjustRightInd w:val="0"/>
        <w:spacing w:line="360" w:lineRule="auto"/>
        <w:ind w:firstLine="630" w:firstLineChars="3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14:paraId="68B0CB63">
      <w:pPr>
        <w:autoSpaceDE w:val="0"/>
        <w:autoSpaceDN w:val="0"/>
        <w:adjustRightInd w:val="0"/>
        <w:spacing w:line="360" w:lineRule="auto"/>
        <w:ind w:firstLine="1155" w:firstLineChars="55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single"/>
          <w:lang w:val="zh-CN"/>
        </w:rPr>
        <w:t xml:space="preserve">__ </w:t>
      </w:r>
    </w:p>
    <w:p w14:paraId="74615867">
      <w:pPr>
        <w:autoSpaceDE w:val="0"/>
        <w:autoSpaceDN w:val="0"/>
        <w:adjustRightInd w:val="0"/>
        <w:spacing w:line="360" w:lineRule="auto"/>
        <w:ind w:left="836" w:leftChars="137" w:hanging="548" w:hangingChars="261"/>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（3）东莞市内设有分支机构情况介绍[应提供该分支机构的多证合一营业执照扫描件等证明材料]（若无前述分支机构的无需介绍）。</w:t>
      </w:r>
    </w:p>
    <w:p w14:paraId="7C224EA9">
      <w:pPr>
        <w:autoSpaceDE w:val="0"/>
        <w:autoSpaceDN w:val="0"/>
        <w:adjustRightInd w:val="0"/>
        <w:spacing w:line="360" w:lineRule="auto"/>
        <w:ind w:firstLine="420" w:firstLineChars="2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14:paraId="71FD8D7B">
      <w:pPr>
        <w:autoSpaceDE w:val="0"/>
        <w:autoSpaceDN w:val="0"/>
        <w:adjustRightInd w:val="0"/>
        <w:spacing w:line="360" w:lineRule="auto"/>
        <w:ind w:firstLine="420" w:firstLineChars="200"/>
        <w:outlineLvl w:val="9"/>
        <w:rPr>
          <w:rFonts w:hint="eastAsia" w:ascii="宋体" w:hAnsi="宋体" w:eastAsia="宋体" w:cs="宋体"/>
          <w:color w:val="auto"/>
          <w:szCs w:val="24"/>
          <w:highlight w:val="none"/>
        </w:rPr>
      </w:pPr>
    </w:p>
    <w:p w14:paraId="092BCF99">
      <w:pPr>
        <w:autoSpaceDE w:val="0"/>
        <w:autoSpaceDN w:val="0"/>
        <w:adjustRightInd w:val="0"/>
        <w:spacing w:line="360" w:lineRule="auto"/>
        <w:ind w:firstLine="3780" w:firstLineChars="18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595A2FF5">
      <w:pPr>
        <w:autoSpaceDE w:val="0"/>
        <w:autoSpaceDN w:val="0"/>
        <w:adjustRightInd w:val="0"/>
        <w:spacing w:line="360" w:lineRule="auto"/>
        <w:ind w:firstLine="3780" w:firstLineChars="1800"/>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5E09F64A">
      <w:pPr>
        <w:autoSpaceDE w:val="0"/>
        <w:autoSpaceDN w:val="0"/>
        <w:adjustRightInd w:val="0"/>
        <w:spacing w:line="360" w:lineRule="auto"/>
        <w:jc w:val="center"/>
        <w:rPr>
          <w:rFonts w:hint="eastAsia" w:ascii="宋体" w:hAnsi="宋体" w:eastAsia="宋体" w:cs="宋体"/>
          <w:b/>
          <w:bCs/>
          <w:color w:val="auto"/>
          <w:szCs w:val="24"/>
          <w:highlight w:val="none"/>
          <w:lang w:val="zh-CN"/>
        </w:rPr>
      </w:pPr>
    </w:p>
    <w:p w14:paraId="37B2CF9B">
      <w:pPr>
        <w:autoSpaceDE w:val="0"/>
        <w:autoSpaceDN w:val="0"/>
        <w:adjustRightInd w:val="0"/>
        <w:spacing w:line="360" w:lineRule="auto"/>
        <w:jc w:val="center"/>
        <w:rPr>
          <w:rFonts w:hint="eastAsia" w:ascii="宋体" w:hAnsi="宋体" w:eastAsia="宋体" w:cs="宋体"/>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说明：由投标人使用投标人的企业数字证书电子签名。</w:t>
      </w:r>
    </w:p>
    <w:p w14:paraId="391DC663">
      <w:pPr>
        <w:tabs>
          <w:tab w:val="left" w:pos="567"/>
        </w:tabs>
        <w:autoSpaceDE w:val="0"/>
        <w:autoSpaceDN w:val="0"/>
        <w:adjustRightInd w:val="0"/>
        <w:spacing w:line="360" w:lineRule="auto"/>
        <w:ind w:left="357" w:leftChars="-100" w:hanging="567"/>
        <w:jc w:val="left"/>
        <w:outlineLvl w:val="1"/>
        <w:rPr>
          <w:rFonts w:hint="eastAsia"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889" w:name="_Toc1605"/>
      <w:bookmarkStart w:id="890" w:name="_Toc10443"/>
      <w:bookmarkStart w:id="891" w:name="_Toc94107216"/>
      <w:bookmarkStart w:id="892" w:name="_Toc29014"/>
      <w:bookmarkStart w:id="893" w:name="_Toc142508375"/>
      <w:bookmarkStart w:id="894" w:name="_Toc102860424"/>
      <w:bookmarkStart w:id="895" w:name="_Toc4023"/>
      <w:bookmarkStart w:id="896" w:name="_Toc140596935"/>
      <w:bookmarkStart w:id="897" w:name="_Toc104991882"/>
      <w:bookmarkStart w:id="898" w:name="_Toc102860080"/>
      <w:bookmarkStart w:id="899" w:name="_Toc486167715"/>
      <w:bookmarkStart w:id="900" w:name="_Toc9051_WPSOffice_Level2"/>
      <w:bookmarkStart w:id="901" w:name="_Toc533708128"/>
      <w:bookmarkStart w:id="902" w:name="_Toc1977733"/>
      <w:r>
        <w:rPr>
          <w:rFonts w:hint="eastAsia" w:ascii="宋体" w:hAnsi="宋体" w:eastAsia="宋体" w:cs="宋体"/>
          <w:b/>
          <w:color w:val="auto"/>
          <w:sz w:val="32"/>
          <w:szCs w:val="32"/>
          <w:highlight w:val="none"/>
          <w:lang w:val="en-US" w:eastAsia="zh-CN"/>
        </w:rPr>
        <w:t>七</w:t>
      </w:r>
      <w:r>
        <w:rPr>
          <w:rFonts w:hint="eastAsia" w:ascii="宋体" w:hAnsi="宋体" w:eastAsia="宋体" w:cs="宋体"/>
          <w:b/>
          <w:color w:val="auto"/>
          <w:sz w:val="32"/>
          <w:szCs w:val="32"/>
          <w:highlight w:val="none"/>
          <w:lang w:val="zh-CN"/>
        </w:rPr>
        <w:t>、投标人财务状况表格式</w:t>
      </w:r>
      <w:bookmarkEnd w:id="889"/>
      <w:bookmarkEnd w:id="890"/>
      <w:bookmarkEnd w:id="891"/>
      <w:bookmarkEnd w:id="892"/>
      <w:bookmarkEnd w:id="893"/>
      <w:bookmarkEnd w:id="894"/>
      <w:bookmarkEnd w:id="895"/>
      <w:bookmarkEnd w:id="896"/>
      <w:bookmarkEnd w:id="897"/>
      <w:bookmarkEnd w:id="898"/>
    </w:p>
    <w:p w14:paraId="61283F68">
      <w:pPr>
        <w:autoSpaceDE w:val="0"/>
        <w:autoSpaceDN w:val="0"/>
        <w:adjustRightInd w:val="0"/>
        <w:spacing w:line="360" w:lineRule="auto"/>
        <w:jc w:val="center"/>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14:paraId="7C703577">
      <w:pPr>
        <w:autoSpaceDE w:val="0"/>
        <w:autoSpaceDN w:val="0"/>
        <w:adjustRightInd w:val="0"/>
        <w:spacing w:line="360" w:lineRule="auto"/>
        <w:jc w:val="righ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4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678876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2A536617">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14:paraId="29C6A96A">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14:paraId="276F623E">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14:paraId="55CB3FF5">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14:paraId="7DB9A891">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14:paraId="1AC3EE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03BB6E39">
            <w:pPr>
              <w:autoSpaceDE w:val="0"/>
              <w:autoSpaceDN w:val="0"/>
              <w:adjustRightInd w:val="0"/>
              <w:spacing w:line="360" w:lineRule="auto"/>
              <w:jc w:val="center"/>
              <w:outlineLvl w:val="9"/>
              <w:rPr>
                <w:rFonts w:hint="eastAsia"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eastAsia="zh-CN"/>
              </w:rPr>
              <w:t>2022</w:t>
            </w:r>
          </w:p>
        </w:tc>
        <w:tc>
          <w:tcPr>
            <w:tcW w:w="1944" w:type="dxa"/>
            <w:vAlign w:val="center"/>
          </w:tcPr>
          <w:p w14:paraId="22F585EC">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946" w:type="dxa"/>
            <w:vAlign w:val="center"/>
          </w:tcPr>
          <w:p w14:paraId="18CAE718">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713" w:type="dxa"/>
            <w:vAlign w:val="center"/>
          </w:tcPr>
          <w:p w14:paraId="1EA6F633">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060" w:type="dxa"/>
            <w:vAlign w:val="center"/>
          </w:tcPr>
          <w:p w14:paraId="4CAB6063">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3FA5D8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787AAB4A">
            <w:pPr>
              <w:autoSpaceDE w:val="0"/>
              <w:autoSpaceDN w:val="0"/>
              <w:adjustRightInd w:val="0"/>
              <w:spacing w:line="360" w:lineRule="auto"/>
              <w:jc w:val="center"/>
              <w:outlineLvl w:val="9"/>
              <w:rPr>
                <w:rFonts w:hint="eastAsia"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eastAsia="zh-CN"/>
              </w:rPr>
              <w:t>2023</w:t>
            </w:r>
          </w:p>
        </w:tc>
        <w:tc>
          <w:tcPr>
            <w:tcW w:w="1944" w:type="dxa"/>
            <w:vAlign w:val="center"/>
          </w:tcPr>
          <w:p w14:paraId="7024DE7F">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946" w:type="dxa"/>
            <w:vAlign w:val="center"/>
          </w:tcPr>
          <w:p w14:paraId="6420D0E2">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713" w:type="dxa"/>
          </w:tcPr>
          <w:p w14:paraId="5197D03B">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060" w:type="dxa"/>
            <w:vAlign w:val="center"/>
          </w:tcPr>
          <w:p w14:paraId="213B2980">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123ED6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3EC6D276">
            <w:pPr>
              <w:autoSpaceDE w:val="0"/>
              <w:autoSpaceDN w:val="0"/>
              <w:adjustRightInd w:val="0"/>
              <w:spacing w:line="360" w:lineRule="auto"/>
              <w:jc w:val="center"/>
              <w:outlineLvl w:val="9"/>
              <w:rPr>
                <w:rFonts w:hint="eastAsia"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eastAsia="zh-CN"/>
              </w:rPr>
              <w:t>2024</w:t>
            </w:r>
          </w:p>
        </w:tc>
        <w:tc>
          <w:tcPr>
            <w:tcW w:w="1944" w:type="dxa"/>
            <w:vAlign w:val="center"/>
          </w:tcPr>
          <w:p w14:paraId="5D8B7562">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946" w:type="dxa"/>
            <w:vAlign w:val="center"/>
          </w:tcPr>
          <w:p w14:paraId="1237562C">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713" w:type="dxa"/>
          </w:tcPr>
          <w:p w14:paraId="2FCD030B">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060" w:type="dxa"/>
            <w:vAlign w:val="center"/>
          </w:tcPr>
          <w:p w14:paraId="0BD5386F">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75543E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51471D1F">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14:paraId="4CD2B7B0">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060" w:type="dxa"/>
            <w:vAlign w:val="center"/>
          </w:tcPr>
          <w:p w14:paraId="1F90CF63">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bl>
    <w:p w14:paraId="57B99374">
      <w:pPr>
        <w:spacing w:line="360" w:lineRule="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06CBA6FA">
      <w:pPr>
        <w:autoSpaceDE w:val="0"/>
        <w:autoSpaceDN w:val="0"/>
        <w:adjustRightInd w:val="0"/>
        <w:spacing w:line="360" w:lineRule="auto"/>
        <w:ind w:firstLine="5409" w:firstLineChars="2576"/>
        <w:outlineLvl w:val="9"/>
        <w:rPr>
          <w:rFonts w:hint="eastAsia" w:ascii="宋体" w:hAnsi="宋体" w:eastAsia="宋体" w:cs="宋体"/>
          <w:color w:val="auto"/>
          <w:szCs w:val="24"/>
          <w:highlight w:val="none"/>
          <w:lang w:val="zh-CN"/>
        </w:rPr>
      </w:pPr>
    </w:p>
    <w:p w14:paraId="1E73E1FD">
      <w:pPr>
        <w:autoSpaceDE w:val="0"/>
        <w:autoSpaceDN w:val="0"/>
        <w:adjustRightInd w:val="0"/>
        <w:spacing w:line="360" w:lineRule="auto"/>
        <w:ind w:firstLine="3780" w:firstLineChars="1800"/>
        <w:rPr>
          <w:rFonts w:hint="eastAsia" w:ascii="宋体" w:hAnsi="宋体" w:eastAsia="宋体" w:cs="宋体"/>
          <w:color w:val="auto"/>
          <w:szCs w:val="21"/>
          <w:highlight w:val="none"/>
          <w:lang w:val="zh-CN"/>
        </w:rPr>
      </w:pPr>
    </w:p>
    <w:p w14:paraId="72CD03FC">
      <w:pPr>
        <w:autoSpaceDE w:val="0"/>
        <w:autoSpaceDN w:val="0"/>
        <w:adjustRightInd w:val="0"/>
        <w:spacing w:line="360" w:lineRule="auto"/>
        <w:ind w:firstLine="3780" w:firstLineChars="1800"/>
        <w:rPr>
          <w:rFonts w:hint="eastAsia" w:ascii="宋体" w:hAnsi="宋体" w:eastAsia="宋体" w:cs="宋体"/>
          <w:color w:val="auto"/>
          <w:szCs w:val="21"/>
          <w:highlight w:val="none"/>
          <w:lang w:val="zh-CN"/>
        </w:rPr>
      </w:pPr>
    </w:p>
    <w:p w14:paraId="0796B05C">
      <w:pPr>
        <w:autoSpaceDE w:val="0"/>
        <w:autoSpaceDN w:val="0"/>
        <w:adjustRightInd w:val="0"/>
        <w:spacing w:line="360" w:lineRule="auto"/>
        <w:ind w:firstLine="3780" w:firstLineChars="18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6F83FAAE">
      <w:pPr>
        <w:autoSpaceDE w:val="0"/>
        <w:autoSpaceDN w:val="0"/>
        <w:adjustRightInd w:val="0"/>
        <w:spacing w:line="360" w:lineRule="auto"/>
        <w:ind w:firstLine="3780" w:firstLineChars="1800"/>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7BE6DDA2">
      <w:pPr>
        <w:autoSpaceDE w:val="0"/>
        <w:autoSpaceDN w:val="0"/>
        <w:adjustRightInd w:val="0"/>
        <w:spacing w:line="360" w:lineRule="auto"/>
        <w:jc w:val="center"/>
        <w:rPr>
          <w:rFonts w:hint="eastAsia" w:ascii="宋体" w:hAnsi="宋体" w:eastAsia="宋体" w:cs="宋体"/>
          <w:b/>
          <w:bCs/>
          <w:color w:val="auto"/>
          <w:szCs w:val="24"/>
          <w:highlight w:val="none"/>
          <w:lang w:val="zh-CN"/>
        </w:rPr>
      </w:pPr>
    </w:p>
    <w:p w14:paraId="59FC78A7">
      <w:pPr>
        <w:autoSpaceDE w:val="0"/>
        <w:autoSpaceDN w:val="0"/>
        <w:adjustRightInd w:val="0"/>
        <w:spacing w:line="360" w:lineRule="auto"/>
        <w:jc w:val="center"/>
        <w:outlineLvl w:val="9"/>
        <w:rPr>
          <w:rFonts w:hint="eastAsia" w:ascii="宋体" w:hAnsi="宋体" w:eastAsia="宋体" w:cs="宋体"/>
          <w:b/>
          <w:bCs/>
          <w:color w:val="auto"/>
          <w:kern w:val="0"/>
          <w:szCs w:val="21"/>
          <w:highlight w:val="none"/>
        </w:rPr>
        <w:sectPr>
          <w:footerReference r:id="rId15" w:type="default"/>
          <w:pgSz w:w="11907" w:h="16840"/>
          <w:pgMar w:top="1701" w:right="1418" w:bottom="851" w:left="1418" w:header="720" w:footer="720" w:gutter="0"/>
          <w:pgNumType w:fmt="decimal"/>
          <w:cols w:space="720" w:num="1"/>
          <w:docGrid w:linePitch="326" w:charSpace="0"/>
        </w:sectPr>
      </w:pPr>
      <w:r>
        <w:rPr>
          <w:rFonts w:hint="eastAsia" w:ascii="宋体" w:hAnsi="宋体" w:eastAsia="宋体" w:cs="宋体"/>
          <w:b/>
          <w:bCs/>
          <w:color w:val="auto"/>
          <w:szCs w:val="24"/>
          <w:highlight w:val="none"/>
          <w:lang w:val="zh-CN"/>
        </w:rPr>
        <w:t>说明：由投标人使用投标人的企业数字证书电子签名。</w:t>
      </w:r>
    </w:p>
    <w:bookmarkEnd w:id="899"/>
    <w:bookmarkEnd w:id="900"/>
    <w:bookmarkEnd w:id="901"/>
    <w:bookmarkEnd w:id="902"/>
    <w:p w14:paraId="2DFBB693">
      <w:pPr>
        <w:tabs>
          <w:tab w:val="left" w:pos="567"/>
        </w:tabs>
        <w:autoSpaceDE w:val="0"/>
        <w:autoSpaceDN w:val="0"/>
        <w:adjustRightInd w:val="0"/>
        <w:spacing w:line="360" w:lineRule="auto"/>
        <w:ind w:left="357" w:leftChars="-100" w:hanging="567"/>
        <w:jc w:val="left"/>
        <w:outlineLvl w:val="1"/>
        <w:rPr>
          <w:rFonts w:hint="eastAsia" w:ascii="宋体" w:hAnsi="宋体" w:eastAsia="宋体" w:cs="宋体"/>
          <w:b/>
          <w:color w:val="auto"/>
          <w:sz w:val="32"/>
          <w:szCs w:val="32"/>
          <w:highlight w:val="none"/>
          <w:lang w:val="en-US" w:eastAsia="zh-CN"/>
        </w:rPr>
      </w:pPr>
      <w:bookmarkStart w:id="903" w:name="_Toc142508376"/>
      <w:bookmarkStart w:id="904" w:name="_Toc94107217"/>
      <w:bookmarkStart w:id="905" w:name="_Toc9320"/>
      <w:bookmarkStart w:id="906" w:name="_Toc533708130"/>
      <w:bookmarkStart w:id="907" w:name="_Toc1977736"/>
      <w:bookmarkStart w:id="908" w:name="_Toc17995"/>
      <w:bookmarkStart w:id="909" w:name="_Toc486167716"/>
      <w:bookmarkStart w:id="910" w:name="_Toc333"/>
      <w:bookmarkStart w:id="911" w:name="_Toc140596936"/>
      <w:bookmarkStart w:id="912" w:name="_Toc26821"/>
      <w:bookmarkStart w:id="913" w:name="_Toc102860425"/>
      <w:bookmarkStart w:id="914" w:name="_Toc739_WPSOffice_Level2"/>
      <w:bookmarkStart w:id="915" w:name="_Toc104991883"/>
      <w:bookmarkStart w:id="916" w:name="_Toc102860081"/>
      <w:r>
        <w:rPr>
          <w:rFonts w:hint="eastAsia" w:ascii="宋体" w:hAnsi="宋体" w:eastAsia="宋体" w:cs="宋体"/>
          <w:b/>
          <w:color w:val="auto"/>
          <w:sz w:val="32"/>
          <w:szCs w:val="32"/>
          <w:highlight w:val="none"/>
          <w:lang w:val="en-US" w:eastAsia="zh-CN"/>
        </w:rPr>
        <w:t>八、标准化体系认证</w:t>
      </w:r>
    </w:p>
    <w:p w14:paraId="36CB190C">
      <w:pPr>
        <w:tabs>
          <w:tab w:val="left" w:pos="120"/>
        </w:tabs>
        <w:spacing w:before="196" w:line="356" w:lineRule="auto"/>
        <w:ind w:left="30" w:right="59" w:firstLine="410"/>
        <w:jc w:val="both"/>
        <w:rPr>
          <w:rFonts w:ascii="宋体" w:hAnsi="宋体" w:eastAsia="宋体" w:cs="宋体"/>
          <w:color w:val="auto"/>
          <w:sz w:val="21"/>
          <w:szCs w:val="21"/>
        </w:rPr>
        <w:sectPr>
          <w:headerReference r:id="rId16" w:type="default"/>
          <w:footerReference r:id="rId17" w:type="default"/>
          <w:pgSz w:w="11910" w:h="16840"/>
          <w:pgMar w:top="962" w:right="1519" w:bottom="958" w:left="1249" w:header="700" w:footer="805" w:gutter="0"/>
          <w:pgNumType w:fmt="decimal"/>
          <w:cols w:space="720" w:num="1"/>
        </w:sectPr>
      </w:pPr>
      <w:r>
        <w:rPr>
          <w:rFonts w:ascii="宋体" w:hAnsi="宋体" w:eastAsia="宋体" w:cs="宋体"/>
          <w:color w:val="auto"/>
          <w:sz w:val="21"/>
          <w:szCs w:val="21"/>
        </w:rPr>
        <w:t>备注：</w:t>
      </w:r>
      <w:r>
        <w:rPr>
          <w:rFonts w:hint="eastAsia" w:ascii="宋体" w:hAnsi="宋体" w:eastAsia="宋体" w:cs="宋体"/>
          <w:color w:val="auto"/>
          <w:sz w:val="21"/>
          <w:szCs w:val="21"/>
          <w:lang w:val="en-US" w:eastAsia="zh-CN"/>
        </w:rPr>
        <w:t>投标人应</w:t>
      </w:r>
      <w:r>
        <w:rPr>
          <w:rFonts w:hint="eastAsia" w:ascii="宋体" w:hAnsi="宋体" w:eastAsia="宋体" w:cs="宋体"/>
          <w:color w:val="auto"/>
          <w:sz w:val="21"/>
          <w:szCs w:val="21"/>
        </w:rPr>
        <w:t>提供上述有效证书</w:t>
      </w:r>
      <w:r>
        <w:rPr>
          <w:rFonts w:hint="eastAsia" w:ascii="宋体" w:hAnsi="宋体" w:eastAsia="宋体" w:cs="宋体"/>
          <w:color w:val="auto"/>
          <w:sz w:val="21"/>
          <w:szCs w:val="21"/>
          <w:lang w:eastAsia="zh-CN"/>
        </w:rPr>
        <w:t>扫描件</w:t>
      </w:r>
      <w:r>
        <w:rPr>
          <w:rFonts w:hint="eastAsia" w:ascii="宋体" w:hAnsi="宋体" w:eastAsia="宋体" w:cs="宋体"/>
          <w:color w:val="auto"/>
          <w:sz w:val="21"/>
          <w:szCs w:val="21"/>
        </w:rPr>
        <w:t>及能显示证书有效状态的全国认证认可信息公共服务平台（http://cx.cnca.cn/）查询结果凭证[凭证界面需显示有“全国认证认可信息公共服务平台”或“认证证书（需显示网址cx.cnca.cn）”]</w:t>
      </w:r>
    </w:p>
    <w:p w14:paraId="7EA62378">
      <w:pPr>
        <w:tabs>
          <w:tab w:val="left" w:pos="567"/>
        </w:tabs>
        <w:autoSpaceDE w:val="0"/>
        <w:autoSpaceDN w:val="0"/>
        <w:adjustRightInd w:val="0"/>
        <w:spacing w:line="360" w:lineRule="auto"/>
        <w:jc w:val="left"/>
        <w:outlineLvl w:val="1"/>
        <w:rPr>
          <w:rFonts w:hint="eastAsia" w:ascii="宋体" w:hAnsi="宋体" w:eastAsia="宋体" w:cs="宋体"/>
          <w:b/>
          <w:color w:val="auto"/>
          <w:kern w:val="0"/>
          <w:sz w:val="32"/>
          <w:szCs w:val="32"/>
          <w:highlight w:val="none"/>
          <w:lang w:val="zh-CN"/>
        </w:rPr>
      </w:pPr>
      <w:r>
        <w:rPr>
          <w:rFonts w:hint="eastAsia" w:ascii="宋体" w:hAnsi="宋体" w:eastAsia="宋体" w:cs="宋体"/>
          <w:b/>
          <w:color w:val="auto"/>
          <w:kern w:val="0"/>
          <w:sz w:val="32"/>
          <w:szCs w:val="32"/>
          <w:highlight w:val="none"/>
          <w:lang w:val="en-US" w:eastAsia="zh-CN"/>
        </w:rPr>
        <w:t>九</w:t>
      </w:r>
      <w:r>
        <w:rPr>
          <w:rFonts w:hint="eastAsia" w:ascii="宋体" w:hAnsi="宋体" w:eastAsia="宋体" w:cs="宋体"/>
          <w:b/>
          <w:color w:val="auto"/>
          <w:kern w:val="0"/>
          <w:sz w:val="32"/>
          <w:szCs w:val="32"/>
          <w:highlight w:val="none"/>
          <w:lang w:val="zh-CN"/>
        </w:rPr>
        <w:t>、合同条款偏离表格式</w:t>
      </w:r>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p>
    <w:p w14:paraId="4BBFD921">
      <w:pPr>
        <w:autoSpaceDE w:val="0"/>
        <w:autoSpaceDN w:val="0"/>
        <w:adjustRightInd w:val="0"/>
        <w:spacing w:line="360" w:lineRule="auto"/>
        <w:jc w:val="center"/>
        <w:outlineLvl w:val="9"/>
        <w:rPr>
          <w:rFonts w:hint="eastAsia" w:ascii="宋体" w:hAnsi="宋体" w:eastAsia="宋体" w:cs="宋体"/>
          <w:b/>
          <w:bCs/>
          <w:color w:val="auto"/>
          <w:kern w:val="0"/>
          <w:sz w:val="28"/>
          <w:szCs w:val="30"/>
          <w:highlight w:val="none"/>
          <w:lang w:val="zh-CN"/>
        </w:rPr>
      </w:pPr>
      <w:bookmarkStart w:id="917" w:name="_Toc26412_WPSOffice_Level3"/>
      <w:r>
        <w:rPr>
          <w:rFonts w:hint="eastAsia" w:ascii="宋体" w:hAnsi="宋体" w:eastAsia="宋体" w:cs="宋体"/>
          <w:b/>
          <w:bCs/>
          <w:color w:val="auto"/>
          <w:kern w:val="0"/>
          <w:sz w:val="28"/>
          <w:szCs w:val="30"/>
          <w:highlight w:val="none"/>
          <w:lang w:val="zh-CN"/>
        </w:rPr>
        <w:t>东莞市置拓投资有限公司水业大厦2026-2027年度物业管理服务采购项目合同条款偏离表</w:t>
      </w:r>
      <w:bookmarkEnd w:id="917"/>
    </w:p>
    <w:tbl>
      <w:tblPr>
        <w:tblStyle w:val="41"/>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
        <w:gridCol w:w="1326"/>
        <w:gridCol w:w="2851"/>
        <w:gridCol w:w="1248"/>
        <w:gridCol w:w="3291"/>
      </w:tblGrid>
      <w:tr w14:paraId="2F765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489" w:type="pct"/>
            <w:vMerge w:val="restart"/>
            <w:vAlign w:val="center"/>
          </w:tcPr>
          <w:p w14:paraId="445BC0BF">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2161" w:type="pct"/>
            <w:gridSpan w:val="2"/>
            <w:vAlign w:val="center"/>
          </w:tcPr>
          <w:p w14:paraId="3AE7586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2349" w:type="pct"/>
            <w:gridSpan w:val="2"/>
            <w:vAlign w:val="center"/>
          </w:tcPr>
          <w:p w14:paraId="72E12F7A">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33B06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489" w:type="pct"/>
            <w:vMerge w:val="continue"/>
            <w:vAlign w:val="center"/>
          </w:tcPr>
          <w:p w14:paraId="21F10A09">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686" w:type="pct"/>
            <w:vAlign w:val="center"/>
          </w:tcPr>
          <w:p w14:paraId="5EB2DC9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1475" w:type="pct"/>
            <w:vAlign w:val="center"/>
          </w:tcPr>
          <w:p w14:paraId="106C0680">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646" w:type="pct"/>
            <w:vAlign w:val="center"/>
          </w:tcPr>
          <w:p w14:paraId="285C0731">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1703" w:type="pct"/>
            <w:vAlign w:val="center"/>
          </w:tcPr>
          <w:p w14:paraId="3D31D98B">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0054F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9" w:type="pct"/>
            <w:vAlign w:val="center"/>
          </w:tcPr>
          <w:p w14:paraId="0C714532">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686" w:type="pct"/>
            <w:shd w:val="clear" w:color="auto" w:fill="auto"/>
            <w:vAlign w:val="center"/>
          </w:tcPr>
          <w:p w14:paraId="65ACC77E">
            <w:pPr>
              <w:autoSpaceDE w:val="0"/>
              <w:autoSpaceDN w:val="0"/>
              <w:adjustRightInd w:val="0"/>
              <w:spacing w:line="400" w:lineRule="exact"/>
              <w:jc w:val="center"/>
              <w:rPr>
                <w:rFonts w:hint="eastAsia" w:ascii="宋体" w:hAnsi="宋体" w:eastAsia="宋体" w:cs="宋体"/>
                <w:color w:val="auto"/>
                <w:kern w:val="0"/>
                <w:sz w:val="31"/>
                <w:szCs w:val="21"/>
                <w:lang w:val="en-US" w:eastAsia="zh-CN" w:bidi="ar-SA"/>
              </w:rPr>
            </w:pPr>
            <w:r>
              <w:rPr>
                <w:rFonts w:hint="eastAsia" w:ascii="宋体" w:hAnsi="宋体" w:eastAsia="宋体" w:cs="宋体"/>
                <w:color w:val="auto"/>
                <w:kern w:val="0"/>
                <w:szCs w:val="21"/>
                <w:highlight w:val="none"/>
              </w:rPr>
              <w:t>第一条</w:t>
            </w:r>
          </w:p>
        </w:tc>
        <w:tc>
          <w:tcPr>
            <w:tcW w:w="1475" w:type="pct"/>
            <w:shd w:val="clear" w:color="auto" w:fill="auto"/>
            <w:vAlign w:val="center"/>
          </w:tcPr>
          <w:p w14:paraId="006FF511">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服务内容</w:t>
            </w:r>
          </w:p>
        </w:tc>
        <w:tc>
          <w:tcPr>
            <w:tcW w:w="646" w:type="pct"/>
            <w:vAlign w:val="center"/>
          </w:tcPr>
          <w:p w14:paraId="6D5A68DA">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1703" w:type="pct"/>
            <w:vAlign w:val="center"/>
          </w:tcPr>
          <w:p w14:paraId="24D7C401">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6A8C2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9" w:type="pct"/>
            <w:vAlign w:val="center"/>
          </w:tcPr>
          <w:p w14:paraId="0140AE21">
            <w:pPr>
              <w:autoSpaceDE w:val="0"/>
              <w:autoSpaceDN w:val="0"/>
              <w:adjustRightInd w:val="0"/>
              <w:spacing w:line="400" w:lineRule="exact"/>
              <w:jc w:val="center"/>
              <w:outlineLvl w:val="9"/>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2</w:t>
            </w:r>
          </w:p>
        </w:tc>
        <w:tc>
          <w:tcPr>
            <w:tcW w:w="686" w:type="pct"/>
            <w:shd w:val="clear" w:color="auto" w:fill="auto"/>
            <w:vAlign w:val="center"/>
          </w:tcPr>
          <w:p w14:paraId="7CCCDA30">
            <w:pPr>
              <w:pStyle w:val="70"/>
              <w:snapToGrid w:val="0"/>
              <w:spacing w:line="240" w:lineRule="auto"/>
              <w:ind w:firstLine="0" w:firstLineChars="0"/>
              <w:jc w:val="center"/>
              <w:rPr>
                <w:rFonts w:hint="eastAsia" w:ascii="宋体" w:hAnsi="宋体" w:eastAsia="宋体" w:cs="宋体"/>
                <w:color w:val="auto"/>
                <w:kern w:val="0"/>
                <w:sz w:val="31"/>
                <w:szCs w:val="21"/>
                <w:lang w:val="en-US" w:eastAsia="zh-CN" w:bidi="ar-SA"/>
              </w:rPr>
            </w:pPr>
            <w:r>
              <w:rPr>
                <w:rFonts w:hint="eastAsia" w:ascii="宋体" w:eastAsia="宋体"/>
                <w:color w:val="auto"/>
                <w:sz w:val="21"/>
                <w:szCs w:val="21"/>
                <w:highlight w:val="none"/>
              </w:rPr>
              <w:t>第二条</w:t>
            </w:r>
          </w:p>
        </w:tc>
        <w:tc>
          <w:tcPr>
            <w:tcW w:w="1475" w:type="pct"/>
            <w:shd w:val="clear" w:color="auto" w:fill="auto"/>
            <w:vAlign w:val="center"/>
          </w:tcPr>
          <w:p w14:paraId="70E1CB0C">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服务期限</w:t>
            </w:r>
          </w:p>
        </w:tc>
        <w:tc>
          <w:tcPr>
            <w:tcW w:w="646" w:type="pct"/>
            <w:vAlign w:val="center"/>
          </w:tcPr>
          <w:p w14:paraId="01318986">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1703" w:type="pct"/>
            <w:vAlign w:val="center"/>
          </w:tcPr>
          <w:p w14:paraId="48FC0D4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3AC2B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9" w:type="pct"/>
            <w:vAlign w:val="center"/>
          </w:tcPr>
          <w:p w14:paraId="4099B8C6">
            <w:pPr>
              <w:autoSpaceDE w:val="0"/>
              <w:autoSpaceDN w:val="0"/>
              <w:adjustRightInd w:val="0"/>
              <w:spacing w:line="400" w:lineRule="exact"/>
              <w:jc w:val="center"/>
              <w:outlineLvl w:val="9"/>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3</w:t>
            </w:r>
          </w:p>
        </w:tc>
        <w:tc>
          <w:tcPr>
            <w:tcW w:w="686" w:type="pct"/>
            <w:shd w:val="clear" w:color="auto" w:fill="auto"/>
            <w:vAlign w:val="center"/>
          </w:tcPr>
          <w:p w14:paraId="4C2E7C60">
            <w:pPr>
              <w:pStyle w:val="70"/>
              <w:snapToGrid w:val="0"/>
              <w:spacing w:line="240" w:lineRule="auto"/>
              <w:ind w:firstLine="0" w:firstLineChars="0"/>
              <w:jc w:val="center"/>
              <w:rPr>
                <w:rFonts w:hint="eastAsia" w:ascii="宋体" w:hAnsi="宋体" w:eastAsia="宋体" w:cs="宋体"/>
                <w:color w:val="auto"/>
                <w:kern w:val="0"/>
                <w:sz w:val="31"/>
                <w:szCs w:val="21"/>
                <w:lang w:val="en-US" w:eastAsia="zh-CN" w:bidi="ar-SA"/>
              </w:rPr>
            </w:pPr>
            <w:r>
              <w:rPr>
                <w:rFonts w:hint="eastAsia" w:ascii="宋体" w:eastAsia="宋体"/>
                <w:color w:val="auto"/>
                <w:sz w:val="21"/>
                <w:szCs w:val="21"/>
                <w:highlight w:val="none"/>
              </w:rPr>
              <w:t>第三条</w:t>
            </w:r>
          </w:p>
        </w:tc>
        <w:tc>
          <w:tcPr>
            <w:tcW w:w="1475" w:type="pct"/>
            <w:shd w:val="clear" w:color="auto" w:fill="auto"/>
            <w:vAlign w:val="center"/>
          </w:tcPr>
          <w:p w14:paraId="2BFC6C5C">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合同价款</w:t>
            </w:r>
          </w:p>
        </w:tc>
        <w:tc>
          <w:tcPr>
            <w:tcW w:w="646" w:type="pct"/>
            <w:vAlign w:val="center"/>
          </w:tcPr>
          <w:p w14:paraId="52E90EC5">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1703" w:type="pct"/>
            <w:vAlign w:val="center"/>
          </w:tcPr>
          <w:p w14:paraId="433CAD62">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1F45A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9" w:type="pct"/>
            <w:vAlign w:val="center"/>
          </w:tcPr>
          <w:p w14:paraId="762C2A83">
            <w:pPr>
              <w:autoSpaceDE w:val="0"/>
              <w:autoSpaceDN w:val="0"/>
              <w:adjustRightInd w:val="0"/>
              <w:spacing w:line="400" w:lineRule="exact"/>
              <w:jc w:val="center"/>
              <w:outlineLvl w:val="9"/>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4</w:t>
            </w:r>
          </w:p>
        </w:tc>
        <w:tc>
          <w:tcPr>
            <w:tcW w:w="686" w:type="pct"/>
            <w:shd w:val="clear" w:color="auto" w:fill="auto"/>
            <w:vAlign w:val="center"/>
          </w:tcPr>
          <w:p w14:paraId="1C0E146F">
            <w:pPr>
              <w:pStyle w:val="70"/>
              <w:snapToGrid w:val="0"/>
              <w:spacing w:line="240" w:lineRule="auto"/>
              <w:ind w:firstLine="0" w:firstLineChars="0"/>
              <w:jc w:val="center"/>
              <w:rPr>
                <w:rFonts w:hint="eastAsia" w:ascii="宋体" w:hAnsi="宋体" w:eastAsia="宋体" w:cs="宋体"/>
                <w:color w:val="auto"/>
                <w:kern w:val="0"/>
                <w:sz w:val="31"/>
                <w:szCs w:val="21"/>
                <w:lang w:val="en-US" w:eastAsia="zh-CN" w:bidi="ar-SA"/>
              </w:rPr>
            </w:pPr>
            <w:r>
              <w:rPr>
                <w:rFonts w:hint="eastAsia" w:ascii="宋体" w:eastAsia="宋体"/>
                <w:color w:val="auto"/>
                <w:sz w:val="21"/>
                <w:szCs w:val="21"/>
                <w:highlight w:val="none"/>
              </w:rPr>
              <w:t>第四条</w:t>
            </w:r>
          </w:p>
        </w:tc>
        <w:tc>
          <w:tcPr>
            <w:tcW w:w="1475" w:type="pct"/>
            <w:shd w:val="clear" w:color="auto" w:fill="auto"/>
            <w:vAlign w:val="center"/>
          </w:tcPr>
          <w:p w14:paraId="14C7A5CE">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付款方式</w:t>
            </w:r>
          </w:p>
        </w:tc>
        <w:tc>
          <w:tcPr>
            <w:tcW w:w="646" w:type="pct"/>
            <w:vAlign w:val="center"/>
          </w:tcPr>
          <w:p w14:paraId="08A29F9B">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1703" w:type="pct"/>
            <w:vAlign w:val="center"/>
          </w:tcPr>
          <w:p w14:paraId="0085A5A3">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6F23F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9" w:type="pct"/>
            <w:vAlign w:val="center"/>
          </w:tcPr>
          <w:p w14:paraId="3BE58DF0">
            <w:pPr>
              <w:autoSpaceDE w:val="0"/>
              <w:autoSpaceDN w:val="0"/>
              <w:adjustRightInd w:val="0"/>
              <w:spacing w:line="400" w:lineRule="exact"/>
              <w:jc w:val="center"/>
              <w:outlineLvl w:val="9"/>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5</w:t>
            </w:r>
          </w:p>
        </w:tc>
        <w:tc>
          <w:tcPr>
            <w:tcW w:w="686" w:type="pct"/>
            <w:shd w:val="clear" w:color="auto" w:fill="auto"/>
            <w:vAlign w:val="center"/>
          </w:tcPr>
          <w:p w14:paraId="3466D020">
            <w:pPr>
              <w:pStyle w:val="70"/>
              <w:snapToGrid w:val="0"/>
              <w:spacing w:line="240" w:lineRule="auto"/>
              <w:ind w:firstLine="0" w:firstLineChars="0"/>
              <w:jc w:val="center"/>
              <w:rPr>
                <w:rFonts w:hint="eastAsia" w:ascii="宋体" w:hAnsi="宋体" w:eastAsia="宋体" w:cs="宋体"/>
                <w:color w:val="auto"/>
                <w:kern w:val="0"/>
                <w:sz w:val="31"/>
                <w:szCs w:val="21"/>
                <w:lang w:val="en-US" w:eastAsia="zh-CN" w:bidi="ar-SA"/>
              </w:rPr>
            </w:pPr>
            <w:r>
              <w:rPr>
                <w:rFonts w:hint="eastAsia" w:ascii="宋体" w:eastAsia="宋体"/>
                <w:color w:val="auto"/>
                <w:sz w:val="21"/>
                <w:szCs w:val="21"/>
                <w:highlight w:val="none"/>
              </w:rPr>
              <w:t>第五条</w:t>
            </w:r>
          </w:p>
        </w:tc>
        <w:tc>
          <w:tcPr>
            <w:tcW w:w="1475" w:type="pct"/>
            <w:shd w:val="clear" w:color="auto" w:fill="auto"/>
            <w:vAlign w:val="center"/>
          </w:tcPr>
          <w:p w14:paraId="31DBE708">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物业管理要求</w:t>
            </w:r>
          </w:p>
        </w:tc>
        <w:tc>
          <w:tcPr>
            <w:tcW w:w="646" w:type="pct"/>
            <w:vAlign w:val="center"/>
          </w:tcPr>
          <w:p w14:paraId="1982491F">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1703" w:type="pct"/>
            <w:vAlign w:val="center"/>
          </w:tcPr>
          <w:p w14:paraId="7E3CA731">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7148A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9" w:type="pct"/>
            <w:vAlign w:val="center"/>
          </w:tcPr>
          <w:p w14:paraId="6ADA8D44">
            <w:pPr>
              <w:autoSpaceDE w:val="0"/>
              <w:autoSpaceDN w:val="0"/>
              <w:adjustRightInd w:val="0"/>
              <w:spacing w:line="400" w:lineRule="exact"/>
              <w:jc w:val="center"/>
              <w:outlineLvl w:val="9"/>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6</w:t>
            </w:r>
          </w:p>
        </w:tc>
        <w:tc>
          <w:tcPr>
            <w:tcW w:w="686" w:type="pct"/>
            <w:shd w:val="clear" w:color="auto" w:fill="auto"/>
            <w:vAlign w:val="center"/>
          </w:tcPr>
          <w:p w14:paraId="1218F1DA">
            <w:pPr>
              <w:pStyle w:val="70"/>
              <w:snapToGrid w:val="0"/>
              <w:spacing w:line="240" w:lineRule="auto"/>
              <w:ind w:firstLine="0" w:firstLineChars="0"/>
              <w:jc w:val="center"/>
              <w:rPr>
                <w:rFonts w:hint="default" w:ascii="宋体" w:hAnsi="宋体" w:eastAsia="宋体" w:cs="宋体"/>
                <w:color w:val="auto"/>
                <w:kern w:val="0"/>
                <w:sz w:val="31"/>
                <w:szCs w:val="21"/>
                <w:lang w:val="en-US" w:eastAsia="zh-CN" w:bidi="ar-SA"/>
              </w:rPr>
            </w:pPr>
            <w:r>
              <w:rPr>
                <w:rFonts w:hint="eastAsia" w:ascii="宋体" w:eastAsia="宋体"/>
                <w:color w:val="auto"/>
                <w:sz w:val="21"/>
                <w:szCs w:val="21"/>
                <w:highlight w:val="none"/>
              </w:rPr>
              <w:t>第六条</w:t>
            </w:r>
          </w:p>
        </w:tc>
        <w:tc>
          <w:tcPr>
            <w:tcW w:w="1475" w:type="pct"/>
            <w:shd w:val="clear" w:color="auto" w:fill="auto"/>
            <w:vAlign w:val="center"/>
          </w:tcPr>
          <w:p w14:paraId="3C6734CE">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双方权利义务</w:t>
            </w:r>
          </w:p>
        </w:tc>
        <w:tc>
          <w:tcPr>
            <w:tcW w:w="646" w:type="pct"/>
            <w:vAlign w:val="center"/>
          </w:tcPr>
          <w:p w14:paraId="63A7FBA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1703" w:type="pct"/>
            <w:vAlign w:val="center"/>
          </w:tcPr>
          <w:p w14:paraId="2C1DFA89">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4236E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9" w:type="pct"/>
            <w:vAlign w:val="center"/>
          </w:tcPr>
          <w:p w14:paraId="66127205">
            <w:pPr>
              <w:autoSpaceDE w:val="0"/>
              <w:autoSpaceDN w:val="0"/>
              <w:adjustRightInd w:val="0"/>
              <w:spacing w:line="400" w:lineRule="exact"/>
              <w:jc w:val="center"/>
              <w:outlineLvl w:val="9"/>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7</w:t>
            </w:r>
          </w:p>
        </w:tc>
        <w:tc>
          <w:tcPr>
            <w:tcW w:w="686" w:type="pct"/>
            <w:shd w:val="clear" w:color="auto" w:fill="auto"/>
            <w:vAlign w:val="center"/>
          </w:tcPr>
          <w:p w14:paraId="3B1728BE">
            <w:pPr>
              <w:pStyle w:val="70"/>
              <w:snapToGrid w:val="0"/>
              <w:spacing w:line="240" w:lineRule="auto"/>
              <w:ind w:firstLine="0" w:firstLineChars="0"/>
              <w:jc w:val="center"/>
              <w:rPr>
                <w:rFonts w:hint="eastAsia" w:ascii="宋体" w:hAnsi="宋体" w:eastAsia="宋体" w:cs="宋体"/>
                <w:color w:val="auto"/>
                <w:kern w:val="0"/>
                <w:sz w:val="31"/>
                <w:szCs w:val="21"/>
                <w:lang w:val="en-US" w:eastAsia="zh-CN" w:bidi="ar-SA"/>
              </w:rPr>
            </w:pPr>
            <w:r>
              <w:rPr>
                <w:rFonts w:hint="eastAsia" w:ascii="宋体" w:eastAsia="宋体"/>
                <w:color w:val="auto"/>
                <w:sz w:val="21"/>
                <w:szCs w:val="21"/>
                <w:highlight w:val="none"/>
              </w:rPr>
              <w:t>第七条</w:t>
            </w:r>
          </w:p>
        </w:tc>
        <w:tc>
          <w:tcPr>
            <w:tcW w:w="1475" w:type="pct"/>
            <w:shd w:val="clear" w:color="auto" w:fill="auto"/>
            <w:vAlign w:val="center"/>
          </w:tcPr>
          <w:p w14:paraId="5981867C">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履约担保</w:t>
            </w:r>
          </w:p>
        </w:tc>
        <w:tc>
          <w:tcPr>
            <w:tcW w:w="646" w:type="pct"/>
            <w:vAlign w:val="center"/>
          </w:tcPr>
          <w:p w14:paraId="642C3172">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1703" w:type="pct"/>
            <w:vAlign w:val="center"/>
          </w:tcPr>
          <w:p w14:paraId="588483D0">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2F351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9" w:type="pct"/>
            <w:vAlign w:val="center"/>
          </w:tcPr>
          <w:p w14:paraId="635310EF">
            <w:pPr>
              <w:autoSpaceDE w:val="0"/>
              <w:autoSpaceDN w:val="0"/>
              <w:adjustRightInd w:val="0"/>
              <w:spacing w:line="400" w:lineRule="exact"/>
              <w:jc w:val="center"/>
              <w:outlineLvl w:val="9"/>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8</w:t>
            </w:r>
          </w:p>
        </w:tc>
        <w:tc>
          <w:tcPr>
            <w:tcW w:w="686" w:type="pct"/>
            <w:shd w:val="clear" w:color="auto" w:fill="auto"/>
            <w:vAlign w:val="center"/>
          </w:tcPr>
          <w:p w14:paraId="21DD3A15">
            <w:pPr>
              <w:pStyle w:val="70"/>
              <w:snapToGrid w:val="0"/>
              <w:spacing w:line="240" w:lineRule="auto"/>
              <w:ind w:firstLine="0" w:firstLineChars="0"/>
              <w:jc w:val="center"/>
              <w:rPr>
                <w:rFonts w:hint="eastAsia" w:ascii="宋体" w:hAnsi="宋体" w:eastAsia="宋体" w:cs="宋体"/>
                <w:color w:val="auto"/>
                <w:kern w:val="0"/>
                <w:sz w:val="31"/>
                <w:szCs w:val="21"/>
                <w:lang w:val="en-US" w:eastAsia="zh-CN" w:bidi="ar-SA"/>
              </w:rPr>
            </w:pPr>
            <w:r>
              <w:rPr>
                <w:rFonts w:hint="eastAsia" w:ascii="宋体" w:eastAsia="宋体"/>
                <w:color w:val="auto"/>
                <w:sz w:val="21"/>
                <w:szCs w:val="21"/>
                <w:highlight w:val="none"/>
              </w:rPr>
              <w:t>第八条</w:t>
            </w:r>
          </w:p>
        </w:tc>
        <w:tc>
          <w:tcPr>
            <w:tcW w:w="1475" w:type="pct"/>
            <w:shd w:val="clear" w:color="auto" w:fill="auto"/>
            <w:vAlign w:val="center"/>
          </w:tcPr>
          <w:p w14:paraId="2FAB7775">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违约责任</w:t>
            </w:r>
          </w:p>
        </w:tc>
        <w:tc>
          <w:tcPr>
            <w:tcW w:w="646" w:type="pct"/>
            <w:vAlign w:val="center"/>
          </w:tcPr>
          <w:p w14:paraId="299D7B37">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1703" w:type="pct"/>
            <w:vAlign w:val="center"/>
          </w:tcPr>
          <w:p w14:paraId="6E4A69A1">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1E444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9" w:type="pct"/>
            <w:vAlign w:val="center"/>
          </w:tcPr>
          <w:p w14:paraId="1FF6F4A4">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w:t>
            </w:r>
          </w:p>
        </w:tc>
        <w:tc>
          <w:tcPr>
            <w:tcW w:w="686" w:type="pct"/>
            <w:shd w:val="clear" w:color="auto" w:fill="auto"/>
            <w:vAlign w:val="center"/>
          </w:tcPr>
          <w:p w14:paraId="1A39F285">
            <w:pPr>
              <w:pStyle w:val="70"/>
              <w:snapToGrid w:val="0"/>
              <w:spacing w:line="240" w:lineRule="auto"/>
              <w:ind w:firstLine="0" w:firstLineChars="0"/>
              <w:jc w:val="center"/>
              <w:rPr>
                <w:rFonts w:hint="eastAsia" w:ascii="宋体" w:hAnsi="宋体" w:eastAsia="宋体" w:cs="宋体"/>
                <w:color w:val="auto"/>
                <w:kern w:val="0"/>
                <w:sz w:val="31"/>
                <w:szCs w:val="21"/>
                <w:lang w:val="en-US" w:eastAsia="zh-CN" w:bidi="ar-SA"/>
              </w:rPr>
            </w:pPr>
            <w:r>
              <w:rPr>
                <w:rFonts w:hint="eastAsia" w:ascii="宋体" w:eastAsia="宋体"/>
                <w:color w:val="auto"/>
                <w:sz w:val="21"/>
                <w:szCs w:val="21"/>
                <w:highlight w:val="none"/>
              </w:rPr>
              <w:t>第九条</w:t>
            </w:r>
          </w:p>
        </w:tc>
        <w:tc>
          <w:tcPr>
            <w:tcW w:w="1475" w:type="pct"/>
            <w:shd w:val="clear" w:color="auto" w:fill="auto"/>
            <w:vAlign w:val="center"/>
          </w:tcPr>
          <w:p w14:paraId="123544FA">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保密约定</w:t>
            </w:r>
          </w:p>
        </w:tc>
        <w:tc>
          <w:tcPr>
            <w:tcW w:w="646" w:type="pct"/>
            <w:vAlign w:val="center"/>
          </w:tcPr>
          <w:p w14:paraId="026EBB0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1703" w:type="pct"/>
            <w:vAlign w:val="center"/>
          </w:tcPr>
          <w:p w14:paraId="6BEDFB27">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2F1CF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9" w:type="pct"/>
            <w:vAlign w:val="center"/>
          </w:tcPr>
          <w:p w14:paraId="321B30C6">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10</w:t>
            </w:r>
          </w:p>
        </w:tc>
        <w:tc>
          <w:tcPr>
            <w:tcW w:w="686" w:type="pct"/>
            <w:shd w:val="clear" w:color="auto" w:fill="auto"/>
            <w:vAlign w:val="center"/>
          </w:tcPr>
          <w:p w14:paraId="0F06F0C1">
            <w:pPr>
              <w:pStyle w:val="70"/>
              <w:snapToGrid w:val="0"/>
              <w:spacing w:line="240" w:lineRule="auto"/>
              <w:ind w:firstLine="0" w:firstLineChars="0"/>
              <w:jc w:val="center"/>
              <w:rPr>
                <w:rFonts w:hint="eastAsia" w:ascii="宋体" w:hAnsi="宋体" w:eastAsia="宋体" w:cs="宋体"/>
                <w:color w:val="auto"/>
                <w:kern w:val="0"/>
                <w:sz w:val="31"/>
                <w:szCs w:val="21"/>
                <w:lang w:val="en-US" w:eastAsia="zh-CN" w:bidi="ar-SA"/>
              </w:rPr>
            </w:pPr>
            <w:r>
              <w:rPr>
                <w:rFonts w:hint="eastAsia" w:ascii="宋体" w:eastAsia="宋体"/>
                <w:color w:val="auto"/>
                <w:sz w:val="21"/>
                <w:szCs w:val="21"/>
                <w:highlight w:val="none"/>
              </w:rPr>
              <w:t>第十条</w:t>
            </w:r>
          </w:p>
        </w:tc>
        <w:tc>
          <w:tcPr>
            <w:tcW w:w="1475" w:type="pct"/>
            <w:shd w:val="clear" w:color="auto" w:fill="auto"/>
            <w:vAlign w:val="center"/>
          </w:tcPr>
          <w:p w14:paraId="490E4FBE">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知识产权</w:t>
            </w:r>
          </w:p>
        </w:tc>
        <w:tc>
          <w:tcPr>
            <w:tcW w:w="646" w:type="pct"/>
            <w:vAlign w:val="center"/>
          </w:tcPr>
          <w:p w14:paraId="0F8D2EC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1703" w:type="pct"/>
            <w:vAlign w:val="center"/>
          </w:tcPr>
          <w:p w14:paraId="58A18D6F">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06543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9" w:type="pct"/>
            <w:vAlign w:val="center"/>
          </w:tcPr>
          <w:p w14:paraId="5327FBE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11</w:t>
            </w:r>
          </w:p>
        </w:tc>
        <w:tc>
          <w:tcPr>
            <w:tcW w:w="686" w:type="pct"/>
            <w:vAlign w:val="center"/>
          </w:tcPr>
          <w:p w14:paraId="19F07249">
            <w:pPr>
              <w:pStyle w:val="70"/>
              <w:snapToGrid w:val="0"/>
              <w:spacing w:line="240" w:lineRule="auto"/>
              <w:ind w:firstLine="0" w:firstLineChars="0"/>
              <w:jc w:val="center"/>
              <w:rPr>
                <w:rFonts w:hint="default" w:ascii="宋体" w:hAnsi="宋体" w:eastAsia="宋体" w:cs="宋体"/>
                <w:color w:val="auto"/>
                <w:kern w:val="0"/>
                <w:szCs w:val="21"/>
                <w:highlight w:val="none"/>
                <w:lang w:val="en-US" w:eastAsia="zh-CN"/>
              </w:rPr>
            </w:pPr>
            <w:r>
              <w:rPr>
                <w:rFonts w:hint="eastAsia" w:ascii="宋体" w:eastAsia="宋体"/>
                <w:color w:val="auto"/>
                <w:sz w:val="21"/>
                <w:szCs w:val="21"/>
                <w:highlight w:val="none"/>
              </w:rPr>
              <w:t>第十一条</w:t>
            </w:r>
          </w:p>
        </w:tc>
        <w:tc>
          <w:tcPr>
            <w:tcW w:w="1475" w:type="pct"/>
            <w:vAlign w:val="center"/>
          </w:tcPr>
          <w:p w14:paraId="74E10611">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不可抗力</w:t>
            </w:r>
          </w:p>
        </w:tc>
        <w:tc>
          <w:tcPr>
            <w:tcW w:w="646" w:type="pct"/>
            <w:vAlign w:val="center"/>
          </w:tcPr>
          <w:p w14:paraId="71157B11">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1703" w:type="pct"/>
            <w:vAlign w:val="center"/>
          </w:tcPr>
          <w:p w14:paraId="252F2649">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10FF0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9" w:type="pct"/>
            <w:vAlign w:val="center"/>
          </w:tcPr>
          <w:p w14:paraId="150D7FAE">
            <w:pPr>
              <w:autoSpaceDE w:val="0"/>
              <w:autoSpaceDN w:val="0"/>
              <w:adjustRightInd w:val="0"/>
              <w:spacing w:line="400" w:lineRule="exact"/>
              <w:jc w:val="center"/>
              <w:outlineLvl w:val="9"/>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12</w:t>
            </w:r>
          </w:p>
        </w:tc>
        <w:tc>
          <w:tcPr>
            <w:tcW w:w="686" w:type="pct"/>
            <w:vAlign w:val="center"/>
          </w:tcPr>
          <w:p w14:paraId="31B521DF">
            <w:pPr>
              <w:pStyle w:val="70"/>
              <w:snapToGrid w:val="0"/>
              <w:spacing w:line="240" w:lineRule="auto"/>
              <w:ind w:firstLine="0" w:firstLineChars="0"/>
              <w:jc w:val="center"/>
              <w:rPr>
                <w:rFonts w:hint="eastAsia" w:ascii="宋体" w:eastAsia="宋体" w:cs="宋体"/>
                <w:color w:val="auto"/>
                <w:sz w:val="21"/>
                <w:szCs w:val="21"/>
                <w:lang w:val="en-US" w:eastAsia="zh-CN"/>
              </w:rPr>
            </w:pPr>
            <w:r>
              <w:rPr>
                <w:rFonts w:hint="eastAsia" w:ascii="宋体" w:eastAsia="宋体"/>
                <w:color w:val="auto"/>
                <w:sz w:val="21"/>
                <w:szCs w:val="21"/>
                <w:highlight w:val="none"/>
              </w:rPr>
              <w:t>第十二条</w:t>
            </w:r>
          </w:p>
        </w:tc>
        <w:tc>
          <w:tcPr>
            <w:tcW w:w="1475" w:type="pct"/>
            <w:vAlign w:val="center"/>
          </w:tcPr>
          <w:p w14:paraId="70939451">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廉政保证</w:t>
            </w:r>
          </w:p>
        </w:tc>
        <w:tc>
          <w:tcPr>
            <w:tcW w:w="646" w:type="pct"/>
            <w:vAlign w:val="center"/>
          </w:tcPr>
          <w:p w14:paraId="1C718C23">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1703" w:type="pct"/>
            <w:vAlign w:val="center"/>
          </w:tcPr>
          <w:p w14:paraId="12647DE7">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6ED37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9" w:type="pct"/>
            <w:vAlign w:val="center"/>
          </w:tcPr>
          <w:p w14:paraId="44452330">
            <w:pPr>
              <w:autoSpaceDE w:val="0"/>
              <w:autoSpaceDN w:val="0"/>
              <w:adjustRightInd w:val="0"/>
              <w:spacing w:line="400" w:lineRule="exact"/>
              <w:jc w:val="center"/>
              <w:outlineLvl w:val="9"/>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13</w:t>
            </w:r>
          </w:p>
        </w:tc>
        <w:tc>
          <w:tcPr>
            <w:tcW w:w="686" w:type="pct"/>
            <w:vAlign w:val="center"/>
          </w:tcPr>
          <w:p w14:paraId="74BB5420">
            <w:pPr>
              <w:pStyle w:val="70"/>
              <w:snapToGrid w:val="0"/>
              <w:spacing w:line="240" w:lineRule="auto"/>
              <w:ind w:firstLine="0" w:firstLineChars="0"/>
              <w:jc w:val="center"/>
              <w:rPr>
                <w:rFonts w:hint="eastAsia" w:ascii="宋体" w:eastAsia="宋体" w:cs="宋体"/>
                <w:color w:val="auto"/>
                <w:sz w:val="21"/>
                <w:szCs w:val="21"/>
                <w:lang w:val="en-US" w:eastAsia="zh-CN"/>
              </w:rPr>
            </w:pPr>
            <w:r>
              <w:rPr>
                <w:rFonts w:hint="eastAsia" w:ascii="宋体" w:eastAsia="宋体"/>
                <w:color w:val="auto"/>
                <w:sz w:val="21"/>
                <w:szCs w:val="21"/>
                <w:highlight w:val="none"/>
              </w:rPr>
              <w:t>第十三条</w:t>
            </w:r>
          </w:p>
        </w:tc>
        <w:tc>
          <w:tcPr>
            <w:tcW w:w="1475" w:type="pct"/>
            <w:vAlign w:val="center"/>
          </w:tcPr>
          <w:p w14:paraId="7FB305C7">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争议解决</w:t>
            </w:r>
          </w:p>
        </w:tc>
        <w:tc>
          <w:tcPr>
            <w:tcW w:w="646" w:type="pct"/>
            <w:vAlign w:val="center"/>
          </w:tcPr>
          <w:p w14:paraId="298B22E6">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1703" w:type="pct"/>
            <w:vAlign w:val="center"/>
          </w:tcPr>
          <w:p w14:paraId="3AFDBD27">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71B52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9" w:type="pct"/>
            <w:vAlign w:val="center"/>
          </w:tcPr>
          <w:p w14:paraId="7D7F623D">
            <w:pPr>
              <w:autoSpaceDE w:val="0"/>
              <w:autoSpaceDN w:val="0"/>
              <w:adjustRightInd w:val="0"/>
              <w:spacing w:line="400" w:lineRule="exact"/>
              <w:jc w:val="center"/>
              <w:outlineLvl w:val="9"/>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14</w:t>
            </w:r>
          </w:p>
        </w:tc>
        <w:tc>
          <w:tcPr>
            <w:tcW w:w="686" w:type="pct"/>
            <w:vAlign w:val="center"/>
          </w:tcPr>
          <w:p w14:paraId="0C0A92D6">
            <w:pPr>
              <w:pStyle w:val="70"/>
              <w:snapToGrid w:val="0"/>
              <w:spacing w:line="240" w:lineRule="auto"/>
              <w:ind w:firstLine="0" w:firstLineChars="0"/>
              <w:jc w:val="center"/>
              <w:rPr>
                <w:rFonts w:hint="eastAsia" w:ascii="宋体" w:eastAsia="宋体" w:cs="宋体"/>
                <w:color w:val="auto"/>
                <w:sz w:val="21"/>
                <w:szCs w:val="21"/>
                <w:lang w:val="en-US" w:eastAsia="zh-CN"/>
              </w:rPr>
            </w:pPr>
            <w:r>
              <w:rPr>
                <w:rFonts w:hint="eastAsia" w:ascii="宋体" w:eastAsia="宋体"/>
                <w:color w:val="auto"/>
                <w:sz w:val="21"/>
                <w:szCs w:val="21"/>
                <w:highlight w:val="none"/>
              </w:rPr>
              <w:t>第十四条</w:t>
            </w:r>
          </w:p>
        </w:tc>
        <w:tc>
          <w:tcPr>
            <w:tcW w:w="1475" w:type="pct"/>
            <w:vAlign w:val="center"/>
          </w:tcPr>
          <w:p w14:paraId="51D76523">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其他</w:t>
            </w:r>
          </w:p>
        </w:tc>
        <w:tc>
          <w:tcPr>
            <w:tcW w:w="646" w:type="pct"/>
            <w:vAlign w:val="center"/>
          </w:tcPr>
          <w:p w14:paraId="510E3679">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1703" w:type="pct"/>
            <w:vAlign w:val="center"/>
          </w:tcPr>
          <w:p w14:paraId="1381D902">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478B2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9" w:type="pct"/>
            <w:shd w:val="clear" w:color="auto" w:fill="auto"/>
            <w:vAlign w:val="center"/>
          </w:tcPr>
          <w:p w14:paraId="432DACEF">
            <w:pPr>
              <w:autoSpaceDE w:val="0"/>
              <w:autoSpaceDN w:val="0"/>
              <w:adjustRightInd w:val="0"/>
              <w:spacing w:line="400" w:lineRule="exact"/>
              <w:jc w:val="center"/>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15</w:t>
            </w:r>
          </w:p>
        </w:tc>
        <w:tc>
          <w:tcPr>
            <w:tcW w:w="686" w:type="pct"/>
            <w:vAlign w:val="center"/>
          </w:tcPr>
          <w:p w14:paraId="36521843">
            <w:pPr>
              <w:pStyle w:val="70"/>
              <w:snapToGrid w:val="0"/>
              <w:spacing w:line="240" w:lineRule="auto"/>
              <w:ind w:firstLine="0" w:firstLineChars="0"/>
              <w:jc w:val="center"/>
              <w:rPr>
                <w:rFonts w:hint="eastAsia" w:ascii="宋体" w:eastAsia="宋体" w:cs="宋体"/>
                <w:color w:val="auto"/>
                <w:sz w:val="21"/>
                <w:szCs w:val="21"/>
                <w:lang w:eastAsia="zh-CN"/>
              </w:rPr>
            </w:pPr>
            <w:r>
              <w:rPr>
                <w:rFonts w:hint="eastAsia" w:ascii="宋体" w:eastAsia="宋体" w:cs="宋体"/>
                <w:color w:val="auto"/>
                <w:sz w:val="21"/>
                <w:szCs w:val="21"/>
              </w:rPr>
              <w:t>附件</w:t>
            </w:r>
            <w:r>
              <w:rPr>
                <w:rFonts w:hint="eastAsia" w:ascii="宋体" w:eastAsia="宋体" w:cs="宋体"/>
                <w:color w:val="auto"/>
                <w:sz w:val="21"/>
                <w:szCs w:val="21"/>
                <w:lang w:val="en-US" w:eastAsia="zh-CN"/>
              </w:rPr>
              <w:t>1</w:t>
            </w:r>
          </w:p>
        </w:tc>
        <w:tc>
          <w:tcPr>
            <w:tcW w:w="1475" w:type="pct"/>
            <w:vAlign w:val="center"/>
          </w:tcPr>
          <w:p w14:paraId="69090CFE">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廉洁协议书</w:t>
            </w:r>
          </w:p>
        </w:tc>
        <w:tc>
          <w:tcPr>
            <w:tcW w:w="646" w:type="pct"/>
            <w:vAlign w:val="center"/>
          </w:tcPr>
          <w:p w14:paraId="7B23BEA8">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1703" w:type="pct"/>
            <w:vAlign w:val="center"/>
          </w:tcPr>
          <w:p w14:paraId="2DDDBC10">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0B56C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9" w:type="pct"/>
            <w:shd w:val="clear" w:color="auto" w:fill="auto"/>
            <w:vAlign w:val="center"/>
          </w:tcPr>
          <w:p w14:paraId="48F44E84">
            <w:pPr>
              <w:autoSpaceDE w:val="0"/>
              <w:autoSpaceDN w:val="0"/>
              <w:adjustRightInd w:val="0"/>
              <w:spacing w:line="400" w:lineRule="exact"/>
              <w:jc w:val="center"/>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16</w:t>
            </w:r>
          </w:p>
        </w:tc>
        <w:tc>
          <w:tcPr>
            <w:tcW w:w="686" w:type="pct"/>
            <w:vAlign w:val="center"/>
          </w:tcPr>
          <w:p w14:paraId="1166898D">
            <w:pPr>
              <w:pStyle w:val="70"/>
              <w:snapToGrid w:val="0"/>
              <w:spacing w:line="240" w:lineRule="auto"/>
              <w:ind w:firstLine="0" w:firstLineChars="0"/>
              <w:jc w:val="center"/>
              <w:rPr>
                <w:rFonts w:hint="eastAsia" w:ascii="宋体" w:eastAsia="宋体" w:cs="宋体"/>
                <w:color w:val="auto"/>
                <w:sz w:val="21"/>
                <w:szCs w:val="21"/>
              </w:rPr>
            </w:pPr>
            <w:r>
              <w:rPr>
                <w:rFonts w:hint="eastAsia" w:ascii="宋体" w:eastAsia="宋体" w:cs="宋体"/>
                <w:color w:val="auto"/>
                <w:sz w:val="21"/>
                <w:szCs w:val="21"/>
              </w:rPr>
              <w:t>附件2</w:t>
            </w:r>
          </w:p>
        </w:tc>
        <w:tc>
          <w:tcPr>
            <w:tcW w:w="1475" w:type="pct"/>
            <w:vAlign w:val="center"/>
          </w:tcPr>
          <w:p w14:paraId="50201634">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安全生产管理协议</w:t>
            </w:r>
          </w:p>
        </w:tc>
        <w:tc>
          <w:tcPr>
            <w:tcW w:w="646" w:type="pct"/>
            <w:vAlign w:val="center"/>
          </w:tcPr>
          <w:p w14:paraId="51719FF7">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1703" w:type="pct"/>
            <w:vAlign w:val="center"/>
          </w:tcPr>
          <w:p w14:paraId="7FFE97B3">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7105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9" w:type="pct"/>
            <w:shd w:val="clear" w:color="auto" w:fill="auto"/>
            <w:vAlign w:val="center"/>
          </w:tcPr>
          <w:p w14:paraId="356DF6EF">
            <w:pPr>
              <w:autoSpaceDE w:val="0"/>
              <w:autoSpaceDN w:val="0"/>
              <w:adjustRightInd w:val="0"/>
              <w:spacing w:line="400" w:lineRule="exact"/>
              <w:jc w:val="center"/>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17</w:t>
            </w:r>
          </w:p>
        </w:tc>
        <w:tc>
          <w:tcPr>
            <w:tcW w:w="686" w:type="pct"/>
            <w:vAlign w:val="center"/>
          </w:tcPr>
          <w:p w14:paraId="38C5A911">
            <w:pPr>
              <w:pStyle w:val="70"/>
              <w:keepNext w:val="0"/>
              <w:keepLines w:val="0"/>
              <w:pageBreakBefore w:val="0"/>
              <w:widowControl w:val="0"/>
              <w:kinsoku/>
              <w:wordWrap/>
              <w:overflowPunct/>
              <w:topLinePunct w:val="0"/>
              <w:bidi w:val="0"/>
              <w:snapToGrid w:val="0"/>
              <w:spacing w:line="400" w:lineRule="exact"/>
              <w:ind w:left="0" w:leftChars="0" w:firstLine="0" w:firstLineChars="0"/>
              <w:jc w:val="center"/>
              <w:textAlignment w:val="auto"/>
              <w:rPr>
                <w:rFonts w:hint="eastAsia" w:ascii="宋体" w:eastAsia="宋体" w:cs="宋体"/>
                <w:color w:val="auto"/>
                <w:sz w:val="21"/>
                <w:szCs w:val="21"/>
              </w:rPr>
            </w:pPr>
            <w:r>
              <w:rPr>
                <w:rFonts w:hint="eastAsia" w:ascii="宋体" w:eastAsia="宋体" w:cs="宋体"/>
                <w:color w:val="auto"/>
                <w:sz w:val="21"/>
                <w:szCs w:val="21"/>
              </w:rPr>
              <w:t>一</w:t>
            </w:r>
          </w:p>
        </w:tc>
        <w:tc>
          <w:tcPr>
            <w:tcW w:w="1475" w:type="pct"/>
            <w:vAlign w:val="center"/>
          </w:tcPr>
          <w:p w14:paraId="779FFCF1">
            <w:pPr>
              <w:pStyle w:val="70"/>
              <w:keepNext w:val="0"/>
              <w:keepLines w:val="0"/>
              <w:pageBreakBefore w:val="0"/>
              <w:widowControl w:val="0"/>
              <w:kinsoku/>
              <w:wordWrap/>
              <w:overflowPunct/>
              <w:topLinePunct w:val="0"/>
              <w:bidi w:val="0"/>
              <w:snapToGrid w:val="0"/>
              <w:spacing w:line="400" w:lineRule="exact"/>
              <w:ind w:left="0" w:leftChars="0" w:firstLine="0" w:firstLineChars="0"/>
              <w:jc w:val="center"/>
              <w:textAlignment w:val="auto"/>
              <w:rPr>
                <w:rFonts w:hint="eastAsia" w:ascii="宋体" w:hAnsi="宋体" w:eastAsia="宋体" w:cs="宋体"/>
                <w:color w:val="auto"/>
                <w:kern w:val="0"/>
                <w:szCs w:val="21"/>
                <w:highlight w:val="none"/>
              </w:rPr>
            </w:pPr>
            <w:r>
              <w:rPr>
                <w:rFonts w:hint="eastAsia" w:ascii="宋体" w:eastAsia="宋体" w:cs="宋体"/>
                <w:color w:val="auto"/>
                <w:sz w:val="21"/>
                <w:szCs w:val="21"/>
              </w:rPr>
              <w:t>不可撤销银行履约保函</w:t>
            </w:r>
          </w:p>
        </w:tc>
        <w:tc>
          <w:tcPr>
            <w:tcW w:w="646" w:type="pct"/>
            <w:vAlign w:val="center"/>
          </w:tcPr>
          <w:p w14:paraId="75B01031">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1703" w:type="pct"/>
            <w:vAlign w:val="center"/>
          </w:tcPr>
          <w:p w14:paraId="41F5740D">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64FA4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9" w:type="pct"/>
            <w:shd w:val="clear" w:color="auto" w:fill="auto"/>
            <w:vAlign w:val="center"/>
          </w:tcPr>
          <w:p w14:paraId="6AF645C5">
            <w:pPr>
              <w:autoSpaceDE w:val="0"/>
              <w:autoSpaceDN w:val="0"/>
              <w:adjustRightInd w:val="0"/>
              <w:spacing w:line="400" w:lineRule="exact"/>
              <w:jc w:val="center"/>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18</w:t>
            </w:r>
          </w:p>
        </w:tc>
        <w:tc>
          <w:tcPr>
            <w:tcW w:w="686" w:type="pct"/>
            <w:vAlign w:val="center"/>
          </w:tcPr>
          <w:p w14:paraId="16DB308E">
            <w:pPr>
              <w:pStyle w:val="70"/>
              <w:keepNext w:val="0"/>
              <w:keepLines w:val="0"/>
              <w:pageBreakBefore w:val="0"/>
              <w:widowControl w:val="0"/>
              <w:kinsoku/>
              <w:wordWrap/>
              <w:overflowPunct/>
              <w:topLinePunct w:val="0"/>
              <w:bidi w:val="0"/>
              <w:snapToGrid w:val="0"/>
              <w:spacing w:line="400" w:lineRule="exact"/>
              <w:ind w:left="0" w:leftChars="0" w:firstLine="0" w:firstLineChars="0"/>
              <w:jc w:val="center"/>
              <w:textAlignment w:val="auto"/>
              <w:rPr>
                <w:rFonts w:hint="eastAsia" w:ascii="宋体" w:hAnsi="宋体" w:eastAsia="宋体" w:cs="宋体"/>
                <w:color w:val="auto"/>
                <w:kern w:val="0"/>
                <w:szCs w:val="21"/>
                <w:highlight w:val="none"/>
                <w:lang w:val="en-US" w:eastAsia="zh-CN"/>
              </w:rPr>
            </w:pPr>
            <w:r>
              <w:rPr>
                <w:rFonts w:hint="eastAsia" w:ascii="宋体" w:eastAsia="宋体" w:cs="宋体"/>
                <w:color w:val="auto"/>
                <w:sz w:val="21"/>
                <w:szCs w:val="21"/>
              </w:rPr>
              <w:t>二</w:t>
            </w:r>
          </w:p>
        </w:tc>
        <w:tc>
          <w:tcPr>
            <w:tcW w:w="1475" w:type="pct"/>
            <w:vAlign w:val="center"/>
          </w:tcPr>
          <w:p w14:paraId="5A87F6EF">
            <w:pPr>
              <w:pStyle w:val="70"/>
              <w:keepNext w:val="0"/>
              <w:keepLines w:val="0"/>
              <w:pageBreakBefore w:val="0"/>
              <w:widowControl w:val="0"/>
              <w:kinsoku/>
              <w:wordWrap/>
              <w:overflowPunct/>
              <w:topLinePunct w:val="0"/>
              <w:bidi w:val="0"/>
              <w:snapToGrid w:val="0"/>
              <w:spacing w:line="400" w:lineRule="exact"/>
              <w:ind w:left="0" w:leftChars="0" w:firstLine="0" w:firstLineChars="0"/>
              <w:jc w:val="center"/>
              <w:textAlignment w:val="auto"/>
              <w:rPr>
                <w:rFonts w:hint="eastAsia" w:ascii="宋体" w:hAnsi="宋体" w:eastAsia="宋体" w:cs="宋体"/>
                <w:color w:val="auto"/>
                <w:kern w:val="0"/>
                <w:szCs w:val="21"/>
                <w:highlight w:val="none"/>
              </w:rPr>
            </w:pPr>
            <w:r>
              <w:rPr>
                <w:rFonts w:hint="eastAsia" w:ascii="宋体" w:eastAsia="宋体" w:cs="宋体"/>
                <w:color w:val="auto"/>
                <w:sz w:val="21"/>
                <w:szCs w:val="21"/>
              </w:rPr>
              <w:t>履约保证保险凭证</w:t>
            </w:r>
          </w:p>
        </w:tc>
        <w:tc>
          <w:tcPr>
            <w:tcW w:w="646" w:type="pct"/>
            <w:vAlign w:val="center"/>
          </w:tcPr>
          <w:p w14:paraId="218E7A32">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1703" w:type="pct"/>
            <w:vAlign w:val="center"/>
          </w:tcPr>
          <w:p w14:paraId="5AD5ED6A">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7896F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9" w:type="pct"/>
            <w:shd w:val="clear" w:color="auto" w:fill="auto"/>
            <w:vAlign w:val="center"/>
          </w:tcPr>
          <w:p w14:paraId="11AA6B00">
            <w:pPr>
              <w:autoSpaceDE w:val="0"/>
              <w:autoSpaceDN w:val="0"/>
              <w:adjustRightInd w:val="0"/>
              <w:spacing w:line="400" w:lineRule="exact"/>
              <w:jc w:val="center"/>
              <w:outlineLvl w:val="9"/>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19</w:t>
            </w:r>
          </w:p>
        </w:tc>
        <w:tc>
          <w:tcPr>
            <w:tcW w:w="686" w:type="pct"/>
            <w:shd w:val="clear" w:color="auto" w:fill="auto"/>
            <w:vAlign w:val="center"/>
          </w:tcPr>
          <w:p w14:paraId="2AC590F6">
            <w:pPr>
              <w:pStyle w:val="70"/>
              <w:keepNext w:val="0"/>
              <w:keepLines w:val="0"/>
              <w:pageBreakBefore w:val="0"/>
              <w:widowControl w:val="0"/>
              <w:kinsoku/>
              <w:wordWrap/>
              <w:overflowPunct/>
              <w:topLinePunct w:val="0"/>
              <w:bidi w:val="0"/>
              <w:snapToGrid w:val="0"/>
              <w:spacing w:line="400" w:lineRule="exact"/>
              <w:ind w:left="0" w:leftChars="0" w:firstLine="0" w:firstLineChars="0"/>
              <w:jc w:val="center"/>
              <w:textAlignment w:val="auto"/>
              <w:rPr>
                <w:rFonts w:hint="eastAsia" w:ascii="宋体" w:hAnsi="宋体" w:eastAsia="宋体" w:cs="宋体"/>
                <w:color w:val="auto"/>
                <w:kern w:val="0"/>
                <w:sz w:val="31"/>
                <w:szCs w:val="21"/>
                <w:lang w:val="en-US" w:eastAsia="zh-CN" w:bidi="ar-SA"/>
              </w:rPr>
            </w:pPr>
            <w:r>
              <w:rPr>
                <w:rFonts w:hint="eastAsia" w:ascii="宋体" w:eastAsia="宋体" w:cs="宋体"/>
                <w:color w:val="auto"/>
                <w:sz w:val="21"/>
                <w:szCs w:val="21"/>
              </w:rPr>
              <w:t>三</w:t>
            </w:r>
          </w:p>
        </w:tc>
        <w:tc>
          <w:tcPr>
            <w:tcW w:w="1475" w:type="pct"/>
            <w:shd w:val="clear" w:color="auto" w:fill="auto"/>
            <w:vAlign w:val="center"/>
          </w:tcPr>
          <w:p w14:paraId="65977D48">
            <w:pPr>
              <w:pStyle w:val="70"/>
              <w:keepNext w:val="0"/>
              <w:keepLines w:val="0"/>
              <w:pageBreakBefore w:val="0"/>
              <w:widowControl w:val="0"/>
              <w:kinsoku/>
              <w:wordWrap/>
              <w:overflowPunct/>
              <w:topLinePunct w:val="0"/>
              <w:bidi w:val="0"/>
              <w:snapToGrid w:val="0"/>
              <w:spacing w:line="400" w:lineRule="exact"/>
              <w:ind w:left="0" w:leftChars="0" w:firstLine="0" w:firstLineChars="0"/>
              <w:jc w:val="center"/>
              <w:textAlignment w:val="auto"/>
              <w:rPr>
                <w:rFonts w:hint="eastAsia" w:ascii="宋体" w:hAnsi="宋体" w:eastAsia="宋体" w:cs="宋体"/>
                <w:color w:val="auto"/>
                <w:kern w:val="0"/>
                <w:szCs w:val="21"/>
                <w:highlight w:val="none"/>
                <w:lang w:val="en-US" w:eastAsia="zh-CN"/>
              </w:rPr>
            </w:pPr>
            <w:r>
              <w:rPr>
                <w:rFonts w:hint="eastAsia" w:ascii="宋体" w:eastAsia="宋体" w:cs="宋体"/>
                <w:color w:val="auto"/>
                <w:sz w:val="21"/>
                <w:szCs w:val="21"/>
              </w:rPr>
              <w:t>担保公司履约担保书</w:t>
            </w:r>
          </w:p>
        </w:tc>
        <w:tc>
          <w:tcPr>
            <w:tcW w:w="646" w:type="pct"/>
            <w:vAlign w:val="center"/>
          </w:tcPr>
          <w:p w14:paraId="32000C0C">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1703" w:type="pct"/>
            <w:vAlign w:val="center"/>
          </w:tcPr>
          <w:p w14:paraId="49E1433B">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bl>
    <w:p w14:paraId="3AE9F41F">
      <w:pPr>
        <w:autoSpaceDE w:val="0"/>
        <w:autoSpaceDN w:val="0"/>
        <w:adjustRightInd w:val="0"/>
        <w:snapToGrid w:val="0"/>
        <w:spacing w:line="360" w:lineRule="auto"/>
        <w:ind w:left="186" w:leftChars="-158" w:hanging="518" w:hangingChars="247"/>
        <w:jc w:val="left"/>
        <w:outlineLvl w:val="9"/>
        <w:rPr>
          <w:rFonts w:hint="eastAsia" w:ascii="宋体" w:hAnsi="宋体" w:eastAsia="宋体" w:cs="宋体"/>
          <w:color w:val="auto"/>
          <w:szCs w:val="24"/>
          <w:highlight w:val="none"/>
          <w:lang w:val="zh-CN"/>
        </w:rPr>
      </w:pPr>
    </w:p>
    <w:p w14:paraId="351CE5A0">
      <w:pPr>
        <w:autoSpaceDE w:val="0"/>
        <w:autoSpaceDN w:val="0"/>
        <w:adjustRightInd w:val="0"/>
        <w:snapToGrid w:val="0"/>
        <w:spacing w:line="360" w:lineRule="auto"/>
        <w:ind w:left="166" w:leftChars="-101" w:hanging="378" w:hangingChars="18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6AAA400D">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宋体"/>
          <w:b/>
          <w:color w:val="auto"/>
          <w:kern w:val="0"/>
          <w:szCs w:val="21"/>
          <w:highlight w:val="none"/>
        </w:rPr>
        <w:t>。</w:t>
      </w:r>
    </w:p>
    <w:p w14:paraId="73436599">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商务条件优于招标文件的要求；负偏离是指投标人提供的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商务条件不满足或不完全满足招标文件的要求；无偏离是指投标人提供的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商务条件完全满足招标文件的要求。</w:t>
      </w:r>
    </w:p>
    <w:p w14:paraId="01648AD5">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（3）招标文件“第五篇 相关保函格式”作为重要的商务条款，投标人的响应情况列入本合同条款偏离表。</w:t>
      </w:r>
    </w:p>
    <w:p w14:paraId="0B2EDC34">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（4）如投标人差异内容较多可另附页说明，并在本偏离表“具体偏离内容”项注明其在投标文件中的具体页码。</w:t>
      </w:r>
    </w:p>
    <w:p w14:paraId="4FE636DB">
      <w:pPr>
        <w:spacing w:line="360" w:lineRule="auto"/>
        <w:ind w:left="357" w:leftChars="-100" w:hanging="567" w:hangingChars="270"/>
        <w:outlineLvl w:val="9"/>
        <w:rPr>
          <w:rFonts w:hint="eastAsia" w:ascii="宋体" w:hAnsi="宋体" w:eastAsia="宋体" w:cs="宋体"/>
          <w:color w:val="auto"/>
          <w:szCs w:val="21"/>
          <w:highlight w:val="none"/>
        </w:rPr>
      </w:pPr>
    </w:p>
    <w:p w14:paraId="12E18C54">
      <w:pPr>
        <w:spacing w:line="360" w:lineRule="auto"/>
        <w:ind w:left="357" w:leftChars="-100" w:hanging="567" w:hangingChars="270"/>
        <w:outlineLvl w:val="9"/>
        <w:rPr>
          <w:rFonts w:hint="eastAsia" w:ascii="宋体" w:hAnsi="宋体" w:eastAsia="宋体" w:cs="宋体"/>
          <w:color w:val="auto"/>
          <w:szCs w:val="21"/>
          <w:highlight w:val="none"/>
        </w:rPr>
      </w:pPr>
    </w:p>
    <w:p w14:paraId="4E905423">
      <w:pPr>
        <w:spacing w:line="360" w:lineRule="auto"/>
        <w:ind w:left="357" w:leftChars="-100" w:hanging="567" w:hangingChars="270"/>
        <w:outlineLvl w:val="9"/>
        <w:rPr>
          <w:rFonts w:hint="eastAsia" w:ascii="宋体" w:hAnsi="宋体" w:eastAsia="宋体" w:cs="宋体"/>
          <w:color w:val="auto"/>
          <w:szCs w:val="21"/>
          <w:highlight w:val="none"/>
        </w:rPr>
      </w:pPr>
    </w:p>
    <w:p w14:paraId="29C8F856">
      <w:pPr>
        <w:autoSpaceDE w:val="0"/>
        <w:autoSpaceDN w:val="0"/>
        <w:adjustRightInd w:val="0"/>
        <w:spacing w:line="360" w:lineRule="auto"/>
        <w:ind w:firstLine="3780" w:firstLineChars="18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554671C1">
      <w:pPr>
        <w:autoSpaceDE w:val="0"/>
        <w:autoSpaceDN w:val="0"/>
        <w:adjustRightInd w:val="0"/>
        <w:spacing w:line="360" w:lineRule="auto"/>
        <w:ind w:firstLine="3780" w:firstLineChars="1800"/>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757D7563">
      <w:pPr>
        <w:autoSpaceDE w:val="0"/>
        <w:autoSpaceDN w:val="0"/>
        <w:adjustRightInd w:val="0"/>
        <w:spacing w:line="360" w:lineRule="auto"/>
        <w:jc w:val="center"/>
        <w:rPr>
          <w:rFonts w:hint="eastAsia" w:ascii="宋体" w:hAnsi="宋体" w:eastAsia="宋体" w:cs="宋体"/>
          <w:b/>
          <w:bCs/>
          <w:color w:val="auto"/>
          <w:szCs w:val="24"/>
          <w:highlight w:val="none"/>
          <w:lang w:val="zh-CN"/>
        </w:rPr>
      </w:pPr>
    </w:p>
    <w:p w14:paraId="7B4F1FFE">
      <w:pPr>
        <w:autoSpaceDE w:val="0"/>
        <w:autoSpaceDN w:val="0"/>
        <w:adjustRightInd w:val="0"/>
        <w:spacing w:line="360" w:lineRule="auto"/>
        <w:jc w:val="center"/>
        <w:outlineLvl w:val="9"/>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说明：由投标人使用投标人的企业数字证书电子签名。</w:t>
      </w:r>
    </w:p>
    <w:p w14:paraId="53B5BF53">
      <w:pPr>
        <w:tabs>
          <w:tab w:val="left" w:pos="567"/>
        </w:tabs>
        <w:autoSpaceDE w:val="0"/>
        <w:autoSpaceDN w:val="0"/>
        <w:adjustRightInd w:val="0"/>
        <w:spacing w:line="360" w:lineRule="auto"/>
        <w:jc w:val="left"/>
        <w:outlineLvl w:val="1"/>
        <w:rPr>
          <w:rFonts w:hint="eastAsia"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918" w:name="_Toc102860426"/>
      <w:bookmarkStart w:id="919" w:name="_Toc29505"/>
      <w:bookmarkStart w:id="920" w:name="_Toc5473"/>
      <w:bookmarkStart w:id="921" w:name="_Toc13179"/>
      <w:bookmarkStart w:id="922" w:name="_Toc142508377"/>
      <w:bookmarkStart w:id="923" w:name="_Toc104991884"/>
      <w:bookmarkStart w:id="924" w:name="_Toc140596937"/>
      <w:bookmarkStart w:id="925" w:name="_Toc94107218"/>
      <w:bookmarkStart w:id="926" w:name="_Toc102860082"/>
      <w:bookmarkStart w:id="927" w:name="_Toc3472"/>
      <w:bookmarkStart w:id="928" w:name="_Toc486167717"/>
      <w:bookmarkStart w:id="929" w:name="_Toc27980_WPSOffice_Level2"/>
      <w:r>
        <w:rPr>
          <w:rFonts w:hint="eastAsia" w:ascii="宋体" w:hAnsi="宋体" w:eastAsia="宋体" w:cs="宋体"/>
          <w:b/>
          <w:color w:val="auto"/>
          <w:kern w:val="0"/>
          <w:sz w:val="32"/>
          <w:szCs w:val="32"/>
          <w:highlight w:val="none"/>
          <w:lang w:val="en-US" w:eastAsia="zh-CN"/>
        </w:rPr>
        <w:t>十、</w:t>
      </w:r>
      <w:r>
        <w:rPr>
          <w:rFonts w:hint="eastAsia" w:ascii="宋体" w:hAnsi="宋体" w:eastAsia="宋体" w:cs="宋体"/>
          <w:b/>
          <w:color w:val="auto"/>
          <w:kern w:val="0"/>
          <w:sz w:val="32"/>
          <w:szCs w:val="32"/>
          <w:highlight w:val="none"/>
        </w:rPr>
        <w:t>业绩表格式</w:t>
      </w:r>
      <w:bookmarkEnd w:id="918"/>
      <w:bookmarkEnd w:id="919"/>
      <w:bookmarkEnd w:id="920"/>
      <w:bookmarkEnd w:id="921"/>
      <w:bookmarkEnd w:id="922"/>
      <w:bookmarkEnd w:id="923"/>
      <w:bookmarkEnd w:id="924"/>
      <w:bookmarkEnd w:id="925"/>
      <w:bookmarkEnd w:id="926"/>
      <w:bookmarkEnd w:id="927"/>
    </w:p>
    <w:p w14:paraId="66AEF120">
      <w:pPr>
        <w:autoSpaceDE w:val="0"/>
        <w:autoSpaceDN w:val="0"/>
        <w:adjustRightInd w:val="0"/>
        <w:spacing w:line="360" w:lineRule="auto"/>
        <w:ind w:firstLine="0"/>
        <w:jc w:val="center"/>
        <w:outlineLvl w:val="9"/>
        <w:rPr>
          <w:rFonts w:hint="eastAsia" w:ascii="宋体" w:hAnsi="宋体" w:eastAsia="宋体" w:cs="Times New Roman"/>
          <w:b/>
          <w:bCs/>
          <w:color w:val="auto"/>
          <w:sz w:val="30"/>
          <w:szCs w:val="30"/>
          <w:highlight w:val="none"/>
          <w:lang w:val="zh-CN"/>
        </w:rPr>
      </w:pPr>
      <w:bookmarkStart w:id="930" w:name="_Toc13226"/>
      <w:bookmarkStart w:id="931" w:name="_Toc30603"/>
      <w:r>
        <w:rPr>
          <w:rFonts w:hint="eastAsia" w:ascii="宋体" w:hAnsi="宋体" w:eastAsia="宋体" w:cs="Times New Roman"/>
          <w:b/>
          <w:bCs/>
          <w:color w:val="auto"/>
          <w:sz w:val="30"/>
          <w:szCs w:val="30"/>
          <w:highlight w:val="none"/>
          <w:lang w:val="en-US" w:eastAsia="zh-CN"/>
        </w:rPr>
        <w:t>投标人</w:t>
      </w:r>
      <w:bookmarkEnd w:id="930"/>
      <w:bookmarkEnd w:id="931"/>
      <w:r>
        <w:rPr>
          <w:rFonts w:hint="eastAsia" w:ascii="宋体" w:hAnsi="宋体" w:eastAsia="宋体" w:cs="Times New Roman"/>
          <w:b/>
          <w:bCs/>
          <w:color w:val="auto"/>
          <w:sz w:val="30"/>
          <w:szCs w:val="30"/>
          <w:highlight w:val="none"/>
          <w:lang w:val="en-US" w:eastAsia="zh-CN"/>
        </w:rPr>
        <w:t>2022年1月1日以来承接的物业管理服务项目业绩表</w:t>
      </w:r>
    </w:p>
    <w:tbl>
      <w:tblPr>
        <w:tblStyle w:val="213"/>
        <w:tblW w:w="482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29"/>
        <w:gridCol w:w="611"/>
        <w:gridCol w:w="780"/>
        <w:gridCol w:w="1051"/>
        <w:gridCol w:w="1051"/>
        <w:gridCol w:w="725"/>
        <w:gridCol w:w="837"/>
        <w:gridCol w:w="848"/>
        <w:gridCol w:w="725"/>
        <w:gridCol w:w="705"/>
        <w:gridCol w:w="820"/>
        <w:gridCol w:w="560"/>
      </w:tblGrid>
      <w:tr w14:paraId="20474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1" w:hRule="atLeast"/>
        </w:trPr>
        <w:tc>
          <w:tcPr>
            <w:tcW w:w="235" w:type="pct"/>
            <w:vAlign w:val="center"/>
          </w:tcPr>
          <w:p w14:paraId="50D06C7E">
            <w:pPr>
              <w:pStyle w:val="21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color w:val="auto"/>
              </w:rPr>
            </w:pPr>
            <w:r>
              <w:rPr>
                <w:color w:val="auto"/>
              </w:rPr>
              <w:t>序号</w:t>
            </w:r>
          </w:p>
        </w:tc>
        <w:tc>
          <w:tcPr>
            <w:tcW w:w="334" w:type="pct"/>
            <w:vAlign w:val="center"/>
          </w:tcPr>
          <w:p w14:paraId="68C5E597">
            <w:pPr>
              <w:pStyle w:val="21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color w:val="auto"/>
              </w:rPr>
            </w:pPr>
            <w:r>
              <w:rPr>
                <w:rFonts w:hint="default"/>
                <w:color w:val="auto"/>
                <w:spacing w:val="4"/>
                <w:lang w:val="en-US" w:eastAsia="zh-CN"/>
              </w:rPr>
              <w:t>项目名称</w:t>
            </w:r>
          </w:p>
        </w:tc>
        <w:tc>
          <w:tcPr>
            <w:tcW w:w="426" w:type="pct"/>
            <w:vAlign w:val="center"/>
          </w:tcPr>
          <w:p w14:paraId="4140D7DD">
            <w:pPr>
              <w:pStyle w:val="21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color w:val="auto"/>
              </w:rPr>
            </w:pPr>
            <w:r>
              <w:rPr>
                <w:color w:val="auto"/>
                <w:spacing w:val="4"/>
              </w:rPr>
              <w:t>合同主</w:t>
            </w:r>
            <w:r>
              <w:rPr>
                <w:color w:val="auto"/>
                <w:spacing w:val="-3"/>
              </w:rPr>
              <w:t>要服务</w:t>
            </w:r>
            <w:r>
              <w:rPr>
                <w:color w:val="auto"/>
                <w:spacing w:val="5"/>
              </w:rPr>
              <w:t>内容</w:t>
            </w:r>
          </w:p>
        </w:tc>
        <w:tc>
          <w:tcPr>
            <w:tcW w:w="574" w:type="pct"/>
            <w:vAlign w:val="center"/>
          </w:tcPr>
          <w:p w14:paraId="6EA70F5E">
            <w:pPr>
              <w:pStyle w:val="21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color w:val="auto"/>
              </w:rPr>
            </w:pPr>
            <w:r>
              <w:rPr>
                <w:color w:val="auto"/>
                <w:spacing w:val="-2"/>
              </w:rPr>
              <w:t>物业服务</w:t>
            </w:r>
          </w:p>
          <w:p w14:paraId="22A77E90">
            <w:pPr>
              <w:pStyle w:val="21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color w:val="auto"/>
              </w:rPr>
            </w:pPr>
            <w:r>
              <w:rPr>
                <w:color w:val="auto"/>
                <w:spacing w:val="3"/>
              </w:rPr>
              <w:t>项目年度</w:t>
            </w:r>
          </w:p>
          <w:p w14:paraId="734AFD96">
            <w:pPr>
              <w:pStyle w:val="21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color w:val="auto"/>
              </w:rPr>
            </w:pPr>
            <w:r>
              <w:rPr>
                <w:color w:val="auto"/>
                <w:spacing w:val="-3"/>
              </w:rPr>
              <w:t>金额</w:t>
            </w:r>
          </w:p>
          <w:p w14:paraId="0E3048DE">
            <w:pPr>
              <w:pStyle w:val="21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color w:val="auto"/>
              </w:rPr>
            </w:pPr>
            <w:r>
              <w:rPr>
                <w:color w:val="auto"/>
                <w:spacing w:val="12"/>
              </w:rPr>
              <w:t>(万元)</w:t>
            </w:r>
          </w:p>
        </w:tc>
        <w:tc>
          <w:tcPr>
            <w:tcW w:w="574" w:type="pct"/>
            <w:vAlign w:val="center"/>
          </w:tcPr>
          <w:p w14:paraId="5272E42B">
            <w:pPr>
              <w:pStyle w:val="21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color w:val="auto"/>
              </w:rPr>
            </w:pPr>
            <w:r>
              <w:rPr>
                <w:color w:val="auto"/>
                <w:spacing w:val="4"/>
              </w:rPr>
              <w:t>单项合同</w:t>
            </w:r>
          </w:p>
          <w:p w14:paraId="0085012A">
            <w:pPr>
              <w:pStyle w:val="21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color w:val="auto"/>
              </w:rPr>
            </w:pPr>
            <w:r>
              <w:rPr>
                <w:color w:val="auto"/>
                <w:spacing w:val="2"/>
              </w:rPr>
              <w:t>总金额</w:t>
            </w:r>
          </w:p>
          <w:p w14:paraId="079660C9">
            <w:pPr>
              <w:pStyle w:val="21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color w:val="auto"/>
              </w:rPr>
            </w:pPr>
            <w:r>
              <w:rPr>
                <w:color w:val="auto"/>
                <w:spacing w:val="12"/>
              </w:rPr>
              <w:t>(万元)</w:t>
            </w:r>
          </w:p>
        </w:tc>
        <w:tc>
          <w:tcPr>
            <w:tcW w:w="396" w:type="pct"/>
            <w:vAlign w:val="center"/>
          </w:tcPr>
          <w:p w14:paraId="4078F806">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color w:val="auto"/>
                <w:sz w:val="21"/>
              </w:rPr>
            </w:pPr>
          </w:p>
          <w:p w14:paraId="3C968AE0">
            <w:pPr>
              <w:pStyle w:val="21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color w:val="auto"/>
              </w:rPr>
            </w:pPr>
            <w:r>
              <w:rPr>
                <w:color w:val="auto"/>
                <w:spacing w:val="-3"/>
              </w:rPr>
              <w:t>物业</w:t>
            </w:r>
          </w:p>
          <w:p w14:paraId="11B499D7">
            <w:pPr>
              <w:pStyle w:val="21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color w:val="auto"/>
              </w:rPr>
            </w:pPr>
            <w:r>
              <w:rPr>
                <w:color w:val="auto"/>
                <w:spacing w:val="7"/>
              </w:rPr>
              <w:t>类型</w:t>
            </w:r>
          </w:p>
        </w:tc>
        <w:tc>
          <w:tcPr>
            <w:tcW w:w="457" w:type="pct"/>
            <w:vAlign w:val="center"/>
          </w:tcPr>
          <w:p w14:paraId="5B8376C7">
            <w:pPr>
              <w:pStyle w:val="21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color w:val="auto"/>
              </w:rPr>
            </w:pPr>
            <w:r>
              <w:rPr>
                <w:color w:val="auto"/>
                <w:spacing w:val="-6"/>
              </w:rPr>
              <w:t>建筑</w:t>
            </w:r>
            <w:r>
              <w:rPr>
                <w:color w:val="auto"/>
              </w:rPr>
              <w:t xml:space="preserve">  </w:t>
            </w:r>
            <w:r>
              <w:rPr>
                <w:color w:val="auto"/>
                <w:spacing w:val="7"/>
              </w:rPr>
              <w:t>面积</w:t>
            </w:r>
            <w:r>
              <w:rPr>
                <w:color w:val="auto"/>
              </w:rPr>
              <w:t xml:space="preserve">  </w:t>
            </w:r>
            <w:r>
              <w:rPr>
                <w:color w:val="auto"/>
                <w:spacing w:val="6"/>
              </w:rPr>
              <w:t>(万平</w:t>
            </w:r>
          </w:p>
          <w:p w14:paraId="1E0BA758">
            <w:pPr>
              <w:pStyle w:val="21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color w:val="auto"/>
              </w:rPr>
            </w:pPr>
            <w:r>
              <w:rPr>
                <w:color w:val="auto"/>
                <w:spacing w:val="16"/>
              </w:rPr>
              <w:t>方米)</w:t>
            </w:r>
          </w:p>
        </w:tc>
        <w:tc>
          <w:tcPr>
            <w:tcW w:w="463" w:type="pct"/>
            <w:vAlign w:val="center"/>
          </w:tcPr>
          <w:p w14:paraId="29E2F7EF">
            <w:pPr>
              <w:pStyle w:val="21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color w:val="auto"/>
              </w:rPr>
            </w:pPr>
            <w:r>
              <w:rPr>
                <w:color w:val="auto"/>
                <w:spacing w:val="-6"/>
              </w:rPr>
              <w:t>建筑</w:t>
            </w:r>
            <w:r>
              <w:rPr>
                <w:color w:val="auto"/>
                <w:spacing w:val="-5"/>
              </w:rPr>
              <w:t>层数</w:t>
            </w:r>
            <w:r>
              <w:rPr>
                <w:color w:val="auto"/>
              </w:rPr>
              <w:t xml:space="preserve"> </w:t>
            </w:r>
            <w:r>
              <w:rPr>
                <w:color w:val="auto"/>
                <w:spacing w:val="22"/>
              </w:rPr>
              <w:t>(层)</w:t>
            </w:r>
          </w:p>
        </w:tc>
        <w:tc>
          <w:tcPr>
            <w:tcW w:w="396" w:type="pct"/>
            <w:vAlign w:val="center"/>
          </w:tcPr>
          <w:p w14:paraId="0F850076">
            <w:pPr>
              <w:pStyle w:val="21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color w:val="auto"/>
              </w:rPr>
            </w:pPr>
            <w:r>
              <w:rPr>
                <w:color w:val="auto"/>
                <w:spacing w:val="9"/>
              </w:rPr>
              <w:t>合同</w:t>
            </w:r>
          </w:p>
          <w:p w14:paraId="2E88107A">
            <w:pPr>
              <w:pStyle w:val="21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color w:val="auto"/>
              </w:rPr>
            </w:pPr>
            <w:r>
              <w:rPr>
                <w:color w:val="auto"/>
                <w:spacing w:val="6"/>
              </w:rPr>
              <w:t>期限</w:t>
            </w:r>
          </w:p>
        </w:tc>
        <w:tc>
          <w:tcPr>
            <w:tcW w:w="385" w:type="pct"/>
            <w:vAlign w:val="center"/>
          </w:tcPr>
          <w:p w14:paraId="3A3E0AAD">
            <w:pPr>
              <w:pStyle w:val="21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color w:val="auto"/>
              </w:rPr>
            </w:pPr>
            <w:r>
              <w:rPr>
                <w:color w:val="auto"/>
                <w:spacing w:val="9"/>
              </w:rPr>
              <w:t>签约</w:t>
            </w:r>
          </w:p>
          <w:p w14:paraId="7E8FBB0C">
            <w:pPr>
              <w:pStyle w:val="21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color w:val="auto"/>
              </w:rPr>
            </w:pPr>
            <w:r>
              <w:rPr>
                <w:color w:val="auto"/>
                <w:spacing w:val="12"/>
              </w:rPr>
              <w:t>日期</w:t>
            </w:r>
          </w:p>
        </w:tc>
        <w:tc>
          <w:tcPr>
            <w:tcW w:w="448" w:type="pct"/>
            <w:vAlign w:val="center"/>
          </w:tcPr>
          <w:p w14:paraId="73113F70">
            <w:pPr>
              <w:pStyle w:val="21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color w:val="auto"/>
              </w:rPr>
            </w:pPr>
            <w:r>
              <w:rPr>
                <w:color w:val="auto"/>
                <w:spacing w:val="-2"/>
              </w:rPr>
              <w:t>业主联</w:t>
            </w:r>
          </w:p>
          <w:p w14:paraId="0606F323">
            <w:pPr>
              <w:pStyle w:val="21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color w:val="auto"/>
              </w:rPr>
            </w:pPr>
            <w:r>
              <w:rPr>
                <w:color w:val="auto"/>
                <w:spacing w:val="4"/>
              </w:rPr>
              <w:t>系人及</w:t>
            </w:r>
            <w:r>
              <w:rPr>
                <w:color w:val="auto"/>
              </w:rPr>
              <w:t xml:space="preserve"> </w:t>
            </w:r>
            <w:r>
              <w:rPr>
                <w:color w:val="auto"/>
                <w:spacing w:val="4"/>
              </w:rPr>
              <w:t>电话</w:t>
            </w:r>
          </w:p>
        </w:tc>
        <w:tc>
          <w:tcPr>
            <w:tcW w:w="306" w:type="pct"/>
            <w:vAlign w:val="center"/>
          </w:tcPr>
          <w:p w14:paraId="58F2F105">
            <w:pPr>
              <w:pStyle w:val="21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color w:val="auto"/>
              </w:rPr>
            </w:pPr>
            <w:r>
              <w:rPr>
                <w:color w:val="auto"/>
                <w:spacing w:val="10"/>
              </w:rPr>
              <w:t>备注</w:t>
            </w:r>
          </w:p>
        </w:tc>
      </w:tr>
      <w:tr w14:paraId="7026FD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235" w:type="pct"/>
            <w:vAlign w:val="top"/>
          </w:tcPr>
          <w:p w14:paraId="39DFA54B">
            <w:pPr>
              <w:pStyle w:val="21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color w:val="auto"/>
              </w:rPr>
            </w:pPr>
            <w:r>
              <w:rPr>
                <w:color w:val="auto"/>
              </w:rPr>
              <w:t>1</w:t>
            </w:r>
          </w:p>
        </w:tc>
        <w:tc>
          <w:tcPr>
            <w:tcW w:w="334" w:type="pct"/>
            <w:vAlign w:val="top"/>
          </w:tcPr>
          <w:p w14:paraId="11959060">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color w:val="auto"/>
                <w:sz w:val="21"/>
              </w:rPr>
            </w:pPr>
          </w:p>
        </w:tc>
        <w:tc>
          <w:tcPr>
            <w:tcW w:w="426" w:type="pct"/>
            <w:vAlign w:val="top"/>
          </w:tcPr>
          <w:p w14:paraId="1EF9428D">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color w:val="auto"/>
                <w:sz w:val="21"/>
              </w:rPr>
            </w:pPr>
          </w:p>
        </w:tc>
        <w:tc>
          <w:tcPr>
            <w:tcW w:w="574" w:type="pct"/>
            <w:vAlign w:val="top"/>
          </w:tcPr>
          <w:p w14:paraId="701D3C7D">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color w:val="auto"/>
                <w:sz w:val="21"/>
              </w:rPr>
            </w:pPr>
          </w:p>
        </w:tc>
        <w:tc>
          <w:tcPr>
            <w:tcW w:w="574" w:type="pct"/>
            <w:vAlign w:val="top"/>
          </w:tcPr>
          <w:p w14:paraId="58A78C1A">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color w:val="auto"/>
                <w:sz w:val="21"/>
              </w:rPr>
            </w:pPr>
          </w:p>
        </w:tc>
        <w:tc>
          <w:tcPr>
            <w:tcW w:w="396" w:type="pct"/>
            <w:vAlign w:val="top"/>
          </w:tcPr>
          <w:p w14:paraId="45AF20D0">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color w:val="auto"/>
                <w:sz w:val="21"/>
              </w:rPr>
            </w:pPr>
          </w:p>
        </w:tc>
        <w:tc>
          <w:tcPr>
            <w:tcW w:w="457" w:type="pct"/>
            <w:vAlign w:val="top"/>
          </w:tcPr>
          <w:p w14:paraId="40DA2597">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color w:val="auto"/>
                <w:sz w:val="21"/>
              </w:rPr>
            </w:pPr>
          </w:p>
        </w:tc>
        <w:tc>
          <w:tcPr>
            <w:tcW w:w="463" w:type="pct"/>
            <w:vAlign w:val="top"/>
          </w:tcPr>
          <w:p w14:paraId="30927483">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color w:val="auto"/>
                <w:sz w:val="21"/>
              </w:rPr>
            </w:pPr>
          </w:p>
        </w:tc>
        <w:tc>
          <w:tcPr>
            <w:tcW w:w="396" w:type="pct"/>
            <w:vAlign w:val="top"/>
          </w:tcPr>
          <w:p w14:paraId="6DEEB8C7">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color w:val="auto"/>
                <w:sz w:val="21"/>
              </w:rPr>
            </w:pPr>
          </w:p>
        </w:tc>
        <w:tc>
          <w:tcPr>
            <w:tcW w:w="385" w:type="pct"/>
            <w:vAlign w:val="top"/>
          </w:tcPr>
          <w:p w14:paraId="28D7DF15">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color w:val="auto"/>
                <w:sz w:val="21"/>
              </w:rPr>
            </w:pPr>
          </w:p>
        </w:tc>
        <w:tc>
          <w:tcPr>
            <w:tcW w:w="448" w:type="pct"/>
            <w:vAlign w:val="top"/>
          </w:tcPr>
          <w:p w14:paraId="58DB331E">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color w:val="auto"/>
                <w:sz w:val="21"/>
              </w:rPr>
            </w:pPr>
          </w:p>
        </w:tc>
        <w:tc>
          <w:tcPr>
            <w:tcW w:w="306" w:type="pct"/>
            <w:vAlign w:val="top"/>
          </w:tcPr>
          <w:p w14:paraId="04B7DD5C">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color w:val="auto"/>
                <w:sz w:val="21"/>
              </w:rPr>
            </w:pPr>
          </w:p>
        </w:tc>
      </w:tr>
      <w:tr w14:paraId="06D96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rPr>
        <w:tc>
          <w:tcPr>
            <w:tcW w:w="235" w:type="pct"/>
            <w:vAlign w:val="top"/>
          </w:tcPr>
          <w:p w14:paraId="001B306C">
            <w:pPr>
              <w:pStyle w:val="21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color w:val="auto"/>
              </w:rPr>
            </w:pPr>
            <w:r>
              <w:rPr>
                <w:color w:val="auto"/>
              </w:rPr>
              <w:t>2</w:t>
            </w:r>
          </w:p>
        </w:tc>
        <w:tc>
          <w:tcPr>
            <w:tcW w:w="334" w:type="pct"/>
            <w:vAlign w:val="top"/>
          </w:tcPr>
          <w:p w14:paraId="748FE7DA">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color w:val="auto"/>
                <w:sz w:val="21"/>
              </w:rPr>
            </w:pPr>
          </w:p>
        </w:tc>
        <w:tc>
          <w:tcPr>
            <w:tcW w:w="426" w:type="pct"/>
            <w:vAlign w:val="top"/>
          </w:tcPr>
          <w:p w14:paraId="7AF72CB4">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color w:val="auto"/>
                <w:sz w:val="21"/>
              </w:rPr>
            </w:pPr>
          </w:p>
        </w:tc>
        <w:tc>
          <w:tcPr>
            <w:tcW w:w="574" w:type="pct"/>
            <w:vAlign w:val="top"/>
          </w:tcPr>
          <w:p w14:paraId="399A3711">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color w:val="auto"/>
                <w:sz w:val="21"/>
              </w:rPr>
            </w:pPr>
          </w:p>
        </w:tc>
        <w:tc>
          <w:tcPr>
            <w:tcW w:w="574" w:type="pct"/>
            <w:vAlign w:val="top"/>
          </w:tcPr>
          <w:p w14:paraId="4C3D8D1B">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color w:val="auto"/>
                <w:sz w:val="21"/>
              </w:rPr>
            </w:pPr>
          </w:p>
        </w:tc>
        <w:tc>
          <w:tcPr>
            <w:tcW w:w="396" w:type="pct"/>
            <w:vAlign w:val="top"/>
          </w:tcPr>
          <w:p w14:paraId="16F98C61">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color w:val="auto"/>
                <w:sz w:val="21"/>
              </w:rPr>
            </w:pPr>
          </w:p>
        </w:tc>
        <w:tc>
          <w:tcPr>
            <w:tcW w:w="457" w:type="pct"/>
            <w:vAlign w:val="top"/>
          </w:tcPr>
          <w:p w14:paraId="52D2A58E">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color w:val="auto"/>
                <w:sz w:val="21"/>
              </w:rPr>
            </w:pPr>
          </w:p>
        </w:tc>
        <w:tc>
          <w:tcPr>
            <w:tcW w:w="463" w:type="pct"/>
            <w:vAlign w:val="top"/>
          </w:tcPr>
          <w:p w14:paraId="4748FB90">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color w:val="auto"/>
                <w:sz w:val="21"/>
              </w:rPr>
            </w:pPr>
          </w:p>
        </w:tc>
        <w:tc>
          <w:tcPr>
            <w:tcW w:w="396" w:type="pct"/>
            <w:vAlign w:val="top"/>
          </w:tcPr>
          <w:p w14:paraId="17ABB5FA">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color w:val="auto"/>
                <w:sz w:val="21"/>
              </w:rPr>
            </w:pPr>
          </w:p>
        </w:tc>
        <w:tc>
          <w:tcPr>
            <w:tcW w:w="385" w:type="pct"/>
            <w:vAlign w:val="top"/>
          </w:tcPr>
          <w:p w14:paraId="5E7C0876">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color w:val="auto"/>
                <w:sz w:val="21"/>
              </w:rPr>
            </w:pPr>
          </w:p>
        </w:tc>
        <w:tc>
          <w:tcPr>
            <w:tcW w:w="448" w:type="pct"/>
            <w:vAlign w:val="top"/>
          </w:tcPr>
          <w:p w14:paraId="68D5C151">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color w:val="auto"/>
                <w:sz w:val="21"/>
              </w:rPr>
            </w:pPr>
          </w:p>
        </w:tc>
        <w:tc>
          <w:tcPr>
            <w:tcW w:w="306" w:type="pct"/>
            <w:vAlign w:val="top"/>
          </w:tcPr>
          <w:p w14:paraId="54287303">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color w:val="auto"/>
                <w:sz w:val="21"/>
              </w:rPr>
            </w:pPr>
          </w:p>
        </w:tc>
      </w:tr>
      <w:tr w14:paraId="0887FB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4" w:hRule="atLeast"/>
        </w:trPr>
        <w:tc>
          <w:tcPr>
            <w:tcW w:w="235" w:type="pct"/>
            <w:vAlign w:val="top"/>
          </w:tcPr>
          <w:p w14:paraId="126D9BB1">
            <w:pPr>
              <w:pStyle w:val="21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color w:val="auto"/>
              </w:rPr>
            </w:pPr>
            <w:r>
              <w:rPr>
                <w:color w:val="auto"/>
              </w:rPr>
              <w:t>3</w:t>
            </w:r>
          </w:p>
        </w:tc>
        <w:tc>
          <w:tcPr>
            <w:tcW w:w="334" w:type="pct"/>
            <w:vAlign w:val="top"/>
          </w:tcPr>
          <w:p w14:paraId="2215C5FB">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color w:val="auto"/>
                <w:sz w:val="21"/>
              </w:rPr>
            </w:pPr>
          </w:p>
        </w:tc>
        <w:tc>
          <w:tcPr>
            <w:tcW w:w="426" w:type="pct"/>
            <w:vAlign w:val="top"/>
          </w:tcPr>
          <w:p w14:paraId="05E9B9D7">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color w:val="auto"/>
                <w:sz w:val="21"/>
              </w:rPr>
            </w:pPr>
          </w:p>
        </w:tc>
        <w:tc>
          <w:tcPr>
            <w:tcW w:w="574" w:type="pct"/>
            <w:vAlign w:val="top"/>
          </w:tcPr>
          <w:p w14:paraId="77CFA2CE">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color w:val="auto"/>
                <w:sz w:val="21"/>
              </w:rPr>
            </w:pPr>
          </w:p>
        </w:tc>
        <w:tc>
          <w:tcPr>
            <w:tcW w:w="574" w:type="pct"/>
            <w:vAlign w:val="top"/>
          </w:tcPr>
          <w:p w14:paraId="7A68B107">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color w:val="auto"/>
                <w:sz w:val="21"/>
              </w:rPr>
            </w:pPr>
          </w:p>
        </w:tc>
        <w:tc>
          <w:tcPr>
            <w:tcW w:w="396" w:type="pct"/>
            <w:vAlign w:val="top"/>
          </w:tcPr>
          <w:p w14:paraId="1D841938">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color w:val="auto"/>
                <w:sz w:val="21"/>
              </w:rPr>
            </w:pPr>
          </w:p>
        </w:tc>
        <w:tc>
          <w:tcPr>
            <w:tcW w:w="457" w:type="pct"/>
            <w:vAlign w:val="top"/>
          </w:tcPr>
          <w:p w14:paraId="2507AC90">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color w:val="auto"/>
                <w:sz w:val="21"/>
              </w:rPr>
            </w:pPr>
          </w:p>
        </w:tc>
        <w:tc>
          <w:tcPr>
            <w:tcW w:w="463" w:type="pct"/>
            <w:vAlign w:val="top"/>
          </w:tcPr>
          <w:p w14:paraId="00CD0B1A">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color w:val="auto"/>
                <w:sz w:val="21"/>
              </w:rPr>
            </w:pPr>
          </w:p>
        </w:tc>
        <w:tc>
          <w:tcPr>
            <w:tcW w:w="396" w:type="pct"/>
            <w:vAlign w:val="top"/>
          </w:tcPr>
          <w:p w14:paraId="3C98775A">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color w:val="auto"/>
                <w:sz w:val="21"/>
              </w:rPr>
            </w:pPr>
          </w:p>
        </w:tc>
        <w:tc>
          <w:tcPr>
            <w:tcW w:w="385" w:type="pct"/>
            <w:vAlign w:val="top"/>
          </w:tcPr>
          <w:p w14:paraId="48BDF5C3">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color w:val="auto"/>
                <w:sz w:val="21"/>
              </w:rPr>
            </w:pPr>
          </w:p>
        </w:tc>
        <w:tc>
          <w:tcPr>
            <w:tcW w:w="448" w:type="pct"/>
            <w:vAlign w:val="top"/>
          </w:tcPr>
          <w:p w14:paraId="15BACF34">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color w:val="auto"/>
                <w:sz w:val="21"/>
              </w:rPr>
            </w:pPr>
          </w:p>
        </w:tc>
        <w:tc>
          <w:tcPr>
            <w:tcW w:w="306" w:type="pct"/>
            <w:vAlign w:val="top"/>
          </w:tcPr>
          <w:p w14:paraId="6ABABC43">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color w:val="auto"/>
                <w:sz w:val="21"/>
              </w:rPr>
            </w:pPr>
          </w:p>
        </w:tc>
      </w:tr>
      <w:tr w14:paraId="75F2E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235" w:type="pct"/>
            <w:vAlign w:val="top"/>
          </w:tcPr>
          <w:p w14:paraId="5D649A09">
            <w:pPr>
              <w:pStyle w:val="21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color w:val="auto"/>
              </w:rPr>
            </w:pPr>
            <w:r>
              <w:rPr>
                <w:color w:val="auto"/>
                <w:position w:val="2"/>
              </w:rPr>
              <w:t>…</w:t>
            </w:r>
          </w:p>
        </w:tc>
        <w:tc>
          <w:tcPr>
            <w:tcW w:w="334" w:type="pct"/>
            <w:vAlign w:val="top"/>
          </w:tcPr>
          <w:p w14:paraId="29E25C8A">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color w:val="auto"/>
                <w:sz w:val="21"/>
              </w:rPr>
            </w:pPr>
          </w:p>
        </w:tc>
        <w:tc>
          <w:tcPr>
            <w:tcW w:w="426" w:type="pct"/>
            <w:vAlign w:val="top"/>
          </w:tcPr>
          <w:p w14:paraId="43EE9CFA">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color w:val="auto"/>
                <w:sz w:val="21"/>
              </w:rPr>
            </w:pPr>
          </w:p>
        </w:tc>
        <w:tc>
          <w:tcPr>
            <w:tcW w:w="574" w:type="pct"/>
            <w:vAlign w:val="top"/>
          </w:tcPr>
          <w:p w14:paraId="6B07825A">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color w:val="auto"/>
                <w:sz w:val="21"/>
              </w:rPr>
            </w:pPr>
          </w:p>
        </w:tc>
        <w:tc>
          <w:tcPr>
            <w:tcW w:w="574" w:type="pct"/>
            <w:vAlign w:val="top"/>
          </w:tcPr>
          <w:p w14:paraId="68825B08">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color w:val="auto"/>
                <w:sz w:val="21"/>
              </w:rPr>
            </w:pPr>
          </w:p>
        </w:tc>
        <w:tc>
          <w:tcPr>
            <w:tcW w:w="396" w:type="pct"/>
            <w:vAlign w:val="top"/>
          </w:tcPr>
          <w:p w14:paraId="50847E81">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color w:val="auto"/>
                <w:sz w:val="21"/>
              </w:rPr>
            </w:pPr>
          </w:p>
        </w:tc>
        <w:tc>
          <w:tcPr>
            <w:tcW w:w="457" w:type="pct"/>
            <w:vAlign w:val="top"/>
          </w:tcPr>
          <w:p w14:paraId="3E1DE5A2">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color w:val="auto"/>
                <w:sz w:val="21"/>
              </w:rPr>
            </w:pPr>
          </w:p>
        </w:tc>
        <w:tc>
          <w:tcPr>
            <w:tcW w:w="463" w:type="pct"/>
            <w:vAlign w:val="top"/>
          </w:tcPr>
          <w:p w14:paraId="485E73F1">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color w:val="auto"/>
                <w:sz w:val="21"/>
              </w:rPr>
            </w:pPr>
          </w:p>
        </w:tc>
        <w:tc>
          <w:tcPr>
            <w:tcW w:w="396" w:type="pct"/>
            <w:vAlign w:val="top"/>
          </w:tcPr>
          <w:p w14:paraId="30BDF5A0">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color w:val="auto"/>
                <w:sz w:val="21"/>
              </w:rPr>
            </w:pPr>
          </w:p>
        </w:tc>
        <w:tc>
          <w:tcPr>
            <w:tcW w:w="385" w:type="pct"/>
            <w:vAlign w:val="top"/>
          </w:tcPr>
          <w:p w14:paraId="7015584E">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color w:val="auto"/>
                <w:sz w:val="21"/>
              </w:rPr>
            </w:pPr>
          </w:p>
        </w:tc>
        <w:tc>
          <w:tcPr>
            <w:tcW w:w="448" w:type="pct"/>
            <w:vAlign w:val="top"/>
          </w:tcPr>
          <w:p w14:paraId="3CD5D6E9">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color w:val="auto"/>
                <w:sz w:val="21"/>
              </w:rPr>
            </w:pPr>
          </w:p>
        </w:tc>
        <w:tc>
          <w:tcPr>
            <w:tcW w:w="306" w:type="pct"/>
            <w:vAlign w:val="top"/>
          </w:tcPr>
          <w:p w14:paraId="066B3D8F">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color w:val="auto"/>
                <w:sz w:val="21"/>
              </w:rPr>
            </w:pPr>
          </w:p>
        </w:tc>
      </w:tr>
    </w:tbl>
    <w:p w14:paraId="55BA50D6">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p>
    <w:p w14:paraId="76D991DA">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0E2D36DB">
      <w:pPr>
        <w:numPr>
          <w:ilvl w:val="-1"/>
          <w:numId w:val="0"/>
        </w:numPr>
        <w:autoSpaceDE w:val="0"/>
        <w:autoSpaceDN w:val="0"/>
        <w:adjustRightInd/>
        <w:snapToGrid w:val="0"/>
        <w:spacing w:line="360" w:lineRule="auto"/>
        <w:ind w:left="0" w:leftChars="0" w:firstLine="0" w:firstLineChars="0"/>
        <w:jc w:val="left"/>
        <w:rPr>
          <w:rFonts w:hint="eastAsia" w:ascii="宋体" w:hAnsi="宋体" w:eastAsia="宋体" w:cs="Times New Roman"/>
          <w:b/>
          <w:bCs/>
          <w:color w:val="auto"/>
          <w:szCs w:val="24"/>
          <w:highlight w:val="none"/>
          <w:lang w:val="zh-CN" w:eastAsia="zh-CN"/>
        </w:rPr>
      </w:pPr>
      <w:r>
        <w:rPr>
          <w:rFonts w:hint="eastAsia" w:ascii="宋体" w:hAnsi="宋体" w:eastAsia="宋体" w:cs="Times New Roman"/>
          <w:b/>
          <w:bCs/>
          <w:color w:val="auto"/>
          <w:szCs w:val="24"/>
          <w:highlight w:val="none"/>
          <w:lang w:val="zh-CN" w:eastAsia="zh-CN"/>
        </w:rPr>
        <w:t>（1）项目业绩按</w:t>
      </w:r>
      <w:r>
        <w:rPr>
          <w:rFonts w:hint="eastAsia" w:ascii="宋体" w:hAnsi="宋体" w:eastAsia="宋体" w:cs="Times New Roman"/>
          <w:b/>
          <w:bCs/>
          <w:color w:val="auto"/>
          <w:szCs w:val="24"/>
          <w:highlight w:val="none"/>
          <w:lang w:val="en-US" w:eastAsia="zh-CN"/>
        </w:rPr>
        <w:t>物业服务项目年度</w:t>
      </w:r>
      <w:r>
        <w:rPr>
          <w:rFonts w:hint="eastAsia" w:ascii="宋体" w:hAnsi="宋体" w:eastAsia="宋体" w:cs="Times New Roman"/>
          <w:b/>
          <w:bCs/>
          <w:color w:val="auto"/>
          <w:szCs w:val="24"/>
          <w:highlight w:val="none"/>
          <w:lang w:val="zh-CN" w:eastAsia="zh-CN"/>
        </w:rPr>
        <w:t>金额从高到低的方式排列；同一个单项合同的业绩可以同时在资格业绩和评分业绩重复放置；</w:t>
      </w:r>
    </w:p>
    <w:p w14:paraId="75F8E5E8">
      <w:pPr>
        <w:numPr>
          <w:ilvl w:val="-1"/>
          <w:numId w:val="0"/>
        </w:numPr>
        <w:autoSpaceDE w:val="0"/>
        <w:autoSpaceDN w:val="0"/>
        <w:adjustRightInd/>
        <w:snapToGrid w:val="0"/>
        <w:spacing w:line="360" w:lineRule="auto"/>
        <w:jc w:val="left"/>
        <w:rPr>
          <w:rFonts w:hint="eastAsia" w:ascii="宋体" w:hAnsi="宋体" w:eastAsia="宋体" w:cs="Times New Roman"/>
          <w:b/>
          <w:bCs/>
          <w:color w:val="auto"/>
          <w:szCs w:val="24"/>
          <w:highlight w:val="none"/>
          <w:lang w:val="zh-CN" w:eastAsia="zh-CN"/>
        </w:rPr>
      </w:pPr>
      <w:bookmarkStart w:id="932" w:name="_Toc23981"/>
      <w:bookmarkStart w:id="933" w:name="_Toc3876"/>
      <w:r>
        <w:rPr>
          <w:rFonts w:hint="eastAsia" w:ascii="宋体" w:hAnsi="宋体" w:eastAsia="宋体" w:cs="Times New Roman"/>
          <w:b/>
          <w:bCs/>
          <w:color w:val="auto"/>
          <w:szCs w:val="24"/>
          <w:highlight w:val="none"/>
          <w:lang w:val="zh-CN" w:eastAsia="zh-CN"/>
        </w:rPr>
        <w:t>（2）</w:t>
      </w:r>
      <w:bookmarkEnd w:id="932"/>
      <w:bookmarkEnd w:id="933"/>
      <w:r>
        <w:rPr>
          <w:rFonts w:hint="eastAsia" w:ascii="宋体" w:hAnsi="宋体" w:eastAsia="宋体" w:cs="Times New Roman"/>
          <w:b/>
          <w:bCs/>
          <w:color w:val="auto"/>
          <w:szCs w:val="24"/>
          <w:highlight w:val="none"/>
          <w:lang w:val="zh-CN" w:eastAsia="zh-CN"/>
        </w:rPr>
        <w:t>业绩须附合同扫描件(合同服务提供方为投标人),和已服务的任意一张发票扫描件（发票开具日期须在本项目招标公告发布之日前），否则不得分。</w:t>
      </w:r>
    </w:p>
    <w:p w14:paraId="53E2BCE7">
      <w:pPr>
        <w:numPr>
          <w:ilvl w:val="-1"/>
          <w:numId w:val="0"/>
        </w:numPr>
        <w:autoSpaceDE w:val="0"/>
        <w:autoSpaceDN w:val="0"/>
        <w:adjustRightInd/>
        <w:snapToGrid w:val="0"/>
        <w:spacing w:line="360" w:lineRule="auto"/>
        <w:jc w:val="left"/>
        <w:rPr>
          <w:rFonts w:hint="eastAsia" w:ascii="宋体" w:hAnsi="宋体" w:eastAsia="宋体" w:cs="Times New Roman"/>
          <w:b/>
          <w:bCs/>
          <w:color w:val="auto"/>
          <w:szCs w:val="24"/>
          <w:highlight w:val="none"/>
          <w:lang w:val="zh-CN" w:eastAsia="zh-CN"/>
        </w:rPr>
      </w:pPr>
      <w:r>
        <w:rPr>
          <w:rFonts w:hint="eastAsia" w:ascii="宋体" w:hAnsi="宋体" w:eastAsia="宋体" w:cs="Times New Roman"/>
          <w:b/>
          <w:bCs/>
          <w:color w:val="auto"/>
          <w:szCs w:val="24"/>
          <w:highlight w:val="none"/>
          <w:lang w:val="zh-CN" w:eastAsia="zh-CN"/>
        </w:rPr>
        <w:t>（</w:t>
      </w:r>
      <w:r>
        <w:rPr>
          <w:rFonts w:hint="eastAsia" w:ascii="宋体" w:hAnsi="宋体" w:eastAsia="宋体" w:cs="Times New Roman"/>
          <w:b/>
          <w:bCs/>
          <w:color w:val="auto"/>
          <w:szCs w:val="24"/>
          <w:highlight w:val="none"/>
          <w:lang w:val="en-US" w:eastAsia="zh-CN"/>
        </w:rPr>
        <w:t>3</w:t>
      </w:r>
      <w:r>
        <w:rPr>
          <w:rFonts w:hint="eastAsia" w:ascii="宋体" w:hAnsi="宋体" w:eastAsia="宋体" w:cs="Times New Roman"/>
          <w:b/>
          <w:bCs/>
          <w:color w:val="auto"/>
          <w:szCs w:val="24"/>
          <w:highlight w:val="none"/>
          <w:lang w:val="zh-CN" w:eastAsia="zh-CN"/>
        </w:rPr>
        <w:t>）合同必须能反映评分条件（合同签订日期、合同期限、合同金额、物业类型、建筑面积平方数、建筑层数），合同服务内容必须为物业管理服务且同时包含保洁（或清洁或环境卫生）及保安（或安保或秩序维护）服务，否则，需同时提供服务发包人（业主）出具的书面文件扫描件（需加盖服务发包人公章，即扫描件能显示服务发包人公章）或发包人（业主）加盖公章反映条件的招标文件扫描件或政府部门出具的相关证明材料扫描件作为辅助证明，否则不得分。</w:t>
      </w:r>
    </w:p>
    <w:p w14:paraId="40164962">
      <w:pPr>
        <w:numPr>
          <w:ilvl w:val="-1"/>
          <w:numId w:val="0"/>
        </w:numPr>
        <w:autoSpaceDE w:val="0"/>
        <w:autoSpaceDN w:val="0"/>
        <w:adjustRightInd/>
        <w:snapToGrid w:val="0"/>
        <w:spacing w:line="360" w:lineRule="auto"/>
        <w:jc w:val="left"/>
        <w:rPr>
          <w:rFonts w:hint="eastAsia" w:ascii="宋体" w:hAnsi="宋体" w:eastAsia="宋体" w:cs="Times New Roman"/>
          <w:b/>
          <w:bCs/>
          <w:color w:val="auto"/>
          <w:szCs w:val="24"/>
          <w:highlight w:val="none"/>
          <w:lang w:val="zh-CN" w:eastAsia="zh-CN"/>
        </w:rPr>
      </w:pPr>
      <w:r>
        <w:rPr>
          <w:rFonts w:hint="eastAsia" w:ascii="宋体" w:hAnsi="宋体" w:eastAsia="宋体" w:cs="Times New Roman"/>
          <w:b/>
          <w:bCs/>
          <w:color w:val="auto"/>
          <w:szCs w:val="24"/>
          <w:highlight w:val="none"/>
          <w:lang w:val="zh-CN" w:eastAsia="zh-CN"/>
        </w:rPr>
        <w:t>（</w:t>
      </w:r>
      <w:r>
        <w:rPr>
          <w:rFonts w:hint="eastAsia" w:ascii="宋体" w:hAnsi="宋体" w:eastAsia="宋体" w:cs="Times New Roman"/>
          <w:b/>
          <w:bCs/>
          <w:color w:val="auto"/>
          <w:szCs w:val="24"/>
          <w:highlight w:val="none"/>
          <w:lang w:val="en-US" w:eastAsia="zh-CN"/>
        </w:rPr>
        <w:t>4</w:t>
      </w:r>
      <w:r>
        <w:rPr>
          <w:rFonts w:hint="eastAsia" w:ascii="宋体" w:hAnsi="宋体" w:eastAsia="宋体" w:cs="Times New Roman"/>
          <w:b/>
          <w:bCs/>
          <w:color w:val="auto"/>
          <w:szCs w:val="24"/>
          <w:highlight w:val="none"/>
          <w:lang w:val="zh-CN" w:eastAsia="zh-CN"/>
        </w:rPr>
        <w:t>）招标文件“业绩”评分标准中第（2）项评审项业绩的物业类型须为商务办公楼或写字楼，不包括住宅小区、公寓、公园、工业园区、车站、机场、学校、医院项目，否则不得分。</w:t>
      </w:r>
    </w:p>
    <w:p w14:paraId="57CC2324">
      <w:pPr>
        <w:numPr>
          <w:ilvl w:val="-1"/>
          <w:numId w:val="0"/>
        </w:numPr>
        <w:autoSpaceDE w:val="0"/>
        <w:autoSpaceDN w:val="0"/>
        <w:adjustRightInd/>
        <w:snapToGrid w:val="0"/>
        <w:spacing w:line="360" w:lineRule="auto"/>
        <w:jc w:val="left"/>
        <w:rPr>
          <w:rFonts w:hint="eastAsia" w:ascii="宋体" w:hAnsi="宋体" w:eastAsia="宋体" w:cs="Times New Roman"/>
          <w:b/>
          <w:bCs/>
          <w:color w:val="auto"/>
          <w:szCs w:val="24"/>
          <w:highlight w:val="none"/>
          <w:lang w:val="en-US" w:eastAsia="zh-CN"/>
        </w:rPr>
      </w:pPr>
      <w:r>
        <w:rPr>
          <w:rFonts w:hint="eastAsia" w:ascii="宋体" w:hAnsi="宋体" w:eastAsia="宋体" w:cs="Times New Roman"/>
          <w:b/>
          <w:bCs/>
          <w:color w:val="auto"/>
          <w:szCs w:val="24"/>
          <w:highlight w:val="none"/>
          <w:lang w:val="en-US" w:eastAsia="zh-CN"/>
        </w:rPr>
        <w:t>（5）若业绩为框架式协议或资格入围无明确金额的合同</w:t>
      </w:r>
      <w:r>
        <w:rPr>
          <w:rFonts w:hint="eastAsia" w:ascii="宋体" w:hAnsi="宋体" w:eastAsia="宋体" w:cs="Times New Roman"/>
          <w:b/>
          <w:bCs/>
          <w:color w:val="auto"/>
          <w:szCs w:val="24"/>
          <w:highlight w:val="none"/>
          <w:lang w:val="zh-CN" w:eastAsia="zh-CN"/>
        </w:rPr>
        <w:t>(本表内填写物业服务项目年度金额和单项合同实际服务总金额)</w:t>
      </w:r>
      <w:r>
        <w:rPr>
          <w:rFonts w:hint="eastAsia" w:ascii="宋体" w:hAnsi="宋体" w:eastAsia="宋体" w:cs="Times New Roman"/>
          <w:b/>
          <w:bCs/>
          <w:color w:val="auto"/>
          <w:szCs w:val="24"/>
          <w:highlight w:val="none"/>
          <w:lang w:val="en-US" w:eastAsia="zh-CN"/>
        </w:rPr>
        <w:t>，必须同时提供合同期限内已服务发票金额统计表和发票</w:t>
      </w:r>
      <w:r>
        <w:rPr>
          <w:rFonts w:hint="eastAsia" w:ascii="宋体" w:hAnsi="宋体" w:eastAsia="宋体" w:cs="Times New Roman"/>
          <w:b/>
          <w:bCs/>
          <w:color w:val="auto"/>
          <w:szCs w:val="24"/>
          <w:highlight w:val="none"/>
          <w:lang w:val="zh-CN" w:eastAsia="zh-CN"/>
        </w:rPr>
        <w:t>扫描件</w:t>
      </w:r>
      <w:r>
        <w:rPr>
          <w:rFonts w:hint="eastAsia" w:ascii="宋体" w:hAnsi="宋体" w:eastAsia="宋体" w:cs="Times New Roman"/>
          <w:b/>
          <w:bCs/>
          <w:color w:val="auto"/>
          <w:szCs w:val="24"/>
          <w:highlight w:val="none"/>
          <w:lang w:val="en-US" w:eastAsia="zh-CN"/>
        </w:rPr>
        <w:t>。发票合计金额视为投标人所提供该单项物业服务项目实际总金额，评审时按物业服务项目年度金额进行评审。</w:t>
      </w:r>
    </w:p>
    <w:p w14:paraId="28489411">
      <w:pPr>
        <w:numPr>
          <w:ilvl w:val="-1"/>
          <w:numId w:val="0"/>
        </w:numPr>
        <w:autoSpaceDE w:val="0"/>
        <w:autoSpaceDN w:val="0"/>
        <w:adjustRightInd/>
        <w:snapToGrid w:val="0"/>
        <w:spacing w:line="360" w:lineRule="auto"/>
        <w:jc w:val="left"/>
        <w:rPr>
          <w:rFonts w:hint="eastAsia" w:ascii="宋体" w:hAnsi="宋体" w:eastAsia="宋体" w:cs="Times New Roman"/>
          <w:b/>
          <w:bCs/>
          <w:color w:val="auto"/>
          <w:szCs w:val="24"/>
          <w:highlight w:val="none"/>
          <w:lang w:val="zh-CN" w:eastAsia="zh-CN"/>
        </w:rPr>
      </w:pPr>
      <w:r>
        <w:rPr>
          <w:rFonts w:hint="eastAsia" w:ascii="宋体" w:hAnsi="宋体" w:eastAsia="宋体" w:cs="Times New Roman"/>
          <w:b/>
          <w:bCs/>
          <w:color w:val="auto"/>
          <w:szCs w:val="24"/>
          <w:highlight w:val="none"/>
          <w:lang w:val="zh-CN" w:eastAsia="zh-CN"/>
        </w:rPr>
        <w:t>（6）单项合同服务期限要求大于或等于一年，小于一年的业绩合同在评标时将不予考虑；若单项合同服务期限为一年的，“物业服务项目年度金额”为单项合同服务期内总金额；若单项合同服务期限超过一年的，“物业服务项目年度金额”为单项合同总金额按照合同期限折算成平均每年度的金额，即（单项合同总金额/合同服务期月数）×12。</w:t>
      </w:r>
    </w:p>
    <w:p w14:paraId="66667DA2">
      <w:pPr>
        <w:numPr>
          <w:ilvl w:val="-1"/>
          <w:numId w:val="0"/>
        </w:numPr>
        <w:autoSpaceDE w:val="0"/>
        <w:autoSpaceDN w:val="0"/>
        <w:adjustRightInd/>
        <w:snapToGrid w:val="0"/>
        <w:spacing w:line="360" w:lineRule="auto"/>
        <w:jc w:val="left"/>
        <w:rPr>
          <w:rFonts w:hint="eastAsia" w:ascii="宋体" w:hAnsi="宋体" w:eastAsia="宋体" w:cs="Times New Roman"/>
          <w:b/>
          <w:bCs/>
          <w:color w:val="auto"/>
          <w:szCs w:val="24"/>
          <w:highlight w:val="none"/>
          <w:lang w:val="zh-CN" w:eastAsia="zh-CN"/>
        </w:rPr>
      </w:pPr>
      <w:r>
        <w:rPr>
          <w:rFonts w:hint="eastAsia" w:ascii="宋体" w:hAnsi="宋体" w:eastAsia="宋体" w:cs="Times New Roman"/>
          <w:b/>
          <w:bCs/>
          <w:color w:val="auto"/>
          <w:szCs w:val="24"/>
          <w:highlight w:val="none"/>
          <w:lang w:val="zh-CN" w:eastAsia="zh-CN"/>
        </w:rPr>
        <w:t>（</w:t>
      </w:r>
      <w:r>
        <w:rPr>
          <w:rFonts w:hint="eastAsia" w:ascii="宋体" w:hAnsi="宋体" w:eastAsia="宋体" w:cs="Times New Roman"/>
          <w:b/>
          <w:bCs/>
          <w:color w:val="auto"/>
          <w:szCs w:val="24"/>
          <w:highlight w:val="none"/>
          <w:lang w:val="en-US" w:eastAsia="zh-CN"/>
        </w:rPr>
        <w:t>7</w:t>
      </w:r>
      <w:r>
        <w:rPr>
          <w:rFonts w:hint="eastAsia" w:ascii="宋体" w:hAnsi="宋体" w:eastAsia="宋体" w:cs="Times New Roman"/>
          <w:b/>
          <w:bCs/>
          <w:color w:val="auto"/>
          <w:szCs w:val="24"/>
          <w:highlight w:val="none"/>
          <w:lang w:val="zh-CN" w:eastAsia="zh-CN"/>
        </w:rPr>
        <w:t>）未按上述要求提供相关证明材料的业绩，或所附材料无法证明填报项目属投标人完成的或符合本项评分要求的业绩，在评标时将不予考虑。</w:t>
      </w:r>
    </w:p>
    <w:p w14:paraId="4057F1F5">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color w:val="auto"/>
          <w:szCs w:val="24"/>
          <w:highlight w:val="none"/>
          <w:lang w:val="zh-CN"/>
        </w:rPr>
      </w:pPr>
    </w:p>
    <w:p w14:paraId="2A76C35F">
      <w:pPr>
        <w:autoSpaceDE w:val="0"/>
        <w:autoSpaceDN w:val="0"/>
        <w:adjustRightInd w:val="0"/>
        <w:spacing w:line="360" w:lineRule="auto"/>
        <w:ind w:firstLine="3780" w:firstLineChars="18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1D41664B">
      <w:pPr>
        <w:autoSpaceDE w:val="0"/>
        <w:autoSpaceDN w:val="0"/>
        <w:adjustRightInd w:val="0"/>
        <w:spacing w:line="360" w:lineRule="auto"/>
        <w:ind w:firstLine="3780" w:firstLineChars="1800"/>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426FE6D5">
      <w:pPr>
        <w:autoSpaceDE w:val="0"/>
        <w:autoSpaceDN w:val="0"/>
        <w:adjustRightInd w:val="0"/>
        <w:spacing w:line="360" w:lineRule="auto"/>
        <w:jc w:val="center"/>
        <w:rPr>
          <w:rFonts w:hint="eastAsia" w:ascii="宋体" w:hAnsi="宋体" w:eastAsia="宋体" w:cs="宋体"/>
          <w:b/>
          <w:bCs/>
          <w:color w:val="auto"/>
          <w:szCs w:val="24"/>
          <w:highlight w:val="none"/>
          <w:lang w:val="zh-CN"/>
        </w:rPr>
      </w:pPr>
    </w:p>
    <w:p w14:paraId="0CF59654">
      <w:pPr>
        <w:autoSpaceDE w:val="0"/>
        <w:autoSpaceDN w:val="0"/>
        <w:adjustRightInd w:val="0"/>
        <w:spacing w:line="360" w:lineRule="auto"/>
        <w:jc w:val="center"/>
        <w:rPr>
          <w:rFonts w:hint="eastAsia" w:ascii="宋体" w:hAnsi="宋体" w:eastAsia="宋体" w:cs="宋体"/>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说明：由投标人使用投标人的企业数字证书电子签名。</w:t>
      </w:r>
    </w:p>
    <w:bookmarkEnd w:id="928"/>
    <w:bookmarkEnd w:id="929"/>
    <w:p w14:paraId="2769DAA5">
      <w:pPr>
        <w:pageBreakBefore/>
        <w:snapToGrid w:val="0"/>
        <w:spacing w:line="360" w:lineRule="auto"/>
        <w:ind w:left="671" w:leftChars="-58" w:hanging="793" w:hangingChars="247"/>
        <w:rPr>
          <w:rFonts w:hint="eastAsia" w:ascii="宋体" w:hAnsi="宋体" w:eastAsia="宋体" w:cs="宋体"/>
          <w:b/>
          <w:color w:val="auto"/>
          <w:kern w:val="2"/>
          <w:sz w:val="32"/>
          <w:szCs w:val="32"/>
          <w:highlight w:val="none"/>
          <w:lang w:val="zh-CN"/>
        </w:rPr>
      </w:pPr>
      <w:bookmarkStart w:id="934" w:name="_Toc142508379"/>
      <w:bookmarkStart w:id="935" w:name="_Toc102860084"/>
      <w:bookmarkStart w:id="936" w:name="_Toc140596939"/>
      <w:bookmarkStart w:id="937" w:name="_Toc1977738"/>
      <w:bookmarkStart w:id="938" w:name="_Toc102860428"/>
      <w:bookmarkStart w:id="939" w:name="_Toc94107221"/>
      <w:bookmarkStart w:id="940" w:name="_Toc24616"/>
      <w:bookmarkStart w:id="941" w:name="_Toc104991886"/>
      <w:bookmarkStart w:id="942" w:name="_Toc533708134"/>
      <w:bookmarkStart w:id="943" w:name="_Toc486167721"/>
      <w:r>
        <w:rPr>
          <w:rFonts w:hint="eastAsia" w:ascii="宋体" w:hAnsi="宋体" w:eastAsia="宋体" w:cs="宋体"/>
          <w:b/>
          <w:color w:val="auto"/>
          <w:kern w:val="2"/>
          <w:sz w:val="32"/>
          <w:szCs w:val="32"/>
          <w:highlight w:val="none"/>
          <w:lang w:val="zh-CN"/>
        </w:rPr>
        <w:t>附表：已服务发票金额统计表</w:t>
      </w:r>
    </w:p>
    <w:tbl>
      <w:tblPr>
        <w:tblStyle w:val="41"/>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3202"/>
        <w:gridCol w:w="1135"/>
        <w:gridCol w:w="1274"/>
        <w:gridCol w:w="1558"/>
        <w:gridCol w:w="1241"/>
      </w:tblGrid>
      <w:tr w14:paraId="1BD57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noWrap w:val="0"/>
            <w:vAlign w:val="center"/>
          </w:tcPr>
          <w:p w14:paraId="6D503C87">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项目名称</w:t>
            </w:r>
          </w:p>
        </w:tc>
        <w:tc>
          <w:tcPr>
            <w:tcW w:w="5208" w:type="dxa"/>
            <w:gridSpan w:val="4"/>
            <w:noWrap w:val="0"/>
            <w:vAlign w:val="center"/>
          </w:tcPr>
          <w:p w14:paraId="522E59C7">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r>
      <w:tr w14:paraId="45E6A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noWrap w:val="0"/>
            <w:vAlign w:val="center"/>
          </w:tcPr>
          <w:p w14:paraId="2BBF4615">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合同约定的服务期</w:t>
            </w:r>
          </w:p>
        </w:tc>
        <w:tc>
          <w:tcPr>
            <w:tcW w:w="5208" w:type="dxa"/>
            <w:gridSpan w:val="4"/>
            <w:noWrap w:val="0"/>
            <w:vAlign w:val="center"/>
          </w:tcPr>
          <w:p w14:paraId="7AACDCEA">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r>
      <w:tr w14:paraId="6C6CA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noWrap w:val="0"/>
            <w:vAlign w:val="center"/>
          </w:tcPr>
          <w:p w14:paraId="775E9EDB">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发票抬头（</w:t>
            </w:r>
            <w:r>
              <w:rPr>
                <w:rFonts w:hint="eastAsia" w:ascii="宋体" w:hAnsi="宋体" w:eastAsia="宋体" w:cs="宋体"/>
                <w:color w:val="auto"/>
                <w:kern w:val="2"/>
                <w:sz w:val="21"/>
                <w:szCs w:val="20"/>
                <w:highlight w:val="none"/>
                <w:lang w:val="en-US" w:eastAsia="zh-CN" w:bidi="ar-SA"/>
              </w:rPr>
              <w:t>合同服务购买方）</w:t>
            </w:r>
          </w:p>
        </w:tc>
        <w:tc>
          <w:tcPr>
            <w:tcW w:w="5208" w:type="dxa"/>
            <w:gridSpan w:val="4"/>
            <w:noWrap w:val="0"/>
            <w:vAlign w:val="center"/>
          </w:tcPr>
          <w:p w14:paraId="6328980E">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r>
      <w:tr w14:paraId="141D3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noWrap w:val="0"/>
            <w:vAlign w:val="center"/>
          </w:tcPr>
          <w:p w14:paraId="325FE578">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序号</w:t>
            </w:r>
          </w:p>
        </w:tc>
        <w:tc>
          <w:tcPr>
            <w:tcW w:w="3202" w:type="dxa"/>
            <w:noWrap w:val="0"/>
            <w:vAlign w:val="center"/>
          </w:tcPr>
          <w:p w14:paraId="2CC723D1">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发票名目</w:t>
            </w:r>
          </w:p>
        </w:tc>
        <w:tc>
          <w:tcPr>
            <w:tcW w:w="1135" w:type="dxa"/>
            <w:noWrap w:val="0"/>
            <w:vAlign w:val="center"/>
          </w:tcPr>
          <w:p w14:paraId="7868262D">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发票金额</w:t>
            </w:r>
          </w:p>
        </w:tc>
        <w:tc>
          <w:tcPr>
            <w:tcW w:w="1274" w:type="dxa"/>
            <w:noWrap w:val="0"/>
            <w:vAlign w:val="center"/>
          </w:tcPr>
          <w:p w14:paraId="54334B32">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发票号码</w:t>
            </w:r>
          </w:p>
        </w:tc>
        <w:tc>
          <w:tcPr>
            <w:tcW w:w="1558" w:type="dxa"/>
            <w:noWrap w:val="0"/>
            <w:vAlign w:val="center"/>
          </w:tcPr>
          <w:p w14:paraId="35449B35">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发票所属时期</w:t>
            </w:r>
          </w:p>
        </w:tc>
        <w:tc>
          <w:tcPr>
            <w:tcW w:w="1241" w:type="dxa"/>
            <w:noWrap w:val="0"/>
            <w:vAlign w:val="center"/>
          </w:tcPr>
          <w:p w14:paraId="65A27E76">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备注</w:t>
            </w:r>
          </w:p>
        </w:tc>
      </w:tr>
      <w:tr w14:paraId="5DC47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noWrap w:val="0"/>
            <w:vAlign w:val="center"/>
          </w:tcPr>
          <w:p w14:paraId="4DE7666D">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3202" w:type="dxa"/>
            <w:noWrap w:val="0"/>
            <w:vAlign w:val="center"/>
          </w:tcPr>
          <w:p w14:paraId="1882E174">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c>
          <w:tcPr>
            <w:tcW w:w="1135" w:type="dxa"/>
            <w:noWrap w:val="0"/>
            <w:vAlign w:val="center"/>
          </w:tcPr>
          <w:p w14:paraId="15E85086">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c>
          <w:tcPr>
            <w:tcW w:w="1274" w:type="dxa"/>
            <w:noWrap w:val="0"/>
            <w:vAlign w:val="center"/>
          </w:tcPr>
          <w:p w14:paraId="4CC9DF56">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c>
          <w:tcPr>
            <w:tcW w:w="1558" w:type="dxa"/>
            <w:noWrap w:val="0"/>
            <w:vAlign w:val="center"/>
          </w:tcPr>
          <w:p w14:paraId="1C8F91C2">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c>
          <w:tcPr>
            <w:tcW w:w="1241" w:type="dxa"/>
            <w:noWrap w:val="0"/>
            <w:vAlign w:val="center"/>
          </w:tcPr>
          <w:p w14:paraId="2D8F9D53">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r>
      <w:tr w14:paraId="15669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noWrap w:val="0"/>
            <w:vAlign w:val="center"/>
          </w:tcPr>
          <w:p w14:paraId="6DE7BE27">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p>
        </w:tc>
        <w:tc>
          <w:tcPr>
            <w:tcW w:w="3202" w:type="dxa"/>
            <w:noWrap w:val="0"/>
            <w:vAlign w:val="center"/>
          </w:tcPr>
          <w:p w14:paraId="74C55D60">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c>
          <w:tcPr>
            <w:tcW w:w="1135" w:type="dxa"/>
            <w:noWrap w:val="0"/>
            <w:vAlign w:val="center"/>
          </w:tcPr>
          <w:p w14:paraId="6D7EECC5">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c>
          <w:tcPr>
            <w:tcW w:w="1274" w:type="dxa"/>
            <w:noWrap w:val="0"/>
            <w:vAlign w:val="center"/>
          </w:tcPr>
          <w:p w14:paraId="141F3161">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c>
          <w:tcPr>
            <w:tcW w:w="1558" w:type="dxa"/>
            <w:noWrap w:val="0"/>
            <w:vAlign w:val="center"/>
          </w:tcPr>
          <w:p w14:paraId="037294B6">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c>
          <w:tcPr>
            <w:tcW w:w="1241" w:type="dxa"/>
            <w:noWrap w:val="0"/>
            <w:vAlign w:val="center"/>
          </w:tcPr>
          <w:p w14:paraId="3F2CA2FD">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r>
      <w:tr w14:paraId="59F34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noWrap w:val="0"/>
            <w:vAlign w:val="center"/>
          </w:tcPr>
          <w:p w14:paraId="239BB118">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p>
        </w:tc>
        <w:tc>
          <w:tcPr>
            <w:tcW w:w="3202" w:type="dxa"/>
            <w:noWrap w:val="0"/>
            <w:vAlign w:val="center"/>
          </w:tcPr>
          <w:p w14:paraId="58CDB80A">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c>
          <w:tcPr>
            <w:tcW w:w="1135" w:type="dxa"/>
            <w:noWrap w:val="0"/>
            <w:vAlign w:val="center"/>
          </w:tcPr>
          <w:p w14:paraId="4112D072">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c>
          <w:tcPr>
            <w:tcW w:w="1274" w:type="dxa"/>
            <w:noWrap w:val="0"/>
            <w:vAlign w:val="center"/>
          </w:tcPr>
          <w:p w14:paraId="7D73185A">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c>
          <w:tcPr>
            <w:tcW w:w="1558" w:type="dxa"/>
            <w:noWrap w:val="0"/>
            <w:vAlign w:val="center"/>
          </w:tcPr>
          <w:p w14:paraId="6BAACBCD">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c>
          <w:tcPr>
            <w:tcW w:w="1241" w:type="dxa"/>
            <w:noWrap w:val="0"/>
            <w:vAlign w:val="center"/>
          </w:tcPr>
          <w:p w14:paraId="51DD5B1A">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r>
      <w:tr w14:paraId="6CF43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noWrap w:val="0"/>
            <w:vAlign w:val="center"/>
          </w:tcPr>
          <w:p w14:paraId="4CD09B17">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p>
        </w:tc>
        <w:tc>
          <w:tcPr>
            <w:tcW w:w="3202" w:type="dxa"/>
            <w:noWrap w:val="0"/>
            <w:vAlign w:val="center"/>
          </w:tcPr>
          <w:p w14:paraId="09AC3069">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c>
          <w:tcPr>
            <w:tcW w:w="1135" w:type="dxa"/>
            <w:noWrap w:val="0"/>
            <w:vAlign w:val="center"/>
          </w:tcPr>
          <w:p w14:paraId="38022098">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c>
          <w:tcPr>
            <w:tcW w:w="1274" w:type="dxa"/>
            <w:noWrap w:val="0"/>
            <w:vAlign w:val="center"/>
          </w:tcPr>
          <w:p w14:paraId="35B9AEE9">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c>
          <w:tcPr>
            <w:tcW w:w="1558" w:type="dxa"/>
            <w:noWrap w:val="0"/>
            <w:vAlign w:val="center"/>
          </w:tcPr>
          <w:p w14:paraId="3A1081B6">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c>
          <w:tcPr>
            <w:tcW w:w="1241" w:type="dxa"/>
            <w:noWrap w:val="0"/>
            <w:vAlign w:val="center"/>
          </w:tcPr>
          <w:p w14:paraId="499F487D">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r>
      <w:tr w14:paraId="3C4F5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4079" w:type="dxa"/>
            <w:gridSpan w:val="2"/>
            <w:noWrap w:val="0"/>
            <w:vAlign w:val="center"/>
          </w:tcPr>
          <w:p w14:paraId="219A9D05">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发票金额合计</w:t>
            </w:r>
          </w:p>
        </w:tc>
        <w:tc>
          <w:tcPr>
            <w:tcW w:w="1135" w:type="dxa"/>
            <w:noWrap w:val="0"/>
            <w:vAlign w:val="center"/>
          </w:tcPr>
          <w:p w14:paraId="655FB36B">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c>
          <w:tcPr>
            <w:tcW w:w="1274" w:type="dxa"/>
            <w:noWrap w:val="0"/>
            <w:vAlign w:val="center"/>
          </w:tcPr>
          <w:p w14:paraId="7C3221C2">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c>
          <w:tcPr>
            <w:tcW w:w="1558" w:type="dxa"/>
            <w:noWrap w:val="0"/>
            <w:vAlign w:val="center"/>
          </w:tcPr>
          <w:p w14:paraId="5E87047D">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c>
          <w:tcPr>
            <w:tcW w:w="1241" w:type="dxa"/>
            <w:noWrap w:val="0"/>
            <w:vAlign w:val="center"/>
          </w:tcPr>
          <w:p w14:paraId="79D1E8EB">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r>
    </w:tbl>
    <w:p w14:paraId="06BC8572">
      <w:pPr>
        <w:snapToGrid w:val="0"/>
        <w:spacing w:line="360" w:lineRule="auto"/>
        <w:ind w:left="491" w:leftChars="-57" w:hanging="611" w:hangingChars="291"/>
        <w:rPr>
          <w:rFonts w:hint="eastAsia" w:ascii="宋体" w:hAnsi="宋体" w:eastAsia="宋体" w:cs="宋体"/>
          <w:color w:val="auto"/>
          <w:kern w:val="2"/>
          <w:sz w:val="21"/>
          <w:highlight w:val="none"/>
        </w:rPr>
      </w:pPr>
    </w:p>
    <w:p w14:paraId="763A58FB">
      <w:pPr>
        <w:snapToGrid w:val="0"/>
        <w:spacing w:line="360" w:lineRule="auto"/>
        <w:ind w:left="611" w:hanging="611" w:hangingChars="291"/>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备注：</w:t>
      </w:r>
    </w:p>
    <w:p w14:paraId="0EADFB0D">
      <w:pPr>
        <w:snapToGrid w:val="0"/>
        <w:spacing w:line="360" w:lineRule="auto"/>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（1）投标人提供框架式协议或资格入围无明确金额的合同时，须同时提供本统计表及发票</w:t>
      </w:r>
      <w:r>
        <w:rPr>
          <w:rFonts w:hint="eastAsia" w:ascii="宋体" w:hAnsi="宋体" w:eastAsia="宋体" w:cs="宋体"/>
          <w:color w:val="auto"/>
          <w:kern w:val="2"/>
          <w:sz w:val="21"/>
          <w:highlight w:val="none"/>
          <w:lang w:eastAsia="zh-CN"/>
        </w:rPr>
        <w:t>扫描件</w:t>
      </w:r>
      <w:r>
        <w:rPr>
          <w:rFonts w:hint="eastAsia" w:ascii="宋体" w:hAnsi="宋体" w:eastAsia="宋体" w:cs="宋体"/>
          <w:color w:val="auto"/>
          <w:kern w:val="2"/>
          <w:sz w:val="21"/>
          <w:highlight w:val="none"/>
        </w:rPr>
        <w:t>，本统计表及发票</w:t>
      </w:r>
      <w:r>
        <w:rPr>
          <w:rFonts w:hint="eastAsia" w:ascii="宋体" w:hAnsi="宋体" w:eastAsia="宋体" w:cs="宋体"/>
          <w:color w:val="auto"/>
          <w:kern w:val="2"/>
          <w:sz w:val="21"/>
          <w:highlight w:val="none"/>
          <w:lang w:eastAsia="zh-CN"/>
        </w:rPr>
        <w:t>扫描件</w:t>
      </w:r>
      <w:r>
        <w:rPr>
          <w:rFonts w:hint="eastAsia" w:ascii="宋体" w:hAnsi="宋体" w:eastAsia="宋体" w:cs="宋体"/>
          <w:color w:val="auto"/>
          <w:kern w:val="2"/>
          <w:sz w:val="21"/>
          <w:highlight w:val="none"/>
        </w:rPr>
        <w:t>应后附于合同</w:t>
      </w:r>
      <w:r>
        <w:rPr>
          <w:rFonts w:hint="eastAsia" w:ascii="宋体" w:hAnsi="宋体" w:eastAsia="宋体" w:cs="宋体"/>
          <w:color w:val="auto"/>
          <w:kern w:val="2"/>
          <w:sz w:val="21"/>
          <w:highlight w:val="none"/>
          <w:lang w:eastAsia="zh-CN"/>
        </w:rPr>
        <w:t>扫描件</w:t>
      </w:r>
      <w:r>
        <w:rPr>
          <w:rFonts w:hint="eastAsia" w:ascii="宋体" w:hAnsi="宋体" w:eastAsia="宋体" w:cs="宋体"/>
          <w:color w:val="auto"/>
          <w:kern w:val="2"/>
          <w:sz w:val="21"/>
          <w:highlight w:val="none"/>
        </w:rPr>
        <w:t>。</w:t>
      </w:r>
    </w:p>
    <w:p w14:paraId="1E9AC096">
      <w:pPr>
        <w:snapToGrid w:val="0"/>
        <w:spacing w:line="360" w:lineRule="auto"/>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（2）发票抬头应为合同服务购买方，</w:t>
      </w:r>
      <w:r>
        <w:rPr>
          <w:rFonts w:hint="eastAsia" w:ascii="宋体" w:hAnsi="宋体" w:eastAsia="宋体" w:cs="宋体"/>
          <w:color w:val="auto"/>
          <w:kern w:val="2"/>
          <w:sz w:val="21"/>
          <w:highlight w:val="none"/>
          <w:lang w:val="en-US" w:eastAsia="zh-CN"/>
        </w:rPr>
        <w:t>收款人</w:t>
      </w:r>
      <w:r>
        <w:rPr>
          <w:rFonts w:hint="eastAsia" w:ascii="宋体" w:hAnsi="宋体" w:eastAsia="宋体" w:cs="宋体"/>
          <w:color w:val="auto"/>
          <w:kern w:val="2"/>
          <w:sz w:val="21"/>
          <w:highlight w:val="none"/>
        </w:rPr>
        <w:t>应为投标人，且发票名目、所属时期应与合同约定内容一致，否则不计分。</w:t>
      </w:r>
    </w:p>
    <w:p w14:paraId="697217A6">
      <w:pPr>
        <w:snapToGrid w:val="0"/>
        <w:spacing w:line="360" w:lineRule="auto"/>
        <w:rPr>
          <w:color w:val="auto"/>
          <w:lang w:val="zh-CN"/>
        </w:rPr>
      </w:pPr>
      <w:r>
        <w:rPr>
          <w:rFonts w:hint="eastAsia" w:ascii="宋体" w:hAnsi="宋体" w:eastAsia="宋体" w:cs="宋体"/>
          <w:color w:val="auto"/>
          <w:kern w:val="2"/>
          <w:sz w:val="21"/>
          <w:highlight w:val="none"/>
        </w:rPr>
        <w:t>（3）发票合计金额视为投标人所提供该单项物业服务项目实际总金额，评审时将按照物业服务项目年度金额进行评审。</w:t>
      </w:r>
    </w:p>
    <w:p w14:paraId="775478C1">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z w:val="32"/>
          <w:szCs w:val="32"/>
          <w:lang w:val="en-US" w:eastAsia="zh-CN"/>
        </w:rPr>
      </w:pPr>
      <w:bookmarkStart w:id="944" w:name="_Toc85553401"/>
      <w:bookmarkStart w:id="945" w:name="_Toc117668212"/>
      <w:bookmarkStart w:id="946" w:name="_Toc3795"/>
      <w:bookmarkStart w:id="947" w:name="_Toc27666"/>
      <w:bookmarkStart w:id="948" w:name="_Toc177203325"/>
      <w:bookmarkStart w:id="949" w:name="_Toc176453454"/>
      <w:bookmarkStart w:id="950" w:name="_Toc29652"/>
      <w:bookmarkStart w:id="951" w:name="_Toc2007"/>
      <w:r>
        <w:rPr>
          <w:rFonts w:hint="eastAsia" w:ascii="宋体" w:hAnsi="宋体" w:eastAsia="宋体" w:cs="宋体"/>
          <w:b/>
          <w:color w:val="auto"/>
          <w:sz w:val="32"/>
          <w:szCs w:val="32"/>
          <w:lang w:val="en-US" w:eastAsia="zh-CN"/>
        </w:rPr>
        <w:br w:type="page"/>
      </w:r>
      <w:bookmarkEnd w:id="944"/>
      <w:bookmarkEnd w:id="945"/>
      <w:bookmarkEnd w:id="946"/>
      <w:bookmarkEnd w:id="947"/>
      <w:bookmarkEnd w:id="948"/>
      <w:bookmarkEnd w:id="949"/>
      <w:r>
        <w:rPr>
          <w:rFonts w:hint="eastAsia" w:ascii="宋体" w:hAnsi="宋体" w:eastAsia="宋体" w:cs="宋体"/>
          <w:b/>
          <w:color w:val="auto"/>
          <w:sz w:val="32"/>
          <w:szCs w:val="32"/>
          <w:lang w:val="en-US" w:eastAsia="zh-CN"/>
        </w:rPr>
        <w:t>十一、服务便利性</w:t>
      </w:r>
    </w:p>
    <w:p w14:paraId="582C39A8">
      <w:pPr>
        <w:pStyle w:val="18"/>
        <w:spacing w:line="360" w:lineRule="auto"/>
        <w:outlineLvl w:val="9"/>
        <w:rPr>
          <w:rFonts w:hint="eastAsia" w:ascii="宋体" w:hAnsi="宋体" w:eastAsia="宋体" w:cs="宋体"/>
          <w:color w:val="auto"/>
          <w:highlight w:val="none"/>
          <w:lang w:val="en-US" w:eastAsia="zh-CN"/>
        </w:rPr>
      </w:pPr>
      <w:r>
        <w:rPr>
          <w:rFonts w:hint="eastAsia" w:ascii="宋体" w:hAnsi="宋体" w:eastAsia="宋体" w:cs="宋体"/>
          <w:b/>
          <w:bCs/>
          <w:color w:val="auto"/>
          <w:kern w:val="0"/>
          <w:sz w:val="32"/>
          <w:szCs w:val="32"/>
          <w:highlight w:val="none"/>
          <w:lang w:val="en-US" w:eastAsia="zh-CN" w:bidi="ar-SA"/>
        </w:rPr>
        <w:t>服务便利性时间情况表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2956"/>
        <w:gridCol w:w="2106"/>
        <w:gridCol w:w="2614"/>
        <w:gridCol w:w="1240"/>
      </w:tblGrid>
      <w:tr w14:paraId="70D61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60" w:type="dxa"/>
            <w:vAlign w:val="center"/>
          </w:tcPr>
          <w:p w14:paraId="1260AE19">
            <w:pPr>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956" w:type="dxa"/>
            <w:vAlign w:val="center"/>
          </w:tcPr>
          <w:p w14:paraId="62BB86E4">
            <w:pPr>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投标人地址</w:t>
            </w:r>
          </w:p>
        </w:tc>
        <w:tc>
          <w:tcPr>
            <w:tcW w:w="2106" w:type="dxa"/>
            <w:vAlign w:val="center"/>
          </w:tcPr>
          <w:p w14:paraId="2A691A0C">
            <w:pPr>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到水业大厦的距离</w:t>
            </w:r>
          </w:p>
        </w:tc>
        <w:tc>
          <w:tcPr>
            <w:tcW w:w="2614" w:type="dxa"/>
            <w:vAlign w:val="center"/>
          </w:tcPr>
          <w:p w14:paraId="234DDD61">
            <w:pPr>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到达水业大厦时间（分钟）</w:t>
            </w:r>
          </w:p>
        </w:tc>
        <w:tc>
          <w:tcPr>
            <w:tcW w:w="1240" w:type="dxa"/>
            <w:vAlign w:val="center"/>
          </w:tcPr>
          <w:p w14:paraId="49D5C0F6">
            <w:pPr>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7C692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760" w:type="dxa"/>
            <w:vAlign w:val="center"/>
          </w:tcPr>
          <w:p w14:paraId="13E2D695">
            <w:pPr>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956" w:type="dxa"/>
            <w:vAlign w:val="center"/>
          </w:tcPr>
          <w:p w14:paraId="229A984D">
            <w:pPr>
              <w:jc w:val="center"/>
              <w:outlineLvl w:val="9"/>
              <w:rPr>
                <w:rFonts w:hint="eastAsia" w:ascii="宋体" w:hAnsi="宋体" w:eastAsia="宋体" w:cs="宋体"/>
                <w:color w:val="auto"/>
                <w:sz w:val="21"/>
                <w:szCs w:val="21"/>
                <w:highlight w:val="none"/>
                <w:lang w:val="en-US" w:eastAsia="zh-CN"/>
              </w:rPr>
            </w:pPr>
          </w:p>
        </w:tc>
        <w:tc>
          <w:tcPr>
            <w:tcW w:w="2106" w:type="dxa"/>
            <w:vAlign w:val="center"/>
          </w:tcPr>
          <w:p w14:paraId="3BD7FDF6">
            <w:pPr>
              <w:jc w:val="center"/>
              <w:outlineLvl w:val="9"/>
              <w:rPr>
                <w:rFonts w:hint="eastAsia" w:ascii="宋体" w:hAnsi="宋体" w:eastAsia="宋体" w:cs="宋体"/>
                <w:color w:val="auto"/>
                <w:sz w:val="21"/>
                <w:szCs w:val="21"/>
                <w:highlight w:val="none"/>
                <w:lang w:val="en-US" w:eastAsia="zh-CN"/>
              </w:rPr>
            </w:pPr>
          </w:p>
        </w:tc>
        <w:tc>
          <w:tcPr>
            <w:tcW w:w="2614" w:type="dxa"/>
            <w:vAlign w:val="center"/>
          </w:tcPr>
          <w:p w14:paraId="0FED5166">
            <w:pPr>
              <w:jc w:val="center"/>
              <w:outlineLvl w:val="9"/>
              <w:rPr>
                <w:rFonts w:hint="eastAsia" w:ascii="宋体" w:hAnsi="宋体" w:eastAsia="宋体" w:cs="宋体"/>
                <w:color w:val="auto"/>
                <w:sz w:val="21"/>
                <w:szCs w:val="21"/>
                <w:highlight w:val="none"/>
                <w:lang w:val="en-US" w:eastAsia="zh-CN"/>
              </w:rPr>
            </w:pPr>
          </w:p>
        </w:tc>
        <w:tc>
          <w:tcPr>
            <w:tcW w:w="1240" w:type="dxa"/>
            <w:vAlign w:val="center"/>
          </w:tcPr>
          <w:p w14:paraId="049566C5">
            <w:pPr>
              <w:jc w:val="center"/>
              <w:outlineLvl w:val="9"/>
              <w:rPr>
                <w:rFonts w:hint="eastAsia" w:ascii="宋体" w:hAnsi="宋体" w:eastAsia="宋体" w:cs="宋体"/>
                <w:color w:val="auto"/>
                <w:sz w:val="21"/>
                <w:szCs w:val="21"/>
                <w:highlight w:val="none"/>
                <w:lang w:val="en-US" w:eastAsia="zh-CN"/>
              </w:rPr>
            </w:pPr>
          </w:p>
        </w:tc>
      </w:tr>
      <w:tr w14:paraId="336F4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760" w:type="dxa"/>
            <w:vAlign w:val="center"/>
          </w:tcPr>
          <w:p w14:paraId="5EB8A20A">
            <w:pPr>
              <w:jc w:val="center"/>
              <w:outlineLvl w:val="9"/>
              <w:rPr>
                <w:rFonts w:hint="eastAsia" w:ascii="宋体" w:hAnsi="宋体" w:eastAsia="宋体" w:cs="宋体"/>
                <w:color w:val="auto"/>
                <w:sz w:val="21"/>
                <w:szCs w:val="21"/>
                <w:highlight w:val="none"/>
                <w:lang w:val="en-US" w:eastAsia="zh-CN"/>
              </w:rPr>
            </w:pPr>
          </w:p>
        </w:tc>
        <w:tc>
          <w:tcPr>
            <w:tcW w:w="2956" w:type="dxa"/>
            <w:vAlign w:val="center"/>
          </w:tcPr>
          <w:p w14:paraId="1ECBF5BD">
            <w:pPr>
              <w:jc w:val="center"/>
              <w:outlineLvl w:val="9"/>
              <w:rPr>
                <w:rFonts w:hint="eastAsia" w:ascii="宋体" w:hAnsi="宋体" w:eastAsia="宋体" w:cs="宋体"/>
                <w:color w:val="auto"/>
                <w:sz w:val="21"/>
                <w:szCs w:val="21"/>
                <w:highlight w:val="none"/>
                <w:lang w:val="en-US" w:eastAsia="zh-CN"/>
              </w:rPr>
            </w:pPr>
          </w:p>
        </w:tc>
        <w:tc>
          <w:tcPr>
            <w:tcW w:w="2106" w:type="dxa"/>
            <w:vAlign w:val="center"/>
          </w:tcPr>
          <w:p w14:paraId="09B634D6">
            <w:pPr>
              <w:jc w:val="center"/>
              <w:outlineLvl w:val="9"/>
              <w:rPr>
                <w:rFonts w:hint="eastAsia" w:ascii="宋体" w:hAnsi="宋体" w:eastAsia="宋体" w:cs="宋体"/>
                <w:color w:val="auto"/>
                <w:sz w:val="21"/>
                <w:szCs w:val="21"/>
                <w:highlight w:val="none"/>
                <w:lang w:val="en-US" w:eastAsia="zh-CN"/>
              </w:rPr>
            </w:pPr>
          </w:p>
        </w:tc>
        <w:tc>
          <w:tcPr>
            <w:tcW w:w="2614" w:type="dxa"/>
            <w:vAlign w:val="center"/>
          </w:tcPr>
          <w:p w14:paraId="3543EE2C">
            <w:pPr>
              <w:jc w:val="center"/>
              <w:outlineLvl w:val="9"/>
              <w:rPr>
                <w:rFonts w:hint="eastAsia" w:ascii="宋体" w:hAnsi="宋体" w:eastAsia="宋体" w:cs="宋体"/>
                <w:color w:val="auto"/>
                <w:sz w:val="21"/>
                <w:szCs w:val="21"/>
                <w:highlight w:val="none"/>
                <w:lang w:val="en-US" w:eastAsia="zh-CN"/>
              </w:rPr>
            </w:pPr>
          </w:p>
        </w:tc>
        <w:tc>
          <w:tcPr>
            <w:tcW w:w="1240" w:type="dxa"/>
            <w:vAlign w:val="center"/>
          </w:tcPr>
          <w:p w14:paraId="5EDF9396">
            <w:pPr>
              <w:jc w:val="center"/>
              <w:outlineLvl w:val="9"/>
              <w:rPr>
                <w:rFonts w:hint="eastAsia" w:ascii="宋体" w:hAnsi="宋体" w:eastAsia="宋体" w:cs="宋体"/>
                <w:color w:val="auto"/>
                <w:sz w:val="21"/>
                <w:szCs w:val="21"/>
                <w:highlight w:val="none"/>
                <w:lang w:val="en-US" w:eastAsia="zh-CN"/>
              </w:rPr>
            </w:pPr>
          </w:p>
        </w:tc>
      </w:tr>
    </w:tbl>
    <w:p w14:paraId="1CAD0160">
      <w:pPr>
        <w:numPr>
          <w:ilvl w:val="0"/>
          <w:numId w:val="0"/>
        </w:numPr>
        <w:spacing w:line="360" w:lineRule="auto"/>
        <w:outlineLvl w:val="9"/>
        <w:rPr>
          <w:rFonts w:hint="eastAsia" w:ascii="宋体" w:hAnsi="宋体" w:eastAsia="宋体" w:cs="宋体"/>
          <w:color w:val="auto"/>
          <w:sz w:val="21"/>
          <w:szCs w:val="21"/>
          <w:highlight w:val="none"/>
          <w:lang w:val="en-US" w:eastAsia="zh-CN"/>
        </w:rPr>
      </w:pPr>
    </w:p>
    <w:p w14:paraId="6879527A">
      <w:pPr>
        <w:numPr>
          <w:ilvl w:val="0"/>
          <w:numId w:val="0"/>
        </w:numPr>
        <w:spacing w:line="360" w:lineRule="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p w14:paraId="46E87123">
      <w:pPr>
        <w:autoSpaceDE w:val="0"/>
        <w:autoSpaceDN w:val="0"/>
        <w:adjustRightInd w:val="0"/>
        <w:snapToGrid w:val="0"/>
        <w:spacing w:line="360" w:lineRule="auto"/>
        <w:ind w:left="691" w:leftChars="59" w:hanging="567" w:hangingChars="270"/>
        <w:jc w:val="left"/>
        <w:outlineLvl w:val="9"/>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（1）投标人注册地或其分支机构地址以提供的营业执照或办公场所租赁合同或产权证明的地址为准，需提供前述证明扫描件，否则评审时将不予考虑。</w:t>
      </w:r>
    </w:p>
    <w:p w14:paraId="7E853702">
      <w:pPr>
        <w:autoSpaceDE w:val="0"/>
        <w:autoSpaceDN w:val="0"/>
        <w:adjustRightInd w:val="0"/>
        <w:snapToGrid w:val="0"/>
        <w:spacing w:line="360" w:lineRule="auto"/>
        <w:ind w:left="691" w:leftChars="59" w:hanging="567" w:hangingChars="270"/>
        <w:jc w:val="left"/>
        <w:outlineLvl w:val="9"/>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2）投标人需提供从投标人注册地或其分支机构地址到达指定地点的路线图导航截屏（需体现投标人注册地或其分支机构地址至指定地点的名称、距离以及用时等关键因素），未提供相关证明资料或不符合本项评分要求的，在评审时将不予考虑。</w:t>
      </w:r>
    </w:p>
    <w:p w14:paraId="42D55A86">
      <w:pPr>
        <w:autoSpaceDE w:val="0"/>
        <w:autoSpaceDN w:val="0"/>
        <w:adjustRightInd w:val="0"/>
        <w:spacing w:line="360" w:lineRule="auto"/>
        <w:ind w:firstLine="5040" w:firstLineChars="2400"/>
        <w:jc w:val="left"/>
        <w:outlineLvl w:val="9"/>
        <w:rPr>
          <w:rFonts w:hint="eastAsia" w:ascii="宋体" w:hAnsi="宋体" w:eastAsia="宋体" w:cs="宋体"/>
          <w:color w:val="auto"/>
          <w:szCs w:val="24"/>
          <w:highlight w:val="none"/>
          <w:lang w:val="zh-CN"/>
        </w:rPr>
      </w:pPr>
    </w:p>
    <w:p w14:paraId="335EDAA0">
      <w:pPr>
        <w:autoSpaceDE w:val="0"/>
        <w:autoSpaceDN w:val="0"/>
        <w:adjustRightInd w:val="0"/>
        <w:spacing w:line="360" w:lineRule="auto"/>
        <w:ind w:firstLine="5040" w:firstLineChars="2400"/>
        <w:jc w:val="left"/>
        <w:outlineLvl w:val="9"/>
        <w:rPr>
          <w:rFonts w:hint="eastAsia" w:ascii="宋体" w:hAnsi="宋体" w:eastAsia="宋体" w:cs="宋体"/>
          <w:color w:val="auto"/>
          <w:szCs w:val="24"/>
          <w:highlight w:val="none"/>
          <w:lang w:val="zh-CN"/>
        </w:rPr>
      </w:pPr>
    </w:p>
    <w:p w14:paraId="460E9C9A">
      <w:pPr>
        <w:autoSpaceDE w:val="0"/>
        <w:autoSpaceDN w:val="0"/>
        <w:adjustRightInd w:val="0"/>
        <w:spacing w:line="360" w:lineRule="auto"/>
        <w:ind w:firstLine="3780" w:firstLineChars="18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5FA3E487">
      <w:pPr>
        <w:autoSpaceDE w:val="0"/>
        <w:autoSpaceDN w:val="0"/>
        <w:adjustRightInd w:val="0"/>
        <w:spacing w:line="360" w:lineRule="auto"/>
        <w:ind w:firstLine="3780" w:firstLineChars="1800"/>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274AF013">
      <w:pPr>
        <w:autoSpaceDE w:val="0"/>
        <w:autoSpaceDN w:val="0"/>
        <w:adjustRightInd w:val="0"/>
        <w:spacing w:line="360" w:lineRule="auto"/>
        <w:jc w:val="center"/>
        <w:rPr>
          <w:rFonts w:hint="eastAsia" w:ascii="宋体" w:hAnsi="宋体" w:eastAsia="宋体" w:cs="宋体"/>
          <w:b/>
          <w:bCs/>
          <w:color w:val="auto"/>
          <w:szCs w:val="24"/>
          <w:highlight w:val="none"/>
          <w:lang w:val="zh-CN"/>
        </w:rPr>
      </w:pPr>
    </w:p>
    <w:p w14:paraId="79BDE01D">
      <w:pPr>
        <w:autoSpaceDE w:val="0"/>
        <w:autoSpaceDN w:val="0"/>
        <w:adjustRightInd w:val="0"/>
        <w:spacing w:line="360" w:lineRule="auto"/>
        <w:jc w:val="center"/>
        <w:rPr>
          <w:rFonts w:hint="eastAsia" w:ascii="宋体" w:hAnsi="宋体" w:eastAsia="宋体" w:cs="宋体"/>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说明：由投标人使用投标人的企业数字证书电子签名。</w:t>
      </w:r>
    </w:p>
    <w:p w14:paraId="40F5E5D8">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z w:val="32"/>
          <w:szCs w:val="32"/>
          <w:lang w:val="en-US" w:eastAsia="zh-CN"/>
        </w:rPr>
      </w:pPr>
    </w:p>
    <w:p w14:paraId="3B14AAD6">
      <w:pPr>
        <w:keepNext w:val="0"/>
        <w:keepLines w:val="0"/>
        <w:pageBreakBefore/>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kern w:val="0"/>
          <w:sz w:val="32"/>
          <w:szCs w:val="32"/>
          <w:highlight w:val="none"/>
          <w:lang w:val="en-US" w:eastAsia="zh-CN"/>
        </w:rPr>
        <w:sectPr>
          <w:pgSz w:w="12240" w:h="15840"/>
          <w:pgMar w:top="1191" w:right="1737" w:bottom="1191" w:left="1043" w:header="720" w:footer="720" w:gutter="0"/>
          <w:pgNumType w:fmt="decimal"/>
          <w:cols w:space="720" w:num="1"/>
          <w:docGrid w:linePitch="326" w:charSpace="0"/>
        </w:sectPr>
      </w:pPr>
      <w:r>
        <w:rPr>
          <w:rFonts w:hint="eastAsia" w:ascii="宋体" w:hAnsi="宋体" w:eastAsia="宋体" w:cs="宋体"/>
          <w:b/>
          <w:color w:val="auto"/>
          <w:kern w:val="0"/>
          <w:sz w:val="32"/>
          <w:szCs w:val="32"/>
          <w:highlight w:val="none"/>
          <w:lang w:val="en-US" w:eastAsia="zh-CN"/>
        </w:rPr>
        <w:t>十二、</w:t>
      </w:r>
      <w:r>
        <w:rPr>
          <w:rFonts w:hint="eastAsia" w:ascii="宋体" w:hAnsi="宋体" w:eastAsia="宋体" w:cs="宋体"/>
          <w:b/>
          <w:color w:val="auto"/>
          <w:kern w:val="0"/>
          <w:sz w:val="32"/>
          <w:szCs w:val="32"/>
          <w:highlight w:val="none"/>
          <w:lang w:val="zh-CN" w:eastAsia="zh-CN"/>
        </w:rPr>
        <w:t>投标人资格证明文件以外的其他资质证书、知识产权证书及获得的相关获奖、认证证书、社会评价资料证明文件扫描件等投标人认为有需要证明其具备为本次招标项目提供服务能力的有关其它商务文件（不做强制要求）</w:t>
      </w:r>
      <w:bookmarkEnd w:id="934"/>
      <w:bookmarkEnd w:id="935"/>
      <w:bookmarkEnd w:id="936"/>
      <w:bookmarkEnd w:id="937"/>
      <w:bookmarkEnd w:id="938"/>
      <w:bookmarkEnd w:id="939"/>
      <w:bookmarkEnd w:id="940"/>
      <w:bookmarkEnd w:id="941"/>
      <w:bookmarkEnd w:id="950"/>
      <w:bookmarkEnd w:id="951"/>
    </w:p>
    <w:p w14:paraId="3420226C">
      <w:pPr>
        <w:jc w:val="center"/>
        <w:outlineLvl w:val="1"/>
        <w:rPr>
          <w:rFonts w:hint="eastAsia" w:ascii="宋体" w:hAnsi="宋体" w:eastAsia="宋体" w:cs="宋体"/>
          <w:b/>
          <w:color w:val="auto"/>
          <w:kern w:val="0"/>
          <w:sz w:val="32"/>
          <w:szCs w:val="32"/>
          <w:highlight w:val="none"/>
        </w:rPr>
      </w:pPr>
      <w:bookmarkStart w:id="952" w:name="_Toc13776"/>
      <w:bookmarkStart w:id="953" w:name="_Toc32650"/>
      <w:bookmarkStart w:id="954" w:name="_Toc5256"/>
      <w:bookmarkStart w:id="955" w:name="_Toc4972"/>
      <w:bookmarkStart w:id="956" w:name="_Toc195714399"/>
      <w:bookmarkStart w:id="957" w:name="_Toc14997"/>
      <w:bookmarkStart w:id="958" w:name="_Toc27993"/>
      <w:bookmarkStart w:id="959" w:name="_Toc102860085"/>
      <w:bookmarkStart w:id="960" w:name="_Toc142508380"/>
      <w:bookmarkStart w:id="961" w:name="_Toc102860429"/>
      <w:bookmarkStart w:id="962" w:name="_Toc94107222"/>
      <w:bookmarkStart w:id="963" w:name="_Toc18038"/>
      <w:bookmarkStart w:id="964" w:name="_Toc27482"/>
      <w:bookmarkStart w:id="965" w:name="_Toc104991887"/>
      <w:bookmarkStart w:id="966" w:name="_Toc1977739"/>
      <w:bookmarkStart w:id="967" w:name="_Toc31916"/>
      <w:bookmarkStart w:id="968" w:name="_Toc140596940"/>
      <w:r>
        <w:rPr>
          <w:rFonts w:hint="eastAsia" w:ascii="宋体" w:hAnsi="宋体" w:eastAsia="宋体" w:cs="宋体"/>
          <w:b/>
          <w:color w:val="auto"/>
          <w:kern w:val="0"/>
          <w:sz w:val="32"/>
          <w:szCs w:val="32"/>
          <w:highlight w:val="none"/>
        </w:rPr>
        <w:t>二  技术标格式</w:t>
      </w:r>
      <w:bookmarkEnd w:id="952"/>
      <w:bookmarkEnd w:id="953"/>
      <w:bookmarkEnd w:id="954"/>
      <w:bookmarkEnd w:id="955"/>
      <w:bookmarkEnd w:id="956"/>
      <w:bookmarkEnd w:id="957"/>
      <w:bookmarkEnd w:id="958"/>
    </w:p>
    <w:bookmarkEnd w:id="942"/>
    <w:bookmarkEnd w:id="959"/>
    <w:bookmarkEnd w:id="960"/>
    <w:bookmarkEnd w:id="961"/>
    <w:bookmarkEnd w:id="962"/>
    <w:bookmarkEnd w:id="963"/>
    <w:bookmarkEnd w:id="964"/>
    <w:bookmarkEnd w:id="965"/>
    <w:bookmarkEnd w:id="966"/>
    <w:bookmarkEnd w:id="967"/>
    <w:bookmarkEnd w:id="968"/>
    <w:p w14:paraId="54A98F9F">
      <w:pPr>
        <w:pStyle w:val="19"/>
        <w:spacing w:line="360" w:lineRule="auto"/>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bookmarkEnd w:id="943"/>
      <w:bookmarkStart w:id="969" w:name="_Toc142508381"/>
      <w:bookmarkStart w:id="970" w:name="_Toc140596941"/>
      <w:bookmarkStart w:id="971" w:name="_Toc533708135"/>
      <w:bookmarkStart w:id="972" w:name="_Toc1977740"/>
      <w:bookmarkStart w:id="973" w:name="_Toc102860086"/>
      <w:bookmarkStart w:id="974" w:name="_Toc102860430"/>
      <w:bookmarkStart w:id="975" w:name="_Toc104991888"/>
      <w:bookmarkStart w:id="976" w:name="_Toc94107223"/>
    </w:p>
    <w:p w14:paraId="6B0F3BFA">
      <w:pPr>
        <w:pStyle w:val="19"/>
        <w:spacing w:line="360" w:lineRule="auto"/>
        <w:jc w:val="center"/>
        <w:outlineLvl w:val="9"/>
        <w:rPr>
          <w:rFonts w:hint="eastAsia" w:ascii="宋体" w:hAnsi="宋体" w:eastAsia="宋体" w:cs="宋体"/>
          <w:b/>
          <w:color w:val="auto"/>
          <w:kern w:val="0"/>
          <w:szCs w:val="21"/>
          <w:highlight w:val="none"/>
        </w:rPr>
      </w:pPr>
    </w:p>
    <w:p w14:paraId="5C0390E1">
      <w:pPr>
        <w:pStyle w:val="19"/>
        <w:spacing w:line="360" w:lineRule="auto"/>
        <w:jc w:val="center"/>
        <w:outlineLvl w:val="9"/>
        <w:rPr>
          <w:rFonts w:hint="eastAsia" w:ascii="宋体" w:hAnsi="宋体" w:eastAsia="宋体" w:cs="宋体"/>
          <w:b/>
          <w:color w:val="auto"/>
          <w:kern w:val="0"/>
          <w:szCs w:val="21"/>
          <w:highlight w:val="none"/>
        </w:rPr>
      </w:pPr>
    </w:p>
    <w:p w14:paraId="517B800F">
      <w:pPr>
        <w:pStyle w:val="19"/>
        <w:spacing w:line="360" w:lineRule="auto"/>
        <w:jc w:val="center"/>
        <w:outlineLvl w:val="9"/>
        <w:rPr>
          <w:rFonts w:hint="eastAsia" w:ascii="宋体" w:hAnsi="宋体" w:eastAsia="宋体" w:cs="宋体"/>
          <w:b/>
          <w:color w:val="auto"/>
          <w:kern w:val="0"/>
          <w:szCs w:val="21"/>
          <w:highlight w:val="none"/>
        </w:rPr>
      </w:pPr>
    </w:p>
    <w:p w14:paraId="36E1CA71">
      <w:pPr>
        <w:pStyle w:val="19"/>
        <w:spacing w:line="360" w:lineRule="auto"/>
        <w:jc w:val="center"/>
        <w:outlineLvl w:val="9"/>
        <w:rPr>
          <w:rFonts w:hint="eastAsia" w:ascii="宋体" w:hAnsi="宋体" w:eastAsia="宋体" w:cs="宋体"/>
          <w:b/>
          <w:color w:val="auto"/>
          <w:kern w:val="0"/>
          <w:szCs w:val="21"/>
          <w:highlight w:val="none"/>
        </w:rPr>
      </w:pPr>
    </w:p>
    <w:p w14:paraId="717A1862">
      <w:pPr>
        <w:pStyle w:val="19"/>
        <w:spacing w:line="360" w:lineRule="auto"/>
        <w:jc w:val="center"/>
        <w:outlineLvl w:val="9"/>
        <w:rPr>
          <w:rFonts w:hint="eastAsia" w:ascii="宋体" w:hAnsi="宋体" w:eastAsia="宋体" w:cs="宋体"/>
          <w:b/>
          <w:color w:val="auto"/>
          <w:kern w:val="0"/>
          <w:szCs w:val="21"/>
          <w:highlight w:val="none"/>
        </w:rPr>
      </w:pPr>
    </w:p>
    <w:p w14:paraId="2267A69E">
      <w:pPr>
        <w:pStyle w:val="19"/>
        <w:spacing w:line="360" w:lineRule="auto"/>
        <w:jc w:val="center"/>
        <w:outlineLvl w:val="9"/>
        <w:rPr>
          <w:rFonts w:hint="eastAsia" w:ascii="宋体" w:hAnsi="宋体" w:eastAsia="宋体" w:cs="宋体"/>
          <w:b/>
          <w:color w:val="auto"/>
          <w:kern w:val="0"/>
          <w:szCs w:val="21"/>
          <w:highlight w:val="none"/>
        </w:rPr>
      </w:pPr>
    </w:p>
    <w:p w14:paraId="0AB12DA1">
      <w:pPr>
        <w:pStyle w:val="19"/>
        <w:spacing w:line="360" w:lineRule="auto"/>
        <w:jc w:val="center"/>
        <w:outlineLvl w:val="9"/>
        <w:rPr>
          <w:rFonts w:hint="eastAsia" w:ascii="宋体" w:hAnsi="宋体" w:eastAsia="宋体" w:cs="宋体"/>
          <w:b/>
          <w:color w:val="auto"/>
          <w:kern w:val="0"/>
          <w:szCs w:val="21"/>
          <w:highlight w:val="none"/>
        </w:rPr>
      </w:pPr>
    </w:p>
    <w:p w14:paraId="0A40481F">
      <w:pPr>
        <w:pStyle w:val="19"/>
        <w:spacing w:line="360" w:lineRule="auto"/>
        <w:jc w:val="center"/>
        <w:outlineLvl w:val="9"/>
        <w:rPr>
          <w:rFonts w:hint="eastAsia" w:ascii="宋体" w:hAnsi="宋体" w:eastAsia="宋体" w:cs="宋体"/>
          <w:b/>
          <w:color w:val="auto"/>
          <w:kern w:val="0"/>
          <w:szCs w:val="21"/>
          <w:highlight w:val="none"/>
        </w:rPr>
      </w:pPr>
    </w:p>
    <w:p w14:paraId="01700E8E">
      <w:pPr>
        <w:pStyle w:val="19"/>
        <w:spacing w:line="360" w:lineRule="auto"/>
        <w:jc w:val="center"/>
        <w:outlineLvl w:val="9"/>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6AD15BB2">
      <w:pPr>
        <w:pStyle w:val="19"/>
        <w:spacing w:line="360" w:lineRule="auto"/>
        <w:outlineLvl w:val="9"/>
        <w:rPr>
          <w:rFonts w:hint="eastAsia" w:ascii="宋体" w:hAnsi="宋体" w:eastAsia="宋体" w:cs="宋体"/>
          <w:color w:val="auto"/>
          <w:highlight w:val="none"/>
        </w:rPr>
      </w:pPr>
    </w:p>
    <w:p w14:paraId="42901951">
      <w:pPr>
        <w:pStyle w:val="19"/>
        <w:spacing w:line="360" w:lineRule="auto"/>
        <w:outlineLvl w:val="9"/>
        <w:rPr>
          <w:rFonts w:hint="eastAsia" w:ascii="宋体" w:hAnsi="宋体" w:eastAsia="宋体" w:cs="宋体"/>
          <w:color w:val="auto"/>
          <w:highlight w:val="none"/>
        </w:rPr>
      </w:pPr>
    </w:p>
    <w:p w14:paraId="5ABCFB9E">
      <w:pPr>
        <w:pStyle w:val="19"/>
        <w:spacing w:line="360" w:lineRule="auto"/>
        <w:outlineLvl w:val="9"/>
        <w:rPr>
          <w:rFonts w:hint="eastAsia" w:ascii="宋体" w:hAnsi="宋体" w:eastAsia="宋体" w:cs="宋体"/>
          <w:color w:val="auto"/>
          <w:highlight w:val="none"/>
        </w:rPr>
      </w:pPr>
    </w:p>
    <w:p w14:paraId="3DF9F63F">
      <w:pPr>
        <w:pStyle w:val="19"/>
        <w:spacing w:line="360" w:lineRule="auto"/>
        <w:outlineLvl w:val="9"/>
        <w:rPr>
          <w:rFonts w:hint="eastAsia" w:ascii="宋体" w:hAnsi="宋体" w:eastAsia="宋体" w:cs="宋体"/>
          <w:color w:val="auto"/>
          <w:highlight w:val="none"/>
        </w:rPr>
      </w:pPr>
    </w:p>
    <w:p w14:paraId="7BCFD6D7">
      <w:pPr>
        <w:pStyle w:val="19"/>
        <w:spacing w:line="360" w:lineRule="auto"/>
        <w:outlineLvl w:val="9"/>
        <w:rPr>
          <w:rFonts w:hint="eastAsia" w:ascii="宋体" w:hAnsi="宋体" w:eastAsia="宋体" w:cs="宋体"/>
          <w:color w:val="auto"/>
          <w:highlight w:val="none"/>
        </w:rPr>
      </w:pPr>
    </w:p>
    <w:p w14:paraId="452E6A25">
      <w:pPr>
        <w:pStyle w:val="19"/>
        <w:spacing w:line="360" w:lineRule="auto"/>
        <w:outlineLvl w:val="9"/>
        <w:rPr>
          <w:rFonts w:hint="eastAsia" w:ascii="宋体" w:hAnsi="宋体" w:eastAsia="宋体" w:cs="宋体"/>
          <w:color w:val="auto"/>
          <w:highlight w:val="none"/>
        </w:rPr>
      </w:pPr>
    </w:p>
    <w:p w14:paraId="5CE71B2A">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1C2278A6">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2CDF2772">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投标文件技术标 </w:t>
      </w:r>
    </w:p>
    <w:p w14:paraId="13CBA21B">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7CBB4272">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（企业数字证书电子签名）   </w:t>
      </w:r>
    </w:p>
    <w:p w14:paraId="4B8D6E6B">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75468DA8">
      <w:pPr>
        <w:pStyle w:val="19"/>
        <w:spacing w:line="360" w:lineRule="auto"/>
        <w:outlineLvl w:val="9"/>
        <w:rPr>
          <w:rFonts w:hint="eastAsia" w:ascii="宋体" w:hAnsi="宋体" w:eastAsia="宋体" w:cs="宋体"/>
          <w:color w:val="auto"/>
          <w:highlight w:val="none"/>
        </w:rPr>
      </w:pPr>
    </w:p>
    <w:p w14:paraId="637F9F1F">
      <w:pPr>
        <w:pStyle w:val="19"/>
        <w:spacing w:line="360" w:lineRule="auto"/>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6B10C46">
      <w:pPr>
        <w:tabs>
          <w:tab w:val="left" w:pos="567"/>
        </w:tabs>
        <w:autoSpaceDE w:val="0"/>
        <w:autoSpaceDN w:val="0"/>
        <w:adjustRightInd w:val="0"/>
        <w:spacing w:line="360" w:lineRule="auto"/>
        <w:ind w:left="357" w:leftChars="-100" w:hanging="567"/>
        <w:jc w:val="center"/>
        <w:outlineLvl w:val="1"/>
        <w:rPr>
          <w:rFonts w:hint="eastAsia" w:ascii="宋体" w:hAnsi="宋体" w:eastAsia="宋体" w:cs="宋体"/>
          <w:b/>
          <w:color w:val="auto"/>
          <w:kern w:val="0"/>
          <w:sz w:val="24"/>
          <w:szCs w:val="24"/>
          <w:highlight w:val="none"/>
        </w:rPr>
      </w:pPr>
      <w:bookmarkStart w:id="977" w:name="_Toc195714400"/>
      <w:bookmarkStart w:id="978" w:name="_Toc23902"/>
      <w:bookmarkStart w:id="979" w:name="_Toc14054"/>
      <w:bookmarkStart w:id="980" w:name="_Toc22881"/>
      <w:bookmarkStart w:id="981" w:name="_Toc31565"/>
      <w:bookmarkStart w:id="982" w:name="_Toc8004"/>
      <w:bookmarkStart w:id="983" w:name="_Toc11390"/>
      <w:r>
        <w:rPr>
          <w:rFonts w:hint="eastAsia" w:ascii="宋体" w:hAnsi="宋体" w:eastAsia="宋体" w:cs="宋体"/>
          <w:b/>
          <w:color w:val="auto"/>
          <w:kern w:val="0"/>
          <w:sz w:val="24"/>
          <w:szCs w:val="24"/>
          <w:highlight w:val="none"/>
        </w:rPr>
        <w:t>目录</w:t>
      </w:r>
      <w:bookmarkEnd w:id="977"/>
      <w:bookmarkEnd w:id="978"/>
      <w:bookmarkEnd w:id="979"/>
      <w:bookmarkEnd w:id="980"/>
      <w:bookmarkEnd w:id="981"/>
      <w:bookmarkEnd w:id="982"/>
      <w:bookmarkEnd w:id="983"/>
    </w:p>
    <w:p w14:paraId="7B9A54B1">
      <w:pPr>
        <w:spacing w:line="360" w:lineRule="auto"/>
        <w:ind w:left="444" w:leftChars="77" w:hanging="282" w:hangingChars="134"/>
        <w:outlineLvl w:val="9"/>
        <w:rPr>
          <w:rFonts w:hint="eastAsia" w:ascii="宋体" w:hAnsi="宋体" w:eastAsia="宋体" w:cs="宋体"/>
          <w:b/>
          <w:bCs/>
          <w:color w:val="auto"/>
          <w:kern w:val="0"/>
          <w:szCs w:val="21"/>
          <w:highlight w:val="none"/>
        </w:rPr>
      </w:pPr>
    </w:p>
    <w:p w14:paraId="044665ED">
      <w:pPr>
        <w:spacing w:line="360" w:lineRule="auto"/>
        <w:ind w:left="444" w:leftChars="77" w:hanging="282" w:hangingChars="134"/>
        <w:outlineLvl w:val="9"/>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用户需求的响应程度</w:t>
      </w:r>
      <w:r>
        <w:rPr>
          <w:rFonts w:hint="eastAsia" w:ascii="宋体" w:hAnsi="宋体" w:eastAsia="宋体" w:cs="宋体"/>
          <w:color w:val="auto"/>
          <w:kern w:val="0"/>
          <w:szCs w:val="21"/>
        </w:rPr>
        <w:t>（用户需求偏离表）</w:t>
      </w:r>
      <w:r>
        <w:rPr>
          <w:rFonts w:hint="eastAsia" w:ascii="宋体" w:hAnsi="宋体" w:eastAsia="宋体" w:cs="宋体"/>
          <w:color w:val="auto"/>
          <w:kern w:val="0"/>
          <w:szCs w:val="21"/>
          <w:lang w:eastAsia="zh-CN"/>
        </w:rPr>
        <w:t>；</w:t>
      </w:r>
    </w:p>
    <w:p w14:paraId="75EF3755">
      <w:pPr>
        <w:spacing w:line="360" w:lineRule="auto"/>
        <w:ind w:left="444" w:leftChars="77" w:hanging="282" w:hangingChars="134"/>
        <w:outlineLvl w:val="9"/>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物业管理带教服务方案</w:t>
      </w:r>
      <w:r>
        <w:rPr>
          <w:rFonts w:hint="eastAsia" w:ascii="宋体" w:hAnsi="宋体" w:eastAsia="宋体" w:cs="宋体"/>
          <w:color w:val="auto"/>
          <w:kern w:val="0"/>
          <w:szCs w:val="21"/>
          <w:highlight w:val="none"/>
        </w:rPr>
        <w:t>（投标人自行编写）</w:t>
      </w:r>
      <w:r>
        <w:rPr>
          <w:rFonts w:hint="eastAsia" w:ascii="宋体" w:hAnsi="宋体" w:eastAsia="宋体" w:cs="宋体"/>
          <w:color w:val="auto"/>
          <w:kern w:val="0"/>
          <w:szCs w:val="21"/>
          <w:highlight w:val="none"/>
          <w:lang w:eastAsia="zh-CN"/>
        </w:rPr>
        <w:t>；</w:t>
      </w:r>
    </w:p>
    <w:p w14:paraId="583F4E5A">
      <w:pPr>
        <w:spacing w:line="360" w:lineRule="auto"/>
        <w:ind w:left="444" w:leftChars="77" w:hanging="282" w:hangingChars="134"/>
        <w:outlineLvl w:val="9"/>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lang w:val="en-US" w:eastAsia="zh-CN"/>
        </w:rPr>
        <w:t>3、物业管理运营服务方案</w:t>
      </w:r>
      <w:r>
        <w:rPr>
          <w:rFonts w:hint="eastAsia" w:ascii="宋体" w:hAnsi="宋体" w:eastAsia="宋体" w:cs="宋体"/>
          <w:color w:val="auto"/>
          <w:kern w:val="0"/>
          <w:szCs w:val="21"/>
          <w:highlight w:val="none"/>
        </w:rPr>
        <w:t>（投标人自行编写）</w:t>
      </w:r>
      <w:r>
        <w:rPr>
          <w:rFonts w:hint="eastAsia" w:ascii="宋体" w:hAnsi="宋体" w:eastAsia="宋体" w:cs="宋体"/>
          <w:color w:val="auto"/>
          <w:kern w:val="0"/>
          <w:szCs w:val="21"/>
          <w:highlight w:val="none"/>
          <w:lang w:eastAsia="zh-CN"/>
        </w:rPr>
        <w:t>；</w:t>
      </w:r>
    </w:p>
    <w:p w14:paraId="12253C1E">
      <w:pPr>
        <w:spacing w:line="360" w:lineRule="auto"/>
        <w:ind w:left="444" w:leftChars="77" w:hanging="282" w:hangingChars="134"/>
        <w:outlineLvl w:val="9"/>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拟投入本项目的服务人员情况</w:t>
      </w:r>
      <w:r>
        <w:rPr>
          <w:rFonts w:hint="eastAsia" w:ascii="宋体" w:hAnsi="宋体" w:eastAsia="宋体" w:cs="宋体"/>
          <w:b/>
          <w:bCs/>
          <w:color w:val="auto"/>
          <w:kern w:val="0"/>
          <w:szCs w:val="21"/>
          <w:highlight w:val="none"/>
          <w:lang w:eastAsia="zh-CN"/>
        </w:rPr>
        <w:t>；</w:t>
      </w:r>
    </w:p>
    <w:p w14:paraId="6506493B">
      <w:pPr>
        <w:spacing w:line="360" w:lineRule="auto"/>
        <w:ind w:left="444" w:leftChars="77" w:hanging="282" w:hangingChars="134"/>
        <w:outlineLvl w:val="9"/>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lang w:val="en-US" w:eastAsia="zh-CN"/>
        </w:rPr>
        <w:t>5、</w:t>
      </w:r>
      <w:r>
        <w:rPr>
          <w:rFonts w:hint="eastAsia" w:ascii="宋体" w:hAnsi="宋体" w:eastAsia="宋体" w:cs="宋体"/>
          <w:b/>
          <w:bCs/>
          <w:color w:val="auto"/>
          <w:kern w:val="0"/>
          <w:szCs w:val="21"/>
          <w:highlight w:val="none"/>
        </w:rPr>
        <w:t>拟投入的设备及软件系统情况</w:t>
      </w:r>
      <w:r>
        <w:rPr>
          <w:rFonts w:hint="eastAsia" w:ascii="宋体" w:hAnsi="宋体" w:eastAsia="宋体" w:cs="宋体"/>
          <w:b/>
          <w:bCs/>
          <w:color w:val="auto"/>
          <w:kern w:val="0"/>
          <w:szCs w:val="21"/>
          <w:highlight w:val="none"/>
          <w:lang w:eastAsia="zh-CN"/>
        </w:rPr>
        <w:t>；</w:t>
      </w:r>
    </w:p>
    <w:p w14:paraId="0A249DCB">
      <w:pPr>
        <w:spacing w:line="360" w:lineRule="auto"/>
        <w:ind w:left="444" w:leftChars="77" w:hanging="282" w:hangingChars="134"/>
        <w:outlineLvl w:val="9"/>
        <w:rPr>
          <w:rFonts w:hint="eastAsia" w:ascii="宋体" w:hAnsi="宋体" w:eastAsia="宋体" w:cs="宋体"/>
          <w:b w:val="0"/>
          <w:bCs w:val="0"/>
          <w:color w:val="auto"/>
          <w:kern w:val="0"/>
          <w:szCs w:val="21"/>
          <w:highlight w:val="none"/>
          <w:lang w:eastAsia="zh-CN"/>
        </w:rPr>
      </w:pP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、应急预案和重大活动保障措施</w:t>
      </w:r>
      <w:r>
        <w:rPr>
          <w:rFonts w:hint="eastAsia" w:ascii="宋体" w:hAnsi="宋体" w:eastAsia="宋体" w:cs="宋体"/>
          <w:b w:val="0"/>
          <w:bCs w:val="0"/>
          <w:color w:val="auto"/>
          <w:kern w:val="0"/>
          <w:szCs w:val="21"/>
          <w:highlight w:val="none"/>
        </w:rPr>
        <w:t>（投标人自行编写）</w:t>
      </w:r>
      <w:r>
        <w:rPr>
          <w:rFonts w:hint="eastAsia" w:ascii="宋体" w:hAnsi="宋体" w:eastAsia="宋体" w:cs="宋体"/>
          <w:b w:val="0"/>
          <w:bCs w:val="0"/>
          <w:color w:val="auto"/>
          <w:kern w:val="0"/>
          <w:szCs w:val="21"/>
          <w:highlight w:val="none"/>
          <w:lang w:eastAsia="zh-CN"/>
        </w:rPr>
        <w:t>；</w:t>
      </w:r>
    </w:p>
    <w:p w14:paraId="2C476E40">
      <w:pPr>
        <w:spacing w:line="360" w:lineRule="auto"/>
        <w:ind w:left="444" w:leftChars="77" w:hanging="282" w:hangingChars="134"/>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7、投标人认为有必要提供的其它材料（不做强制要求）</w:t>
      </w:r>
      <w:r>
        <w:rPr>
          <w:rFonts w:hint="eastAsia" w:ascii="宋体" w:hAnsi="宋体" w:eastAsia="宋体" w:cs="宋体"/>
          <w:b/>
          <w:bCs/>
          <w:color w:val="auto"/>
          <w:kern w:val="0"/>
          <w:szCs w:val="21"/>
          <w:highlight w:val="none"/>
        </w:rPr>
        <w:t>。</w:t>
      </w:r>
    </w:p>
    <w:p w14:paraId="7EBC324A">
      <w:pPr>
        <w:spacing w:line="360" w:lineRule="auto"/>
        <w:ind w:left="444" w:leftChars="77" w:hanging="282" w:hangingChars="134"/>
        <w:outlineLvl w:val="9"/>
        <w:rPr>
          <w:rFonts w:hint="eastAsia" w:ascii="宋体" w:hAnsi="宋体" w:eastAsia="宋体" w:cs="宋体"/>
          <w:b/>
          <w:bCs/>
          <w:color w:val="auto"/>
          <w:kern w:val="0"/>
          <w:szCs w:val="21"/>
          <w:highlight w:val="yellow"/>
        </w:rPr>
      </w:pPr>
    </w:p>
    <w:p w14:paraId="36096F81">
      <w:pPr>
        <w:tabs>
          <w:tab w:val="left" w:pos="567"/>
        </w:tabs>
        <w:autoSpaceDE w:val="0"/>
        <w:autoSpaceDN w:val="0"/>
        <w:adjustRightInd w:val="0"/>
        <w:spacing w:line="360" w:lineRule="auto"/>
        <w:jc w:val="left"/>
        <w:outlineLvl w:val="1"/>
        <w:rPr>
          <w:rFonts w:hint="eastAsia" w:ascii="宋体" w:hAnsi="宋体" w:eastAsia="宋体" w:cs="宋体"/>
          <w:b/>
          <w:color w:val="auto"/>
          <w:kern w:val="0"/>
          <w:sz w:val="30"/>
          <w:szCs w:val="30"/>
          <w:highlight w:val="none"/>
          <w:lang w:val="en-US" w:eastAsia="zh-CN"/>
        </w:rPr>
        <w:sectPr>
          <w:headerReference r:id="rId18" w:type="default"/>
          <w:footerReference r:id="rId19" w:type="default"/>
          <w:pgSz w:w="11910" w:h="16840"/>
          <w:pgMar w:top="961" w:right="1029" w:bottom="901" w:left="979" w:header="653" w:footer="757" w:gutter="0"/>
          <w:pgNumType w:fmt="decimal"/>
          <w:cols w:space="720" w:num="1"/>
        </w:sectPr>
      </w:pPr>
      <w:bookmarkStart w:id="984" w:name="_Toc29082"/>
      <w:bookmarkStart w:id="985" w:name="_Toc18999"/>
      <w:bookmarkStart w:id="986" w:name="_Toc27934"/>
      <w:bookmarkStart w:id="987" w:name="_Toc30448"/>
    </w:p>
    <w:p w14:paraId="20C6421C">
      <w:pPr>
        <w:tabs>
          <w:tab w:val="left" w:pos="567"/>
        </w:tabs>
        <w:autoSpaceDE w:val="0"/>
        <w:autoSpaceDN w:val="0"/>
        <w:adjustRightInd w:val="0"/>
        <w:spacing w:line="360" w:lineRule="auto"/>
        <w:jc w:val="left"/>
        <w:outlineLvl w:val="1"/>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lang w:val="en-US" w:eastAsia="zh-CN"/>
        </w:rPr>
        <w:t>一、</w:t>
      </w:r>
      <w:r>
        <w:rPr>
          <w:rFonts w:hint="eastAsia" w:ascii="宋体" w:hAnsi="宋体" w:eastAsia="宋体" w:cs="宋体"/>
          <w:b/>
          <w:color w:val="auto"/>
          <w:kern w:val="0"/>
          <w:sz w:val="30"/>
          <w:szCs w:val="30"/>
          <w:highlight w:val="none"/>
        </w:rPr>
        <w:t>用户需求偏离表格式</w:t>
      </w:r>
      <w:bookmarkEnd w:id="969"/>
      <w:bookmarkEnd w:id="970"/>
      <w:bookmarkEnd w:id="971"/>
      <w:bookmarkEnd w:id="972"/>
      <w:bookmarkEnd w:id="973"/>
      <w:bookmarkEnd w:id="974"/>
      <w:bookmarkEnd w:id="975"/>
      <w:bookmarkEnd w:id="976"/>
      <w:bookmarkEnd w:id="984"/>
      <w:bookmarkEnd w:id="985"/>
      <w:bookmarkEnd w:id="986"/>
      <w:bookmarkEnd w:id="987"/>
    </w:p>
    <w:p w14:paraId="053C0A95">
      <w:pPr>
        <w:spacing w:before="120" w:after="120" w:line="360" w:lineRule="auto"/>
        <w:jc w:val="center"/>
        <w:outlineLvl w:val="9"/>
        <w:rPr>
          <w:rFonts w:hint="eastAsia" w:ascii="宋体" w:hAnsi="宋体" w:eastAsia="宋体" w:cs="宋体"/>
          <w:color w:val="auto"/>
          <w:kern w:val="0"/>
          <w:szCs w:val="21"/>
          <w:highlight w:val="none"/>
        </w:rPr>
      </w:pPr>
      <w:bookmarkStart w:id="988" w:name="_Toc17449_WPSOffice_Level3"/>
      <w:r>
        <w:rPr>
          <w:rFonts w:hint="eastAsia" w:ascii="宋体" w:hAnsi="宋体" w:eastAsia="宋体" w:cs="宋体"/>
          <w:b/>
          <w:color w:val="auto"/>
          <w:kern w:val="0"/>
          <w:sz w:val="30"/>
          <w:szCs w:val="30"/>
          <w:highlight w:val="none"/>
          <w:lang w:val="zh-CN"/>
        </w:rPr>
        <w:t>用户需求偏离表</w:t>
      </w:r>
      <w:bookmarkEnd w:id="988"/>
    </w:p>
    <w:tbl>
      <w:tblPr>
        <w:tblStyle w:val="4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921"/>
        <w:gridCol w:w="6263"/>
        <w:gridCol w:w="703"/>
        <w:gridCol w:w="848"/>
        <w:gridCol w:w="811"/>
      </w:tblGrid>
      <w:tr w14:paraId="13631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2" w:type="pct"/>
            <w:vMerge w:val="restart"/>
            <w:vAlign w:val="center"/>
          </w:tcPr>
          <w:p w14:paraId="09A8F796">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3550" w:type="pct"/>
            <w:gridSpan w:val="2"/>
            <w:vAlign w:val="center"/>
          </w:tcPr>
          <w:p w14:paraId="298C3378">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招标文件要求</w:t>
            </w:r>
          </w:p>
        </w:tc>
        <w:tc>
          <w:tcPr>
            <w:tcW w:w="1167" w:type="pct"/>
            <w:gridSpan w:val="3"/>
            <w:vAlign w:val="center"/>
          </w:tcPr>
          <w:p w14:paraId="1BD6DBE4">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投标文件内容</w:t>
            </w:r>
          </w:p>
        </w:tc>
      </w:tr>
      <w:tr w14:paraId="072BD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2" w:type="pct"/>
            <w:vMerge w:val="continue"/>
            <w:vAlign w:val="center"/>
          </w:tcPr>
          <w:p w14:paraId="67CC5A57">
            <w:pPr>
              <w:keepNext/>
              <w:keepLines/>
              <w:spacing w:line="400" w:lineRule="exact"/>
              <w:jc w:val="center"/>
              <w:outlineLvl w:val="9"/>
              <w:rPr>
                <w:rFonts w:hint="eastAsia" w:ascii="宋体" w:hAnsi="宋体" w:eastAsia="宋体" w:cs="宋体"/>
                <w:color w:val="auto"/>
                <w:kern w:val="0"/>
                <w:sz w:val="21"/>
                <w:szCs w:val="21"/>
                <w:highlight w:val="none"/>
              </w:rPr>
            </w:pPr>
          </w:p>
        </w:tc>
        <w:tc>
          <w:tcPr>
            <w:tcW w:w="455" w:type="pct"/>
            <w:vAlign w:val="center"/>
          </w:tcPr>
          <w:p w14:paraId="2671D019">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条款号</w:t>
            </w:r>
          </w:p>
        </w:tc>
        <w:tc>
          <w:tcPr>
            <w:tcW w:w="3094" w:type="pct"/>
            <w:vAlign w:val="center"/>
          </w:tcPr>
          <w:p w14:paraId="25AC3093">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简要内容</w:t>
            </w:r>
          </w:p>
        </w:tc>
        <w:tc>
          <w:tcPr>
            <w:tcW w:w="347" w:type="pct"/>
            <w:vAlign w:val="center"/>
          </w:tcPr>
          <w:p w14:paraId="05C82B06">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偏离情况</w:t>
            </w:r>
          </w:p>
        </w:tc>
        <w:tc>
          <w:tcPr>
            <w:tcW w:w="419" w:type="pct"/>
            <w:vAlign w:val="center"/>
          </w:tcPr>
          <w:p w14:paraId="26EDC347">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实质性响应的具体内容</w:t>
            </w:r>
          </w:p>
        </w:tc>
        <w:tc>
          <w:tcPr>
            <w:tcW w:w="400" w:type="pct"/>
            <w:vAlign w:val="center"/>
          </w:tcPr>
          <w:p w14:paraId="05ADF16B">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对应证明材料页码</w:t>
            </w:r>
          </w:p>
        </w:tc>
      </w:tr>
      <w:tr w14:paraId="32FFF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82" w:type="pct"/>
            <w:vAlign w:val="center"/>
          </w:tcPr>
          <w:p w14:paraId="198EB884">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455" w:type="pct"/>
            <w:vAlign w:val="center"/>
          </w:tcPr>
          <w:p w14:paraId="2913D45F">
            <w:pPr>
              <w:spacing w:line="400" w:lineRule="exact"/>
              <w:jc w:val="center"/>
              <w:outlineLvl w:val="9"/>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二</w:t>
            </w:r>
          </w:p>
        </w:tc>
        <w:tc>
          <w:tcPr>
            <w:tcW w:w="3094" w:type="pct"/>
            <w:vAlign w:val="center"/>
          </w:tcPr>
          <w:p w14:paraId="0AF81E6B">
            <w:pPr>
              <w:spacing w:line="400" w:lineRule="exact"/>
              <w:jc w:val="center"/>
              <w:outlineLvl w:val="9"/>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采购服务内容</w:t>
            </w:r>
          </w:p>
        </w:tc>
        <w:tc>
          <w:tcPr>
            <w:tcW w:w="347" w:type="pct"/>
            <w:vAlign w:val="center"/>
          </w:tcPr>
          <w:p w14:paraId="5212FC49">
            <w:pPr>
              <w:keepNext/>
              <w:keepLines/>
              <w:spacing w:line="400" w:lineRule="exact"/>
              <w:jc w:val="center"/>
              <w:outlineLvl w:val="9"/>
              <w:rPr>
                <w:rFonts w:hint="eastAsia" w:ascii="宋体" w:hAnsi="宋体" w:eastAsia="宋体" w:cs="宋体"/>
                <w:color w:val="auto"/>
                <w:kern w:val="0"/>
                <w:sz w:val="21"/>
                <w:szCs w:val="21"/>
                <w:highlight w:val="none"/>
              </w:rPr>
            </w:pPr>
          </w:p>
        </w:tc>
        <w:tc>
          <w:tcPr>
            <w:tcW w:w="419" w:type="pct"/>
            <w:vAlign w:val="center"/>
          </w:tcPr>
          <w:p w14:paraId="7057A63A">
            <w:pPr>
              <w:keepNext/>
              <w:keepLines/>
              <w:spacing w:line="400" w:lineRule="exact"/>
              <w:jc w:val="center"/>
              <w:outlineLvl w:val="9"/>
              <w:rPr>
                <w:rFonts w:hint="eastAsia" w:ascii="宋体" w:hAnsi="宋体" w:eastAsia="宋体" w:cs="宋体"/>
                <w:color w:val="auto"/>
                <w:kern w:val="0"/>
                <w:sz w:val="21"/>
                <w:szCs w:val="21"/>
                <w:highlight w:val="none"/>
              </w:rPr>
            </w:pPr>
          </w:p>
        </w:tc>
        <w:tc>
          <w:tcPr>
            <w:tcW w:w="400" w:type="pct"/>
            <w:vAlign w:val="center"/>
          </w:tcPr>
          <w:p w14:paraId="11B9D09D">
            <w:pPr>
              <w:keepNext/>
              <w:keepLines/>
              <w:spacing w:line="400" w:lineRule="exact"/>
              <w:jc w:val="center"/>
              <w:outlineLvl w:val="9"/>
              <w:rPr>
                <w:rFonts w:hint="eastAsia" w:ascii="宋体" w:hAnsi="宋体" w:eastAsia="宋体" w:cs="宋体"/>
                <w:color w:val="auto"/>
                <w:kern w:val="0"/>
                <w:sz w:val="21"/>
                <w:szCs w:val="21"/>
                <w:highlight w:val="none"/>
              </w:rPr>
            </w:pPr>
          </w:p>
        </w:tc>
      </w:tr>
      <w:tr w14:paraId="03673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2" w:type="pct"/>
            <w:vAlign w:val="center"/>
          </w:tcPr>
          <w:p w14:paraId="2B5F9C64">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455" w:type="pct"/>
            <w:shd w:val="clear" w:color="auto" w:fill="auto"/>
            <w:vAlign w:val="center"/>
          </w:tcPr>
          <w:p w14:paraId="0A427352">
            <w:pPr>
              <w:spacing w:line="400" w:lineRule="exact"/>
              <w:jc w:val="center"/>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三</w:t>
            </w:r>
          </w:p>
        </w:tc>
        <w:tc>
          <w:tcPr>
            <w:tcW w:w="3094" w:type="pct"/>
            <w:shd w:val="clear" w:color="auto" w:fill="auto"/>
            <w:vAlign w:val="center"/>
          </w:tcPr>
          <w:p w14:paraId="489C7F84">
            <w:pPr>
              <w:spacing w:line="400" w:lineRule="exact"/>
              <w:jc w:val="center"/>
              <w:outlineLvl w:val="9"/>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服务期限</w:t>
            </w:r>
          </w:p>
        </w:tc>
        <w:tc>
          <w:tcPr>
            <w:tcW w:w="347" w:type="pct"/>
            <w:vAlign w:val="center"/>
          </w:tcPr>
          <w:p w14:paraId="4FF28BA1">
            <w:pPr>
              <w:keepNext/>
              <w:keepLines/>
              <w:spacing w:line="400" w:lineRule="exact"/>
              <w:jc w:val="center"/>
              <w:outlineLvl w:val="9"/>
              <w:rPr>
                <w:rFonts w:hint="eastAsia" w:ascii="宋体" w:hAnsi="宋体" w:eastAsia="宋体" w:cs="宋体"/>
                <w:color w:val="auto"/>
                <w:kern w:val="0"/>
                <w:sz w:val="21"/>
                <w:szCs w:val="21"/>
                <w:highlight w:val="none"/>
              </w:rPr>
            </w:pPr>
          </w:p>
        </w:tc>
        <w:tc>
          <w:tcPr>
            <w:tcW w:w="419" w:type="pct"/>
            <w:vAlign w:val="center"/>
          </w:tcPr>
          <w:p w14:paraId="560A5B40">
            <w:pPr>
              <w:keepNext/>
              <w:keepLines/>
              <w:spacing w:line="400" w:lineRule="exact"/>
              <w:jc w:val="center"/>
              <w:outlineLvl w:val="9"/>
              <w:rPr>
                <w:rFonts w:hint="eastAsia" w:ascii="宋体" w:hAnsi="宋体" w:eastAsia="宋体" w:cs="宋体"/>
                <w:color w:val="auto"/>
                <w:kern w:val="0"/>
                <w:sz w:val="21"/>
                <w:szCs w:val="21"/>
                <w:highlight w:val="none"/>
              </w:rPr>
            </w:pPr>
          </w:p>
        </w:tc>
        <w:tc>
          <w:tcPr>
            <w:tcW w:w="400" w:type="pct"/>
            <w:vAlign w:val="center"/>
          </w:tcPr>
          <w:p w14:paraId="7DBB7455">
            <w:pPr>
              <w:keepNext/>
              <w:keepLines/>
              <w:spacing w:line="400" w:lineRule="exact"/>
              <w:jc w:val="center"/>
              <w:outlineLvl w:val="9"/>
              <w:rPr>
                <w:rFonts w:hint="eastAsia" w:ascii="宋体" w:hAnsi="宋体" w:eastAsia="宋体" w:cs="宋体"/>
                <w:color w:val="auto"/>
                <w:kern w:val="0"/>
                <w:sz w:val="21"/>
                <w:szCs w:val="21"/>
                <w:highlight w:val="none"/>
              </w:rPr>
            </w:pPr>
          </w:p>
        </w:tc>
      </w:tr>
      <w:tr w14:paraId="4B16D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2" w:type="pct"/>
            <w:vAlign w:val="center"/>
          </w:tcPr>
          <w:p w14:paraId="52DD557F">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455" w:type="pct"/>
            <w:shd w:val="clear" w:color="auto" w:fill="auto"/>
            <w:vAlign w:val="center"/>
          </w:tcPr>
          <w:p w14:paraId="6E38F65A">
            <w:pPr>
              <w:spacing w:line="400" w:lineRule="exact"/>
              <w:jc w:val="center"/>
              <w:outlineLvl w:val="9"/>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en-US" w:eastAsia="zh-CN"/>
              </w:rPr>
              <w:t>四</w:t>
            </w:r>
          </w:p>
        </w:tc>
        <w:tc>
          <w:tcPr>
            <w:tcW w:w="3094" w:type="pct"/>
            <w:shd w:val="clear" w:color="auto" w:fill="auto"/>
            <w:vAlign w:val="center"/>
          </w:tcPr>
          <w:p w14:paraId="7DD46913">
            <w:pPr>
              <w:spacing w:line="400" w:lineRule="exact"/>
              <w:jc w:val="center"/>
              <w:outlineLvl w:val="9"/>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物业服务人员要求</w:t>
            </w:r>
          </w:p>
        </w:tc>
        <w:tc>
          <w:tcPr>
            <w:tcW w:w="347" w:type="pct"/>
            <w:vAlign w:val="center"/>
          </w:tcPr>
          <w:p w14:paraId="67F21480">
            <w:pPr>
              <w:keepNext/>
              <w:keepLines/>
              <w:spacing w:line="400" w:lineRule="exact"/>
              <w:jc w:val="center"/>
              <w:outlineLvl w:val="9"/>
              <w:rPr>
                <w:rFonts w:hint="eastAsia" w:ascii="宋体" w:hAnsi="宋体" w:eastAsia="宋体" w:cs="宋体"/>
                <w:color w:val="auto"/>
                <w:kern w:val="0"/>
                <w:sz w:val="21"/>
                <w:szCs w:val="21"/>
                <w:highlight w:val="none"/>
              </w:rPr>
            </w:pPr>
          </w:p>
        </w:tc>
        <w:tc>
          <w:tcPr>
            <w:tcW w:w="419" w:type="pct"/>
            <w:vAlign w:val="center"/>
          </w:tcPr>
          <w:p w14:paraId="6EA115E6">
            <w:pPr>
              <w:keepNext/>
              <w:keepLines/>
              <w:spacing w:line="400" w:lineRule="exact"/>
              <w:jc w:val="center"/>
              <w:outlineLvl w:val="9"/>
              <w:rPr>
                <w:rFonts w:hint="eastAsia" w:ascii="宋体" w:hAnsi="宋体" w:eastAsia="宋体" w:cs="宋体"/>
                <w:color w:val="auto"/>
                <w:kern w:val="0"/>
                <w:sz w:val="21"/>
                <w:szCs w:val="21"/>
                <w:highlight w:val="none"/>
              </w:rPr>
            </w:pPr>
          </w:p>
        </w:tc>
        <w:tc>
          <w:tcPr>
            <w:tcW w:w="400" w:type="pct"/>
            <w:vAlign w:val="center"/>
          </w:tcPr>
          <w:p w14:paraId="7CD70680">
            <w:pPr>
              <w:keepNext/>
              <w:keepLines/>
              <w:spacing w:line="400" w:lineRule="exact"/>
              <w:jc w:val="center"/>
              <w:outlineLvl w:val="9"/>
              <w:rPr>
                <w:rFonts w:hint="eastAsia" w:ascii="宋体" w:hAnsi="宋体" w:eastAsia="宋体" w:cs="宋体"/>
                <w:color w:val="auto"/>
                <w:kern w:val="0"/>
                <w:sz w:val="21"/>
                <w:szCs w:val="21"/>
                <w:highlight w:val="none"/>
              </w:rPr>
            </w:pPr>
          </w:p>
        </w:tc>
      </w:tr>
      <w:tr w14:paraId="3FDF6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2" w:type="pct"/>
            <w:vAlign w:val="center"/>
          </w:tcPr>
          <w:p w14:paraId="042479EC">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455" w:type="pct"/>
            <w:shd w:val="clear" w:color="auto" w:fill="auto"/>
            <w:vAlign w:val="center"/>
          </w:tcPr>
          <w:p w14:paraId="0224C09C">
            <w:pPr>
              <w:spacing w:line="400" w:lineRule="exact"/>
              <w:jc w:val="center"/>
              <w:outlineLvl w:val="9"/>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en-US" w:eastAsia="zh-CN"/>
              </w:rPr>
              <w:t>五</w:t>
            </w:r>
          </w:p>
        </w:tc>
        <w:tc>
          <w:tcPr>
            <w:tcW w:w="3094" w:type="pct"/>
            <w:shd w:val="clear" w:color="auto" w:fill="auto"/>
            <w:vAlign w:val="center"/>
          </w:tcPr>
          <w:p w14:paraId="5BF1BBB5">
            <w:pPr>
              <w:spacing w:line="400" w:lineRule="exact"/>
              <w:jc w:val="center"/>
              <w:outlineLvl w:val="9"/>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考核评价</w:t>
            </w:r>
          </w:p>
        </w:tc>
        <w:tc>
          <w:tcPr>
            <w:tcW w:w="347" w:type="pct"/>
            <w:vAlign w:val="center"/>
          </w:tcPr>
          <w:p w14:paraId="15407B8F">
            <w:pPr>
              <w:keepNext/>
              <w:keepLines/>
              <w:spacing w:line="400" w:lineRule="exact"/>
              <w:jc w:val="center"/>
              <w:outlineLvl w:val="9"/>
              <w:rPr>
                <w:rFonts w:hint="eastAsia" w:ascii="宋体" w:hAnsi="宋体" w:eastAsia="宋体" w:cs="宋体"/>
                <w:color w:val="auto"/>
                <w:kern w:val="0"/>
                <w:sz w:val="21"/>
                <w:szCs w:val="21"/>
                <w:highlight w:val="none"/>
              </w:rPr>
            </w:pPr>
          </w:p>
        </w:tc>
        <w:tc>
          <w:tcPr>
            <w:tcW w:w="419" w:type="pct"/>
            <w:vAlign w:val="center"/>
          </w:tcPr>
          <w:p w14:paraId="33680C0E">
            <w:pPr>
              <w:keepNext/>
              <w:keepLines/>
              <w:spacing w:line="400" w:lineRule="exact"/>
              <w:jc w:val="center"/>
              <w:outlineLvl w:val="9"/>
              <w:rPr>
                <w:rFonts w:hint="eastAsia" w:ascii="宋体" w:hAnsi="宋体" w:eastAsia="宋体" w:cs="宋体"/>
                <w:color w:val="auto"/>
                <w:kern w:val="0"/>
                <w:sz w:val="21"/>
                <w:szCs w:val="21"/>
                <w:highlight w:val="none"/>
              </w:rPr>
            </w:pPr>
          </w:p>
        </w:tc>
        <w:tc>
          <w:tcPr>
            <w:tcW w:w="400" w:type="pct"/>
            <w:vAlign w:val="center"/>
          </w:tcPr>
          <w:p w14:paraId="4B42B840">
            <w:pPr>
              <w:keepNext/>
              <w:keepLines/>
              <w:spacing w:line="400" w:lineRule="exact"/>
              <w:jc w:val="center"/>
              <w:outlineLvl w:val="9"/>
              <w:rPr>
                <w:rFonts w:hint="eastAsia" w:ascii="宋体" w:hAnsi="宋体" w:eastAsia="宋体" w:cs="宋体"/>
                <w:color w:val="auto"/>
                <w:kern w:val="0"/>
                <w:sz w:val="21"/>
                <w:szCs w:val="21"/>
                <w:highlight w:val="none"/>
              </w:rPr>
            </w:pPr>
          </w:p>
        </w:tc>
      </w:tr>
      <w:tr w14:paraId="48FFA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2" w:type="pct"/>
            <w:vAlign w:val="center"/>
          </w:tcPr>
          <w:p w14:paraId="5934874E">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455" w:type="pct"/>
            <w:shd w:val="clear" w:color="auto" w:fill="auto"/>
            <w:vAlign w:val="center"/>
          </w:tcPr>
          <w:p w14:paraId="3CCCBA81">
            <w:pPr>
              <w:spacing w:line="400" w:lineRule="exact"/>
              <w:jc w:val="center"/>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六</w:t>
            </w:r>
          </w:p>
        </w:tc>
        <w:tc>
          <w:tcPr>
            <w:tcW w:w="3094" w:type="pct"/>
            <w:shd w:val="clear" w:color="auto" w:fill="auto"/>
            <w:vAlign w:val="center"/>
          </w:tcPr>
          <w:p w14:paraId="2362AEAE">
            <w:pPr>
              <w:spacing w:line="400" w:lineRule="exact"/>
              <w:jc w:val="center"/>
              <w:outlineLvl w:val="9"/>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重要提醒</w:t>
            </w:r>
          </w:p>
        </w:tc>
        <w:tc>
          <w:tcPr>
            <w:tcW w:w="347" w:type="pct"/>
            <w:vAlign w:val="center"/>
          </w:tcPr>
          <w:p w14:paraId="0EA68810">
            <w:pPr>
              <w:keepNext/>
              <w:keepLines/>
              <w:spacing w:line="400" w:lineRule="exact"/>
              <w:jc w:val="center"/>
              <w:outlineLvl w:val="9"/>
              <w:rPr>
                <w:rFonts w:hint="eastAsia" w:ascii="宋体" w:hAnsi="宋体" w:eastAsia="宋体" w:cs="宋体"/>
                <w:color w:val="auto"/>
                <w:kern w:val="0"/>
                <w:sz w:val="21"/>
                <w:szCs w:val="21"/>
                <w:highlight w:val="none"/>
              </w:rPr>
            </w:pPr>
          </w:p>
        </w:tc>
        <w:tc>
          <w:tcPr>
            <w:tcW w:w="419" w:type="pct"/>
            <w:vAlign w:val="center"/>
          </w:tcPr>
          <w:p w14:paraId="3448590B">
            <w:pPr>
              <w:keepNext/>
              <w:keepLines/>
              <w:spacing w:line="400" w:lineRule="exact"/>
              <w:jc w:val="center"/>
              <w:outlineLvl w:val="9"/>
              <w:rPr>
                <w:rFonts w:hint="eastAsia" w:ascii="宋体" w:hAnsi="宋体" w:eastAsia="宋体" w:cs="宋体"/>
                <w:color w:val="auto"/>
                <w:kern w:val="0"/>
                <w:sz w:val="21"/>
                <w:szCs w:val="21"/>
                <w:highlight w:val="none"/>
              </w:rPr>
            </w:pPr>
          </w:p>
        </w:tc>
        <w:tc>
          <w:tcPr>
            <w:tcW w:w="400" w:type="pct"/>
            <w:vAlign w:val="center"/>
          </w:tcPr>
          <w:p w14:paraId="241A9D7C">
            <w:pPr>
              <w:keepNext/>
              <w:keepLines/>
              <w:spacing w:line="400" w:lineRule="exact"/>
              <w:jc w:val="center"/>
              <w:outlineLvl w:val="9"/>
              <w:rPr>
                <w:rFonts w:hint="eastAsia" w:ascii="宋体" w:hAnsi="宋体" w:eastAsia="宋体" w:cs="宋体"/>
                <w:color w:val="auto"/>
                <w:kern w:val="0"/>
                <w:sz w:val="21"/>
                <w:szCs w:val="21"/>
                <w:highlight w:val="none"/>
              </w:rPr>
            </w:pPr>
          </w:p>
        </w:tc>
      </w:tr>
    </w:tbl>
    <w:p w14:paraId="5B99328D">
      <w:pPr>
        <w:spacing w:line="360" w:lineRule="auto"/>
        <w:outlineLvl w:val="9"/>
        <w:rPr>
          <w:rFonts w:hint="eastAsia" w:ascii="宋体" w:hAnsi="宋体" w:eastAsia="宋体" w:cs="宋体"/>
          <w:color w:val="auto"/>
          <w:szCs w:val="21"/>
          <w:highlight w:val="none"/>
        </w:rPr>
      </w:pPr>
    </w:p>
    <w:p w14:paraId="099FC661">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374A7E6C">
      <w:pPr>
        <w:spacing w:line="360" w:lineRule="auto"/>
        <w:ind w:left="605" w:leftChars="18" w:hanging="567" w:hangingChars="270"/>
        <w:outlineLvl w:val="9"/>
        <w:rPr>
          <w:rFonts w:hint="eastAsia" w:ascii="宋体" w:hAnsi="宋体" w:eastAsia="宋体" w:cs="宋体"/>
          <w:b/>
          <w:bCs w:val="0"/>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w:t>
      </w:r>
      <w:r>
        <w:rPr>
          <w:rFonts w:hint="eastAsia" w:ascii="宋体" w:hAnsi="宋体" w:eastAsia="宋体" w:cs="宋体"/>
          <w:b/>
          <w:color w:val="auto"/>
          <w:szCs w:val="21"/>
          <w:u w:val="single"/>
        </w:rPr>
        <w:t>（其中“一、项目概况”除外）</w:t>
      </w:r>
      <w:r>
        <w:rPr>
          <w:rFonts w:hint="eastAsia" w:ascii="宋体" w:hAnsi="宋体" w:eastAsia="宋体" w:cs="宋体"/>
          <w:b/>
          <w:color w:val="auto"/>
          <w:szCs w:val="21"/>
          <w:highlight w:val="none"/>
          <w:u w:val="single"/>
        </w:rPr>
        <w:t>，逐条逐项、如实地填写“偏离情况”，</w:t>
      </w:r>
      <w:r>
        <w:rPr>
          <w:rFonts w:hint="eastAsia" w:ascii="宋体" w:hAnsi="宋体" w:eastAsia="宋体" w:cs="宋体"/>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14:paraId="2ED6EE33">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510D5687">
      <w:pPr>
        <w:spacing w:line="360" w:lineRule="auto"/>
        <w:ind w:left="607" w:leftChars="18" w:hanging="569" w:hangingChars="270"/>
        <w:outlineLvl w:val="9"/>
        <w:rPr>
          <w:rFonts w:hint="eastAsia" w:ascii="宋体" w:hAnsi="宋体" w:eastAsia="宋体" w:cs="宋体"/>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宋体"/>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宋体"/>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w:t>
      </w:r>
      <w:r>
        <w:rPr>
          <w:rFonts w:hint="eastAsia" w:ascii="宋体" w:hAnsi="宋体" w:eastAsia="宋体" w:cs="宋体"/>
          <w:b/>
          <w:color w:val="auto"/>
          <w:kern w:val="0"/>
          <w:szCs w:val="21"/>
          <w:highlight w:val="none"/>
          <w:u w:val="single"/>
          <w:lang w:val="en-US" w:eastAsia="zh-CN"/>
        </w:rPr>
        <w:t>服务能力</w:t>
      </w:r>
      <w:r>
        <w:rPr>
          <w:rFonts w:hint="eastAsia" w:ascii="宋体" w:hAnsi="宋体" w:eastAsia="宋体" w:cs="宋体"/>
          <w:b/>
          <w:color w:val="auto"/>
          <w:kern w:val="0"/>
          <w:szCs w:val="21"/>
          <w:highlight w:val="none"/>
          <w:u w:val="single"/>
        </w:rPr>
        <w:t>的技术支持资料作为本表的附件，并在本偏离表“对应证明材料页码”项内注明其在投标文件中的具体页码。</w:t>
      </w:r>
    </w:p>
    <w:p w14:paraId="1A98ED73">
      <w:pPr>
        <w:spacing w:line="360" w:lineRule="auto"/>
        <w:ind w:left="607" w:leftChars="18" w:hanging="569" w:hangingChars="270"/>
        <w:outlineLvl w:val="9"/>
        <w:rPr>
          <w:rFonts w:hint="eastAsia" w:ascii="宋体" w:hAnsi="宋体" w:eastAsia="宋体" w:cs="宋体"/>
          <w:b/>
          <w:color w:val="auto"/>
          <w:kern w:val="0"/>
          <w:szCs w:val="21"/>
          <w:highlight w:val="none"/>
          <w:u w:val="single"/>
        </w:rPr>
      </w:pPr>
      <w:r>
        <w:rPr>
          <w:rFonts w:hint="eastAsia" w:ascii="宋体" w:hAnsi="宋体" w:eastAsia="宋体" w:cs="宋体"/>
          <w:b/>
          <w:color w:val="auto"/>
          <w:szCs w:val="21"/>
          <w:highlight w:val="none"/>
        </w:rPr>
        <w:t>（4）</w:t>
      </w:r>
      <w:r>
        <w:rPr>
          <w:rFonts w:hint="eastAsia" w:ascii="宋体" w:hAnsi="宋体" w:eastAsia="宋体" w:cs="宋体"/>
          <w:b/>
          <w:color w:val="auto"/>
          <w:kern w:val="0"/>
          <w:szCs w:val="21"/>
          <w:highlight w:val="none"/>
          <w:u w:val="single"/>
        </w:rPr>
        <w:t>凡标有“★”的地方均被视为重要的技术指标要求或性能要求。投标人要特别加以注意，必须对此回答并完全满足这些要求，否则若有一项带“★”的指标未响应或不满足，将按无效投标处</w:t>
      </w:r>
      <w:r>
        <w:rPr>
          <w:rFonts w:hint="eastAsia" w:ascii="宋体" w:hAnsi="宋体" w:eastAsia="宋体" w:cs="宋体"/>
          <w:b/>
          <w:bCs w:val="0"/>
          <w:color w:val="auto"/>
          <w:kern w:val="0"/>
          <w:szCs w:val="21"/>
          <w:highlight w:val="none"/>
          <w:u w:val="single"/>
        </w:rPr>
        <w:t>理</w:t>
      </w:r>
      <w:r>
        <w:rPr>
          <w:rFonts w:hint="eastAsia" w:ascii="宋体" w:hAnsi="宋体" w:eastAsia="宋体" w:cs="宋体"/>
          <w:b/>
          <w:bCs w:val="0"/>
          <w:color w:val="auto"/>
          <w:kern w:val="0"/>
          <w:sz w:val="24"/>
          <w:szCs w:val="21"/>
          <w:highlight w:val="none"/>
          <w:u w:val="single"/>
          <w:lang w:val="zh-CN"/>
        </w:rPr>
        <w:t>。</w:t>
      </w:r>
    </w:p>
    <w:p w14:paraId="10CE63EF">
      <w:pPr>
        <w:spacing w:line="360" w:lineRule="auto"/>
        <w:outlineLvl w:val="9"/>
        <w:rPr>
          <w:rFonts w:hint="eastAsia" w:ascii="宋体" w:hAnsi="宋体" w:eastAsia="宋体" w:cs="宋体"/>
          <w:color w:val="auto"/>
          <w:szCs w:val="21"/>
          <w:highlight w:val="none"/>
        </w:rPr>
      </w:pPr>
    </w:p>
    <w:p w14:paraId="1E203147">
      <w:pPr>
        <w:autoSpaceDE w:val="0"/>
        <w:autoSpaceDN w:val="0"/>
        <w:adjustRightInd w:val="0"/>
        <w:spacing w:line="360" w:lineRule="auto"/>
        <w:ind w:firstLine="3780" w:firstLineChars="18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13A5B3C6">
      <w:pPr>
        <w:autoSpaceDE w:val="0"/>
        <w:autoSpaceDN w:val="0"/>
        <w:adjustRightInd w:val="0"/>
        <w:spacing w:line="360" w:lineRule="auto"/>
        <w:ind w:firstLine="3780" w:firstLineChars="1800"/>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7C0EF7B9">
      <w:pPr>
        <w:autoSpaceDE w:val="0"/>
        <w:autoSpaceDN w:val="0"/>
        <w:adjustRightInd w:val="0"/>
        <w:spacing w:line="360" w:lineRule="auto"/>
        <w:jc w:val="center"/>
        <w:rPr>
          <w:rFonts w:hint="eastAsia" w:ascii="宋体" w:hAnsi="宋体" w:eastAsia="宋体" w:cs="宋体"/>
          <w:b/>
          <w:bCs/>
          <w:color w:val="auto"/>
          <w:szCs w:val="24"/>
          <w:highlight w:val="none"/>
          <w:lang w:val="zh-CN"/>
        </w:rPr>
      </w:pPr>
    </w:p>
    <w:p w14:paraId="4822D292">
      <w:pPr>
        <w:widowControl/>
        <w:autoSpaceDE w:val="0"/>
        <w:autoSpaceDN w:val="0"/>
        <w:adjustRightInd w:val="0"/>
        <w:spacing w:line="360" w:lineRule="auto"/>
        <w:jc w:val="center"/>
        <w:rPr>
          <w:rFonts w:hint="eastAsia" w:ascii="宋体" w:hAnsi="宋体" w:eastAsia="宋体" w:cs="宋体"/>
          <w:b/>
          <w:color w:val="auto"/>
          <w:kern w:val="0"/>
          <w:sz w:val="30"/>
          <w:szCs w:val="30"/>
          <w:highlight w:val="none"/>
          <w:lang w:eastAsia="zh-CN"/>
        </w:rPr>
      </w:pPr>
      <w:r>
        <w:rPr>
          <w:rFonts w:hint="eastAsia" w:ascii="宋体" w:hAnsi="宋体" w:eastAsia="宋体" w:cs="宋体"/>
          <w:b/>
          <w:bCs/>
          <w:color w:val="auto"/>
          <w:szCs w:val="24"/>
          <w:highlight w:val="none"/>
          <w:lang w:val="zh-CN"/>
        </w:rPr>
        <w:t>说明：由投标人使用投标人的企业数字证书电子签名。</w:t>
      </w:r>
      <w:r>
        <w:rPr>
          <w:rFonts w:hint="eastAsia" w:ascii="宋体" w:hAnsi="宋体" w:eastAsia="宋体" w:cs="宋体"/>
          <w:b/>
          <w:color w:val="auto"/>
          <w:kern w:val="0"/>
          <w:sz w:val="30"/>
          <w:szCs w:val="30"/>
          <w:highlight w:val="none"/>
        </w:rPr>
        <w:br w:type="page"/>
      </w:r>
    </w:p>
    <w:p w14:paraId="3C330FDA">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outlineLvl w:val="1"/>
        <w:rPr>
          <w:rFonts w:hint="eastAsia" w:ascii="宋体" w:hAnsi="宋体" w:eastAsia="宋体" w:cs="宋体"/>
          <w:b/>
          <w:color w:val="auto"/>
          <w:kern w:val="0"/>
          <w:sz w:val="30"/>
          <w:szCs w:val="30"/>
          <w:highlight w:val="none"/>
          <w:lang w:eastAsia="zh-CN"/>
        </w:rPr>
      </w:pPr>
      <w:bookmarkStart w:id="989" w:name="_Toc20565"/>
      <w:r>
        <w:rPr>
          <w:rFonts w:hint="eastAsia" w:ascii="宋体" w:hAnsi="宋体" w:eastAsia="宋体" w:cs="宋体"/>
          <w:b/>
          <w:bCs w:val="0"/>
          <w:color w:val="auto"/>
          <w:kern w:val="0"/>
          <w:sz w:val="30"/>
          <w:szCs w:val="30"/>
          <w:highlight w:val="none"/>
          <w:lang w:val="en-US" w:eastAsia="zh-CN"/>
        </w:rPr>
        <w:t>二、</w:t>
      </w:r>
      <w:bookmarkEnd w:id="989"/>
      <w:r>
        <w:rPr>
          <w:rFonts w:hint="eastAsia" w:ascii="宋体" w:hAnsi="宋体" w:eastAsia="宋体" w:cs="宋体"/>
          <w:b/>
          <w:bCs w:val="0"/>
          <w:color w:val="auto"/>
          <w:kern w:val="0"/>
          <w:sz w:val="30"/>
          <w:szCs w:val="30"/>
          <w:highlight w:val="none"/>
          <w:lang w:val="en-US" w:eastAsia="zh-CN"/>
        </w:rPr>
        <w:t>物业管理带教服务方案</w:t>
      </w:r>
      <w:r>
        <w:rPr>
          <w:rFonts w:hint="eastAsia" w:ascii="宋体" w:hAnsi="宋体" w:eastAsia="宋体" w:cs="宋体"/>
          <w:b/>
          <w:color w:val="auto"/>
          <w:kern w:val="0"/>
          <w:sz w:val="30"/>
          <w:szCs w:val="30"/>
          <w:highlight w:val="none"/>
          <w:lang w:val="en-US" w:eastAsia="zh-CN"/>
        </w:rPr>
        <w:t>（投标人自行编写）</w:t>
      </w:r>
    </w:p>
    <w:p w14:paraId="1BF0BB01">
      <w:pPr>
        <w:pStyle w:val="52"/>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说明：</w:t>
      </w:r>
      <w:r>
        <w:rPr>
          <w:rFonts w:hint="eastAsia" w:ascii="宋体" w:hAnsi="宋体" w:eastAsia="宋体" w:cs="Times New Roman"/>
          <w:color w:val="auto"/>
          <w:szCs w:val="21"/>
        </w:rPr>
        <w:t>投标人自行编制，格式不限。内容包括但不限于导师团队组建、带教实施计划、带教培训资源情况、带教质量保障措施等内容</w:t>
      </w:r>
      <w:r>
        <w:rPr>
          <w:rFonts w:hint="eastAsia" w:ascii="宋体" w:hAnsi="宋体" w:eastAsia="宋体" w:cs="宋体"/>
          <w:color w:val="auto"/>
          <w:highlight w:val="none"/>
        </w:rPr>
        <w:t>。</w:t>
      </w:r>
    </w:p>
    <w:p w14:paraId="1493ED89">
      <w:pPr>
        <w:keepNext w:val="0"/>
        <w:keepLines w:val="0"/>
        <w:pageBreakBefore/>
        <w:widowControl w:val="0"/>
        <w:numPr>
          <w:ilvl w:val="0"/>
          <w:numId w:val="40"/>
        </w:numPr>
        <w:kinsoku/>
        <w:wordWrap/>
        <w:overflowPunct/>
        <w:topLinePunct w:val="0"/>
        <w:autoSpaceDE/>
        <w:autoSpaceDN/>
        <w:bidi w:val="0"/>
        <w:adjustRightInd/>
        <w:snapToGrid/>
        <w:spacing w:after="0" w:line="360" w:lineRule="auto"/>
        <w:textAlignment w:val="auto"/>
        <w:outlineLvl w:val="1"/>
        <w:rPr>
          <w:rFonts w:hint="eastAsia" w:ascii="宋体" w:hAnsi="宋体" w:eastAsia="宋体" w:cs="宋体"/>
          <w:b/>
          <w:color w:val="auto"/>
          <w:kern w:val="0"/>
          <w:sz w:val="30"/>
          <w:szCs w:val="30"/>
          <w:highlight w:val="none"/>
          <w:lang w:val="en-US" w:eastAsia="zh-CN"/>
        </w:rPr>
      </w:pPr>
      <w:bookmarkStart w:id="990" w:name="_Toc12341"/>
      <w:bookmarkStart w:id="991" w:name="_Toc142508389"/>
      <w:bookmarkStart w:id="992" w:name="_Toc140596949"/>
      <w:bookmarkStart w:id="993" w:name="_Toc102860094"/>
      <w:bookmarkStart w:id="994" w:name="_Toc104991896"/>
      <w:bookmarkStart w:id="995" w:name="_Toc102860438"/>
      <w:bookmarkStart w:id="996" w:name="_Toc533708139"/>
      <w:r>
        <w:rPr>
          <w:rFonts w:hint="eastAsia" w:ascii="宋体" w:hAnsi="宋体" w:eastAsia="宋体" w:cs="宋体"/>
          <w:b/>
          <w:color w:val="auto"/>
          <w:kern w:val="0"/>
          <w:sz w:val="30"/>
          <w:szCs w:val="30"/>
          <w:highlight w:val="none"/>
          <w:lang w:val="en-US" w:eastAsia="zh-CN"/>
        </w:rPr>
        <w:t>物业管理运营服务方案（投标人自行编写）</w:t>
      </w:r>
      <w:bookmarkEnd w:id="990"/>
    </w:p>
    <w:p w14:paraId="718A6EE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b w:val="0"/>
          <w:bCs/>
          <w:color w:val="auto"/>
          <w:kern w:val="0"/>
          <w:sz w:val="21"/>
          <w:szCs w:val="21"/>
          <w:highlight w:val="none"/>
          <w:lang w:val="en-US" w:eastAsia="zh-CN"/>
        </w:rPr>
        <w:t>说明：</w:t>
      </w:r>
      <w:r>
        <w:rPr>
          <w:rFonts w:hint="eastAsia" w:ascii="宋体" w:hAnsi="宋体" w:eastAsia="宋体" w:cs="Times New Roman"/>
          <w:color w:val="auto"/>
          <w:szCs w:val="21"/>
        </w:rPr>
        <w:t>投标人自行编制，格式不限。内容包括但不限于前期准备及交接工作安排、物业管理团队组建方案、针对本项目服务内容（客户服务管理、安全保卫管理、清洁卫生管理、园林绿化养护和管理、空调系统维护保养管理、消防系统维护保养管理、供配电系统维护保养管理、给排水系统维护保养管理、智能化系统维护与保养管理、电梯系统维护与保养管理、突发应急管理、楼宇主体及其附属设施和公共配套设施维护与保养、日常物业维修及物业使用人装修管理）的组织实施方案、工作计划、响应速度及服务质量保障措施、针对本项目提出的增值服务及措施等内容</w:t>
      </w:r>
      <w:r>
        <w:rPr>
          <w:rFonts w:hint="eastAsia" w:ascii="宋体" w:hAnsi="宋体" w:eastAsia="宋体" w:cs="宋体"/>
          <w:b w:val="0"/>
          <w:bCs/>
          <w:color w:val="auto"/>
          <w:kern w:val="0"/>
          <w:sz w:val="21"/>
          <w:szCs w:val="21"/>
          <w:highlight w:val="none"/>
          <w:lang w:val="en-US" w:eastAsia="zh-CN"/>
        </w:rPr>
        <w:t>。</w:t>
      </w:r>
      <w:r>
        <w:rPr>
          <w:rFonts w:hint="eastAsia" w:ascii="宋体" w:hAnsi="宋体" w:eastAsia="宋体" w:cs="宋体"/>
          <w:b/>
          <w:color w:val="auto"/>
          <w:kern w:val="0"/>
          <w:sz w:val="30"/>
          <w:szCs w:val="30"/>
          <w:highlight w:val="none"/>
          <w:lang w:val="en-US" w:eastAsia="zh-CN"/>
        </w:rPr>
        <w:br w:type="page"/>
      </w:r>
    </w:p>
    <w:p w14:paraId="44F0D146">
      <w:pPr>
        <w:pageBreakBefore/>
        <w:outlineLvl w:val="1"/>
        <w:rPr>
          <w:rFonts w:hint="eastAsia" w:ascii="宋体" w:hAnsi="宋体" w:eastAsia="宋体" w:cs="宋体"/>
          <w:b/>
          <w:color w:val="auto"/>
          <w:kern w:val="0"/>
          <w:sz w:val="30"/>
          <w:szCs w:val="30"/>
          <w:highlight w:val="none"/>
          <w:lang w:val="en-US" w:eastAsia="zh-CN"/>
        </w:rPr>
      </w:pPr>
      <w:bookmarkStart w:id="997" w:name="_Toc13755"/>
      <w:r>
        <w:rPr>
          <w:rFonts w:hint="eastAsia" w:ascii="宋体" w:hAnsi="宋体" w:eastAsia="宋体" w:cs="宋体"/>
          <w:b/>
          <w:color w:val="auto"/>
          <w:kern w:val="0"/>
          <w:sz w:val="30"/>
          <w:szCs w:val="30"/>
          <w:highlight w:val="none"/>
          <w:lang w:val="en-US" w:eastAsia="zh-CN"/>
        </w:rPr>
        <w:t>四、拟投入本项目的服务人员情况</w:t>
      </w:r>
      <w:bookmarkEnd w:id="997"/>
    </w:p>
    <w:p w14:paraId="5162811D">
      <w:pPr>
        <w:spacing w:before="240" w:line="219" w:lineRule="auto"/>
        <w:ind w:left="3004"/>
        <w:rPr>
          <w:rFonts w:ascii="宋体" w:hAnsi="宋体" w:eastAsia="宋体" w:cs="宋体"/>
          <w:color w:val="auto"/>
          <w:sz w:val="32"/>
          <w:szCs w:val="32"/>
        </w:rPr>
      </w:pPr>
      <w:r>
        <w:rPr>
          <w:rFonts w:ascii="宋体" w:hAnsi="宋体" w:eastAsia="宋体" w:cs="宋体"/>
          <w:b/>
          <w:bCs/>
          <w:color w:val="auto"/>
          <w:spacing w:val="-2"/>
          <w:sz w:val="32"/>
          <w:szCs w:val="32"/>
        </w:rPr>
        <w:t>拟投入本项目的服务人员清单表</w:t>
      </w:r>
    </w:p>
    <w:p w14:paraId="71F9CF23">
      <w:pPr>
        <w:spacing w:line="198" w:lineRule="exact"/>
        <w:rPr>
          <w:color w:val="auto"/>
        </w:rPr>
      </w:pPr>
    </w:p>
    <w:tbl>
      <w:tblPr>
        <w:tblStyle w:val="213"/>
        <w:tblW w:w="9550" w:type="dxa"/>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4"/>
        <w:gridCol w:w="1239"/>
        <w:gridCol w:w="729"/>
        <w:gridCol w:w="859"/>
        <w:gridCol w:w="859"/>
        <w:gridCol w:w="1678"/>
        <w:gridCol w:w="1189"/>
        <w:gridCol w:w="1245"/>
        <w:gridCol w:w="928"/>
      </w:tblGrid>
      <w:tr w14:paraId="4A2DA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3" w:hRule="atLeast"/>
        </w:trPr>
        <w:tc>
          <w:tcPr>
            <w:tcW w:w="824" w:type="dxa"/>
            <w:vAlign w:val="top"/>
          </w:tcPr>
          <w:p w14:paraId="342F2926">
            <w:pPr>
              <w:pStyle w:val="212"/>
              <w:spacing w:before="304" w:line="221" w:lineRule="auto"/>
              <w:ind w:left="154"/>
              <w:jc w:val="both"/>
              <w:rPr>
                <w:color w:val="auto"/>
                <w:sz w:val="21"/>
                <w:szCs w:val="21"/>
              </w:rPr>
            </w:pPr>
            <w:r>
              <w:rPr>
                <w:color w:val="auto"/>
                <w:spacing w:val="6"/>
                <w:sz w:val="21"/>
                <w:szCs w:val="21"/>
              </w:rPr>
              <w:t>序号</w:t>
            </w:r>
          </w:p>
        </w:tc>
        <w:tc>
          <w:tcPr>
            <w:tcW w:w="1239" w:type="dxa"/>
            <w:vAlign w:val="top"/>
          </w:tcPr>
          <w:p w14:paraId="246D4619">
            <w:pPr>
              <w:pStyle w:val="212"/>
              <w:spacing w:before="303" w:line="219" w:lineRule="auto"/>
              <w:ind w:left="380"/>
              <w:jc w:val="both"/>
              <w:rPr>
                <w:color w:val="auto"/>
                <w:sz w:val="21"/>
                <w:szCs w:val="21"/>
              </w:rPr>
            </w:pPr>
            <w:r>
              <w:rPr>
                <w:color w:val="auto"/>
                <w:spacing w:val="13"/>
                <w:sz w:val="21"/>
                <w:szCs w:val="21"/>
              </w:rPr>
              <w:t>姓名</w:t>
            </w:r>
          </w:p>
        </w:tc>
        <w:tc>
          <w:tcPr>
            <w:tcW w:w="729" w:type="dxa"/>
            <w:vAlign w:val="top"/>
          </w:tcPr>
          <w:p w14:paraId="0580B04C">
            <w:pPr>
              <w:pStyle w:val="212"/>
              <w:spacing w:before="304" w:line="220" w:lineRule="auto"/>
              <w:ind w:left="132"/>
              <w:jc w:val="both"/>
              <w:rPr>
                <w:color w:val="auto"/>
                <w:sz w:val="21"/>
                <w:szCs w:val="21"/>
              </w:rPr>
            </w:pPr>
            <w:r>
              <w:rPr>
                <w:color w:val="auto"/>
                <w:spacing w:val="8"/>
                <w:sz w:val="21"/>
                <w:szCs w:val="21"/>
              </w:rPr>
              <w:t>性别</w:t>
            </w:r>
          </w:p>
        </w:tc>
        <w:tc>
          <w:tcPr>
            <w:tcW w:w="859" w:type="dxa"/>
            <w:vAlign w:val="top"/>
          </w:tcPr>
          <w:p w14:paraId="7358DBFE">
            <w:pPr>
              <w:pStyle w:val="212"/>
              <w:spacing w:before="303" w:line="219" w:lineRule="auto"/>
              <w:ind w:left="203"/>
              <w:jc w:val="both"/>
              <w:rPr>
                <w:color w:val="auto"/>
                <w:sz w:val="21"/>
                <w:szCs w:val="21"/>
              </w:rPr>
            </w:pPr>
            <w:r>
              <w:rPr>
                <w:color w:val="auto"/>
                <w:spacing w:val="-3"/>
                <w:sz w:val="21"/>
                <w:szCs w:val="21"/>
              </w:rPr>
              <w:t>年龄</w:t>
            </w:r>
          </w:p>
        </w:tc>
        <w:tc>
          <w:tcPr>
            <w:tcW w:w="859" w:type="dxa"/>
            <w:vAlign w:val="top"/>
          </w:tcPr>
          <w:p w14:paraId="14FE917F">
            <w:pPr>
              <w:pStyle w:val="212"/>
              <w:spacing w:before="304" w:line="221" w:lineRule="auto"/>
              <w:ind w:left="194"/>
              <w:jc w:val="both"/>
              <w:rPr>
                <w:color w:val="auto"/>
                <w:sz w:val="21"/>
                <w:szCs w:val="21"/>
              </w:rPr>
            </w:pPr>
            <w:r>
              <w:rPr>
                <w:color w:val="auto"/>
                <w:spacing w:val="6"/>
                <w:sz w:val="21"/>
                <w:szCs w:val="21"/>
              </w:rPr>
              <w:t>学历</w:t>
            </w:r>
          </w:p>
        </w:tc>
        <w:tc>
          <w:tcPr>
            <w:tcW w:w="1678" w:type="dxa"/>
            <w:vAlign w:val="top"/>
          </w:tcPr>
          <w:p w14:paraId="64A15FB3">
            <w:pPr>
              <w:pStyle w:val="212"/>
              <w:spacing w:before="302" w:line="219" w:lineRule="auto"/>
              <w:ind w:left="155"/>
              <w:jc w:val="both"/>
              <w:rPr>
                <w:color w:val="auto"/>
                <w:sz w:val="21"/>
                <w:szCs w:val="21"/>
              </w:rPr>
            </w:pPr>
            <w:r>
              <w:rPr>
                <w:color w:val="auto"/>
                <w:spacing w:val="1"/>
                <w:sz w:val="21"/>
                <w:szCs w:val="21"/>
              </w:rPr>
              <w:t>资格/职称证书</w:t>
            </w:r>
          </w:p>
        </w:tc>
        <w:tc>
          <w:tcPr>
            <w:tcW w:w="1189" w:type="dxa"/>
            <w:vAlign w:val="top"/>
          </w:tcPr>
          <w:p w14:paraId="5427BA3F">
            <w:pPr>
              <w:pStyle w:val="212"/>
              <w:spacing w:before="302" w:line="219" w:lineRule="auto"/>
              <w:ind w:left="146"/>
              <w:jc w:val="both"/>
              <w:rPr>
                <w:color w:val="auto"/>
                <w:sz w:val="21"/>
                <w:szCs w:val="21"/>
              </w:rPr>
            </w:pPr>
            <w:r>
              <w:rPr>
                <w:color w:val="auto"/>
                <w:spacing w:val="-2"/>
                <w:sz w:val="21"/>
                <w:szCs w:val="21"/>
              </w:rPr>
              <w:t>拟任职务</w:t>
            </w:r>
          </w:p>
        </w:tc>
        <w:tc>
          <w:tcPr>
            <w:tcW w:w="1245" w:type="dxa"/>
            <w:vAlign w:val="top"/>
          </w:tcPr>
          <w:p w14:paraId="6B64CD99">
            <w:pPr>
              <w:pStyle w:val="212"/>
              <w:spacing w:before="13" w:line="347" w:lineRule="auto"/>
              <w:ind w:right="110"/>
              <w:jc w:val="center"/>
              <w:rPr>
                <w:color w:val="auto"/>
                <w:sz w:val="21"/>
                <w:szCs w:val="21"/>
              </w:rPr>
            </w:pPr>
            <w:r>
              <w:rPr>
                <w:color w:val="auto"/>
                <w:spacing w:val="2"/>
                <w:sz w:val="21"/>
                <w:szCs w:val="21"/>
              </w:rPr>
              <w:t>从事本行</w:t>
            </w:r>
            <w:r>
              <w:rPr>
                <w:color w:val="auto"/>
                <w:spacing w:val="-2"/>
                <w:sz w:val="21"/>
                <w:szCs w:val="21"/>
              </w:rPr>
              <w:t>业年限</w:t>
            </w:r>
          </w:p>
        </w:tc>
        <w:tc>
          <w:tcPr>
            <w:tcW w:w="928" w:type="dxa"/>
            <w:vAlign w:val="top"/>
          </w:tcPr>
          <w:p w14:paraId="17EF9957">
            <w:pPr>
              <w:pStyle w:val="212"/>
              <w:spacing w:before="304" w:line="221" w:lineRule="auto"/>
              <w:jc w:val="center"/>
              <w:rPr>
                <w:color w:val="auto"/>
                <w:sz w:val="21"/>
                <w:szCs w:val="21"/>
              </w:rPr>
            </w:pPr>
            <w:r>
              <w:rPr>
                <w:color w:val="auto"/>
                <w:spacing w:val="5"/>
                <w:sz w:val="21"/>
                <w:szCs w:val="21"/>
              </w:rPr>
              <w:t>备注</w:t>
            </w:r>
          </w:p>
        </w:tc>
      </w:tr>
      <w:tr w14:paraId="0EA383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824" w:type="dxa"/>
            <w:vAlign w:val="top"/>
          </w:tcPr>
          <w:p w14:paraId="4081DC17">
            <w:pPr>
              <w:rPr>
                <w:rFonts w:ascii="Arial"/>
                <w:color w:val="auto"/>
                <w:sz w:val="21"/>
              </w:rPr>
            </w:pPr>
          </w:p>
        </w:tc>
        <w:tc>
          <w:tcPr>
            <w:tcW w:w="1239" w:type="dxa"/>
            <w:vAlign w:val="top"/>
          </w:tcPr>
          <w:p w14:paraId="2B281035">
            <w:pPr>
              <w:rPr>
                <w:rFonts w:ascii="Arial"/>
                <w:color w:val="auto"/>
                <w:sz w:val="21"/>
              </w:rPr>
            </w:pPr>
          </w:p>
        </w:tc>
        <w:tc>
          <w:tcPr>
            <w:tcW w:w="729" w:type="dxa"/>
            <w:vAlign w:val="top"/>
          </w:tcPr>
          <w:p w14:paraId="5099A314">
            <w:pPr>
              <w:rPr>
                <w:rFonts w:ascii="Arial"/>
                <w:color w:val="auto"/>
                <w:sz w:val="21"/>
              </w:rPr>
            </w:pPr>
          </w:p>
        </w:tc>
        <w:tc>
          <w:tcPr>
            <w:tcW w:w="859" w:type="dxa"/>
            <w:vAlign w:val="top"/>
          </w:tcPr>
          <w:p w14:paraId="10EAFAFC">
            <w:pPr>
              <w:rPr>
                <w:rFonts w:ascii="Arial"/>
                <w:color w:val="auto"/>
                <w:sz w:val="21"/>
              </w:rPr>
            </w:pPr>
          </w:p>
        </w:tc>
        <w:tc>
          <w:tcPr>
            <w:tcW w:w="859" w:type="dxa"/>
            <w:vAlign w:val="top"/>
          </w:tcPr>
          <w:p w14:paraId="782699B7">
            <w:pPr>
              <w:rPr>
                <w:rFonts w:ascii="Arial"/>
                <w:color w:val="auto"/>
                <w:sz w:val="21"/>
              </w:rPr>
            </w:pPr>
          </w:p>
        </w:tc>
        <w:tc>
          <w:tcPr>
            <w:tcW w:w="1678" w:type="dxa"/>
            <w:vAlign w:val="top"/>
          </w:tcPr>
          <w:p w14:paraId="164C322B">
            <w:pPr>
              <w:rPr>
                <w:rFonts w:ascii="Arial"/>
                <w:color w:val="auto"/>
                <w:sz w:val="21"/>
              </w:rPr>
            </w:pPr>
          </w:p>
        </w:tc>
        <w:tc>
          <w:tcPr>
            <w:tcW w:w="1189" w:type="dxa"/>
            <w:vAlign w:val="top"/>
          </w:tcPr>
          <w:p w14:paraId="65EEB987">
            <w:pPr>
              <w:rPr>
                <w:rFonts w:ascii="Arial"/>
                <w:color w:val="auto"/>
                <w:sz w:val="21"/>
              </w:rPr>
            </w:pPr>
          </w:p>
        </w:tc>
        <w:tc>
          <w:tcPr>
            <w:tcW w:w="1245" w:type="dxa"/>
            <w:vAlign w:val="top"/>
          </w:tcPr>
          <w:p w14:paraId="0920FB6E">
            <w:pPr>
              <w:jc w:val="center"/>
              <w:rPr>
                <w:rFonts w:ascii="Arial"/>
                <w:color w:val="auto"/>
                <w:sz w:val="21"/>
              </w:rPr>
            </w:pPr>
          </w:p>
        </w:tc>
        <w:tc>
          <w:tcPr>
            <w:tcW w:w="928" w:type="dxa"/>
            <w:vAlign w:val="top"/>
          </w:tcPr>
          <w:p w14:paraId="59B2E24D">
            <w:pPr>
              <w:rPr>
                <w:rFonts w:ascii="Arial"/>
                <w:color w:val="auto"/>
                <w:sz w:val="21"/>
              </w:rPr>
            </w:pPr>
          </w:p>
        </w:tc>
      </w:tr>
      <w:tr w14:paraId="00D8E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824" w:type="dxa"/>
            <w:vAlign w:val="top"/>
          </w:tcPr>
          <w:p w14:paraId="6C1C0628">
            <w:pPr>
              <w:rPr>
                <w:rFonts w:ascii="Arial"/>
                <w:color w:val="auto"/>
                <w:sz w:val="21"/>
              </w:rPr>
            </w:pPr>
          </w:p>
        </w:tc>
        <w:tc>
          <w:tcPr>
            <w:tcW w:w="1239" w:type="dxa"/>
            <w:vAlign w:val="top"/>
          </w:tcPr>
          <w:p w14:paraId="54ECC08E">
            <w:pPr>
              <w:rPr>
                <w:rFonts w:ascii="Arial"/>
                <w:color w:val="auto"/>
                <w:sz w:val="21"/>
              </w:rPr>
            </w:pPr>
          </w:p>
        </w:tc>
        <w:tc>
          <w:tcPr>
            <w:tcW w:w="729" w:type="dxa"/>
            <w:vAlign w:val="top"/>
          </w:tcPr>
          <w:p w14:paraId="1ECBF607">
            <w:pPr>
              <w:rPr>
                <w:rFonts w:ascii="Arial"/>
                <w:color w:val="auto"/>
                <w:sz w:val="21"/>
              </w:rPr>
            </w:pPr>
          </w:p>
        </w:tc>
        <w:tc>
          <w:tcPr>
            <w:tcW w:w="859" w:type="dxa"/>
            <w:vAlign w:val="top"/>
          </w:tcPr>
          <w:p w14:paraId="288BFAD8">
            <w:pPr>
              <w:rPr>
                <w:rFonts w:ascii="Arial"/>
                <w:color w:val="auto"/>
                <w:sz w:val="21"/>
              </w:rPr>
            </w:pPr>
          </w:p>
        </w:tc>
        <w:tc>
          <w:tcPr>
            <w:tcW w:w="859" w:type="dxa"/>
            <w:vAlign w:val="top"/>
          </w:tcPr>
          <w:p w14:paraId="395006C5">
            <w:pPr>
              <w:rPr>
                <w:rFonts w:ascii="Arial"/>
                <w:color w:val="auto"/>
                <w:sz w:val="21"/>
              </w:rPr>
            </w:pPr>
          </w:p>
        </w:tc>
        <w:tc>
          <w:tcPr>
            <w:tcW w:w="1678" w:type="dxa"/>
            <w:vAlign w:val="top"/>
          </w:tcPr>
          <w:p w14:paraId="59D3037E">
            <w:pPr>
              <w:rPr>
                <w:rFonts w:ascii="Arial"/>
                <w:color w:val="auto"/>
                <w:sz w:val="21"/>
              </w:rPr>
            </w:pPr>
          </w:p>
        </w:tc>
        <w:tc>
          <w:tcPr>
            <w:tcW w:w="1189" w:type="dxa"/>
            <w:vAlign w:val="top"/>
          </w:tcPr>
          <w:p w14:paraId="3D8793F5">
            <w:pPr>
              <w:rPr>
                <w:rFonts w:ascii="Arial"/>
                <w:color w:val="auto"/>
                <w:sz w:val="21"/>
              </w:rPr>
            </w:pPr>
          </w:p>
        </w:tc>
        <w:tc>
          <w:tcPr>
            <w:tcW w:w="1245" w:type="dxa"/>
            <w:vAlign w:val="top"/>
          </w:tcPr>
          <w:p w14:paraId="6CB3D949">
            <w:pPr>
              <w:jc w:val="center"/>
              <w:rPr>
                <w:rFonts w:ascii="Arial"/>
                <w:color w:val="auto"/>
                <w:sz w:val="21"/>
              </w:rPr>
            </w:pPr>
          </w:p>
        </w:tc>
        <w:tc>
          <w:tcPr>
            <w:tcW w:w="928" w:type="dxa"/>
            <w:vAlign w:val="top"/>
          </w:tcPr>
          <w:p w14:paraId="7ED8C4CC">
            <w:pPr>
              <w:rPr>
                <w:rFonts w:ascii="Arial"/>
                <w:color w:val="auto"/>
                <w:sz w:val="21"/>
              </w:rPr>
            </w:pPr>
          </w:p>
        </w:tc>
      </w:tr>
      <w:tr w14:paraId="379B7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824" w:type="dxa"/>
            <w:vAlign w:val="top"/>
          </w:tcPr>
          <w:p w14:paraId="061F8A4E">
            <w:pPr>
              <w:rPr>
                <w:rFonts w:ascii="Arial"/>
                <w:color w:val="auto"/>
                <w:sz w:val="21"/>
              </w:rPr>
            </w:pPr>
          </w:p>
        </w:tc>
        <w:tc>
          <w:tcPr>
            <w:tcW w:w="1239" w:type="dxa"/>
            <w:vAlign w:val="top"/>
          </w:tcPr>
          <w:p w14:paraId="496012AC">
            <w:pPr>
              <w:rPr>
                <w:rFonts w:ascii="Arial"/>
                <w:color w:val="auto"/>
                <w:sz w:val="21"/>
              </w:rPr>
            </w:pPr>
          </w:p>
        </w:tc>
        <w:tc>
          <w:tcPr>
            <w:tcW w:w="729" w:type="dxa"/>
            <w:vAlign w:val="top"/>
          </w:tcPr>
          <w:p w14:paraId="2268E834">
            <w:pPr>
              <w:rPr>
                <w:rFonts w:ascii="Arial"/>
                <w:color w:val="auto"/>
                <w:sz w:val="21"/>
              </w:rPr>
            </w:pPr>
          </w:p>
        </w:tc>
        <w:tc>
          <w:tcPr>
            <w:tcW w:w="859" w:type="dxa"/>
            <w:vAlign w:val="top"/>
          </w:tcPr>
          <w:p w14:paraId="0956D783">
            <w:pPr>
              <w:rPr>
                <w:rFonts w:ascii="Arial"/>
                <w:color w:val="auto"/>
                <w:sz w:val="21"/>
              </w:rPr>
            </w:pPr>
          </w:p>
        </w:tc>
        <w:tc>
          <w:tcPr>
            <w:tcW w:w="859" w:type="dxa"/>
            <w:vAlign w:val="top"/>
          </w:tcPr>
          <w:p w14:paraId="10B1DDEC">
            <w:pPr>
              <w:rPr>
                <w:rFonts w:ascii="Arial"/>
                <w:color w:val="auto"/>
                <w:sz w:val="21"/>
              </w:rPr>
            </w:pPr>
          </w:p>
        </w:tc>
        <w:tc>
          <w:tcPr>
            <w:tcW w:w="1678" w:type="dxa"/>
            <w:vAlign w:val="top"/>
          </w:tcPr>
          <w:p w14:paraId="38580A5E">
            <w:pPr>
              <w:rPr>
                <w:rFonts w:ascii="Arial"/>
                <w:color w:val="auto"/>
                <w:sz w:val="21"/>
              </w:rPr>
            </w:pPr>
          </w:p>
        </w:tc>
        <w:tc>
          <w:tcPr>
            <w:tcW w:w="1189" w:type="dxa"/>
            <w:vAlign w:val="top"/>
          </w:tcPr>
          <w:p w14:paraId="78417104">
            <w:pPr>
              <w:rPr>
                <w:rFonts w:ascii="Arial"/>
                <w:color w:val="auto"/>
                <w:sz w:val="21"/>
              </w:rPr>
            </w:pPr>
          </w:p>
        </w:tc>
        <w:tc>
          <w:tcPr>
            <w:tcW w:w="1245" w:type="dxa"/>
            <w:vAlign w:val="top"/>
          </w:tcPr>
          <w:p w14:paraId="5D5BF85B">
            <w:pPr>
              <w:rPr>
                <w:rFonts w:ascii="Arial"/>
                <w:color w:val="auto"/>
                <w:sz w:val="21"/>
              </w:rPr>
            </w:pPr>
          </w:p>
        </w:tc>
        <w:tc>
          <w:tcPr>
            <w:tcW w:w="928" w:type="dxa"/>
            <w:vAlign w:val="top"/>
          </w:tcPr>
          <w:p w14:paraId="70568230">
            <w:pPr>
              <w:rPr>
                <w:rFonts w:ascii="Arial"/>
                <w:color w:val="auto"/>
                <w:sz w:val="21"/>
              </w:rPr>
            </w:pPr>
          </w:p>
        </w:tc>
      </w:tr>
      <w:tr w14:paraId="550C5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824" w:type="dxa"/>
            <w:vAlign w:val="top"/>
          </w:tcPr>
          <w:p w14:paraId="711D342A">
            <w:pPr>
              <w:rPr>
                <w:rFonts w:ascii="Arial"/>
                <w:color w:val="auto"/>
                <w:sz w:val="21"/>
              </w:rPr>
            </w:pPr>
          </w:p>
        </w:tc>
        <w:tc>
          <w:tcPr>
            <w:tcW w:w="1239" w:type="dxa"/>
            <w:vAlign w:val="top"/>
          </w:tcPr>
          <w:p w14:paraId="73D2EAA9">
            <w:pPr>
              <w:rPr>
                <w:rFonts w:ascii="Arial"/>
                <w:color w:val="auto"/>
                <w:sz w:val="21"/>
              </w:rPr>
            </w:pPr>
          </w:p>
        </w:tc>
        <w:tc>
          <w:tcPr>
            <w:tcW w:w="729" w:type="dxa"/>
            <w:vAlign w:val="top"/>
          </w:tcPr>
          <w:p w14:paraId="555322C7">
            <w:pPr>
              <w:rPr>
                <w:rFonts w:ascii="Arial"/>
                <w:color w:val="auto"/>
                <w:sz w:val="21"/>
              </w:rPr>
            </w:pPr>
          </w:p>
        </w:tc>
        <w:tc>
          <w:tcPr>
            <w:tcW w:w="859" w:type="dxa"/>
            <w:vAlign w:val="top"/>
          </w:tcPr>
          <w:p w14:paraId="56803381">
            <w:pPr>
              <w:rPr>
                <w:rFonts w:ascii="Arial"/>
                <w:color w:val="auto"/>
                <w:sz w:val="21"/>
              </w:rPr>
            </w:pPr>
          </w:p>
        </w:tc>
        <w:tc>
          <w:tcPr>
            <w:tcW w:w="859" w:type="dxa"/>
            <w:vAlign w:val="top"/>
          </w:tcPr>
          <w:p w14:paraId="471F3139">
            <w:pPr>
              <w:rPr>
                <w:rFonts w:ascii="Arial"/>
                <w:color w:val="auto"/>
                <w:sz w:val="21"/>
              </w:rPr>
            </w:pPr>
          </w:p>
        </w:tc>
        <w:tc>
          <w:tcPr>
            <w:tcW w:w="1678" w:type="dxa"/>
            <w:vAlign w:val="top"/>
          </w:tcPr>
          <w:p w14:paraId="408A41CC">
            <w:pPr>
              <w:rPr>
                <w:rFonts w:ascii="Arial"/>
                <w:color w:val="auto"/>
                <w:sz w:val="21"/>
              </w:rPr>
            </w:pPr>
          </w:p>
        </w:tc>
        <w:tc>
          <w:tcPr>
            <w:tcW w:w="1189" w:type="dxa"/>
            <w:vAlign w:val="top"/>
          </w:tcPr>
          <w:p w14:paraId="104C3C80">
            <w:pPr>
              <w:rPr>
                <w:rFonts w:ascii="Arial"/>
                <w:color w:val="auto"/>
                <w:sz w:val="21"/>
              </w:rPr>
            </w:pPr>
          </w:p>
        </w:tc>
        <w:tc>
          <w:tcPr>
            <w:tcW w:w="1245" w:type="dxa"/>
            <w:vAlign w:val="top"/>
          </w:tcPr>
          <w:p w14:paraId="1E8814D8">
            <w:pPr>
              <w:rPr>
                <w:rFonts w:ascii="Arial"/>
                <w:color w:val="auto"/>
                <w:sz w:val="21"/>
              </w:rPr>
            </w:pPr>
          </w:p>
        </w:tc>
        <w:tc>
          <w:tcPr>
            <w:tcW w:w="928" w:type="dxa"/>
            <w:vAlign w:val="top"/>
          </w:tcPr>
          <w:p w14:paraId="7B71E5D3">
            <w:pPr>
              <w:rPr>
                <w:rFonts w:ascii="Arial"/>
                <w:color w:val="auto"/>
                <w:sz w:val="21"/>
              </w:rPr>
            </w:pPr>
          </w:p>
        </w:tc>
      </w:tr>
      <w:tr w14:paraId="0F737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824" w:type="dxa"/>
            <w:vAlign w:val="top"/>
          </w:tcPr>
          <w:p w14:paraId="4744A147">
            <w:pPr>
              <w:rPr>
                <w:rFonts w:ascii="Arial"/>
                <w:color w:val="auto"/>
                <w:sz w:val="21"/>
              </w:rPr>
            </w:pPr>
          </w:p>
        </w:tc>
        <w:tc>
          <w:tcPr>
            <w:tcW w:w="1239" w:type="dxa"/>
            <w:vAlign w:val="top"/>
          </w:tcPr>
          <w:p w14:paraId="1F88CB69">
            <w:pPr>
              <w:rPr>
                <w:rFonts w:ascii="Arial"/>
                <w:color w:val="auto"/>
                <w:sz w:val="21"/>
              </w:rPr>
            </w:pPr>
          </w:p>
        </w:tc>
        <w:tc>
          <w:tcPr>
            <w:tcW w:w="729" w:type="dxa"/>
            <w:vAlign w:val="top"/>
          </w:tcPr>
          <w:p w14:paraId="60E08AD1">
            <w:pPr>
              <w:rPr>
                <w:rFonts w:ascii="Arial"/>
                <w:color w:val="auto"/>
                <w:sz w:val="21"/>
              </w:rPr>
            </w:pPr>
          </w:p>
        </w:tc>
        <w:tc>
          <w:tcPr>
            <w:tcW w:w="859" w:type="dxa"/>
            <w:vAlign w:val="top"/>
          </w:tcPr>
          <w:p w14:paraId="10E016F9">
            <w:pPr>
              <w:rPr>
                <w:rFonts w:ascii="Arial"/>
                <w:color w:val="auto"/>
                <w:sz w:val="21"/>
              </w:rPr>
            </w:pPr>
          </w:p>
        </w:tc>
        <w:tc>
          <w:tcPr>
            <w:tcW w:w="859" w:type="dxa"/>
            <w:vAlign w:val="top"/>
          </w:tcPr>
          <w:p w14:paraId="26F8325C">
            <w:pPr>
              <w:rPr>
                <w:rFonts w:ascii="Arial"/>
                <w:color w:val="auto"/>
                <w:sz w:val="21"/>
              </w:rPr>
            </w:pPr>
          </w:p>
        </w:tc>
        <w:tc>
          <w:tcPr>
            <w:tcW w:w="1678" w:type="dxa"/>
            <w:vAlign w:val="top"/>
          </w:tcPr>
          <w:p w14:paraId="10CEA07E">
            <w:pPr>
              <w:rPr>
                <w:rFonts w:ascii="Arial"/>
                <w:color w:val="auto"/>
                <w:sz w:val="21"/>
              </w:rPr>
            </w:pPr>
          </w:p>
        </w:tc>
        <w:tc>
          <w:tcPr>
            <w:tcW w:w="1189" w:type="dxa"/>
            <w:vAlign w:val="top"/>
          </w:tcPr>
          <w:p w14:paraId="68F9E732">
            <w:pPr>
              <w:rPr>
                <w:rFonts w:ascii="Arial"/>
                <w:color w:val="auto"/>
                <w:sz w:val="21"/>
              </w:rPr>
            </w:pPr>
          </w:p>
        </w:tc>
        <w:tc>
          <w:tcPr>
            <w:tcW w:w="1245" w:type="dxa"/>
            <w:vAlign w:val="top"/>
          </w:tcPr>
          <w:p w14:paraId="02015228">
            <w:pPr>
              <w:rPr>
                <w:rFonts w:ascii="Arial"/>
                <w:color w:val="auto"/>
                <w:sz w:val="21"/>
              </w:rPr>
            </w:pPr>
          </w:p>
        </w:tc>
        <w:tc>
          <w:tcPr>
            <w:tcW w:w="928" w:type="dxa"/>
            <w:vAlign w:val="top"/>
          </w:tcPr>
          <w:p w14:paraId="70E1FAEE">
            <w:pPr>
              <w:rPr>
                <w:rFonts w:ascii="Arial"/>
                <w:color w:val="auto"/>
                <w:sz w:val="21"/>
              </w:rPr>
            </w:pPr>
          </w:p>
        </w:tc>
      </w:tr>
      <w:tr w14:paraId="385F7B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824" w:type="dxa"/>
            <w:vAlign w:val="top"/>
          </w:tcPr>
          <w:p w14:paraId="4404E58F">
            <w:pPr>
              <w:rPr>
                <w:rFonts w:ascii="Arial"/>
                <w:color w:val="auto"/>
                <w:sz w:val="21"/>
              </w:rPr>
            </w:pPr>
          </w:p>
        </w:tc>
        <w:tc>
          <w:tcPr>
            <w:tcW w:w="1239" w:type="dxa"/>
            <w:vAlign w:val="top"/>
          </w:tcPr>
          <w:p w14:paraId="7833A94E">
            <w:pPr>
              <w:rPr>
                <w:rFonts w:ascii="Arial"/>
                <w:color w:val="auto"/>
                <w:sz w:val="21"/>
              </w:rPr>
            </w:pPr>
          </w:p>
        </w:tc>
        <w:tc>
          <w:tcPr>
            <w:tcW w:w="729" w:type="dxa"/>
            <w:vAlign w:val="top"/>
          </w:tcPr>
          <w:p w14:paraId="5682B092">
            <w:pPr>
              <w:rPr>
                <w:rFonts w:ascii="Arial"/>
                <w:color w:val="auto"/>
                <w:sz w:val="21"/>
              </w:rPr>
            </w:pPr>
          </w:p>
        </w:tc>
        <w:tc>
          <w:tcPr>
            <w:tcW w:w="859" w:type="dxa"/>
            <w:vAlign w:val="top"/>
          </w:tcPr>
          <w:p w14:paraId="16AF978B">
            <w:pPr>
              <w:rPr>
                <w:rFonts w:ascii="Arial"/>
                <w:color w:val="auto"/>
                <w:sz w:val="21"/>
              </w:rPr>
            </w:pPr>
          </w:p>
        </w:tc>
        <w:tc>
          <w:tcPr>
            <w:tcW w:w="859" w:type="dxa"/>
            <w:vAlign w:val="top"/>
          </w:tcPr>
          <w:p w14:paraId="4F1C270C">
            <w:pPr>
              <w:rPr>
                <w:rFonts w:ascii="Arial"/>
                <w:color w:val="auto"/>
                <w:sz w:val="21"/>
              </w:rPr>
            </w:pPr>
          </w:p>
        </w:tc>
        <w:tc>
          <w:tcPr>
            <w:tcW w:w="1678" w:type="dxa"/>
            <w:vAlign w:val="top"/>
          </w:tcPr>
          <w:p w14:paraId="3FB09593">
            <w:pPr>
              <w:rPr>
                <w:rFonts w:ascii="Arial"/>
                <w:color w:val="auto"/>
                <w:sz w:val="21"/>
              </w:rPr>
            </w:pPr>
          </w:p>
        </w:tc>
        <w:tc>
          <w:tcPr>
            <w:tcW w:w="1189" w:type="dxa"/>
            <w:vAlign w:val="top"/>
          </w:tcPr>
          <w:p w14:paraId="5C683C40">
            <w:pPr>
              <w:rPr>
                <w:rFonts w:ascii="Arial"/>
                <w:color w:val="auto"/>
                <w:sz w:val="21"/>
              </w:rPr>
            </w:pPr>
          </w:p>
        </w:tc>
        <w:tc>
          <w:tcPr>
            <w:tcW w:w="1245" w:type="dxa"/>
            <w:vAlign w:val="top"/>
          </w:tcPr>
          <w:p w14:paraId="59E296C0">
            <w:pPr>
              <w:rPr>
                <w:rFonts w:ascii="Arial"/>
                <w:color w:val="auto"/>
                <w:sz w:val="21"/>
              </w:rPr>
            </w:pPr>
          </w:p>
        </w:tc>
        <w:tc>
          <w:tcPr>
            <w:tcW w:w="928" w:type="dxa"/>
            <w:vAlign w:val="top"/>
          </w:tcPr>
          <w:p w14:paraId="5785000B">
            <w:pPr>
              <w:rPr>
                <w:rFonts w:ascii="Arial"/>
                <w:color w:val="auto"/>
                <w:sz w:val="21"/>
              </w:rPr>
            </w:pPr>
          </w:p>
        </w:tc>
      </w:tr>
      <w:tr w14:paraId="45C0B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824" w:type="dxa"/>
            <w:vAlign w:val="top"/>
          </w:tcPr>
          <w:p w14:paraId="0344197F">
            <w:pPr>
              <w:rPr>
                <w:rFonts w:ascii="Arial"/>
                <w:color w:val="auto"/>
                <w:sz w:val="21"/>
              </w:rPr>
            </w:pPr>
          </w:p>
        </w:tc>
        <w:tc>
          <w:tcPr>
            <w:tcW w:w="1239" w:type="dxa"/>
            <w:vAlign w:val="top"/>
          </w:tcPr>
          <w:p w14:paraId="65B66254">
            <w:pPr>
              <w:rPr>
                <w:rFonts w:ascii="Arial"/>
                <w:color w:val="auto"/>
                <w:sz w:val="21"/>
              </w:rPr>
            </w:pPr>
          </w:p>
        </w:tc>
        <w:tc>
          <w:tcPr>
            <w:tcW w:w="729" w:type="dxa"/>
            <w:vAlign w:val="top"/>
          </w:tcPr>
          <w:p w14:paraId="3A59EAD3">
            <w:pPr>
              <w:rPr>
                <w:rFonts w:ascii="Arial"/>
                <w:color w:val="auto"/>
                <w:sz w:val="21"/>
              </w:rPr>
            </w:pPr>
          </w:p>
        </w:tc>
        <w:tc>
          <w:tcPr>
            <w:tcW w:w="859" w:type="dxa"/>
            <w:vAlign w:val="top"/>
          </w:tcPr>
          <w:p w14:paraId="725CB6A5">
            <w:pPr>
              <w:rPr>
                <w:rFonts w:ascii="Arial"/>
                <w:color w:val="auto"/>
                <w:sz w:val="21"/>
              </w:rPr>
            </w:pPr>
          </w:p>
        </w:tc>
        <w:tc>
          <w:tcPr>
            <w:tcW w:w="859" w:type="dxa"/>
            <w:vAlign w:val="top"/>
          </w:tcPr>
          <w:p w14:paraId="01B951D5">
            <w:pPr>
              <w:rPr>
                <w:rFonts w:ascii="Arial"/>
                <w:color w:val="auto"/>
                <w:sz w:val="21"/>
              </w:rPr>
            </w:pPr>
          </w:p>
        </w:tc>
        <w:tc>
          <w:tcPr>
            <w:tcW w:w="1678" w:type="dxa"/>
            <w:vAlign w:val="top"/>
          </w:tcPr>
          <w:p w14:paraId="770A961C">
            <w:pPr>
              <w:rPr>
                <w:rFonts w:ascii="Arial"/>
                <w:color w:val="auto"/>
                <w:sz w:val="21"/>
              </w:rPr>
            </w:pPr>
          </w:p>
        </w:tc>
        <w:tc>
          <w:tcPr>
            <w:tcW w:w="1189" w:type="dxa"/>
            <w:vAlign w:val="top"/>
          </w:tcPr>
          <w:p w14:paraId="495A2690">
            <w:pPr>
              <w:rPr>
                <w:rFonts w:ascii="Arial"/>
                <w:color w:val="auto"/>
                <w:sz w:val="21"/>
              </w:rPr>
            </w:pPr>
          </w:p>
        </w:tc>
        <w:tc>
          <w:tcPr>
            <w:tcW w:w="1245" w:type="dxa"/>
            <w:vAlign w:val="top"/>
          </w:tcPr>
          <w:p w14:paraId="02D55C14">
            <w:pPr>
              <w:rPr>
                <w:rFonts w:ascii="Arial"/>
                <w:color w:val="auto"/>
                <w:sz w:val="21"/>
              </w:rPr>
            </w:pPr>
          </w:p>
        </w:tc>
        <w:tc>
          <w:tcPr>
            <w:tcW w:w="928" w:type="dxa"/>
            <w:vAlign w:val="top"/>
          </w:tcPr>
          <w:p w14:paraId="77319ED4">
            <w:pPr>
              <w:rPr>
                <w:rFonts w:ascii="Arial"/>
                <w:color w:val="auto"/>
                <w:sz w:val="21"/>
              </w:rPr>
            </w:pPr>
          </w:p>
        </w:tc>
      </w:tr>
    </w:tbl>
    <w:p w14:paraId="5EBF59F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color w:val="auto"/>
          <w:sz w:val="21"/>
          <w:szCs w:val="21"/>
        </w:rPr>
      </w:pPr>
      <w:r>
        <w:rPr>
          <w:rFonts w:ascii="宋体" w:hAnsi="宋体" w:eastAsia="宋体" w:cs="宋体"/>
          <w:color w:val="auto"/>
          <w:spacing w:val="-2"/>
          <w:sz w:val="21"/>
          <w:szCs w:val="21"/>
        </w:rPr>
        <w:t>备注：</w:t>
      </w:r>
    </w:p>
    <w:p w14:paraId="2A833B65">
      <w:pPr>
        <w:keepNext w:val="0"/>
        <w:keepLines w:val="0"/>
        <w:pageBreakBefore w:val="0"/>
        <w:widowControl w:val="0"/>
        <w:kinsoku/>
        <w:wordWrap/>
        <w:overflowPunct/>
        <w:topLinePunct w:val="0"/>
        <w:autoSpaceDE/>
        <w:autoSpaceDN/>
        <w:bidi w:val="0"/>
        <w:adjustRightInd/>
        <w:snapToGrid/>
        <w:spacing w:line="360" w:lineRule="auto"/>
        <w:ind w:left="410"/>
        <w:textAlignment w:val="auto"/>
        <w:rPr>
          <w:rFonts w:ascii="宋体" w:hAnsi="宋体" w:eastAsia="宋体" w:cs="宋体"/>
          <w:color w:val="auto"/>
          <w:spacing w:val="-2"/>
          <w:sz w:val="21"/>
          <w:szCs w:val="21"/>
        </w:rPr>
      </w:pPr>
      <w:r>
        <w:rPr>
          <w:rFonts w:ascii="宋体" w:hAnsi="宋体" w:eastAsia="宋体" w:cs="宋体"/>
          <w:color w:val="auto"/>
          <w:spacing w:val="-2"/>
          <w:sz w:val="21"/>
          <w:szCs w:val="21"/>
        </w:rPr>
        <w:t>(1)此表格式供参照，供应商可以根据本表格式内容自行划表填写。</w:t>
      </w:r>
    </w:p>
    <w:p w14:paraId="0FF90C98">
      <w:pPr>
        <w:keepNext w:val="0"/>
        <w:keepLines w:val="0"/>
        <w:pageBreakBefore w:val="0"/>
        <w:widowControl w:val="0"/>
        <w:kinsoku/>
        <w:wordWrap/>
        <w:overflowPunct/>
        <w:topLinePunct w:val="0"/>
        <w:autoSpaceDE/>
        <w:autoSpaceDN/>
        <w:bidi w:val="0"/>
        <w:adjustRightInd/>
        <w:snapToGrid/>
        <w:spacing w:line="360" w:lineRule="auto"/>
        <w:ind w:left="410"/>
        <w:textAlignment w:val="auto"/>
        <w:rPr>
          <w:rFonts w:ascii="宋体" w:hAnsi="宋体" w:eastAsia="宋体" w:cs="宋体"/>
          <w:color w:val="auto"/>
          <w:spacing w:val="-2"/>
          <w:sz w:val="21"/>
          <w:szCs w:val="21"/>
        </w:rPr>
      </w:pPr>
      <w:r>
        <w:rPr>
          <w:rFonts w:ascii="宋体" w:hAnsi="宋体" w:eastAsia="宋体" w:cs="宋体"/>
          <w:color w:val="auto"/>
          <w:spacing w:val="-2"/>
          <w:sz w:val="21"/>
          <w:szCs w:val="21"/>
        </w:rPr>
        <w:t>(2)须附有身份证、劳动合同的</w:t>
      </w:r>
      <w:r>
        <w:rPr>
          <w:rFonts w:hint="eastAsia" w:ascii="宋体" w:hAnsi="宋体" w:eastAsia="宋体" w:cs="宋体"/>
          <w:color w:val="auto"/>
          <w:spacing w:val="-2"/>
          <w:sz w:val="21"/>
          <w:szCs w:val="21"/>
          <w:lang w:eastAsia="zh-CN"/>
        </w:rPr>
        <w:t>扫描件</w:t>
      </w:r>
      <w:r>
        <w:rPr>
          <w:rFonts w:ascii="宋体" w:hAnsi="宋体" w:eastAsia="宋体" w:cs="宋体"/>
          <w:color w:val="auto"/>
          <w:spacing w:val="-2"/>
          <w:sz w:val="21"/>
          <w:szCs w:val="21"/>
        </w:rPr>
        <w:t>、资格证书[学历证书/职称证/执业/职业资格证/退伍(退役军人)证]以及人力资源和社会保障部门(或税务部门)出具的</w:t>
      </w:r>
      <w:r>
        <w:rPr>
          <w:rFonts w:hint="eastAsia" w:ascii="宋体" w:hAnsi="宋体" w:eastAsia="宋体" w:cs="宋体"/>
          <w:color w:val="auto"/>
          <w:spacing w:val="-2"/>
          <w:sz w:val="21"/>
          <w:szCs w:val="21"/>
        </w:rPr>
        <w:t>投标人（2025年</w:t>
      </w:r>
      <w:r>
        <w:rPr>
          <w:rFonts w:hint="eastAsia" w:ascii="宋体" w:hAnsi="宋体" w:eastAsia="宋体" w:cs="宋体"/>
          <w:color w:val="auto"/>
          <w:spacing w:val="-2"/>
          <w:sz w:val="21"/>
          <w:szCs w:val="21"/>
          <w:lang w:val="en-US" w:eastAsia="zh-CN"/>
        </w:rPr>
        <w:t>5</w:t>
      </w:r>
      <w:r>
        <w:rPr>
          <w:rFonts w:hint="eastAsia" w:ascii="宋体" w:hAnsi="宋体" w:eastAsia="宋体" w:cs="宋体"/>
          <w:color w:val="auto"/>
          <w:spacing w:val="-2"/>
          <w:sz w:val="21"/>
          <w:szCs w:val="21"/>
        </w:rPr>
        <w:t>月、2025年</w:t>
      </w:r>
      <w:r>
        <w:rPr>
          <w:rFonts w:hint="eastAsia" w:ascii="宋体" w:hAnsi="宋体" w:eastAsia="宋体" w:cs="宋体"/>
          <w:color w:val="auto"/>
          <w:spacing w:val="-2"/>
          <w:sz w:val="21"/>
          <w:szCs w:val="21"/>
          <w:lang w:val="en-US" w:eastAsia="zh-CN"/>
        </w:rPr>
        <w:t>6</w:t>
      </w:r>
      <w:r>
        <w:rPr>
          <w:rFonts w:hint="eastAsia" w:ascii="宋体" w:hAnsi="宋体" w:eastAsia="宋体" w:cs="宋体"/>
          <w:color w:val="auto"/>
          <w:spacing w:val="-2"/>
          <w:sz w:val="21"/>
          <w:szCs w:val="21"/>
        </w:rPr>
        <w:t>月、2025年</w:t>
      </w:r>
      <w:r>
        <w:rPr>
          <w:rFonts w:hint="eastAsia" w:ascii="宋体" w:hAnsi="宋体" w:eastAsia="宋体" w:cs="宋体"/>
          <w:color w:val="auto"/>
          <w:spacing w:val="-2"/>
          <w:sz w:val="21"/>
          <w:szCs w:val="21"/>
          <w:lang w:val="en-US" w:eastAsia="zh-CN"/>
        </w:rPr>
        <w:t>7</w:t>
      </w:r>
      <w:r>
        <w:rPr>
          <w:rFonts w:hint="eastAsia" w:ascii="宋体" w:hAnsi="宋体" w:eastAsia="宋体" w:cs="宋体"/>
          <w:color w:val="auto"/>
          <w:spacing w:val="-2"/>
          <w:sz w:val="21"/>
          <w:szCs w:val="21"/>
        </w:rPr>
        <w:t>月、2025年</w:t>
      </w:r>
      <w:r>
        <w:rPr>
          <w:rFonts w:hint="eastAsia" w:ascii="宋体" w:hAnsi="宋体" w:eastAsia="宋体" w:cs="宋体"/>
          <w:color w:val="auto"/>
          <w:spacing w:val="-2"/>
          <w:sz w:val="21"/>
          <w:szCs w:val="21"/>
          <w:lang w:val="en-US" w:eastAsia="zh-CN"/>
        </w:rPr>
        <w:t>8</w:t>
      </w:r>
      <w:r>
        <w:rPr>
          <w:rFonts w:hint="eastAsia" w:ascii="宋体" w:hAnsi="宋体" w:eastAsia="宋体" w:cs="宋体"/>
          <w:color w:val="auto"/>
          <w:spacing w:val="-2"/>
          <w:sz w:val="21"/>
          <w:szCs w:val="21"/>
        </w:rPr>
        <w:t>月、2025年</w:t>
      </w:r>
      <w:r>
        <w:rPr>
          <w:rFonts w:hint="eastAsia" w:ascii="宋体" w:hAnsi="宋体" w:eastAsia="宋体" w:cs="宋体"/>
          <w:color w:val="auto"/>
          <w:spacing w:val="-2"/>
          <w:sz w:val="21"/>
          <w:szCs w:val="21"/>
          <w:lang w:val="en-US" w:eastAsia="zh-CN"/>
        </w:rPr>
        <w:t>9</w:t>
      </w:r>
      <w:r>
        <w:rPr>
          <w:rFonts w:hint="eastAsia" w:ascii="宋体" w:hAnsi="宋体" w:eastAsia="宋体" w:cs="宋体"/>
          <w:color w:val="auto"/>
          <w:spacing w:val="-2"/>
          <w:sz w:val="21"/>
          <w:szCs w:val="21"/>
        </w:rPr>
        <w:t>月、2025年</w:t>
      </w:r>
      <w:r>
        <w:rPr>
          <w:rFonts w:hint="eastAsia" w:ascii="宋体" w:hAnsi="宋体" w:eastAsia="宋体" w:cs="宋体"/>
          <w:color w:val="auto"/>
          <w:spacing w:val="-2"/>
          <w:sz w:val="21"/>
          <w:szCs w:val="21"/>
          <w:lang w:val="en-US" w:eastAsia="zh-CN"/>
        </w:rPr>
        <w:t>10</w:t>
      </w:r>
      <w:r>
        <w:rPr>
          <w:rFonts w:hint="eastAsia" w:ascii="宋体" w:hAnsi="宋体" w:eastAsia="宋体" w:cs="宋体"/>
          <w:color w:val="auto"/>
          <w:spacing w:val="-2"/>
          <w:sz w:val="21"/>
          <w:szCs w:val="21"/>
        </w:rPr>
        <w:t>月）连续6个月</w:t>
      </w:r>
      <w:r>
        <w:rPr>
          <w:rFonts w:ascii="宋体" w:hAnsi="宋体" w:eastAsia="宋体" w:cs="宋体"/>
          <w:color w:val="auto"/>
          <w:spacing w:val="-2"/>
          <w:sz w:val="21"/>
          <w:szCs w:val="21"/>
        </w:rPr>
        <w:t>为其缴纳的社保证明</w:t>
      </w:r>
      <w:r>
        <w:rPr>
          <w:rFonts w:hint="eastAsia" w:ascii="宋体" w:hAnsi="宋体" w:eastAsia="宋体" w:cs="宋体"/>
          <w:color w:val="auto"/>
          <w:spacing w:val="-2"/>
          <w:sz w:val="21"/>
          <w:szCs w:val="21"/>
          <w:lang w:eastAsia="zh-CN"/>
        </w:rPr>
        <w:t>扫描件</w:t>
      </w:r>
      <w:r>
        <w:rPr>
          <w:rFonts w:ascii="宋体" w:hAnsi="宋体" w:eastAsia="宋体" w:cs="宋体"/>
          <w:color w:val="auto"/>
          <w:spacing w:val="-2"/>
          <w:sz w:val="21"/>
          <w:szCs w:val="21"/>
        </w:rPr>
        <w:t>。</w:t>
      </w:r>
    </w:p>
    <w:p w14:paraId="433A784D">
      <w:pPr>
        <w:keepNext w:val="0"/>
        <w:keepLines w:val="0"/>
        <w:pageBreakBefore w:val="0"/>
        <w:widowControl w:val="0"/>
        <w:kinsoku/>
        <w:wordWrap/>
        <w:overflowPunct/>
        <w:topLinePunct w:val="0"/>
        <w:autoSpaceDE/>
        <w:autoSpaceDN/>
        <w:bidi w:val="0"/>
        <w:adjustRightInd/>
        <w:snapToGrid/>
        <w:spacing w:line="360" w:lineRule="auto"/>
        <w:ind w:left="410"/>
        <w:textAlignment w:val="auto"/>
        <w:rPr>
          <w:rFonts w:ascii="宋体" w:hAnsi="宋体" w:eastAsia="宋体" w:cs="宋体"/>
          <w:color w:val="auto"/>
          <w:spacing w:val="-2"/>
          <w:sz w:val="21"/>
          <w:szCs w:val="21"/>
        </w:rPr>
      </w:pPr>
      <w:r>
        <w:rPr>
          <w:rFonts w:ascii="宋体" w:hAnsi="宋体" w:eastAsia="宋体" w:cs="宋体"/>
          <w:color w:val="auto"/>
          <w:spacing w:val="-2"/>
          <w:sz w:val="21"/>
          <w:szCs w:val="21"/>
        </w:rPr>
        <w:t>(3)拟投入本项目的项目负责人需提供简历表。</w:t>
      </w:r>
    </w:p>
    <w:p w14:paraId="7EBFE982">
      <w:pPr>
        <w:keepNext w:val="0"/>
        <w:keepLines w:val="0"/>
        <w:pageBreakBefore w:val="0"/>
        <w:widowControl w:val="0"/>
        <w:kinsoku/>
        <w:wordWrap/>
        <w:overflowPunct/>
        <w:topLinePunct w:val="0"/>
        <w:autoSpaceDE/>
        <w:autoSpaceDN/>
        <w:bidi w:val="0"/>
        <w:adjustRightInd/>
        <w:snapToGrid/>
        <w:spacing w:line="360" w:lineRule="auto"/>
        <w:ind w:left="500"/>
        <w:textAlignment w:val="auto"/>
        <w:rPr>
          <w:rFonts w:ascii="宋体" w:hAnsi="宋体" w:eastAsia="宋体" w:cs="宋体"/>
          <w:color w:val="auto"/>
          <w:spacing w:val="3"/>
          <w:sz w:val="21"/>
          <w:szCs w:val="21"/>
        </w:rPr>
        <w:sectPr>
          <w:footerReference r:id="rId20" w:type="default"/>
          <w:pgSz w:w="11910" w:h="16840"/>
          <w:pgMar w:top="961" w:right="1029" w:bottom="901" w:left="979" w:header="653" w:footer="757" w:gutter="0"/>
          <w:pgNumType w:fmt="decimal"/>
          <w:cols w:space="720" w:num="1"/>
        </w:sectPr>
      </w:pPr>
    </w:p>
    <w:p w14:paraId="1B9B2292">
      <w:pPr>
        <w:spacing w:before="174" w:line="219" w:lineRule="auto"/>
        <w:ind w:left="2534"/>
        <w:rPr>
          <w:rFonts w:ascii="宋体" w:hAnsi="宋体" w:eastAsia="宋体" w:cs="宋体"/>
          <w:color w:val="auto"/>
          <w:sz w:val="29"/>
          <w:szCs w:val="29"/>
        </w:rPr>
      </w:pPr>
      <w:r>
        <w:rPr>
          <w:rFonts w:ascii="宋体" w:hAnsi="宋体" w:eastAsia="宋体" w:cs="宋体"/>
          <w:b/>
          <w:bCs/>
          <w:color w:val="auto"/>
          <w:spacing w:val="-8"/>
          <w:sz w:val="29"/>
          <w:szCs w:val="29"/>
        </w:rPr>
        <w:t>拟担任本项</w:t>
      </w:r>
      <w:r>
        <w:rPr>
          <w:rFonts w:ascii="宋体" w:hAnsi="宋体" w:eastAsia="宋体" w:cs="宋体"/>
          <w:color w:val="auto"/>
          <w:spacing w:val="-50"/>
          <w:sz w:val="29"/>
          <w:szCs w:val="29"/>
        </w:rPr>
        <w:t xml:space="preserve"> </w:t>
      </w:r>
      <w:r>
        <w:rPr>
          <w:rFonts w:ascii="宋体" w:hAnsi="宋体" w:eastAsia="宋体" w:cs="宋体"/>
          <w:b/>
          <w:bCs/>
          <w:color w:val="auto"/>
          <w:spacing w:val="-8"/>
          <w:sz w:val="29"/>
          <w:szCs w:val="29"/>
        </w:rPr>
        <w:t>目</w:t>
      </w:r>
      <w:r>
        <w:rPr>
          <w:rFonts w:ascii="宋体" w:hAnsi="宋体" w:eastAsia="宋体" w:cs="宋体"/>
          <w:b/>
          <w:bCs/>
          <w:color w:val="auto"/>
          <w:spacing w:val="-8"/>
          <w:sz w:val="29"/>
          <w:szCs w:val="29"/>
          <w:u w:val="single" w:color="auto"/>
        </w:rPr>
        <w:t>(</w:t>
      </w:r>
      <w:r>
        <w:rPr>
          <w:rFonts w:ascii="宋体" w:hAnsi="宋体" w:eastAsia="宋体" w:cs="宋体"/>
          <w:color w:val="auto"/>
          <w:spacing w:val="-40"/>
          <w:sz w:val="29"/>
          <w:szCs w:val="29"/>
          <w:u w:val="single" w:color="auto"/>
        </w:rPr>
        <w:t xml:space="preserve"> </w:t>
      </w:r>
      <w:r>
        <w:rPr>
          <w:rFonts w:ascii="宋体" w:hAnsi="宋体" w:eastAsia="宋体" w:cs="宋体"/>
          <w:b/>
          <w:bCs/>
          <w:color w:val="auto"/>
          <w:spacing w:val="-8"/>
          <w:sz w:val="29"/>
          <w:szCs w:val="29"/>
          <w:u w:val="single" w:color="auto"/>
        </w:rPr>
        <w:t>职</w:t>
      </w:r>
      <w:r>
        <w:rPr>
          <w:rFonts w:ascii="宋体" w:hAnsi="宋体" w:eastAsia="宋体" w:cs="宋体"/>
          <w:color w:val="auto"/>
          <w:spacing w:val="-40"/>
          <w:sz w:val="29"/>
          <w:szCs w:val="29"/>
          <w:u w:val="single" w:color="auto"/>
        </w:rPr>
        <w:t xml:space="preserve"> </w:t>
      </w:r>
      <w:r>
        <w:rPr>
          <w:rFonts w:ascii="宋体" w:hAnsi="宋体" w:eastAsia="宋体" w:cs="宋体"/>
          <w:b/>
          <w:bCs/>
          <w:color w:val="auto"/>
          <w:spacing w:val="-8"/>
          <w:sz w:val="29"/>
          <w:szCs w:val="29"/>
          <w:u w:val="single" w:color="auto"/>
        </w:rPr>
        <w:t>位</w:t>
      </w:r>
      <w:r>
        <w:rPr>
          <w:rFonts w:ascii="宋体" w:hAnsi="宋体" w:eastAsia="宋体" w:cs="宋体"/>
          <w:color w:val="auto"/>
          <w:spacing w:val="-36"/>
          <w:sz w:val="29"/>
          <w:szCs w:val="29"/>
          <w:u w:val="single" w:color="auto"/>
        </w:rPr>
        <w:t xml:space="preserve"> </w:t>
      </w:r>
      <w:r>
        <w:rPr>
          <w:rFonts w:ascii="宋体" w:hAnsi="宋体" w:eastAsia="宋体" w:cs="宋体"/>
          <w:b/>
          <w:bCs/>
          <w:color w:val="auto"/>
          <w:spacing w:val="-8"/>
          <w:sz w:val="29"/>
          <w:szCs w:val="29"/>
          <w:u w:val="single" w:color="auto"/>
        </w:rPr>
        <w:t>名</w:t>
      </w:r>
      <w:r>
        <w:rPr>
          <w:rFonts w:ascii="宋体" w:hAnsi="宋体" w:eastAsia="宋体" w:cs="宋体"/>
          <w:color w:val="auto"/>
          <w:spacing w:val="-42"/>
          <w:sz w:val="29"/>
          <w:szCs w:val="29"/>
          <w:u w:val="single" w:color="auto"/>
        </w:rPr>
        <w:t xml:space="preserve"> </w:t>
      </w:r>
      <w:r>
        <w:rPr>
          <w:rFonts w:ascii="宋体" w:hAnsi="宋体" w:eastAsia="宋体" w:cs="宋体"/>
          <w:b/>
          <w:bCs/>
          <w:color w:val="auto"/>
          <w:spacing w:val="-8"/>
          <w:sz w:val="29"/>
          <w:szCs w:val="29"/>
          <w:u w:val="single" w:color="auto"/>
        </w:rPr>
        <w:t>称</w:t>
      </w:r>
      <w:r>
        <w:rPr>
          <w:rFonts w:ascii="宋体" w:hAnsi="宋体" w:eastAsia="宋体" w:cs="宋体"/>
          <w:color w:val="auto"/>
          <w:spacing w:val="-39"/>
          <w:sz w:val="29"/>
          <w:szCs w:val="29"/>
          <w:u w:val="single" w:color="auto"/>
        </w:rPr>
        <w:t xml:space="preserve"> </w:t>
      </w:r>
      <w:r>
        <w:rPr>
          <w:rFonts w:ascii="宋体" w:hAnsi="宋体" w:eastAsia="宋体" w:cs="宋体"/>
          <w:b/>
          <w:bCs/>
          <w:color w:val="auto"/>
          <w:spacing w:val="-8"/>
          <w:sz w:val="29"/>
          <w:szCs w:val="29"/>
          <w:u w:val="single" w:color="auto"/>
        </w:rPr>
        <w:t>)</w:t>
      </w:r>
      <w:r>
        <w:rPr>
          <w:rFonts w:ascii="宋体" w:hAnsi="宋体" w:eastAsia="宋体" w:cs="宋体"/>
          <w:color w:val="auto"/>
          <w:spacing w:val="120"/>
          <w:sz w:val="29"/>
          <w:szCs w:val="29"/>
        </w:rPr>
        <w:t xml:space="preserve"> </w:t>
      </w:r>
      <w:r>
        <w:rPr>
          <w:rFonts w:ascii="宋体" w:hAnsi="宋体" w:eastAsia="宋体" w:cs="宋体"/>
          <w:b/>
          <w:bCs/>
          <w:color w:val="auto"/>
          <w:spacing w:val="-8"/>
          <w:sz w:val="29"/>
          <w:szCs w:val="29"/>
        </w:rPr>
        <w:t>人员简历表</w:t>
      </w:r>
    </w:p>
    <w:p w14:paraId="67607C96">
      <w:pPr>
        <w:spacing w:line="174" w:lineRule="exact"/>
        <w:rPr>
          <w:color w:val="auto"/>
        </w:rPr>
      </w:pPr>
    </w:p>
    <w:tbl>
      <w:tblPr>
        <w:tblStyle w:val="213"/>
        <w:tblW w:w="9279" w:type="dxa"/>
        <w:tblInd w:w="3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4"/>
        <w:gridCol w:w="2078"/>
        <w:gridCol w:w="1548"/>
        <w:gridCol w:w="1069"/>
        <w:gridCol w:w="559"/>
        <w:gridCol w:w="369"/>
        <w:gridCol w:w="899"/>
        <w:gridCol w:w="1793"/>
      </w:tblGrid>
      <w:tr w14:paraId="12BE8C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964" w:type="dxa"/>
            <w:vAlign w:val="top"/>
          </w:tcPr>
          <w:p w14:paraId="7EDE88C1">
            <w:pPr>
              <w:pStyle w:val="212"/>
              <w:spacing w:before="214" w:line="219" w:lineRule="auto"/>
              <w:ind w:left="254"/>
              <w:rPr>
                <w:color w:val="auto"/>
              </w:rPr>
            </w:pPr>
            <w:r>
              <w:rPr>
                <w:color w:val="auto"/>
                <w:spacing w:val="14"/>
              </w:rPr>
              <w:t>姓名</w:t>
            </w:r>
          </w:p>
        </w:tc>
        <w:tc>
          <w:tcPr>
            <w:tcW w:w="2078" w:type="dxa"/>
            <w:vAlign w:val="top"/>
          </w:tcPr>
          <w:p w14:paraId="358FCAD8">
            <w:pPr>
              <w:rPr>
                <w:rFonts w:ascii="Arial"/>
                <w:color w:val="auto"/>
                <w:sz w:val="21"/>
              </w:rPr>
            </w:pPr>
          </w:p>
        </w:tc>
        <w:tc>
          <w:tcPr>
            <w:tcW w:w="2617" w:type="dxa"/>
            <w:gridSpan w:val="2"/>
            <w:vAlign w:val="top"/>
          </w:tcPr>
          <w:p w14:paraId="27EF9DB1">
            <w:pPr>
              <w:pStyle w:val="212"/>
              <w:spacing w:before="214" w:line="220" w:lineRule="auto"/>
              <w:ind w:left="1082"/>
              <w:rPr>
                <w:color w:val="auto"/>
              </w:rPr>
            </w:pPr>
            <w:r>
              <w:rPr>
                <w:color w:val="auto"/>
                <w:spacing w:val="9"/>
              </w:rPr>
              <w:t>性别</w:t>
            </w:r>
          </w:p>
        </w:tc>
        <w:tc>
          <w:tcPr>
            <w:tcW w:w="559" w:type="dxa"/>
            <w:vAlign w:val="top"/>
          </w:tcPr>
          <w:p w14:paraId="0D0C7717">
            <w:pPr>
              <w:rPr>
                <w:rFonts w:ascii="Arial"/>
                <w:color w:val="auto"/>
                <w:sz w:val="21"/>
              </w:rPr>
            </w:pPr>
          </w:p>
        </w:tc>
        <w:tc>
          <w:tcPr>
            <w:tcW w:w="1268" w:type="dxa"/>
            <w:gridSpan w:val="2"/>
            <w:vAlign w:val="top"/>
          </w:tcPr>
          <w:p w14:paraId="1264D622">
            <w:pPr>
              <w:pStyle w:val="212"/>
              <w:spacing w:before="214" w:line="219" w:lineRule="auto"/>
              <w:ind w:left="406"/>
              <w:rPr>
                <w:color w:val="auto"/>
              </w:rPr>
            </w:pPr>
            <w:r>
              <w:rPr>
                <w:color w:val="auto"/>
                <w:spacing w:val="-3"/>
              </w:rPr>
              <w:t>年龄</w:t>
            </w:r>
          </w:p>
        </w:tc>
        <w:tc>
          <w:tcPr>
            <w:tcW w:w="1793" w:type="dxa"/>
            <w:vAlign w:val="top"/>
          </w:tcPr>
          <w:p w14:paraId="65BFE754">
            <w:pPr>
              <w:rPr>
                <w:rFonts w:ascii="Arial"/>
                <w:color w:val="auto"/>
                <w:sz w:val="21"/>
              </w:rPr>
            </w:pPr>
          </w:p>
        </w:tc>
      </w:tr>
      <w:tr w14:paraId="59ACCA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964" w:type="dxa"/>
            <w:vAlign w:val="top"/>
          </w:tcPr>
          <w:p w14:paraId="0B94BEE9">
            <w:pPr>
              <w:pStyle w:val="212"/>
              <w:spacing w:before="200" w:line="219" w:lineRule="auto"/>
              <w:ind w:left="254"/>
              <w:rPr>
                <w:color w:val="auto"/>
              </w:rPr>
            </w:pPr>
            <w:r>
              <w:rPr>
                <w:color w:val="auto"/>
                <w:spacing w:val="-3"/>
              </w:rPr>
              <w:t>职务</w:t>
            </w:r>
          </w:p>
        </w:tc>
        <w:tc>
          <w:tcPr>
            <w:tcW w:w="2078" w:type="dxa"/>
            <w:vAlign w:val="top"/>
          </w:tcPr>
          <w:p w14:paraId="076B1863">
            <w:pPr>
              <w:rPr>
                <w:rFonts w:ascii="Arial"/>
                <w:color w:val="auto"/>
                <w:sz w:val="21"/>
              </w:rPr>
            </w:pPr>
          </w:p>
        </w:tc>
        <w:tc>
          <w:tcPr>
            <w:tcW w:w="2617" w:type="dxa"/>
            <w:gridSpan w:val="2"/>
            <w:vAlign w:val="top"/>
          </w:tcPr>
          <w:p w14:paraId="19EAA24A">
            <w:pPr>
              <w:pStyle w:val="212"/>
              <w:spacing w:before="200" w:line="219" w:lineRule="auto"/>
              <w:ind w:left="753"/>
              <w:rPr>
                <w:color w:val="auto"/>
              </w:rPr>
            </w:pPr>
            <w:r>
              <w:rPr>
                <w:color w:val="auto"/>
                <w:spacing w:val="2"/>
              </w:rPr>
              <w:t>资格或职称</w:t>
            </w:r>
          </w:p>
        </w:tc>
        <w:tc>
          <w:tcPr>
            <w:tcW w:w="559" w:type="dxa"/>
            <w:vAlign w:val="top"/>
          </w:tcPr>
          <w:p w14:paraId="5C528FFD">
            <w:pPr>
              <w:rPr>
                <w:rFonts w:ascii="Arial"/>
                <w:color w:val="auto"/>
                <w:sz w:val="21"/>
              </w:rPr>
            </w:pPr>
          </w:p>
        </w:tc>
        <w:tc>
          <w:tcPr>
            <w:tcW w:w="1268" w:type="dxa"/>
            <w:gridSpan w:val="2"/>
            <w:vAlign w:val="top"/>
          </w:tcPr>
          <w:p w14:paraId="321A06FC">
            <w:pPr>
              <w:pStyle w:val="212"/>
              <w:spacing w:before="201" w:line="221" w:lineRule="auto"/>
              <w:ind w:left="406"/>
              <w:rPr>
                <w:color w:val="auto"/>
              </w:rPr>
            </w:pPr>
            <w:r>
              <w:rPr>
                <w:color w:val="auto"/>
                <w:spacing w:val="7"/>
              </w:rPr>
              <w:t>学历</w:t>
            </w:r>
          </w:p>
        </w:tc>
        <w:tc>
          <w:tcPr>
            <w:tcW w:w="1793" w:type="dxa"/>
            <w:vAlign w:val="top"/>
          </w:tcPr>
          <w:p w14:paraId="6F14D3DA">
            <w:pPr>
              <w:rPr>
                <w:rFonts w:ascii="Arial"/>
                <w:color w:val="auto"/>
                <w:sz w:val="21"/>
              </w:rPr>
            </w:pPr>
          </w:p>
        </w:tc>
      </w:tr>
      <w:tr w14:paraId="1F24A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3042" w:type="dxa"/>
            <w:gridSpan w:val="2"/>
            <w:vAlign w:val="top"/>
          </w:tcPr>
          <w:p w14:paraId="714DC8D7">
            <w:pPr>
              <w:pStyle w:val="212"/>
              <w:spacing w:before="301" w:line="220" w:lineRule="auto"/>
              <w:ind w:left="854"/>
              <w:rPr>
                <w:color w:val="auto"/>
              </w:rPr>
            </w:pPr>
            <w:r>
              <w:rPr>
                <w:color w:val="auto"/>
                <w:spacing w:val="3"/>
              </w:rPr>
              <w:t>参加工作时间</w:t>
            </w:r>
          </w:p>
        </w:tc>
        <w:tc>
          <w:tcPr>
            <w:tcW w:w="2617" w:type="dxa"/>
            <w:gridSpan w:val="2"/>
            <w:vAlign w:val="top"/>
          </w:tcPr>
          <w:p w14:paraId="745CD1B0">
            <w:pPr>
              <w:rPr>
                <w:rFonts w:ascii="Arial"/>
                <w:color w:val="auto"/>
                <w:sz w:val="21"/>
              </w:rPr>
            </w:pPr>
          </w:p>
        </w:tc>
        <w:tc>
          <w:tcPr>
            <w:tcW w:w="1827" w:type="dxa"/>
            <w:gridSpan w:val="3"/>
            <w:vAlign w:val="top"/>
          </w:tcPr>
          <w:p w14:paraId="769F6EB7">
            <w:pPr>
              <w:pStyle w:val="212"/>
              <w:spacing w:before="41" w:line="322" w:lineRule="auto"/>
              <w:ind w:left="265" w:right="11" w:hanging="170"/>
              <w:rPr>
                <w:color w:val="auto"/>
              </w:rPr>
            </w:pPr>
            <w:r>
              <w:rPr>
                <w:color w:val="auto"/>
                <w:spacing w:val="-16"/>
              </w:rPr>
              <w:t>担任</w:t>
            </w:r>
            <w:r>
              <w:rPr>
                <w:color w:val="auto"/>
                <w:spacing w:val="-100"/>
              </w:rPr>
              <w:t xml:space="preserve"> </w:t>
            </w:r>
            <w:r>
              <w:rPr>
                <w:color w:val="auto"/>
                <w:spacing w:val="8"/>
                <w:u w:val="single" w:color="auto"/>
              </w:rPr>
              <w:t xml:space="preserve">       </w:t>
            </w:r>
            <w:r>
              <w:rPr>
                <w:color w:val="auto"/>
                <w:spacing w:val="-16"/>
                <w:u w:val="single" w:color="auto"/>
              </w:rPr>
              <w:t>(</w:t>
            </w:r>
            <w:r>
              <w:rPr>
                <w:color w:val="auto"/>
                <w:spacing w:val="-37"/>
                <w:u w:val="single" w:color="auto"/>
              </w:rPr>
              <w:t xml:space="preserve"> </w:t>
            </w:r>
            <w:r>
              <w:rPr>
                <w:color w:val="auto"/>
                <w:spacing w:val="-16"/>
                <w:u w:val="single" w:color="auto"/>
              </w:rPr>
              <w:t xml:space="preserve">职 </w:t>
            </w:r>
            <w:r>
              <w:rPr>
                <w:color w:val="auto"/>
              </w:rPr>
              <w:t xml:space="preserve"> </w:t>
            </w:r>
            <w:r>
              <w:rPr>
                <w:color w:val="auto"/>
                <w:spacing w:val="2"/>
                <w:u w:val="single" w:color="auto"/>
              </w:rPr>
              <w:t>位名称)</w:t>
            </w:r>
            <w:r>
              <w:rPr>
                <w:color w:val="auto"/>
                <w:spacing w:val="2"/>
              </w:rPr>
              <w:t>年限</w:t>
            </w:r>
          </w:p>
        </w:tc>
        <w:tc>
          <w:tcPr>
            <w:tcW w:w="1793" w:type="dxa"/>
            <w:vAlign w:val="top"/>
          </w:tcPr>
          <w:p w14:paraId="11619DA3">
            <w:pPr>
              <w:rPr>
                <w:rFonts w:ascii="Arial"/>
                <w:color w:val="auto"/>
                <w:sz w:val="21"/>
              </w:rPr>
            </w:pPr>
          </w:p>
        </w:tc>
      </w:tr>
      <w:tr w14:paraId="6232B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3042" w:type="dxa"/>
            <w:gridSpan w:val="2"/>
            <w:vAlign w:val="top"/>
          </w:tcPr>
          <w:p w14:paraId="7F9C4794">
            <w:pPr>
              <w:pStyle w:val="212"/>
              <w:spacing w:before="210" w:line="219" w:lineRule="auto"/>
              <w:ind w:left="854"/>
              <w:rPr>
                <w:color w:val="auto"/>
              </w:rPr>
            </w:pPr>
            <w:r>
              <w:rPr>
                <w:color w:val="auto"/>
                <w:spacing w:val="2"/>
              </w:rPr>
              <w:t>资格证书编号</w:t>
            </w:r>
          </w:p>
        </w:tc>
        <w:tc>
          <w:tcPr>
            <w:tcW w:w="3176" w:type="dxa"/>
            <w:gridSpan w:val="3"/>
            <w:vAlign w:val="top"/>
          </w:tcPr>
          <w:p w14:paraId="2C873F7A">
            <w:pPr>
              <w:rPr>
                <w:rFonts w:ascii="Arial"/>
                <w:color w:val="auto"/>
                <w:sz w:val="21"/>
              </w:rPr>
            </w:pPr>
          </w:p>
        </w:tc>
        <w:tc>
          <w:tcPr>
            <w:tcW w:w="1268" w:type="dxa"/>
            <w:gridSpan w:val="2"/>
            <w:vAlign w:val="top"/>
          </w:tcPr>
          <w:p w14:paraId="4626F079">
            <w:pPr>
              <w:pStyle w:val="212"/>
              <w:spacing w:before="215" w:line="221" w:lineRule="auto"/>
              <w:ind w:left="186"/>
              <w:rPr>
                <w:color w:val="auto"/>
              </w:rPr>
            </w:pPr>
            <w:r>
              <w:rPr>
                <w:color w:val="auto"/>
                <w:spacing w:val="-2"/>
              </w:rPr>
              <w:t>联系电话</w:t>
            </w:r>
          </w:p>
        </w:tc>
        <w:tc>
          <w:tcPr>
            <w:tcW w:w="1793" w:type="dxa"/>
            <w:vAlign w:val="top"/>
          </w:tcPr>
          <w:p w14:paraId="7D57D983">
            <w:pPr>
              <w:rPr>
                <w:rFonts w:ascii="Arial"/>
                <w:color w:val="auto"/>
                <w:sz w:val="21"/>
              </w:rPr>
            </w:pPr>
          </w:p>
        </w:tc>
      </w:tr>
      <w:tr w14:paraId="1AAAA6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9279" w:type="dxa"/>
            <w:gridSpan w:val="8"/>
            <w:vAlign w:val="top"/>
          </w:tcPr>
          <w:p w14:paraId="43BCCBEE">
            <w:pPr>
              <w:pStyle w:val="212"/>
              <w:spacing w:before="203" w:line="219" w:lineRule="auto"/>
              <w:ind w:left="3304"/>
              <w:rPr>
                <w:color w:val="auto"/>
              </w:rPr>
            </w:pPr>
            <w:r>
              <w:rPr>
                <w:color w:val="auto"/>
              </w:rPr>
              <w:t>目前在任及以往服务项目情况</w:t>
            </w:r>
          </w:p>
        </w:tc>
      </w:tr>
      <w:tr w14:paraId="3F0B7A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3042" w:type="dxa"/>
            <w:gridSpan w:val="2"/>
            <w:vAlign w:val="top"/>
          </w:tcPr>
          <w:p w14:paraId="7B47A9BE">
            <w:pPr>
              <w:pStyle w:val="212"/>
              <w:spacing w:before="43" w:line="321" w:lineRule="auto"/>
              <w:ind w:left="84" w:right="95" w:firstLine="110"/>
              <w:rPr>
                <w:color w:val="auto"/>
              </w:rPr>
            </w:pPr>
            <w:r>
              <w:rPr>
                <w:color w:val="auto"/>
              </w:rPr>
              <w:t>负责过商务办公楼或写字楼</w:t>
            </w:r>
            <w:r>
              <w:rPr>
                <w:color w:val="auto"/>
                <w:spacing w:val="4"/>
              </w:rPr>
              <w:t xml:space="preserve">  </w:t>
            </w:r>
            <w:r>
              <w:rPr>
                <w:color w:val="auto"/>
                <w:spacing w:val="-1"/>
              </w:rPr>
              <w:t>物业管理服务项目的项目名称</w:t>
            </w:r>
          </w:p>
        </w:tc>
        <w:tc>
          <w:tcPr>
            <w:tcW w:w="1548" w:type="dxa"/>
            <w:vAlign w:val="top"/>
          </w:tcPr>
          <w:p w14:paraId="153E3A7C">
            <w:pPr>
              <w:pStyle w:val="212"/>
              <w:spacing w:before="304" w:line="219" w:lineRule="auto"/>
              <w:ind w:left="142"/>
              <w:rPr>
                <w:color w:val="auto"/>
              </w:rPr>
            </w:pPr>
            <w:r>
              <w:rPr>
                <w:color w:val="auto"/>
                <w:spacing w:val="2"/>
              </w:rPr>
              <w:t>项目物业类型</w:t>
            </w:r>
          </w:p>
        </w:tc>
        <w:tc>
          <w:tcPr>
            <w:tcW w:w="1069" w:type="dxa"/>
            <w:vAlign w:val="top"/>
          </w:tcPr>
          <w:p w14:paraId="698C6D4C">
            <w:pPr>
              <w:pStyle w:val="212"/>
              <w:spacing w:before="304" w:line="219" w:lineRule="auto"/>
              <w:ind w:left="104"/>
              <w:rPr>
                <w:color w:val="auto"/>
              </w:rPr>
            </w:pPr>
            <w:r>
              <w:rPr>
                <w:color w:val="auto"/>
                <w:spacing w:val="-2"/>
              </w:rPr>
              <w:t>服务内容</w:t>
            </w:r>
          </w:p>
        </w:tc>
        <w:tc>
          <w:tcPr>
            <w:tcW w:w="928" w:type="dxa"/>
            <w:gridSpan w:val="2"/>
            <w:vAlign w:val="top"/>
          </w:tcPr>
          <w:p w14:paraId="13D34547">
            <w:pPr>
              <w:pStyle w:val="212"/>
              <w:spacing w:before="24" w:line="220" w:lineRule="auto"/>
              <w:ind w:left="125"/>
              <w:rPr>
                <w:color w:val="auto"/>
              </w:rPr>
            </w:pPr>
            <w:r>
              <w:rPr>
                <w:color w:val="auto"/>
                <w:spacing w:val="3"/>
              </w:rPr>
              <w:t>项目建</w:t>
            </w:r>
          </w:p>
          <w:p w14:paraId="2A4A25BB">
            <w:pPr>
              <w:pStyle w:val="212"/>
              <w:spacing w:before="157" w:line="220" w:lineRule="auto"/>
              <w:ind w:left="125"/>
              <w:rPr>
                <w:color w:val="auto"/>
              </w:rPr>
            </w:pPr>
            <w:r>
              <w:rPr>
                <w:color w:val="auto"/>
                <w:spacing w:val="4"/>
              </w:rPr>
              <w:t>筑面积</w:t>
            </w:r>
          </w:p>
        </w:tc>
        <w:tc>
          <w:tcPr>
            <w:tcW w:w="899" w:type="dxa"/>
            <w:vAlign w:val="top"/>
          </w:tcPr>
          <w:p w14:paraId="3577BF95">
            <w:pPr>
              <w:pStyle w:val="212"/>
              <w:spacing w:before="34" w:line="220" w:lineRule="auto"/>
              <w:ind w:left="117"/>
              <w:rPr>
                <w:color w:val="auto"/>
              </w:rPr>
            </w:pPr>
            <w:r>
              <w:rPr>
                <w:color w:val="auto"/>
                <w:spacing w:val="3"/>
              </w:rPr>
              <w:t>项目建</w:t>
            </w:r>
          </w:p>
          <w:p w14:paraId="62FE3241">
            <w:pPr>
              <w:pStyle w:val="212"/>
              <w:spacing w:before="147" w:line="219" w:lineRule="auto"/>
              <w:ind w:left="117"/>
              <w:rPr>
                <w:color w:val="auto"/>
              </w:rPr>
            </w:pPr>
            <w:r>
              <w:rPr>
                <w:color w:val="auto"/>
                <w:spacing w:val="-3"/>
              </w:rPr>
              <w:t>筑层数</w:t>
            </w:r>
          </w:p>
        </w:tc>
        <w:tc>
          <w:tcPr>
            <w:tcW w:w="1793" w:type="dxa"/>
            <w:vAlign w:val="top"/>
          </w:tcPr>
          <w:p w14:paraId="03006A51">
            <w:pPr>
              <w:pStyle w:val="212"/>
              <w:spacing w:before="34" w:line="325" w:lineRule="auto"/>
              <w:ind w:left="119" w:right="102"/>
              <w:rPr>
                <w:color w:val="auto"/>
              </w:rPr>
            </w:pPr>
            <w:r>
              <w:rPr>
                <w:color w:val="auto"/>
                <w:spacing w:val="-2"/>
              </w:rPr>
              <w:t>在该项目中任职</w:t>
            </w:r>
            <w:r>
              <w:rPr>
                <w:color w:val="auto"/>
                <w:spacing w:val="5"/>
              </w:rPr>
              <w:t xml:space="preserve"> </w:t>
            </w:r>
            <w:r>
              <w:rPr>
                <w:color w:val="auto"/>
                <w:spacing w:val="3"/>
              </w:rPr>
              <w:t>职务及履职时间</w:t>
            </w:r>
          </w:p>
        </w:tc>
      </w:tr>
      <w:tr w14:paraId="794FDA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3042" w:type="dxa"/>
            <w:gridSpan w:val="2"/>
            <w:vAlign w:val="top"/>
          </w:tcPr>
          <w:p w14:paraId="7991C540">
            <w:pPr>
              <w:rPr>
                <w:rFonts w:ascii="Arial"/>
                <w:color w:val="auto"/>
                <w:sz w:val="21"/>
              </w:rPr>
            </w:pPr>
          </w:p>
        </w:tc>
        <w:tc>
          <w:tcPr>
            <w:tcW w:w="1548" w:type="dxa"/>
            <w:vAlign w:val="top"/>
          </w:tcPr>
          <w:p w14:paraId="08AAC763">
            <w:pPr>
              <w:rPr>
                <w:rFonts w:ascii="Arial"/>
                <w:color w:val="auto"/>
                <w:sz w:val="21"/>
              </w:rPr>
            </w:pPr>
          </w:p>
        </w:tc>
        <w:tc>
          <w:tcPr>
            <w:tcW w:w="1069" w:type="dxa"/>
            <w:vAlign w:val="top"/>
          </w:tcPr>
          <w:p w14:paraId="6B446C31">
            <w:pPr>
              <w:rPr>
                <w:rFonts w:ascii="Arial"/>
                <w:color w:val="auto"/>
                <w:sz w:val="21"/>
              </w:rPr>
            </w:pPr>
          </w:p>
        </w:tc>
        <w:tc>
          <w:tcPr>
            <w:tcW w:w="928" w:type="dxa"/>
            <w:gridSpan w:val="2"/>
            <w:vAlign w:val="top"/>
          </w:tcPr>
          <w:p w14:paraId="5611F1DC">
            <w:pPr>
              <w:rPr>
                <w:rFonts w:ascii="Arial"/>
                <w:color w:val="auto"/>
                <w:sz w:val="21"/>
              </w:rPr>
            </w:pPr>
          </w:p>
        </w:tc>
        <w:tc>
          <w:tcPr>
            <w:tcW w:w="899" w:type="dxa"/>
            <w:vAlign w:val="top"/>
          </w:tcPr>
          <w:p w14:paraId="2FE00F30">
            <w:pPr>
              <w:rPr>
                <w:rFonts w:ascii="Arial"/>
                <w:color w:val="auto"/>
                <w:sz w:val="21"/>
              </w:rPr>
            </w:pPr>
          </w:p>
        </w:tc>
        <w:tc>
          <w:tcPr>
            <w:tcW w:w="1793" w:type="dxa"/>
            <w:vAlign w:val="top"/>
          </w:tcPr>
          <w:p w14:paraId="5B754132">
            <w:pPr>
              <w:rPr>
                <w:rFonts w:ascii="Arial"/>
                <w:color w:val="auto"/>
                <w:sz w:val="21"/>
              </w:rPr>
            </w:pPr>
          </w:p>
        </w:tc>
      </w:tr>
      <w:tr w14:paraId="52087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3042" w:type="dxa"/>
            <w:gridSpan w:val="2"/>
            <w:vAlign w:val="top"/>
          </w:tcPr>
          <w:p w14:paraId="1C143071">
            <w:pPr>
              <w:rPr>
                <w:rFonts w:ascii="Arial"/>
                <w:color w:val="auto"/>
                <w:sz w:val="21"/>
              </w:rPr>
            </w:pPr>
          </w:p>
        </w:tc>
        <w:tc>
          <w:tcPr>
            <w:tcW w:w="1548" w:type="dxa"/>
            <w:vAlign w:val="top"/>
          </w:tcPr>
          <w:p w14:paraId="5BF2571A">
            <w:pPr>
              <w:rPr>
                <w:rFonts w:ascii="Arial"/>
                <w:color w:val="auto"/>
                <w:sz w:val="21"/>
              </w:rPr>
            </w:pPr>
          </w:p>
        </w:tc>
        <w:tc>
          <w:tcPr>
            <w:tcW w:w="1069" w:type="dxa"/>
            <w:vAlign w:val="top"/>
          </w:tcPr>
          <w:p w14:paraId="0B07DC57">
            <w:pPr>
              <w:rPr>
                <w:rFonts w:ascii="Arial"/>
                <w:color w:val="auto"/>
                <w:sz w:val="21"/>
              </w:rPr>
            </w:pPr>
          </w:p>
        </w:tc>
        <w:tc>
          <w:tcPr>
            <w:tcW w:w="928" w:type="dxa"/>
            <w:gridSpan w:val="2"/>
            <w:vAlign w:val="top"/>
          </w:tcPr>
          <w:p w14:paraId="77C825D8">
            <w:pPr>
              <w:rPr>
                <w:rFonts w:ascii="Arial"/>
                <w:color w:val="auto"/>
                <w:sz w:val="21"/>
              </w:rPr>
            </w:pPr>
          </w:p>
        </w:tc>
        <w:tc>
          <w:tcPr>
            <w:tcW w:w="899" w:type="dxa"/>
            <w:vAlign w:val="top"/>
          </w:tcPr>
          <w:p w14:paraId="2D7029BA">
            <w:pPr>
              <w:rPr>
                <w:rFonts w:ascii="Arial"/>
                <w:color w:val="auto"/>
                <w:sz w:val="21"/>
              </w:rPr>
            </w:pPr>
          </w:p>
        </w:tc>
        <w:tc>
          <w:tcPr>
            <w:tcW w:w="1793" w:type="dxa"/>
            <w:vAlign w:val="top"/>
          </w:tcPr>
          <w:p w14:paraId="35279AC3">
            <w:pPr>
              <w:rPr>
                <w:rFonts w:ascii="Arial"/>
                <w:color w:val="auto"/>
                <w:sz w:val="21"/>
              </w:rPr>
            </w:pPr>
          </w:p>
        </w:tc>
      </w:tr>
    </w:tbl>
    <w:p w14:paraId="56CB9FAE">
      <w:pPr>
        <w:rPr>
          <w:color w:val="auto"/>
        </w:rPr>
      </w:pPr>
    </w:p>
    <w:p w14:paraId="7ECDF813">
      <w:pPr>
        <w:keepNext w:val="0"/>
        <w:keepLines w:val="0"/>
        <w:pageBreakBefore w:val="0"/>
        <w:widowControl w:val="0"/>
        <w:kinsoku/>
        <w:wordWrap/>
        <w:overflowPunct/>
        <w:topLinePunct w:val="0"/>
        <w:autoSpaceDE/>
        <w:autoSpaceDN/>
        <w:bidi w:val="0"/>
        <w:adjustRightInd/>
        <w:snapToGrid/>
        <w:spacing w:line="360" w:lineRule="auto"/>
        <w:ind w:left="410"/>
        <w:textAlignment w:val="auto"/>
        <w:rPr>
          <w:rFonts w:ascii="宋体" w:hAnsi="宋体" w:eastAsia="宋体" w:cs="宋体"/>
          <w:color w:val="auto"/>
          <w:spacing w:val="-2"/>
          <w:sz w:val="21"/>
          <w:szCs w:val="21"/>
        </w:rPr>
      </w:pPr>
      <w:r>
        <w:rPr>
          <w:rFonts w:ascii="宋体" w:hAnsi="宋体" w:eastAsia="宋体" w:cs="宋体"/>
          <w:color w:val="auto"/>
          <w:spacing w:val="-2"/>
          <w:sz w:val="21"/>
          <w:szCs w:val="21"/>
        </w:rPr>
        <w:t>备注：</w:t>
      </w:r>
    </w:p>
    <w:p w14:paraId="7DE344FE">
      <w:pPr>
        <w:keepNext w:val="0"/>
        <w:keepLines w:val="0"/>
        <w:pageBreakBefore w:val="0"/>
        <w:widowControl w:val="0"/>
        <w:kinsoku/>
        <w:wordWrap/>
        <w:overflowPunct/>
        <w:topLinePunct w:val="0"/>
        <w:autoSpaceDE/>
        <w:autoSpaceDN/>
        <w:bidi w:val="0"/>
        <w:adjustRightInd/>
        <w:snapToGrid/>
        <w:spacing w:line="360" w:lineRule="auto"/>
        <w:ind w:left="410"/>
        <w:textAlignment w:val="auto"/>
        <w:rPr>
          <w:rFonts w:ascii="宋体" w:hAnsi="宋体" w:eastAsia="宋体" w:cs="宋体"/>
          <w:color w:val="auto"/>
          <w:spacing w:val="-2"/>
          <w:sz w:val="21"/>
          <w:szCs w:val="21"/>
        </w:rPr>
      </w:pPr>
      <w:r>
        <w:rPr>
          <w:rFonts w:ascii="宋体" w:hAnsi="宋体" w:eastAsia="宋体" w:cs="宋体"/>
          <w:color w:val="auto"/>
          <w:spacing w:val="-2"/>
          <w:sz w:val="21"/>
          <w:szCs w:val="21"/>
        </w:rPr>
        <w:t>(1)拟投入本项目的项目负责人需提供简历表。</w:t>
      </w:r>
    </w:p>
    <w:p w14:paraId="61298CA6">
      <w:pPr>
        <w:keepNext w:val="0"/>
        <w:keepLines w:val="0"/>
        <w:pageBreakBefore w:val="0"/>
        <w:widowControl w:val="0"/>
        <w:kinsoku/>
        <w:wordWrap/>
        <w:overflowPunct/>
        <w:topLinePunct w:val="0"/>
        <w:autoSpaceDE/>
        <w:autoSpaceDN/>
        <w:bidi w:val="0"/>
        <w:adjustRightInd/>
        <w:snapToGrid/>
        <w:spacing w:line="360" w:lineRule="auto"/>
        <w:ind w:left="410"/>
        <w:textAlignment w:val="auto"/>
        <w:rPr>
          <w:rFonts w:ascii="宋体" w:hAnsi="宋体" w:eastAsia="宋体" w:cs="宋体"/>
          <w:color w:val="auto"/>
          <w:spacing w:val="-2"/>
          <w:sz w:val="21"/>
          <w:szCs w:val="21"/>
        </w:rPr>
      </w:pPr>
      <w:r>
        <w:rPr>
          <w:rFonts w:ascii="宋体" w:hAnsi="宋体" w:eastAsia="宋体" w:cs="宋体"/>
          <w:color w:val="auto"/>
          <w:spacing w:val="-2"/>
          <w:sz w:val="21"/>
          <w:szCs w:val="21"/>
        </w:rPr>
        <w:t>(2)须附有身份证、劳动合同的</w:t>
      </w:r>
      <w:r>
        <w:rPr>
          <w:rFonts w:hint="eastAsia" w:ascii="宋体" w:hAnsi="宋体" w:eastAsia="宋体" w:cs="宋体"/>
          <w:color w:val="auto"/>
          <w:spacing w:val="-2"/>
          <w:sz w:val="21"/>
          <w:szCs w:val="21"/>
          <w:lang w:eastAsia="zh-CN"/>
        </w:rPr>
        <w:t>扫描件</w:t>
      </w:r>
      <w:r>
        <w:rPr>
          <w:rFonts w:ascii="宋体" w:hAnsi="宋体" w:eastAsia="宋体" w:cs="宋体"/>
          <w:color w:val="auto"/>
          <w:spacing w:val="-2"/>
          <w:sz w:val="21"/>
          <w:szCs w:val="21"/>
        </w:rPr>
        <w:t>、资格证书[学历证书/职称证/执业/职业资格证]以及人力资源 和社会保障部门(或税务部门)出具的</w:t>
      </w:r>
      <w:r>
        <w:rPr>
          <w:rFonts w:hint="eastAsia" w:ascii="宋体" w:hAnsi="宋体" w:eastAsia="宋体" w:cs="宋体"/>
          <w:color w:val="auto"/>
          <w:spacing w:val="-2"/>
          <w:sz w:val="21"/>
          <w:szCs w:val="21"/>
        </w:rPr>
        <w:t>投标人（2025年</w:t>
      </w:r>
      <w:r>
        <w:rPr>
          <w:rFonts w:hint="eastAsia" w:ascii="宋体" w:hAnsi="宋体" w:eastAsia="宋体" w:cs="宋体"/>
          <w:color w:val="auto"/>
          <w:spacing w:val="-2"/>
          <w:sz w:val="21"/>
          <w:szCs w:val="21"/>
          <w:lang w:val="en-US" w:eastAsia="zh-CN"/>
        </w:rPr>
        <w:t>5</w:t>
      </w:r>
      <w:r>
        <w:rPr>
          <w:rFonts w:hint="eastAsia" w:ascii="宋体" w:hAnsi="宋体" w:eastAsia="宋体" w:cs="宋体"/>
          <w:color w:val="auto"/>
          <w:spacing w:val="-2"/>
          <w:sz w:val="21"/>
          <w:szCs w:val="21"/>
        </w:rPr>
        <w:t>月、2025年</w:t>
      </w:r>
      <w:r>
        <w:rPr>
          <w:rFonts w:hint="eastAsia" w:ascii="宋体" w:hAnsi="宋体" w:eastAsia="宋体" w:cs="宋体"/>
          <w:color w:val="auto"/>
          <w:spacing w:val="-2"/>
          <w:sz w:val="21"/>
          <w:szCs w:val="21"/>
          <w:lang w:val="en-US" w:eastAsia="zh-CN"/>
        </w:rPr>
        <w:t>6</w:t>
      </w:r>
      <w:r>
        <w:rPr>
          <w:rFonts w:hint="eastAsia" w:ascii="宋体" w:hAnsi="宋体" w:eastAsia="宋体" w:cs="宋体"/>
          <w:color w:val="auto"/>
          <w:spacing w:val="-2"/>
          <w:sz w:val="21"/>
          <w:szCs w:val="21"/>
        </w:rPr>
        <w:t>月、2025年</w:t>
      </w:r>
      <w:r>
        <w:rPr>
          <w:rFonts w:hint="eastAsia" w:ascii="宋体" w:hAnsi="宋体" w:eastAsia="宋体" w:cs="宋体"/>
          <w:color w:val="auto"/>
          <w:spacing w:val="-2"/>
          <w:sz w:val="21"/>
          <w:szCs w:val="21"/>
          <w:lang w:val="en-US" w:eastAsia="zh-CN"/>
        </w:rPr>
        <w:t>7</w:t>
      </w:r>
      <w:r>
        <w:rPr>
          <w:rFonts w:hint="eastAsia" w:ascii="宋体" w:hAnsi="宋体" w:eastAsia="宋体" w:cs="宋体"/>
          <w:color w:val="auto"/>
          <w:spacing w:val="-2"/>
          <w:sz w:val="21"/>
          <w:szCs w:val="21"/>
        </w:rPr>
        <w:t>月、2025年</w:t>
      </w:r>
      <w:r>
        <w:rPr>
          <w:rFonts w:hint="eastAsia" w:ascii="宋体" w:hAnsi="宋体" w:eastAsia="宋体" w:cs="宋体"/>
          <w:color w:val="auto"/>
          <w:spacing w:val="-2"/>
          <w:sz w:val="21"/>
          <w:szCs w:val="21"/>
          <w:lang w:val="en-US" w:eastAsia="zh-CN"/>
        </w:rPr>
        <w:t>8</w:t>
      </w:r>
      <w:r>
        <w:rPr>
          <w:rFonts w:hint="eastAsia" w:ascii="宋体" w:hAnsi="宋体" w:eastAsia="宋体" w:cs="宋体"/>
          <w:color w:val="auto"/>
          <w:spacing w:val="-2"/>
          <w:sz w:val="21"/>
          <w:szCs w:val="21"/>
        </w:rPr>
        <w:t>月、2025年</w:t>
      </w:r>
      <w:r>
        <w:rPr>
          <w:rFonts w:hint="eastAsia" w:ascii="宋体" w:hAnsi="宋体" w:eastAsia="宋体" w:cs="宋体"/>
          <w:color w:val="auto"/>
          <w:spacing w:val="-2"/>
          <w:sz w:val="21"/>
          <w:szCs w:val="21"/>
          <w:lang w:val="en-US" w:eastAsia="zh-CN"/>
        </w:rPr>
        <w:t>9</w:t>
      </w:r>
      <w:r>
        <w:rPr>
          <w:rFonts w:hint="eastAsia" w:ascii="宋体" w:hAnsi="宋体" w:eastAsia="宋体" w:cs="宋体"/>
          <w:color w:val="auto"/>
          <w:spacing w:val="-2"/>
          <w:sz w:val="21"/>
          <w:szCs w:val="21"/>
        </w:rPr>
        <w:t>月、2025年</w:t>
      </w:r>
      <w:r>
        <w:rPr>
          <w:rFonts w:hint="eastAsia" w:ascii="宋体" w:hAnsi="宋体" w:eastAsia="宋体" w:cs="宋体"/>
          <w:color w:val="auto"/>
          <w:spacing w:val="-2"/>
          <w:sz w:val="21"/>
          <w:szCs w:val="21"/>
          <w:lang w:val="en-US" w:eastAsia="zh-CN"/>
        </w:rPr>
        <w:t>10</w:t>
      </w:r>
      <w:r>
        <w:rPr>
          <w:rFonts w:hint="eastAsia" w:ascii="宋体" w:hAnsi="宋体" w:eastAsia="宋体" w:cs="宋体"/>
          <w:color w:val="auto"/>
          <w:spacing w:val="-2"/>
          <w:sz w:val="21"/>
          <w:szCs w:val="21"/>
        </w:rPr>
        <w:t>月）连续6个月</w:t>
      </w:r>
      <w:r>
        <w:rPr>
          <w:rFonts w:ascii="宋体" w:hAnsi="宋体" w:eastAsia="宋体" w:cs="宋体"/>
          <w:color w:val="auto"/>
          <w:spacing w:val="-2"/>
          <w:sz w:val="21"/>
          <w:szCs w:val="21"/>
        </w:rPr>
        <w:t>为其缴纳的社保证明</w:t>
      </w:r>
      <w:r>
        <w:rPr>
          <w:rFonts w:hint="eastAsia" w:ascii="宋体" w:hAnsi="宋体" w:eastAsia="宋体" w:cs="宋体"/>
          <w:color w:val="auto"/>
          <w:spacing w:val="-2"/>
          <w:sz w:val="21"/>
          <w:szCs w:val="21"/>
          <w:lang w:eastAsia="zh-CN"/>
        </w:rPr>
        <w:t>扫描件</w:t>
      </w:r>
      <w:r>
        <w:rPr>
          <w:rFonts w:ascii="宋体" w:hAnsi="宋体" w:eastAsia="宋体" w:cs="宋体"/>
          <w:color w:val="auto"/>
          <w:spacing w:val="-2"/>
          <w:sz w:val="21"/>
          <w:szCs w:val="21"/>
        </w:rPr>
        <w:t>。</w:t>
      </w:r>
    </w:p>
    <w:p w14:paraId="6F0FC151">
      <w:pPr>
        <w:keepNext w:val="0"/>
        <w:keepLines w:val="0"/>
        <w:pageBreakBefore w:val="0"/>
        <w:widowControl w:val="0"/>
        <w:kinsoku/>
        <w:wordWrap/>
        <w:overflowPunct/>
        <w:topLinePunct w:val="0"/>
        <w:autoSpaceDE/>
        <w:autoSpaceDN/>
        <w:bidi w:val="0"/>
        <w:adjustRightInd/>
        <w:snapToGrid/>
        <w:spacing w:line="360" w:lineRule="auto"/>
        <w:ind w:left="410"/>
        <w:textAlignment w:val="auto"/>
        <w:rPr>
          <w:rFonts w:ascii="宋体" w:hAnsi="宋体" w:eastAsia="宋体" w:cs="宋体"/>
          <w:color w:val="auto"/>
          <w:spacing w:val="-2"/>
          <w:sz w:val="21"/>
          <w:szCs w:val="21"/>
        </w:rPr>
      </w:pPr>
      <w:r>
        <w:rPr>
          <w:rFonts w:ascii="宋体" w:hAnsi="宋体" w:eastAsia="宋体" w:cs="宋体"/>
          <w:color w:val="auto"/>
          <w:spacing w:val="-2"/>
          <w:sz w:val="21"/>
          <w:szCs w:val="21"/>
        </w:rPr>
        <w:t>(3)对应本项目评分标准，</w:t>
      </w:r>
      <w:r>
        <w:rPr>
          <w:rFonts w:hint="eastAsia" w:ascii="宋体" w:hAnsi="宋体" w:eastAsia="宋体" w:cs="宋体"/>
          <w:color w:val="auto"/>
          <w:spacing w:val="-2"/>
          <w:sz w:val="21"/>
          <w:szCs w:val="21"/>
        </w:rPr>
        <w:t>项目负责人业绩证明材料需提供合同扫描件，单项合同服务期限要求大于或等于一年，小于一年的业绩合同在评标时将不予考虑；合同中应体现项目相关评审信息（合同签订日期、合同期限、物业类型、建筑面积平方数、建筑层数）和项目负责人，合同服务内容必须为物业管理服务且同时包含保洁（或清洁或环境卫生）及保安（或安保或秩序维护）服务，若不能体现还应提供发包人（业主）出具的书面文件扫描件（需加盖服务发包人公章，即扫描件能显示服务发包人公章）或发包人（业主）加盖公章反映条件的招标文件扫描件或政府部门出具的相关证明材料</w:t>
      </w:r>
      <w:r>
        <w:rPr>
          <w:rFonts w:ascii="宋体" w:hAnsi="宋体" w:eastAsia="宋体" w:cs="宋体"/>
          <w:color w:val="auto"/>
          <w:spacing w:val="-2"/>
          <w:sz w:val="21"/>
          <w:szCs w:val="21"/>
        </w:rPr>
        <w:t>。</w:t>
      </w:r>
    </w:p>
    <w:p w14:paraId="6A49AE9C">
      <w:pPr>
        <w:keepNext w:val="0"/>
        <w:keepLines w:val="0"/>
        <w:pageBreakBefore w:val="0"/>
        <w:widowControl w:val="0"/>
        <w:kinsoku/>
        <w:wordWrap/>
        <w:overflowPunct/>
        <w:topLinePunct w:val="0"/>
        <w:autoSpaceDE/>
        <w:autoSpaceDN/>
        <w:bidi w:val="0"/>
        <w:adjustRightInd/>
        <w:snapToGrid/>
        <w:spacing w:line="360" w:lineRule="auto"/>
        <w:ind w:left="410"/>
        <w:textAlignment w:val="auto"/>
        <w:rPr>
          <w:rFonts w:ascii="宋体" w:hAnsi="宋体" w:eastAsia="宋体" w:cs="宋体"/>
          <w:color w:val="auto"/>
          <w:spacing w:val="-2"/>
          <w:sz w:val="21"/>
          <w:szCs w:val="21"/>
        </w:rPr>
      </w:pPr>
      <w:r>
        <w:rPr>
          <w:rFonts w:ascii="宋体" w:hAnsi="宋体" w:eastAsia="宋体" w:cs="宋体"/>
          <w:color w:val="auto"/>
          <w:spacing w:val="-2"/>
          <w:sz w:val="21"/>
          <w:szCs w:val="21"/>
        </w:rPr>
        <w:t>(4)对应本项目评分标准，项目负责人业绩的物业类型须为商务办公楼或写字楼，不包括住宅小区、公寓、公园、工业园区、车站、机场、学校、医院项目，否则不得分。</w:t>
      </w:r>
    </w:p>
    <w:p w14:paraId="2CCCAACC">
      <w:pPr>
        <w:rPr>
          <w:color w:val="auto"/>
        </w:rPr>
      </w:pPr>
    </w:p>
    <w:p w14:paraId="51173F8F">
      <w:pPr>
        <w:spacing w:before="66" w:line="219" w:lineRule="auto"/>
        <w:jc w:val="right"/>
        <w:rPr>
          <w:rFonts w:ascii="宋体" w:hAnsi="宋体" w:eastAsia="宋体" w:cs="宋体"/>
          <w:color w:val="auto"/>
          <w:sz w:val="20"/>
          <w:szCs w:val="20"/>
        </w:rPr>
      </w:pPr>
      <w:r>
        <w:rPr>
          <w:rFonts w:ascii="宋体" w:hAnsi="宋体" w:eastAsia="宋体" w:cs="宋体"/>
          <w:color w:val="auto"/>
          <w:spacing w:val="20"/>
          <w:sz w:val="20"/>
          <w:szCs w:val="20"/>
        </w:rPr>
        <w:t>投标人：(</w:t>
      </w:r>
      <w:r>
        <w:rPr>
          <w:rFonts w:hint="eastAsia" w:ascii="宋体" w:hAnsi="宋体" w:eastAsia="宋体" w:cs="宋体"/>
          <w:color w:val="auto"/>
          <w:spacing w:val="20"/>
          <w:sz w:val="20"/>
          <w:szCs w:val="20"/>
          <w:lang w:eastAsia="zh-CN"/>
        </w:rPr>
        <w:t>企业数字证书电子签名</w:t>
      </w:r>
      <w:r>
        <w:rPr>
          <w:rFonts w:ascii="宋体" w:hAnsi="宋体" w:eastAsia="宋体" w:cs="宋体"/>
          <w:color w:val="auto"/>
          <w:spacing w:val="20"/>
          <w:sz w:val="20"/>
          <w:szCs w:val="20"/>
        </w:rPr>
        <w:t>)</w:t>
      </w:r>
    </w:p>
    <w:p w14:paraId="3FE9CE2F">
      <w:pPr>
        <w:jc w:val="right"/>
        <w:rPr>
          <w:rFonts w:hint="eastAsia"/>
          <w:color w:val="auto"/>
          <w:lang w:val="en-US" w:eastAsia="zh-CN"/>
        </w:rPr>
      </w:pPr>
      <w:r>
        <w:rPr>
          <w:rFonts w:ascii="宋体" w:hAnsi="宋体" w:eastAsia="宋体" w:cs="宋体"/>
          <w:color w:val="auto"/>
          <w:spacing w:val="-13"/>
          <w:sz w:val="20"/>
          <w:szCs w:val="20"/>
        </w:rPr>
        <w:t>日</w:t>
      </w:r>
      <w:r>
        <w:rPr>
          <w:rFonts w:ascii="宋体" w:hAnsi="宋体" w:eastAsia="宋体" w:cs="宋体"/>
          <w:color w:val="auto"/>
          <w:spacing w:val="15"/>
          <w:sz w:val="20"/>
          <w:szCs w:val="20"/>
        </w:rPr>
        <w:t xml:space="preserve">  </w:t>
      </w:r>
      <w:r>
        <w:rPr>
          <w:rFonts w:ascii="宋体" w:hAnsi="宋体" w:eastAsia="宋体" w:cs="宋体"/>
          <w:color w:val="auto"/>
          <w:spacing w:val="-13"/>
          <w:sz w:val="20"/>
          <w:szCs w:val="20"/>
        </w:rPr>
        <w:t>期</w:t>
      </w:r>
      <w:r>
        <w:rPr>
          <w:rFonts w:ascii="宋体" w:hAnsi="宋体" w:eastAsia="宋体" w:cs="宋体"/>
          <w:color w:val="auto"/>
          <w:spacing w:val="-18"/>
          <w:sz w:val="20"/>
          <w:szCs w:val="20"/>
        </w:rPr>
        <w:t xml:space="preserve"> </w:t>
      </w:r>
      <w:r>
        <w:rPr>
          <w:rFonts w:ascii="宋体" w:hAnsi="宋体" w:eastAsia="宋体" w:cs="宋体"/>
          <w:color w:val="auto"/>
          <w:spacing w:val="-13"/>
          <w:sz w:val="20"/>
          <w:szCs w:val="20"/>
        </w:rPr>
        <w:t>：</w:t>
      </w:r>
      <w:r>
        <w:rPr>
          <w:rFonts w:ascii="宋体" w:hAnsi="宋体" w:eastAsia="宋体" w:cs="宋体"/>
          <w:color w:val="auto"/>
          <w:spacing w:val="47"/>
          <w:sz w:val="20"/>
          <w:szCs w:val="20"/>
        </w:rPr>
        <w:t xml:space="preserve">  </w:t>
      </w:r>
      <w:r>
        <w:rPr>
          <w:rFonts w:ascii="宋体" w:hAnsi="宋体" w:eastAsia="宋体" w:cs="宋体"/>
          <w:color w:val="auto"/>
          <w:spacing w:val="-13"/>
          <w:sz w:val="20"/>
          <w:szCs w:val="20"/>
        </w:rPr>
        <w:t>年</w:t>
      </w:r>
      <w:r>
        <w:rPr>
          <w:rFonts w:ascii="宋体" w:hAnsi="宋体" w:eastAsia="宋体" w:cs="宋体"/>
          <w:color w:val="auto"/>
          <w:spacing w:val="14"/>
          <w:sz w:val="20"/>
          <w:szCs w:val="20"/>
        </w:rPr>
        <w:t xml:space="preserve">    </w:t>
      </w:r>
      <w:r>
        <w:rPr>
          <w:rFonts w:ascii="宋体" w:hAnsi="宋体" w:eastAsia="宋体" w:cs="宋体"/>
          <w:color w:val="auto"/>
          <w:spacing w:val="-13"/>
          <w:sz w:val="20"/>
          <w:szCs w:val="20"/>
        </w:rPr>
        <w:t>月      日</w:t>
      </w:r>
    </w:p>
    <w:p w14:paraId="1F7B2F97">
      <w:pPr>
        <w:numPr>
          <w:ilvl w:val="0"/>
          <w:numId w:val="0"/>
        </w:numPr>
        <w:outlineLvl w:val="1"/>
        <w:rPr>
          <w:rFonts w:hint="eastAsia" w:ascii="宋体" w:hAnsi="宋体" w:eastAsia="宋体" w:cs="宋体"/>
          <w:b/>
          <w:color w:val="auto"/>
          <w:kern w:val="0"/>
          <w:sz w:val="30"/>
          <w:szCs w:val="30"/>
          <w:lang w:val="en-US" w:eastAsia="zh-CN" w:bidi="ar-SA"/>
        </w:rPr>
        <w:sectPr>
          <w:pgSz w:w="12240" w:h="15840"/>
          <w:pgMar w:top="1191" w:right="1737" w:bottom="1191" w:left="1043" w:header="720" w:footer="720" w:gutter="0"/>
          <w:pgNumType w:fmt="decimal"/>
          <w:cols w:space="720" w:num="1"/>
          <w:docGrid w:linePitch="326" w:charSpace="0"/>
        </w:sectPr>
      </w:pPr>
      <w:bookmarkStart w:id="998" w:name="_Toc10071"/>
    </w:p>
    <w:p w14:paraId="327A3395">
      <w:pPr>
        <w:numPr>
          <w:ilvl w:val="0"/>
          <w:numId w:val="0"/>
        </w:numPr>
        <w:spacing w:line="360" w:lineRule="auto"/>
        <w:outlineLvl w:val="1"/>
        <w:rPr>
          <w:rFonts w:hint="eastAsia" w:ascii="宋体" w:hAnsi="宋体" w:eastAsia="宋体" w:cs="宋体"/>
          <w:b/>
          <w:color w:val="auto"/>
          <w:kern w:val="0"/>
          <w:sz w:val="30"/>
          <w:szCs w:val="30"/>
          <w:lang w:val="en-US" w:eastAsia="zh-CN" w:bidi="ar-SA"/>
        </w:rPr>
      </w:pPr>
      <w:r>
        <w:rPr>
          <w:rFonts w:hint="eastAsia" w:ascii="宋体" w:hAnsi="宋体" w:eastAsia="宋体" w:cs="宋体"/>
          <w:b/>
          <w:color w:val="auto"/>
          <w:kern w:val="0"/>
          <w:sz w:val="30"/>
          <w:szCs w:val="30"/>
          <w:lang w:val="en-US" w:eastAsia="zh-CN" w:bidi="ar-SA"/>
        </w:rPr>
        <w:t>五、</w:t>
      </w:r>
      <w:bookmarkEnd w:id="998"/>
      <w:r>
        <w:rPr>
          <w:rFonts w:hint="eastAsia" w:ascii="宋体" w:hAnsi="宋体" w:eastAsia="宋体" w:cs="宋体"/>
          <w:b/>
          <w:color w:val="auto"/>
          <w:kern w:val="0"/>
          <w:sz w:val="30"/>
          <w:szCs w:val="30"/>
          <w:lang w:val="en-US" w:eastAsia="zh-CN" w:bidi="ar-SA"/>
        </w:rPr>
        <w:t>拟投入的设备及软件系统情况</w:t>
      </w:r>
    </w:p>
    <w:p w14:paraId="2CEB89E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ascii="宋体" w:hAnsi="宋体" w:eastAsia="宋体" w:cs="宋体"/>
          <w:color w:val="auto"/>
          <w:sz w:val="32"/>
          <w:szCs w:val="32"/>
        </w:rPr>
      </w:pPr>
      <w:r>
        <w:rPr>
          <w:rFonts w:ascii="宋体" w:hAnsi="宋体" w:eastAsia="宋体" w:cs="宋体"/>
          <w:b/>
          <w:bCs/>
          <w:color w:val="auto"/>
          <w:spacing w:val="29"/>
          <w:sz w:val="32"/>
          <w:szCs w:val="32"/>
        </w:rPr>
        <w:t>拟投入本项目设备及软件系统情况</w:t>
      </w:r>
    </w:p>
    <w:p w14:paraId="47E05E6C">
      <w:pPr>
        <w:spacing w:line="171" w:lineRule="exact"/>
        <w:rPr>
          <w:color w:val="auto"/>
        </w:rPr>
      </w:pPr>
    </w:p>
    <w:tbl>
      <w:tblPr>
        <w:tblStyle w:val="213"/>
        <w:tblW w:w="9339" w:type="dxa"/>
        <w:tblInd w:w="2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4"/>
        <w:gridCol w:w="2108"/>
        <w:gridCol w:w="1368"/>
        <w:gridCol w:w="989"/>
        <w:gridCol w:w="1418"/>
        <w:gridCol w:w="1788"/>
        <w:gridCol w:w="954"/>
      </w:tblGrid>
      <w:tr w14:paraId="282BB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714" w:type="dxa"/>
            <w:vAlign w:val="center"/>
          </w:tcPr>
          <w:p w14:paraId="6F19A755">
            <w:pPr>
              <w:jc w:val="center"/>
              <w:rPr>
                <w:rFonts w:hint="eastAsia" w:ascii="宋体" w:hAnsi="宋体" w:eastAsia="宋体" w:cs="宋体"/>
                <w:color w:val="auto"/>
                <w:sz w:val="21"/>
              </w:rPr>
            </w:pPr>
            <w:r>
              <w:rPr>
                <w:rFonts w:hint="eastAsia" w:ascii="宋体" w:hAnsi="宋体" w:eastAsia="宋体" w:cs="宋体"/>
                <w:color w:val="auto"/>
                <w:sz w:val="21"/>
              </w:rPr>
              <w:t>序号</w:t>
            </w:r>
          </w:p>
        </w:tc>
        <w:tc>
          <w:tcPr>
            <w:tcW w:w="2108" w:type="dxa"/>
            <w:vAlign w:val="center"/>
          </w:tcPr>
          <w:p w14:paraId="41089D0C">
            <w:pPr>
              <w:jc w:val="center"/>
              <w:rPr>
                <w:rFonts w:hint="eastAsia" w:ascii="宋体" w:hAnsi="宋体" w:eastAsia="宋体" w:cs="宋体"/>
                <w:color w:val="auto"/>
                <w:sz w:val="21"/>
              </w:rPr>
            </w:pPr>
            <w:r>
              <w:rPr>
                <w:rFonts w:hint="eastAsia" w:ascii="宋体" w:hAnsi="宋体" w:eastAsia="宋体" w:cs="宋体"/>
                <w:color w:val="auto"/>
                <w:sz w:val="21"/>
              </w:rPr>
              <w:t>名称</w:t>
            </w:r>
          </w:p>
        </w:tc>
        <w:tc>
          <w:tcPr>
            <w:tcW w:w="1368" w:type="dxa"/>
            <w:vAlign w:val="center"/>
          </w:tcPr>
          <w:p w14:paraId="57937991">
            <w:pPr>
              <w:jc w:val="center"/>
              <w:rPr>
                <w:rFonts w:hint="eastAsia" w:ascii="宋体" w:hAnsi="宋体" w:eastAsia="宋体" w:cs="宋体"/>
                <w:color w:val="auto"/>
                <w:sz w:val="21"/>
              </w:rPr>
            </w:pPr>
            <w:r>
              <w:rPr>
                <w:rFonts w:hint="eastAsia" w:ascii="宋体" w:hAnsi="宋体" w:eastAsia="宋体" w:cs="宋体"/>
                <w:color w:val="auto"/>
                <w:sz w:val="21"/>
              </w:rPr>
              <w:t>规格型号</w:t>
            </w:r>
          </w:p>
        </w:tc>
        <w:tc>
          <w:tcPr>
            <w:tcW w:w="989" w:type="dxa"/>
            <w:vAlign w:val="center"/>
          </w:tcPr>
          <w:p w14:paraId="0E2E6E7D">
            <w:pPr>
              <w:jc w:val="center"/>
              <w:rPr>
                <w:rFonts w:hint="eastAsia" w:ascii="宋体" w:hAnsi="宋体" w:eastAsia="宋体" w:cs="宋体"/>
                <w:color w:val="auto"/>
                <w:sz w:val="21"/>
              </w:rPr>
            </w:pPr>
            <w:r>
              <w:rPr>
                <w:rFonts w:hint="eastAsia" w:ascii="宋体" w:hAnsi="宋体" w:eastAsia="宋体" w:cs="宋体"/>
                <w:color w:val="auto"/>
                <w:sz w:val="21"/>
              </w:rPr>
              <w:t>数量</w:t>
            </w:r>
          </w:p>
        </w:tc>
        <w:tc>
          <w:tcPr>
            <w:tcW w:w="1418" w:type="dxa"/>
            <w:vAlign w:val="center"/>
          </w:tcPr>
          <w:p w14:paraId="38B93ED2">
            <w:pPr>
              <w:jc w:val="center"/>
              <w:rPr>
                <w:rFonts w:hint="eastAsia" w:ascii="宋体" w:hAnsi="宋体" w:eastAsia="宋体" w:cs="宋体"/>
                <w:color w:val="auto"/>
                <w:sz w:val="21"/>
              </w:rPr>
            </w:pPr>
            <w:r>
              <w:rPr>
                <w:rFonts w:hint="eastAsia" w:ascii="宋体" w:hAnsi="宋体" w:eastAsia="宋体" w:cs="宋体"/>
                <w:color w:val="auto"/>
                <w:sz w:val="21"/>
              </w:rPr>
              <w:t>金额</w:t>
            </w:r>
          </w:p>
        </w:tc>
        <w:tc>
          <w:tcPr>
            <w:tcW w:w="1788" w:type="dxa"/>
            <w:vAlign w:val="center"/>
          </w:tcPr>
          <w:p w14:paraId="2A017FCC">
            <w:pPr>
              <w:jc w:val="center"/>
              <w:rPr>
                <w:rFonts w:hint="eastAsia" w:ascii="宋体" w:hAnsi="宋体" w:eastAsia="宋体" w:cs="宋体"/>
                <w:color w:val="auto"/>
                <w:sz w:val="21"/>
              </w:rPr>
            </w:pPr>
            <w:r>
              <w:rPr>
                <w:rFonts w:hint="eastAsia" w:ascii="宋体" w:hAnsi="宋体" w:eastAsia="宋体" w:cs="宋体"/>
                <w:color w:val="auto"/>
                <w:sz w:val="21"/>
              </w:rPr>
              <w:t>用途</w:t>
            </w:r>
          </w:p>
        </w:tc>
        <w:tc>
          <w:tcPr>
            <w:tcW w:w="954" w:type="dxa"/>
            <w:vAlign w:val="center"/>
          </w:tcPr>
          <w:p w14:paraId="7A18A98B">
            <w:pPr>
              <w:jc w:val="center"/>
              <w:rPr>
                <w:rFonts w:hint="eastAsia" w:ascii="宋体" w:hAnsi="宋体" w:eastAsia="宋体" w:cs="宋体"/>
                <w:color w:val="auto"/>
                <w:sz w:val="21"/>
              </w:rPr>
            </w:pPr>
            <w:r>
              <w:rPr>
                <w:rFonts w:hint="eastAsia" w:ascii="宋体" w:hAnsi="宋体" w:eastAsia="宋体" w:cs="宋体"/>
                <w:color w:val="auto"/>
                <w:sz w:val="21"/>
              </w:rPr>
              <w:t>备注</w:t>
            </w:r>
          </w:p>
        </w:tc>
      </w:tr>
      <w:tr w14:paraId="5887FE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714" w:type="dxa"/>
            <w:vAlign w:val="top"/>
          </w:tcPr>
          <w:p w14:paraId="7AEDF1C3">
            <w:pPr>
              <w:rPr>
                <w:rFonts w:ascii="Arial"/>
                <w:color w:val="auto"/>
                <w:sz w:val="21"/>
              </w:rPr>
            </w:pPr>
          </w:p>
        </w:tc>
        <w:tc>
          <w:tcPr>
            <w:tcW w:w="2108" w:type="dxa"/>
            <w:vAlign w:val="top"/>
          </w:tcPr>
          <w:p w14:paraId="2275418A">
            <w:pPr>
              <w:rPr>
                <w:rFonts w:ascii="Arial"/>
                <w:color w:val="auto"/>
                <w:sz w:val="21"/>
              </w:rPr>
            </w:pPr>
          </w:p>
        </w:tc>
        <w:tc>
          <w:tcPr>
            <w:tcW w:w="1368" w:type="dxa"/>
            <w:vAlign w:val="top"/>
          </w:tcPr>
          <w:p w14:paraId="5C9ABC77">
            <w:pPr>
              <w:rPr>
                <w:rFonts w:ascii="Arial"/>
                <w:color w:val="auto"/>
                <w:sz w:val="21"/>
              </w:rPr>
            </w:pPr>
          </w:p>
        </w:tc>
        <w:tc>
          <w:tcPr>
            <w:tcW w:w="989" w:type="dxa"/>
            <w:vAlign w:val="top"/>
          </w:tcPr>
          <w:p w14:paraId="44F2A7B1">
            <w:pPr>
              <w:rPr>
                <w:rFonts w:ascii="Arial"/>
                <w:color w:val="auto"/>
                <w:sz w:val="21"/>
              </w:rPr>
            </w:pPr>
          </w:p>
        </w:tc>
        <w:tc>
          <w:tcPr>
            <w:tcW w:w="1418" w:type="dxa"/>
            <w:vAlign w:val="top"/>
          </w:tcPr>
          <w:p w14:paraId="7BE126C0">
            <w:pPr>
              <w:rPr>
                <w:rFonts w:ascii="Arial"/>
                <w:color w:val="auto"/>
                <w:sz w:val="21"/>
              </w:rPr>
            </w:pPr>
          </w:p>
        </w:tc>
        <w:tc>
          <w:tcPr>
            <w:tcW w:w="1788" w:type="dxa"/>
            <w:vAlign w:val="top"/>
          </w:tcPr>
          <w:p w14:paraId="644F724F">
            <w:pPr>
              <w:rPr>
                <w:rFonts w:ascii="Arial"/>
                <w:color w:val="auto"/>
                <w:sz w:val="21"/>
              </w:rPr>
            </w:pPr>
          </w:p>
        </w:tc>
        <w:tc>
          <w:tcPr>
            <w:tcW w:w="954" w:type="dxa"/>
            <w:vAlign w:val="top"/>
          </w:tcPr>
          <w:p w14:paraId="0802B2EE">
            <w:pPr>
              <w:rPr>
                <w:rFonts w:ascii="Arial"/>
                <w:color w:val="auto"/>
                <w:sz w:val="21"/>
              </w:rPr>
            </w:pPr>
          </w:p>
        </w:tc>
      </w:tr>
      <w:tr w14:paraId="24AE6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714" w:type="dxa"/>
            <w:vAlign w:val="top"/>
          </w:tcPr>
          <w:p w14:paraId="72612D06">
            <w:pPr>
              <w:rPr>
                <w:rFonts w:ascii="Arial"/>
                <w:color w:val="auto"/>
                <w:sz w:val="21"/>
              </w:rPr>
            </w:pPr>
          </w:p>
        </w:tc>
        <w:tc>
          <w:tcPr>
            <w:tcW w:w="2108" w:type="dxa"/>
            <w:vAlign w:val="top"/>
          </w:tcPr>
          <w:p w14:paraId="0DBF85E3">
            <w:pPr>
              <w:rPr>
                <w:rFonts w:ascii="Arial"/>
                <w:color w:val="auto"/>
                <w:sz w:val="21"/>
              </w:rPr>
            </w:pPr>
          </w:p>
        </w:tc>
        <w:tc>
          <w:tcPr>
            <w:tcW w:w="1368" w:type="dxa"/>
            <w:vAlign w:val="top"/>
          </w:tcPr>
          <w:p w14:paraId="4C72C2F4">
            <w:pPr>
              <w:rPr>
                <w:rFonts w:ascii="Arial"/>
                <w:color w:val="auto"/>
                <w:sz w:val="21"/>
              </w:rPr>
            </w:pPr>
          </w:p>
        </w:tc>
        <w:tc>
          <w:tcPr>
            <w:tcW w:w="989" w:type="dxa"/>
            <w:vAlign w:val="top"/>
          </w:tcPr>
          <w:p w14:paraId="2CB31A5A">
            <w:pPr>
              <w:rPr>
                <w:rFonts w:ascii="Arial"/>
                <w:color w:val="auto"/>
                <w:sz w:val="21"/>
              </w:rPr>
            </w:pPr>
          </w:p>
        </w:tc>
        <w:tc>
          <w:tcPr>
            <w:tcW w:w="1418" w:type="dxa"/>
            <w:vAlign w:val="top"/>
          </w:tcPr>
          <w:p w14:paraId="186B18E8">
            <w:pPr>
              <w:rPr>
                <w:rFonts w:ascii="Arial"/>
                <w:color w:val="auto"/>
                <w:sz w:val="21"/>
              </w:rPr>
            </w:pPr>
          </w:p>
        </w:tc>
        <w:tc>
          <w:tcPr>
            <w:tcW w:w="1788" w:type="dxa"/>
            <w:vAlign w:val="top"/>
          </w:tcPr>
          <w:p w14:paraId="3D01AC6F">
            <w:pPr>
              <w:rPr>
                <w:rFonts w:ascii="Arial"/>
                <w:color w:val="auto"/>
                <w:sz w:val="21"/>
              </w:rPr>
            </w:pPr>
          </w:p>
        </w:tc>
        <w:tc>
          <w:tcPr>
            <w:tcW w:w="954" w:type="dxa"/>
            <w:vAlign w:val="top"/>
          </w:tcPr>
          <w:p w14:paraId="6B8EEC1E">
            <w:pPr>
              <w:rPr>
                <w:rFonts w:ascii="Arial"/>
                <w:color w:val="auto"/>
                <w:sz w:val="21"/>
              </w:rPr>
            </w:pPr>
          </w:p>
        </w:tc>
      </w:tr>
      <w:tr w14:paraId="7B869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714" w:type="dxa"/>
            <w:vAlign w:val="top"/>
          </w:tcPr>
          <w:p w14:paraId="6BC8EBEE">
            <w:pPr>
              <w:rPr>
                <w:rFonts w:ascii="Arial"/>
                <w:color w:val="auto"/>
                <w:sz w:val="21"/>
              </w:rPr>
            </w:pPr>
          </w:p>
        </w:tc>
        <w:tc>
          <w:tcPr>
            <w:tcW w:w="2108" w:type="dxa"/>
            <w:vAlign w:val="top"/>
          </w:tcPr>
          <w:p w14:paraId="255F2628">
            <w:pPr>
              <w:rPr>
                <w:rFonts w:ascii="Arial"/>
                <w:color w:val="auto"/>
                <w:sz w:val="21"/>
              </w:rPr>
            </w:pPr>
          </w:p>
        </w:tc>
        <w:tc>
          <w:tcPr>
            <w:tcW w:w="1368" w:type="dxa"/>
            <w:vAlign w:val="top"/>
          </w:tcPr>
          <w:p w14:paraId="5BAD68A7">
            <w:pPr>
              <w:rPr>
                <w:rFonts w:ascii="Arial"/>
                <w:color w:val="auto"/>
                <w:sz w:val="21"/>
              </w:rPr>
            </w:pPr>
          </w:p>
        </w:tc>
        <w:tc>
          <w:tcPr>
            <w:tcW w:w="989" w:type="dxa"/>
            <w:vAlign w:val="top"/>
          </w:tcPr>
          <w:p w14:paraId="267EDB69">
            <w:pPr>
              <w:rPr>
                <w:rFonts w:ascii="Arial"/>
                <w:color w:val="auto"/>
                <w:sz w:val="21"/>
              </w:rPr>
            </w:pPr>
          </w:p>
        </w:tc>
        <w:tc>
          <w:tcPr>
            <w:tcW w:w="1418" w:type="dxa"/>
            <w:vAlign w:val="top"/>
          </w:tcPr>
          <w:p w14:paraId="3C0617FF">
            <w:pPr>
              <w:rPr>
                <w:rFonts w:ascii="Arial"/>
                <w:color w:val="auto"/>
                <w:sz w:val="21"/>
              </w:rPr>
            </w:pPr>
          </w:p>
        </w:tc>
        <w:tc>
          <w:tcPr>
            <w:tcW w:w="1788" w:type="dxa"/>
            <w:vAlign w:val="top"/>
          </w:tcPr>
          <w:p w14:paraId="4DD5AA22">
            <w:pPr>
              <w:rPr>
                <w:rFonts w:ascii="Arial"/>
                <w:color w:val="auto"/>
                <w:sz w:val="21"/>
              </w:rPr>
            </w:pPr>
          </w:p>
        </w:tc>
        <w:tc>
          <w:tcPr>
            <w:tcW w:w="954" w:type="dxa"/>
            <w:vAlign w:val="top"/>
          </w:tcPr>
          <w:p w14:paraId="7F59B233">
            <w:pPr>
              <w:rPr>
                <w:rFonts w:ascii="Arial"/>
                <w:color w:val="auto"/>
                <w:sz w:val="21"/>
              </w:rPr>
            </w:pPr>
          </w:p>
        </w:tc>
      </w:tr>
      <w:tr w14:paraId="226B45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714" w:type="dxa"/>
            <w:vAlign w:val="top"/>
          </w:tcPr>
          <w:p w14:paraId="09117401">
            <w:pPr>
              <w:rPr>
                <w:rFonts w:ascii="Arial"/>
                <w:color w:val="auto"/>
                <w:sz w:val="21"/>
              </w:rPr>
            </w:pPr>
          </w:p>
        </w:tc>
        <w:tc>
          <w:tcPr>
            <w:tcW w:w="2108" w:type="dxa"/>
            <w:vAlign w:val="top"/>
          </w:tcPr>
          <w:p w14:paraId="3B6D4934">
            <w:pPr>
              <w:rPr>
                <w:rFonts w:ascii="Arial"/>
                <w:color w:val="auto"/>
                <w:sz w:val="21"/>
              </w:rPr>
            </w:pPr>
          </w:p>
        </w:tc>
        <w:tc>
          <w:tcPr>
            <w:tcW w:w="1368" w:type="dxa"/>
            <w:vAlign w:val="top"/>
          </w:tcPr>
          <w:p w14:paraId="248B42FD">
            <w:pPr>
              <w:rPr>
                <w:rFonts w:ascii="Arial"/>
                <w:color w:val="auto"/>
                <w:sz w:val="21"/>
              </w:rPr>
            </w:pPr>
          </w:p>
        </w:tc>
        <w:tc>
          <w:tcPr>
            <w:tcW w:w="989" w:type="dxa"/>
            <w:vAlign w:val="top"/>
          </w:tcPr>
          <w:p w14:paraId="375CBD66">
            <w:pPr>
              <w:rPr>
                <w:rFonts w:ascii="Arial"/>
                <w:color w:val="auto"/>
                <w:sz w:val="21"/>
              </w:rPr>
            </w:pPr>
          </w:p>
        </w:tc>
        <w:tc>
          <w:tcPr>
            <w:tcW w:w="1418" w:type="dxa"/>
            <w:vAlign w:val="top"/>
          </w:tcPr>
          <w:p w14:paraId="199DB29E">
            <w:pPr>
              <w:rPr>
                <w:rFonts w:ascii="Arial"/>
                <w:color w:val="auto"/>
                <w:sz w:val="21"/>
              </w:rPr>
            </w:pPr>
          </w:p>
        </w:tc>
        <w:tc>
          <w:tcPr>
            <w:tcW w:w="1788" w:type="dxa"/>
            <w:vAlign w:val="top"/>
          </w:tcPr>
          <w:p w14:paraId="70B9CD64">
            <w:pPr>
              <w:rPr>
                <w:rFonts w:ascii="Arial"/>
                <w:color w:val="auto"/>
                <w:sz w:val="21"/>
              </w:rPr>
            </w:pPr>
          </w:p>
        </w:tc>
        <w:tc>
          <w:tcPr>
            <w:tcW w:w="954" w:type="dxa"/>
            <w:vAlign w:val="top"/>
          </w:tcPr>
          <w:p w14:paraId="44F1DEA2">
            <w:pPr>
              <w:rPr>
                <w:rFonts w:ascii="Arial"/>
                <w:color w:val="auto"/>
                <w:sz w:val="21"/>
              </w:rPr>
            </w:pPr>
          </w:p>
        </w:tc>
      </w:tr>
      <w:tr w14:paraId="0F8C3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714" w:type="dxa"/>
            <w:vAlign w:val="top"/>
          </w:tcPr>
          <w:p w14:paraId="7555C704">
            <w:pPr>
              <w:rPr>
                <w:rFonts w:ascii="Arial"/>
                <w:color w:val="auto"/>
                <w:sz w:val="21"/>
              </w:rPr>
            </w:pPr>
          </w:p>
        </w:tc>
        <w:tc>
          <w:tcPr>
            <w:tcW w:w="2108" w:type="dxa"/>
            <w:vAlign w:val="top"/>
          </w:tcPr>
          <w:p w14:paraId="3BDC3DC7">
            <w:pPr>
              <w:rPr>
                <w:rFonts w:ascii="Arial"/>
                <w:color w:val="auto"/>
                <w:sz w:val="21"/>
              </w:rPr>
            </w:pPr>
          </w:p>
        </w:tc>
        <w:tc>
          <w:tcPr>
            <w:tcW w:w="1368" w:type="dxa"/>
            <w:vAlign w:val="top"/>
          </w:tcPr>
          <w:p w14:paraId="74B4470A">
            <w:pPr>
              <w:rPr>
                <w:rFonts w:ascii="Arial"/>
                <w:color w:val="auto"/>
                <w:sz w:val="21"/>
              </w:rPr>
            </w:pPr>
          </w:p>
        </w:tc>
        <w:tc>
          <w:tcPr>
            <w:tcW w:w="989" w:type="dxa"/>
            <w:vAlign w:val="top"/>
          </w:tcPr>
          <w:p w14:paraId="1F57EC6D">
            <w:pPr>
              <w:rPr>
                <w:rFonts w:ascii="Arial"/>
                <w:color w:val="auto"/>
                <w:sz w:val="21"/>
              </w:rPr>
            </w:pPr>
          </w:p>
        </w:tc>
        <w:tc>
          <w:tcPr>
            <w:tcW w:w="1418" w:type="dxa"/>
            <w:vAlign w:val="top"/>
          </w:tcPr>
          <w:p w14:paraId="29A6F810">
            <w:pPr>
              <w:rPr>
                <w:rFonts w:ascii="Arial"/>
                <w:color w:val="auto"/>
                <w:sz w:val="21"/>
              </w:rPr>
            </w:pPr>
          </w:p>
        </w:tc>
        <w:tc>
          <w:tcPr>
            <w:tcW w:w="1788" w:type="dxa"/>
            <w:vAlign w:val="top"/>
          </w:tcPr>
          <w:p w14:paraId="3B3F310B">
            <w:pPr>
              <w:rPr>
                <w:rFonts w:ascii="Arial"/>
                <w:color w:val="auto"/>
                <w:sz w:val="21"/>
              </w:rPr>
            </w:pPr>
          </w:p>
        </w:tc>
        <w:tc>
          <w:tcPr>
            <w:tcW w:w="954" w:type="dxa"/>
            <w:vAlign w:val="top"/>
          </w:tcPr>
          <w:p w14:paraId="3FE20835">
            <w:pPr>
              <w:rPr>
                <w:rFonts w:ascii="Arial"/>
                <w:color w:val="auto"/>
                <w:sz w:val="21"/>
              </w:rPr>
            </w:pPr>
          </w:p>
        </w:tc>
      </w:tr>
    </w:tbl>
    <w:p w14:paraId="195C72E6">
      <w:pPr>
        <w:keepNext w:val="0"/>
        <w:keepLines w:val="0"/>
        <w:pageBreakBefore w:val="0"/>
        <w:widowControl w:val="0"/>
        <w:kinsoku/>
        <w:wordWrap/>
        <w:overflowPunct/>
        <w:topLinePunct w:val="0"/>
        <w:autoSpaceDE/>
        <w:autoSpaceDN/>
        <w:bidi w:val="0"/>
        <w:adjustRightInd/>
        <w:snapToGrid/>
        <w:spacing w:line="360" w:lineRule="auto"/>
        <w:ind w:left="410"/>
        <w:textAlignment w:val="auto"/>
        <w:rPr>
          <w:rFonts w:ascii="宋体" w:hAnsi="宋体" w:eastAsia="宋体" w:cs="宋体"/>
          <w:color w:val="auto"/>
          <w:spacing w:val="-2"/>
          <w:sz w:val="21"/>
          <w:szCs w:val="21"/>
        </w:rPr>
      </w:pPr>
      <w:r>
        <w:rPr>
          <w:rFonts w:ascii="宋体" w:hAnsi="宋体" w:eastAsia="宋体" w:cs="宋体"/>
          <w:color w:val="auto"/>
          <w:spacing w:val="-2"/>
          <w:sz w:val="21"/>
          <w:szCs w:val="21"/>
        </w:rPr>
        <w:t>备注：</w:t>
      </w:r>
    </w:p>
    <w:p w14:paraId="0494E767">
      <w:pPr>
        <w:keepNext w:val="0"/>
        <w:keepLines w:val="0"/>
        <w:pageBreakBefore w:val="0"/>
        <w:widowControl w:val="0"/>
        <w:kinsoku/>
        <w:wordWrap/>
        <w:overflowPunct/>
        <w:topLinePunct w:val="0"/>
        <w:autoSpaceDE/>
        <w:autoSpaceDN/>
        <w:bidi w:val="0"/>
        <w:adjustRightInd/>
        <w:snapToGrid/>
        <w:spacing w:line="360" w:lineRule="auto"/>
        <w:ind w:left="410"/>
        <w:textAlignment w:val="auto"/>
        <w:rPr>
          <w:rFonts w:ascii="宋体" w:hAnsi="宋体" w:eastAsia="宋体" w:cs="宋体"/>
          <w:color w:val="auto"/>
          <w:spacing w:val="-2"/>
          <w:sz w:val="21"/>
          <w:szCs w:val="21"/>
        </w:rPr>
      </w:pPr>
      <w:r>
        <w:rPr>
          <w:rFonts w:ascii="宋体" w:hAnsi="宋体" w:eastAsia="宋体" w:cs="宋体"/>
          <w:color w:val="auto"/>
          <w:spacing w:val="-2"/>
          <w:sz w:val="21"/>
          <w:szCs w:val="21"/>
        </w:rPr>
        <w:t>(1)此表格式供参照，投标人可以根据本表格式内容自行填写。</w:t>
      </w:r>
    </w:p>
    <w:p w14:paraId="20F805D7">
      <w:pPr>
        <w:keepNext w:val="0"/>
        <w:keepLines w:val="0"/>
        <w:pageBreakBefore w:val="0"/>
        <w:widowControl w:val="0"/>
        <w:kinsoku/>
        <w:wordWrap/>
        <w:overflowPunct/>
        <w:topLinePunct w:val="0"/>
        <w:autoSpaceDE/>
        <w:autoSpaceDN/>
        <w:bidi w:val="0"/>
        <w:adjustRightInd/>
        <w:snapToGrid/>
        <w:spacing w:line="360" w:lineRule="auto"/>
        <w:ind w:left="410"/>
        <w:textAlignment w:val="auto"/>
        <w:rPr>
          <w:rFonts w:ascii="宋体" w:hAnsi="宋体" w:eastAsia="宋体" w:cs="宋体"/>
          <w:color w:val="auto"/>
          <w:spacing w:val="-2"/>
          <w:sz w:val="21"/>
          <w:szCs w:val="21"/>
        </w:rPr>
      </w:pPr>
      <w:r>
        <w:rPr>
          <w:rFonts w:ascii="宋体" w:hAnsi="宋体" w:eastAsia="宋体" w:cs="宋体"/>
          <w:color w:val="auto"/>
          <w:spacing w:val="-2"/>
          <w:sz w:val="21"/>
          <w:szCs w:val="21"/>
        </w:rPr>
        <w:t>(2)自有设备的须提供：①购买发票</w:t>
      </w:r>
      <w:r>
        <w:rPr>
          <w:rFonts w:hint="eastAsia" w:ascii="宋体" w:hAnsi="宋体" w:eastAsia="宋体" w:cs="宋体"/>
          <w:color w:val="auto"/>
          <w:spacing w:val="-2"/>
          <w:sz w:val="21"/>
          <w:szCs w:val="21"/>
          <w:lang w:eastAsia="zh-CN"/>
        </w:rPr>
        <w:t>扫描件</w:t>
      </w:r>
      <w:r>
        <w:rPr>
          <w:rFonts w:ascii="宋体" w:hAnsi="宋体" w:eastAsia="宋体" w:cs="宋体"/>
          <w:color w:val="auto"/>
          <w:spacing w:val="-2"/>
          <w:sz w:val="21"/>
          <w:szCs w:val="21"/>
        </w:rPr>
        <w:t>；②</w:t>
      </w:r>
      <w:r>
        <w:rPr>
          <w:rFonts w:hint="eastAsia" w:ascii="宋体" w:hAnsi="宋体" w:eastAsia="宋体" w:cs="宋体"/>
          <w:color w:val="auto"/>
          <w:spacing w:val="-2"/>
          <w:sz w:val="21"/>
          <w:szCs w:val="21"/>
        </w:rPr>
        <w:t>设备照片/图片扫描件（照片/图片须清晰显示拍摄时间为2025年6月1日或以后）</w:t>
      </w:r>
      <w:r>
        <w:rPr>
          <w:rFonts w:ascii="宋体" w:hAnsi="宋体" w:eastAsia="宋体" w:cs="宋体"/>
          <w:color w:val="auto"/>
          <w:spacing w:val="-2"/>
          <w:sz w:val="21"/>
          <w:szCs w:val="21"/>
        </w:rPr>
        <w:t>。</w:t>
      </w:r>
    </w:p>
    <w:p w14:paraId="21387766">
      <w:pPr>
        <w:keepNext w:val="0"/>
        <w:keepLines w:val="0"/>
        <w:pageBreakBefore w:val="0"/>
        <w:widowControl w:val="0"/>
        <w:kinsoku/>
        <w:wordWrap/>
        <w:overflowPunct/>
        <w:topLinePunct w:val="0"/>
        <w:autoSpaceDE/>
        <w:autoSpaceDN/>
        <w:bidi w:val="0"/>
        <w:adjustRightInd/>
        <w:snapToGrid/>
        <w:spacing w:line="360" w:lineRule="auto"/>
        <w:ind w:left="410"/>
        <w:textAlignment w:val="auto"/>
        <w:rPr>
          <w:rFonts w:ascii="宋体" w:hAnsi="宋体" w:eastAsia="宋体" w:cs="宋体"/>
          <w:color w:val="auto"/>
          <w:spacing w:val="-2"/>
          <w:sz w:val="21"/>
          <w:szCs w:val="21"/>
        </w:rPr>
      </w:pPr>
      <w:r>
        <w:rPr>
          <w:rFonts w:ascii="宋体" w:hAnsi="宋体" w:eastAsia="宋体" w:cs="宋体"/>
          <w:color w:val="auto"/>
          <w:spacing w:val="-2"/>
          <w:sz w:val="21"/>
          <w:szCs w:val="21"/>
        </w:rPr>
        <w:t>(3)租赁设备的须提供：①租赁合同</w:t>
      </w:r>
      <w:r>
        <w:rPr>
          <w:rFonts w:hint="eastAsia" w:ascii="宋体" w:hAnsi="宋体" w:eastAsia="宋体" w:cs="宋体"/>
          <w:color w:val="auto"/>
          <w:spacing w:val="-2"/>
          <w:sz w:val="21"/>
          <w:szCs w:val="21"/>
          <w:lang w:eastAsia="zh-CN"/>
        </w:rPr>
        <w:t>扫描件</w:t>
      </w:r>
      <w:r>
        <w:rPr>
          <w:rFonts w:ascii="宋体" w:hAnsi="宋体" w:eastAsia="宋体" w:cs="宋体"/>
          <w:color w:val="auto"/>
          <w:spacing w:val="-2"/>
          <w:sz w:val="21"/>
          <w:szCs w:val="21"/>
        </w:rPr>
        <w:t>(租赁期限需涵盖本项目服务期);②</w:t>
      </w:r>
      <w:r>
        <w:rPr>
          <w:rFonts w:hint="eastAsia" w:ascii="宋体" w:hAnsi="宋体" w:eastAsia="宋体" w:cs="宋体"/>
          <w:color w:val="auto"/>
          <w:spacing w:val="-2"/>
          <w:sz w:val="21"/>
          <w:szCs w:val="21"/>
        </w:rPr>
        <w:t>设备照片/图片扫描件（照片/图片须清晰显示拍摄时间为2025年6月1日或以后）</w:t>
      </w:r>
      <w:r>
        <w:rPr>
          <w:rFonts w:ascii="宋体" w:hAnsi="宋体" w:eastAsia="宋体" w:cs="宋体"/>
          <w:color w:val="auto"/>
          <w:spacing w:val="-2"/>
          <w:sz w:val="21"/>
          <w:szCs w:val="21"/>
        </w:rPr>
        <w:t>。</w:t>
      </w:r>
    </w:p>
    <w:p w14:paraId="1517431E">
      <w:pPr>
        <w:keepNext w:val="0"/>
        <w:keepLines w:val="0"/>
        <w:pageBreakBefore w:val="0"/>
        <w:widowControl w:val="0"/>
        <w:kinsoku/>
        <w:wordWrap/>
        <w:overflowPunct/>
        <w:topLinePunct w:val="0"/>
        <w:autoSpaceDE/>
        <w:autoSpaceDN/>
        <w:bidi w:val="0"/>
        <w:adjustRightInd/>
        <w:snapToGrid/>
        <w:spacing w:line="360" w:lineRule="auto"/>
        <w:ind w:left="410"/>
        <w:textAlignment w:val="auto"/>
        <w:rPr>
          <w:rFonts w:ascii="宋体" w:hAnsi="宋体" w:eastAsia="宋体" w:cs="宋体"/>
          <w:color w:val="auto"/>
          <w:spacing w:val="-2"/>
          <w:sz w:val="21"/>
          <w:szCs w:val="21"/>
        </w:rPr>
      </w:pPr>
      <w:r>
        <w:rPr>
          <w:rFonts w:ascii="宋体" w:hAnsi="宋体" w:eastAsia="宋体" w:cs="宋体"/>
          <w:color w:val="auto"/>
          <w:spacing w:val="-2"/>
          <w:sz w:val="21"/>
          <w:szCs w:val="21"/>
        </w:rPr>
        <w:t>(4)</w:t>
      </w:r>
      <w:r>
        <w:rPr>
          <w:rFonts w:hint="eastAsia" w:ascii="宋体" w:hAnsi="宋体" w:eastAsia="宋体" w:cs="宋体"/>
          <w:color w:val="auto"/>
          <w:spacing w:val="-2"/>
          <w:sz w:val="21"/>
          <w:szCs w:val="21"/>
        </w:rPr>
        <w:t>软件系统为投标人或其关联公司（本处软件系统开发人所指的“投标人或其关联公司”包括投标人，以及其母公司、控股股东公司、全资子公司、控股子公司、同一集团下属公司）开发的须提供：①计算机软件著作权证书或专利证；②软件系统照片/图片扫描件（照片/图片须清晰显示拍摄时间为2025年6月1日或以后）。③软件系统属于前述投标人关联公司的，必须同时提供反映关联关系的证明材料，否则不予认定。</w:t>
      </w:r>
    </w:p>
    <w:p w14:paraId="100D230F">
      <w:pPr>
        <w:keepNext w:val="0"/>
        <w:keepLines w:val="0"/>
        <w:pageBreakBefore w:val="0"/>
        <w:widowControl w:val="0"/>
        <w:kinsoku/>
        <w:wordWrap/>
        <w:overflowPunct/>
        <w:topLinePunct w:val="0"/>
        <w:autoSpaceDE/>
        <w:autoSpaceDN/>
        <w:bidi w:val="0"/>
        <w:adjustRightInd/>
        <w:snapToGrid/>
        <w:spacing w:line="360" w:lineRule="auto"/>
        <w:ind w:left="410"/>
        <w:textAlignment w:val="auto"/>
        <w:rPr>
          <w:rFonts w:ascii="宋体" w:hAnsi="宋体" w:eastAsia="宋体" w:cs="宋体"/>
          <w:color w:val="auto"/>
          <w:spacing w:val="-2"/>
          <w:sz w:val="21"/>
          <w:szCs w:val="21"/>
        </w:rPr>
      </w:pPr>
      <w:r>
        <w:rPr>
          <w:rFonts w:ascii="宋体" w:hAnsi="宋体" w:eastAsia="宋体" w:cs="宋体"/>
          <w:color w:val="auto"/>
          <w:spacing w:val="-2"/>
          <w:sz w:val="21"/>
          <w:szCs w:val="21"/>
        </w:rPr>
        <w:t>(5)</w:t>
      </w:r>
      <w:r>
        <w:rPr>
          <w:rFonts w:hint="eastAsia" w:ascii="宋体" w:hAnsi="宋体" w:eastAsia="宋体" w:cs="宋体"/>
          <w:color w:val="auto"/>
          <w:spacing w:val="-2"/>
          <w:sz w:val="21"/>
          <w:szCs w:val="21"/>
        </w:rPr>
        <w:t>软件系统为投标人购买的须提供：①软件系统购买发票扫描件；②软件系统照片/图片扫描件（照片/图片须清晰显示拍摄时间为2025年6月1日或以后）</w:t>
      </w:r>
      <w:r>
        <w:rPr>
          <w:rFonts w:ascii="宋体" w:hAnsi="宋体" w:eastAsia="宋体" w:cs="宋体"/>
          <w:color w:val="auto"/>
          <w:spacing w:val="-2"/>
          <w:sz w:val="21"/>
          <w:szCs w:val="21"/>
        </w:rPr>
        <w:t>。</w:t>
      </w:r>
    </w:p>
    <w:p w14:paraId="1CB19E0D">
      <w:pPr>
        <w:keepNext w:val="0"/>
        <w:keepLines w:val="0"/>
        <w:pageBreakBefore w:val="0"/>
        <w:widowControl w:val="0"/>
        <w:kinsoku/>
        <w:wordWrap/>
        <w:overflowPunct/>
        <w:topLinePunct w:val="0"/>
        <w:autoSpaceDE/>
        <w:autoSpaceDN/>
        <w:bidi w:val="0"/>
        <w:adjustRightInd/>
        <w:snapToGrid/>
        <w:spacing w:line="360" w:lineRule="auto"/>
        <w:ind w:left="410"/>
        <w:textAlignment w:val="auto"/>
        <w:rPr>
          <w:rFonts w:ascii="宋体" w:hAnsi="宋体" w:eastAsia="宋体" w:cs="宋体"/>
          <w:color w:val="auto"/>
          <w:spacing w:val="-2"/>
          <w:sz w:val="21"/>
          <w:szCs w:val="21"/>
        </w:rPr>
      </w:pPr>
      <w:r>
        <w:rPr>
          <w:rFonts w:ascii="宋体" w:hAnsi="宋体" w:eastAsia="宋体" w:cs="宋体"/>
          <w:color w:val="auto"/>
          <w:spacing w:val="-2"/>
          <w:sz w:val="21"/>
          <w:szCs w:val="21"/>
        </w:rPr>
        <w:t>(6)投标人承诺此表填写的上述设备及软件系统为投标人自愿免费投入本项目使用，不进行额外收费。</w:t>
      </w:r>
    </w:p>
    <w:p w14:paraId="3C13594B">
      <w:pPr>
        <w:rPr>
          <w:color w:val="auto"/>
        </w:rPr>
      </w:pPr>
    </w:p>
    <w:p w14:paraId="55549E2D">
      <w:pPr>
        <w:pStyle w:val="18"/>
        <w:spacing w:line="250" w:lineRule="auto"/>
        <w:rPr>
          <w:color w:val="auto"/>
        </w:rPr>
      </w:pPr>
    </w:p>
    <w:p w14:paraId="38109ECC">
      <w:pPr>
        <w:spacing w:before="69" w:line="219" w:lineRule="auto"/>
        <w:ind w:left="5640"/>
        <w:rPr>
          <w:rFonts w:ascii="宋体" w:hAnsi="宋体" w:eastAsia="宋体" w:cs="宋体"/>
          <w:color w:val="auto"/>
          <w:sz w:val="21"/>
          <w:szCs w:val="21"/>
        </w:rPr>
      </w:pPr>
      <w:r>
        <w:rPr>
          <w:rFonts w:ascii="宋体" w:hAnsi="宋体" w:eastAsia="宋体" w:cs="宋体"/>
          <w:color w:val="auto"/>
          <w:spacing w:val="9"/>
          <w:sz w:val="21"/>
          <w:szCs w:val="21"/>
        </w:rPr>
        <w:t>投标人：(</w:t>
      </w:r>
      <w:r>
        <w:rPr>
          <w:rFonts w:hint="eastAsia" w:ascii="宋体" w:hAnsi="宋体" w:eastAsia="宋体" w:cs="宋体"/>
          <w:color w:val="auto"/>
          <w:spacing w:val="9"/>
          <w:sz w:val="21"/>
          <w:szCs w:val="21"/>
          <w:lang w:eastAsia="zh-CN"/>
        </w:rPr>
        <w:t>企业数字证书电子签名</w:t>
      </w:r>
      <w:r>
        <w:rPr>
          <w:rFonts w:ascii="宋体" w:hAnsi="宋体" w:eastAsia="宋体" w:cs="宋体"/>
          <w:color w:val="auto"/>
          <w:spacing w:val="9"/>
          <w:sz w:val="21"/>
          <w:szCs w:val="21"/>
        </w:rPr>
        <w:t>)</w:t>
      </w:r>
    </w:p>
    <w:p w14:paraId="2C55D878">
      <w:pPr>
        <w:spacing w:before="142" w:line="220" w:lineRule="auto"/>
        <w:ind w:left="5670"/>
        <w:rPr>
          <w:rFonts w:ascii="宋体" w:hAnsi="宋体" w:eastAsia="宋体" w:cs="宋体"/>
          <w:color w:val="auto"/>
          <w:sz w:val="21"/>
          <w:szCs w:val="21"/>
        </w:rPr>
      </w:pPr>
      <w:r>
        <w:rPr>
          <w:rFonts w:ascii="宋体" w:hAnsi="宋体" w:eastAsia="宋体" w:cs="宋体"/>
          <w:color w:val="auto"/>
          <w:spacing w:val="-12"/>
          <w:sz w:val="21"/>
          <w:szCs w:val="21"/>
        </w:rPr>
        <w:t>日</w:t>
      </w:r>
      <w:r>
        <w:rPr>
          <w:rFonts w:ascii="宋体" w:hAnsi="宋体" w:eastAsia="宋体" w:cs="宋体"/>
          <w:color w:val="auto"/>
          <w:spacing w:val="4"/>
          <w:sz w:val="21"/>
          <w:szCs w:val="21"/>
        </w:rPr>
        <w:t xml:space="preserve">  </w:t>
      </w:r>
      <w:r>
        <w:rPr>
          <w:rFonts w:ascii="宋体" w:hAnsi="宋体" w:eastAsia="宋体" w:cs="宋体"/>
          <w:color w:val="auto"/>
          <w:spacing w:val="-12"/>
          <w:sz w:val="21"/>
          <w:szCs w:val="21"/>
        </w:rPr>
        <w:t>期：</w:t>
      </w:r>
      <w:r>
        <w:rPr>
          <w:rFonts w:ascii="宋体" w:hAnsi="宋体" w:eastAsia="宋体" w:cs="宋体"/>
          <w:color w:val="auto"/>
          <w:spacing w:val="1"/>
          <w:sz w:val="21"/>
          <w:szCs w:val="21"/>
        </w:rPr>
        <w:t xml:space="preserve">   </w:t>
      </w:r>
      <w:r>
        <w:rPr>
          <w:rFonts w:ascii="宋体" w:hAnsi="宋体" w:eastAsia="宋体" w:cs="宋体"/>
          <w:color w:val="auto"/>
          <w:spacing w:val="-12"/>
          <w:sz w:val="21"/>
          <w:szCs w:val="21"/>
        </w:rPr>
        <w:t>年</w:t>
      </w:r>
      <w:r>
        <w:rPr>
          <w:rFonts w:ascii="宋体" w:hAnsi="宋体" w:eastAsia="宋体" w:cs="宋体"/>
          <w:color w:val="auto"/>
          <w:spacing w:val="5"/>
          <w:sz w:val="21"/>
          <w:szCs w:val="21"/>
        </w:rPr>
        <w:t xml:space="preserve">    </w:t>
      </w:r>
      <w:r>
        <w:rPr>
          <w:rFonts w:ascii="宋体" w:hAnsi="宋体" w:eastAsia="宋体" w:cs="宋体"/>
          <w:color w:val="auto"/>
          <w:spacing w:val="-12"/>
          <w:sz w:val="21"/>
          <w:szCs w:val="21"/>
        </w:rPr>
        <w:t>月</w:t>
      </w:r>
      <w:r>
        <w:rPr>
          <w:rFonts w:ascii="宋体" w:hAnsi="宋体" w:eastAsia="宋体" w:cs="宋体"/>
          <w:color w:val="auto"/>
          <w:spacing w:val="7"/>
          <w:sz w:val="21"/>
          <w:szCs w:val="21"/>
        </w:rPr>
        <w:t xml:space="preserve">     </w:t>
      </w:r>
      <w:r>
        <w:rPr>
          <w:rFonts w:ascii="宋体" w:hAnsi="宋体" w:eastAsia="宋体" w:cs="宋体"/>
          <w:color w:val="auto"/>
          <w:spacing w:val="-12"/>
          <w:sz w:val="21"/>
          <w:szCs w:val="21"/>
        </w:rPr>
        <w:t>日</w:t>
      </w:r>
    </w:p>
    <w:p w14:paraId="2CC48BE0">
      <w:pPr>
        <w:numPr>
          <w:ilvl w:val="0"/>
          <w:numId w:val="0"/>
        </w:numPr>
        <w:outlineLvl w:val="9"/>
        <w:rPr>
          <w:rFonts w:hint="eastAsia" w:ascii="宋体" w:hAnsi="宋体" w:eastAsia="宋体" w:cs="宋体"/>
          <w:b/>
          <w:color w:val="auto"/>
          <w:kern w:val="0"/>
          <w:sz w:val="30"/>
          <w:szCs w:val="30"/>
          <w:highlight w:val="none"/>
          <w:lang w:val="en-US" w:eastAsia="zh-CN"/>
        </w:rPr>
      </w:pPr>
    </w:p>
    <w:p w14:paraId="7E8A1A41">
      <w:pPr>
        <w:rPr>
          <w:rFonts w:hint="eastAsia" w:hAnsi="宋体" w:eastAsia="宋体" w:cs="宋体"/>
          <w:b/>
          <w:color w:val="auto"/>
          <w:kern w:val="0"/>
          <w:sz w:val="30"/>
          <w:szCs w:val="30"/>
          <w:highlight w:val="none"/>
          <w:lang w:val="en-US" w:eastAsia="zh-CN"/>
        </w:rPr>
      </w:pPr>
      <w:bookmarkStart w:id="999" w:name="_Toc30545"/>
      <w:bookmarkStart w:id="1000" w:name="_Toc18180"/>
      <w:bookmarkStart w:id="1001" w:name="_Toc1004"/>
      <w:bookmarkStart w:id="1002" w:name="_Toc3750"/>
      <w:r>
        <w:rPr>
          <w:rFonts w:hint="eastAsia" w:hAnsi="宋体" w:eastAsia="宋体" w:cs="宋体"/>
          <w:b/>
          <w:color w:val="auto"/>
          <w:kern w:val="0"/>
          <w:sz w:val="30"/>
          <w:szCs w:val="30"/>
          <w:highlight w:val="none"/>
          <w:lang w:val="en-US" w:eastAsia="zh-CN"/>
        </w:rPr>
        <w:br w:type="page"/>
      </w:r>
    </w:p>
    <w:p w14:paraId="13EB16DD">
      <w:pPr>
        <w:keepNext w:val="0"/>
        <w:keepLines w:val="0"/>
        <w:pageBreakBefore/>
        <w:widowControl w:val="0"/>
        <w:numPr>
          <w:ilvl w:val="0"/>
          <w:numId w:val="0"/>
        </w:numPr>
        <w:kinsoku/>
        <w:wordWrap/>
        <w:overflowPunct/>
        <w:topLinePunct w:val="0"/>
        <w:autoSpaceDE/>
        <w:autoSpaceDN/>
        <w:bidi w:val="0"/>
        <w:adjustRightInd/>
        <w:snapToGrid/>
        <w:spacing w:after="0" w:line="360" w:lineRule="auto"/>
        <w:textAlignment w:val="auto"/>
        <w:outlineLvl w:val="1"/>
        <w:rPr>
          <w:rFonts w:hint="eastAsia" w:ascii="宋体" w:hAnsi="宋体" w:eastAsia="宋体" w:cs="宋体"/>
          <w:b/>
          <w:color w:val="auto"/>
          <w:kern w:val="0"/>
          <w:sz w:val="30"/>
          <w:szCs w:val="30"/>
          <w:highlight w:val="none"/>
          <w:lang w:val="en-US" w:eastAsia="zh-CN"/>
        </w:rPr>
      </w:pPr>
      <w:r>
        <w:rPr>
          <w:rFonts w:hint="eastAsia" w:hAnsi="宋体" w:eastAsia="宋体" w:cs="宋体"/>
          <w:b/>
          <w:color w:val="auto"/>
          <w:kern w:val="0"/>
          <w:sz w:val="30"/>
          <w:szCs w:val="30"/>
          <w:highlight w:val="none"/>
          <w:lang w:val="en-US" w:eastAsia="zh-CN"/>
        </w:rPr>
        <w:t>六</w:t>
      </w:r>
      <w:r>
        <w:rPr>
          <w:rFonts w:hint="eastAsia" w:ascii="宋体" w:hAnsi="宋体" w:eastAsia="宋体" w:cs="宋体"/>
          <w:b/>
          <w:color w:val="auto"/>
          <w:kern w:val="0"/>
          <w:sz w:val="30"/>
          <w:szCs w:val="30"/>
          <w:highlight w:val="none"/>
          <w:lang w:val="en-US" w:eastAsia="zh-CN"/>
        </w:rPr>
        <w:t>、应急预案和重大活动保障措施（投标人自行编写）</w:t>
      </w:r>
    </w:p>
    <w:p w14:paraId="3F431AAD">
      <w:pPr>
        <w:bidi w:val="0"/>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说明：</w:t>
      </w:r>
      <w:r>
        <w:rPr>
          <w:rFonts w:hint="eastAsia" w:ascii="宋体" w:hAnsi="宋体" w:eastAsia="宋体" w:cs="宋体"/>
          <w:color w:val="auto"/>
          <w:sz w:val="21"/>
          <w:szCs w:val="21"/>
        </w:rPr>
        <w:t>投标人自行编制，格式不限。内容包括但不限于项目实施过程可能发生的各类突发紧急情况（如：特殊天气、火灾、设备故障、突发治安事件、公共卫生事件、重大活动等内容）、各类突发紧急情况相应的保障措施（包括事件处理原则、流程、方法、紧急情况报告机制等内容）</w:t>
      </w:r>
      <w:r>
        <w:rPr>
          <w:rFonts w:hint="eastAsia" w:ascii="宋体" w:hAnsi="宋体" w:eastAsia="宋体" w:cs="宋体"/>
          <w:color w:val="auto"/>
          <w:sz w:val="21"/>
          <w:szCs w:val="21"/>
          <w:lang w:val="en-US" w:eastAsia="zh-CN"/>
        </w:rPr>
        <w:t>。</w:t>
      </w:r>
    </w:p>
    <w:p w14:paraId="0872FBF5">
      <w:pPr>
        <w:rPr>
          <w:rFonts w:hint="eastAsia" w:hAnsi="宋体" w:eastAsia="宋体" w:cs="宋体"/>
          <w:b/>
          <w:color w:val="auto"/>
          <w:kern w:val="0"/>
          <w:sz w:val="30"/>
          <w:szCs w:val="30"/>
          <w:highlight w:val="none"/>
          <w:lang w:val="en-US" w:eastAsia="zh-CN"/>
        </w:rPr>
      </w:pPr>
      <w:r>
        <w:rPr>
          <w:rFonts w:hint="eastAsia" w:hAnsi="宋体" w:eastAsia="宋体" w:cs="宋体"/>
          <w:b/>
          <w:color w:val="auto"/>
          <w:kern w:val="0"/>
          <w:sz w:val="30"/>
          <w:szCs w:val="30"/>
          <w:highlight w:val="none"/>
          <w:lang w:val="en-US" w:eastAsia="zh-CN"/>
        </w:rPr>
        <w:br w:type="page"/>
      </w:r>
    </w:p>
    <w:p w14:paraId="2ACB3ABB">
      <w:pPr>
        <w:pStyle w:val="52"/>
        <w:autoSpaceDE/>
        <w:autoSpaceDN/>
        <w:adjustRightInd/>
        <w:spacing w:line="360" w:lineRule="auto"/>
        <w:ind w:right="420"/>
        <w:jc w:val="left"/>
        <w:outlineLvl w:val="1"/>
        <w:rPr>
          <w:rFonts w:hint="eastAsia" w:ascii="宋体" w:hAnsi="宋体" w:eastAsia="宋体" w:cs="宋体"/>
          <w:b/>
          <w:color w:val="auto"/>
          <w:kern w:val="0"/>
          <w:sz w:val="30"/>
          <w:szCs w:val="30"/>
          <w:highlight w:val="none"/>
        </w:rPr>
      </w:pPr>
      <w:r>
        <w:rPr>
          <w:rFonts w:hint="eastAsia" w:hAnsi="宋体" w:eastAsia="宋体" w:cs="宋体"/>
          <w:b/>
          <w:color w:val="auto"/>
          <w:kern w:val="0"/>
          <w:sz w:val="30"/>
          <w:szCs w:val="30"/>
          <w:highlight w:val="none"/>
          <w:lang w:val="en-US" w:eastAsia="zh-CN"/>
        </w:rPr>
        <w:t>七、</w:t>
      </w:r>
      <w:r>
        <w:rPr>
          <w:rFonts w:hint="eastAsia" w:ascii="宋体" w:hAnsi="宋体" w:eastAsia="宋体" w:cs="宋体"/>
          <w:b/>
          <w:color w:val="auto"/>
          <w:kern w:val="0"/>
          <w:sz w:val="30"/>
          <w:szCs w:val="30"/>
          <w:highlight w:val="none"/>
        </w:rPr>
        <w:t>投标人认为有必要提供的其它材料（不做强制要求）</w:t>
      </w:r>
      <w:bookmarkEnd w:id="991"/>
      <w:bookmarkEnd w:id="992"/>
      <w:bookmarkEnd w:id="993"/>
      <w:bookmarkEnd w:id="994"/>
      <w:bookmarkEnd w:id="995"/>
      <w:bookmarkEnd w:id="999"/>
      <w:bookmarkEnd w:id="1000"/>
      <w:bookmarkEnd w:id="1001"/>
      <w:bookmarkEnd w:id="1002"/>
    </w:p>
    <w:p w14:paraId="1B83843A">
      <w:pPr>
        <w:widowControl/>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p>
    <w:p w14:paraId="25F37DA8">
      <w:pPr>
        <w:jc w:val="center"/>
        <w:outlineLvl w:val="1"/>
        <w:rPr>
          <w:rFonts w:hint="eastAsia" w:ascii="宋体" w:hAnsi="宋体" w:eastAsia="宋体" w:cs="宋体"/>
          <w:b/>
          <w:color w:val="auto"/>
          <w:kern w:val="0"/>
          <w:sz w:val="32"/>
          <w:szCs w:val="32"/>
          <w:highlight w:val="none"/>
        </w:rPr>
      </w:pPr>
      <w:bookmarkStart w:id="1003" w:name="_Toc13980"/>
      <w:bookmarkStart w:id="1004" w:name="_Toc29220"/>
      <w:bookmarkStart w:id="1005" w:name="_Toc13597"/>
      <w:bookmarkStart w:id="1006" w:name="_Toc18687"/>
      <w:bookmarkStart w:id="1007" w:name="_Toc22748"/>
      <w:bookmarkStart w:id="1008" w:name="_Toc29896"/>
      <w:bookmarkStart w:id="1009" w:name="_Toc195714410"/>
      <w:r>
        <w:rPr>
          <w:rFonts w:hint="eastAsia" w:ascii="宋体" w:hAnsi="宋体" w:eastAsia="宋体" w:cs="宋体"/>
          <w:b/>
          <w:color w:val="auto"/>
          <w:kern w:val="0"/>
          <w:sz w:val="32"/>
          <w:szCs w:val="32"/>
          <w:highlight w:val="none"/>
        </w:rPr>
        <w:t>三  投标文件报价信封格式</w:t>
      </w:r>
      <w:bookmarkEnd w:id="1003"/>
      <w:bookmarkEnd w:id="1004"/>
      <w:bookmarkEnd w:id="1005"/>
      <w:bookmarkEnd w:id="1006"/>
      <w:bookmarkEnd w:id="1007"/>
      <w:bookmarkEnd w:id="1008"/>
      <w:bookmarkEnd w:id="1009"/>
    </w:p>
    <w:p w14:paraId="42721057">
      <w:pPr>
        <w:jc w:val="center"/>
        <w:rPr>
          <w:rFonts w:hint="eastAsia" w:ascii="宋体" w:hAnsi="宋体" w:eastAsia="宋体" w:cs="宋体"/>
          <w:b/>
          <w:color w:val="auto"/>
          <w:kern w:val="0"/>
          <w:sz w:val="32"/>
          <w:szCs w:val="32"/>
          <w:highlight w:val="none"/>
        </w:rPr>
      </w:pPr>
    </w:p>
    <w:p w14:paraId="53EBB61B">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本部分由投标人使用电子标书制作软件编制并生成报价信封。报价信封的编制要求详见第二篇投标人须知第17.6.3项。由投标人按格式要求进行电子签名。</w:t>
      </w:r>
    </w:p>
    <w:p w14:paraId="69D96BFC">
      <w:pPr>
        <w:autoSpaceDE w:val="0"/>
        <w:autoSpaceDN w:val="0"/>
        <w:adjustRightInd w:val="0"/>
        <w:jc w:val="left"/>
        <w:rPr>
          <w:rFonts w:hint="eastAsia" w:ascii="宋体" w:hAnsi="宋体" w:eastAsia="宋体" w:cs="宋体"/>
          <w:color w:val="auto"/>
          <w:kern w:val="0"/>
          <w:sz w:val="24"/>
          <w:szCs w:val="24"/>
          <w:highlight w:val="none"/>
        </w:rPr>
      </w:pPr>
    </w:p>
    <w:p w14:paraId="3A3AAFA5">
      <w:pPr>
        <w:keepNext w:val="0"/>
        <w:keepLines w:val="0"/>
        <w:pageBreakBefore/>
        <w:widowControl w:val="0"/>
        <w:tabs>
          <w:tab w:val="left" w:pos="1080"/>
        </w:tabs>
        <w:kinsoku/>
        <w:wordWrap/>
        <w:overflowPunct/>
        <w:topLinePunct w:val="0"/>
        <w:autoSpaceDE w:val="0"/>
        <w:autoSpaceDN w:val="0"/>
        <w:bidi w:val="0"/>
        <w:adjustRightInd w:val="0"/>
        <w:snapToGrid/>
        <w:spacing w:line="360" w:lineRule="auto"/>
        <w:jc w:val="left"/>
        <w:textAlignment w:val="auto"/>
        <w:outlineLvl w:val="0"/>
        <w:rPr>
          <w:rFonts w:hint="eastAsia" w:ascii="宋体" w:hAnsi="宋体" w:eastAsia="宋体" w:cs="宋体"/>
          <w:b/>
          <w:bCs/>
          <w:color w:val="auto"/>
          <w:kern w:val="44"/>
          <w:sz w:val="32"/>
          <w:szCs w:val="32"/>
          <w:highlight w:val="none"/>
          <w:lang w:val="zh-CN"/>
        </w:rPr>
      </w:pPr>
      <w:bookmarkStart w:id="1010" w:name="_Toc21059"/>
      <w:bookmarkStart w:id="1011" w:name="_Toc30367"/>
      <w:bookmarkStart w:id="1012" w:name="_Toc4870"/>
      <w:bookmarkStart w:id="1013" w:name="_Toc22667"/>
      <w:bookmarkStart w:id="1014" w:name="_Toc14977"/>
      <w:bookmarkStart w:id="1015" w:name="_Toc142508390"/>
      <w:bookmarkStart w:id="1016" w:name="_Toc521918141"/>
      <w:bookmarkStart w:id="1017" w:name="_Toc22601_WPSOffice_Level1"/>
      <w:bookmarkStart w:id="1018" w:name="_Toc522047402"/>
      <w:r>
        <w:rPr>
          <w:rFonts w:hint="eastAsia" w:ascii="宋体" w:hAnsi="宋体" w:eastAsia="宋体" w:cs="宋体"/>
          <w:b/>
          <w:bCs/>
          <w:color w:val="auto"/>
          <w:kern w:val="44"/>
          <w:sz w:val="32"/>
          <w:szCs w:val="32"/>
          <w:highlight w:val="none"/>
          <w:lang w:val="zh-CN"/>
        </w:rPr>
        <w:t>附件一：评标工作大纲</w:t>
      </w:r>
      <w:bookmarkEnd w:id="1010"/>
      <w:bookmarkEnd w:id="1011"/>
      <w:bookmarkEnd w:id="1012"/>
      <w:bookmarkEnd w:id="1013"/>
      <w:bookmarkEnd w:id="1014"/>
      <w:bookmarkEnd w:id="1015"/>
    </w:p>
    <w:p w14:paraId="7BA1CC76">
      <w:pPr>
        <w:autoSpaceDE w:val="0"/>
        <w:autoSpaceDN w:val="0"/>
        <w:adjustRightInd w:val="0"/>
        <w:spacing w:line="400" w:lineRule="atLeast"/>
        <w:jc w:val="center"/>
        <w:rPr>
          <w:rFonts w:hint="eastAsia" w:ascii="宋体" w:hAnsi="宋体" w:eastAsia="宋体" w:cs="宋体"/>
          <w:b/>
          <w:bCs/>
          <w:color w:val="auto"/>
          <w:szCs w:val="21"/>
          <w:highlight w:val="none"/>
        </w:rPr>
      </w:pPr>
    </w:p>
    <w:p w14:paraId="2D7D02A3">
      <w:pPr>
        <w:autoSpaceDE w:val="0"/>
        <w:autoSpaceDN w:val="0"/>
        <w:adjustRightInd w:val="0"/>
        <w:spacing w:line="400" w:lineRule="atLeast"/>
        <w:jc w:val="center"/>
        <w:rPr>
          <w:rFonts w:hint="eastAsia" w:ascii="宋体" w:hAnsi="宋体" w:eastAsia="宋体" w:cs="宋体"/>
          <w:b/>
          <w:bCs/>
          <w:color w:val="auto"/>
          <w:szCs w:val="21"/>
          <w:highlight w:val="none"/>
        </w:rPr>
      </w:pPr>
    </w:p>
    <w:p w14:paraId="5BE329A9">
      <w:pPr>
        <w:autoSpaceDE w:val="0"/>
        <w:autoSpaceDN w:val="0"/>
        <w:adjustRightInd w:val="0"/>
        <w:spacing w:line="400" w:lineRule="atLeast"/>
        <w:jc w:val="center"/>
        <w:rPr>
          <w:rFonts w:hint="eastAsia" w:ascii="宋体" w:hAnsi="宋体" w:eastAsia="宋体" w:cs="宋体"/>
          <w:b/>
          <w:bCs/>
          <w:color w:val="auto"/>
          <w:szCs w:val="21"/>
          <w:highlight w:val="none"/>
        </w:rPr>
      </w:pPr>
    </w:p>
    <w:p w14:paraId="5CFBD2E8">
      <w:pPr>
        <w:autoSpaceDE w:val="0"/>
        <w:autoSpaceDN w:val="0"/>
        <w:adjustRightInd w:val="0"/>
        <w:spacing w:line="400" w:lineRule="atLeast"/>
        <w:jc w:val="center"/>
        <w:rPr>
          <w:rFonts w:hint="eastAsia" w:ascii="宋体" w:hAnsi="宋体" w:eastAsia="宋体" w:cs="宋体"/>
          <w:b/>
          <w:bCs/>
          <w:color w:val="auto"/>
          <w:szCs w:val="21"/>
          <w:highlight w:val="none"/>
        </w:rPr>
      </w:pPr>
    </w:p>
    <w:p w14:paraId="1AF129DF">
      <w:pPr>
        <w:autoSpaceDE w:val="0"/>
        <w:autoSpaceDN w:val="0"/>
        <w:adjustRightInd w:val="0"/>
        <w:spacing w:line="360" w:lineRule="auto"/>
        <w:jc w:val="center"/>
        <w:rPr>
          <w:rFonts w:hint="eastAsia" w:ascii="宋体" w:hAnsi="宋体" w:eastAsia="宋体" w:cs="宋体"/>
          <w:b/>
          <w:bCs/>
          <w:color w:val="auto"/>
          <w:sz w:val="36"/>
          <w:szCs w:val="44"/>
          <w:highlight w:val="none"/>
          <w:lang w:eastAsia="zh-CN"/>
        </w:rPr>
      </w:pPr>
      <w:r>
        <w:rPr>
          <w:rFonts w:hint="eastAsia" w:ascii="宋体" w:hAnsi="宋体" w:eastAsia="宋体" w:cs="宋体"/>
          <w:b/>
          <w:bCs/>
          <w:color w:val="auto"/>
          <w:sz w:val="36"/>
          <w:szCs w:val="44"/>
          <w:highlight w:val="none"/>
          <w:lang w:eastAsia="zh-CN"/>
        </w:rPr>
        <w:t>东莞市置拓投资有限公司水业大厦2026-2027年度物业管理服务采购项目</w:t>
      </w:r>
    </w:p>
    <w:p w14:paraId="31279907">
      <w:pPr>
        <w:autoSpaceDE w:val="0"/>
        <w:autoSpaceDN w:val="0"/>
        <w:adjustRightInd w:val="0"/>
        <w:spacing w:line="360" w:lineRule="auto"/>
        <w:jc w:val="center"/>
        <w:rPr>
          <w:rFonts w:hint="eastAsia" w:ascii="宋体" w:hAnsi="宋体" w:eastAsia="宋体" w:cs="宋体"/>
          <w:b/>
          <w:bCs/>
          <w:color w:val="auto"/>
          <w:sz w:val="36"/>
          <w:szCs w:val="36"/>
          <w:highlight w:val="none"/>
        </w:rPr>
      </w:pPr>
      <w:bookmarkStart w:id="1019" w:name="_Toc14752_WPSOffice_Level1"/>
      <w:r>
        <w:rPr>
          <w:rFonts w:hint="eastAsia" w:ascii="宋体" w:hAnsi="宋体" w:eastAsia="宋体" w:cs="宋体"/>
          <w:b/>
          <w:bCs/>
          <w:color w:val="auto"/>
          <w:sz w:val="36"/>
          <w:szCs w:val="36"/>
          <w:highlight w:val="none"/>
          <w:lang w:val="zh-CN"/>
        </w:rPr>
        <w:t>（招标编号：                  ）</w:t>
      </w:r>
      <w:bookmarkEnd w:id="1019"/>
    </w:p>
    <w:p w14:paraId="16773C23">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53B8C257">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3129F34F">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367439D9">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1EA6EFC5">
      <w:pPr>
        <w:autoSpaceDE w:val="0"/>
        <w:autoSpaceDN w:val="0"/>
        <w:adjustRightInd w:val="0"/>
        <w:spacing w:line="400" w:lineRule="atLeast"/>
        <w:jc w:val="center"/>
        <w:rPr>
          <w:rFonts w:hint="eastAsia" w:ascii="宋体" w:hAnsi="宋体" w:eastAsia="宋体" w:cs="宋体"/>
          <w:b/>
          <w:bCs/>
          <w:color w:val="auto"/>
          <w:sz w:val="72"/>
          <w:szCs w:val="72"/>
          <w:highlight w:val="none"/>
          <w:lang w:val="zh-CN"/>
        </w:rPr>
      </w:pPr>
      <w:bookmarkStart w:id="1020" w:name="_Toc18947_WPSOffice_Level2"/>
      <w:r>
        <w:rPr>
          <w:rFonts w:hint="eastAsia" w:ascii="宋体" w:hAnsi="宋体" w:eastAsia="宋体" w:cs="宋体"/>
          <w:b/>
          <w:bCs/>
          <w:color w:val="auto"/>
          <w:sz w:val="72"/>
          <w:szCs w:val="72"/>
          <w:highlight w:val="none"/>
          <w:lang w:val="zh-CN"/>
        </w:rPr>
        <w:t>评标工作大纲</w:t>
      </w:r>
      <w:bookmarkEnd w:id="1020"/>
    </w:p>
    <w:p w14:paraId="4909C8BE">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381DE184">
      <w:pPr>
        <w:autoSpaceDE w:val="0"/>
        <w:autoSpaceDN w:val="0"/>
        <w:adjustRightInd w:val="0"/>
        <w:spacing w:line="400" w:lineRule="atLeast"/>
        <w:rPr>
          <w:rFonts w:hint="eastAsia" w:ascii="宋体" w:hAnsi="宋体" w:eastAsia="宋体" w:cs="宋体"/>
          <w:b/>
          <w:bCs/>
          <w:color w:val="auto"/>
          <w:sz w:val="36"/>
          <w:szCs w:val="36"/>
          <w:highlight w:val="none"/>
        </w:rPr>
      </w:pPr>
    </w:p>
    <w:p w14:paraId="32805783">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67750A12">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241202CF">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608D491C">
      <w:pPr>
        <w:autoSpaceDE w:val="0"/>
        <w:autoSpaceDN w:val="0"/>
        <w:adjustRightInd w:val="0"/>
        <w:spacing w:line="400" w:lineRule="atLeast"/>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zh-CN"/>
        </w:rPr>
        <w:t>三方诚信招标有限公司</w:t>
      </w:r>
    </w:p>
    <w:p w14:paraId="4B195933">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12DDB424">
      <w:pPr>
        <w:autoSpaceDE w:val="0"/>
        <w:autoSpaceDN w:val="0"/>
        <w:adjustRightInd w:val="0"/>
        <w:spacing w:line="400" w:lineRule="atLeast"/>
        <w:jc w:val="center"/>
        <w:rPr>
          <w:rFonts w:hint="eastAsia"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1021" w:name="_Toc32395_WPSOffice_Level1"/>
      <w:r>
        <w:rPr>
          <w:rFonts w:hint="eastAsia" w:ascii="宋体" w:hAnsi="宋体" w:eastAsia="宋体" w:cs="宋体"/>
          <w:b/>
          <w:bCs/>
          <w:color w:val="auto"/>
          <w:sz w:val="36"/>
          <w:szCs w:val="36"/>
          <w:highlight w:val="none"/>
          <w:lang w:val="zh-CN"/>
        </w:rPr>
        <w:t>目录</w:t>
      </w:r>
      <w:bookmarkEnd w:id="1021"/>
    </w:p>
    <w:p w14:paraId="7FF66C0A">
      <w:pPr>
        <w:autoSpaceDE w:val="0"/>
        <w:autoSpaceDN w:val="0"/>
        <w:adjustRightInd w:val="0"/>
        <w:spacing w:line="400" w:lineRule="atLeast"/>
        <w:jc w:val="center"/>
        <w:rPr>
          <w:rFonts w:hint="eastAsia" w:ascii="宋体" w:hAnsi="宋体" w:eastAsia="宋体" w:cs="宋体"/>
          <w:color w:val="auto"/>
          <w:sz w:val="44"/>
          <w:szCs w:val="44"/>
          <w:highlight w:val="none"/>
        </w:rPr>
      </w:pPr>
    </w:p>
    <w:p w14:paraId="120FC53B">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1022"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1022"/>
    </w:p>
    <w:p w14:paraId="602C6F6A">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1023"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1023"/>
    </w:p>
    <w:p w14:paraId="6A4AC270">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1024"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1024"/>
    </w:p>
    <w:p w14:paraId="23DD5E48">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1025" w:name="_Toc1206_WPSOffice_Level1"/>
      <w:r>
        <w:rPr>
          <w:rFonts w:hint="eastAsia" w:ascii="宋体" w:hAnsi="宋体" w:eastAsia="宋体" w:cs="宋体"/>
          <w:color w:val="auto"/>
          <w:szCs w:val="30"/>
          <w:highlight w:val="none"/>
        </w:rPr>
        <w:t>四、 比较和评价</w:t>
      </w:r>
      <w:bookmarkEnd w:id="1025"/>
    </w:p>
    <w:p w14:paraId="37D3538D">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1026"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1026"/>
    </w:p>
    <w:p w14:paraId="523E24D6">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1027"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1027"/>
    </w:p>
    <w:p w14:paraId="6314402A">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1028"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1028"/>
    </w:p>
    <w:p w14:paraId="64BFF551">
      <w:pPr>
        <w:tabs>
          <w:tab w:val="right" w:pos="7320"/>
        </w:tabs>
        <w:autoSpaceDE w:val="0"/>
        <w:autoSpaceDN w:val="0"/>
        <w:adjustRightInd w:val="0"/>
        <w:spacing w:line="360" w:lineRule="auto"/>
        <w:ind w:left="720" w:hanging="720"/>
        <w:rPr>
          <w:rFonts w:hint="eastAsia" w:ascii="宋体" w:hAnsi="宋体" w:eastAsia="宋体" w:cs="宋体"/>
          <w:color w:val="auto"/>
          <w:szCs w:val="30"/>
          <w:highlight w:val="none"/>
        </w:rPr>
      </w:pPr>
    </w:p>
    <w:p w14:paraId="37059D4D">
      <w:pPr>
        <w:tabs>
          <w:tab w:val="right" w:pos="7320"/>
        </w:tabs>
        <w:autoSpaceDE w:val="0"/>
        <w:autoSpaceDN w:val="0"/>
        <w:adjustRightInd w:val="0"/>
        <w:spacing w:line="360" w:lineRule="auto"/>
        <w:ind w:left="720" w:hanging="720"/>
        <w:rPr>
          <w:rFonts w:hint="eastAsia" w:ascii="宋体" w:hAnsi="宋体" w:eastAsia="宋体" w:cs="宋体"/>
          <w:color w:val="auto"/>
          <w:szCs w:val="30"/>
          <w:highlight w:val="none"/>
        </w:rPr>
      </w:pPr>
    </w:p>
    <w:p w14:paraId="59CF111B">
      <w:pPr>
        <w:tabs>
          <w:tab w:val="left" w:pos="1080"/>
          <w:tab w:val="right" w:pos="7320"/>
        </w:tabs>
        <w:autoSpaceDE w:val="0"/>
        <w:autoSpaceDN w:val="0"/>
        <w:adjustRightInd w:val="0"/>
        <w:spacing w:line="400" w:lineRule="atLeast"/>
        <w:ind w:left="720" w:hanging="720"/>
        <w:rPr>
          <w:rFonts w:hint="eastAsia" w:ascii="宋体" w:hAnsi="宋体" w:eastAsia="宋体" w:cs="宋体"/>
          <w:color w:val="auto"/>
          <w:szCs w:val="30"/>
          <w:highlight w:val="none"/>
        </w:rPr>
      </w:pPr>
    </w:p>
    <w:p w14:paraId="70BEEEFC">
      <w:pPr>
        <w:tabs>
          <w:tab w:val="left" w:pos="1140"/>
        </w:tabs>
        <w:autoSpaceDE w:val="0"/>
        <w:autoSpaceDN w:val="0"/>
        <w:adjustRightInd w:val="0"/>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1029"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1029"/>
    </w:p>
    <w:p w14:paraId="6A3D33D4">
      <w:pPr>
        <w:tabs>
          <w:tab w:val="left" w:pos="567"/>
          <w:tab w:val="left" w:pos="600"/>
        </w:tabs>
        <w:autoSpaceDE w:val="0"/>
        <w:autoSpaceDN w:val="0"/>
        <w:adjustRightInd w:val="0"/>
        <w:spacing w:line="360" w:lineRule="auto"/>
        <w:ind w:left="600" w:hanging="600"/>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1、一般规定</w:t>
      </w:r>
    </w:p>
    <w:p w14:paraId="53513D61">
      <w:pPr>
        <w:autoSpaceDE w:val="0"/>
        <w:autoSpaceDN w:val="0"/>
        <w:adjustRightInd w:val="0"/>
        <w:spacing w:line="360" w:lineRule="auto"/>
        <w:ind w:left="567" w:hanging="567"/>
        <w:rPr>
          <w:rFonts w:hint="eastAsia"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lang w:eastAsia="zh-CN"/>
        </w:rPr>
        <w:t>东莞市置拓投资有限公司水业大厦2026-2027年度物业管理服务采购项目</w:t>
      </w:r>
      <w:r>
        <w:rPr>
          <w:rFonts w:hint="eastAsia" w:ascii="宋体" w:hAnsi="宋体" w:eastAsia="宋体" w:cs="宋体"/>
          <w:color w:val="auto"/>
          <w:szCs w:val="21"/>
          <w:highlight w:val="none"/>
          <w:lang w:val="zh-CN"/>
        </w:rPr>
        <w:t xml:space="preserve">(招标编号：                  </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14:paraId="07D4E26F">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p>
    <w:p w14:paraId="68E7BE91">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w:t>
      </w:r>
      <w:r>
        <w:rPr>
          <w:rFonts w:hint="eastAsia" w:ascii="宋体" w:hAnsi="宋体" w:eastAsia="宋体" w:cs="宋体"/>
          <w:color w:val="auto"/>
          <w:kern w:val="0"/>
          <w:szCs w:val="32"/>
          <w:highlight w:val="none"/>
          <w:lang w:eastAsia="zh-CN"/>
        </w:rPr>
        <w:t>三方诚信招标有限公司</w:t>
      </w:r>
      <w:r>
        <w:rPr>
          <w:rFonts w:hint="eastAsia" w:ascii="宋体" w:hAnsi="宋体" w:eastAsia="宋体" w:cs="宋体"/>
          <w:color w:val="auto"/>
          <w:kern w:val="0"/>
          <w:szCs w:val="32"/>
          <w:highlight w:val="none"/>
        </w:rPr>
        <w:t>）组</w:t>
      </w:r>
      <w:r>
        <w:rPr>
          <w:rFonts w:hint="eastAsia" w:ascii="宋体" w:hAnsi="宋体" w:eastAsia="宋体" w:cs="宋体"/>
          <w:color w:val="auto"/>
          <w:szCs w:val="24"/>
          <w:highlight w:val="none"/>
          <w:lang w:val="zh-CN"/>
        </w:rPr>
        <w:t>织评标工作，全过程接受招标人及相关部门的监督、管理和指导。</w:t>
      </w:r>
    </w:p>
    <w:p w14:paraId="3FC7EE74">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14:paraId="41604BB6">
      <w:pPr>
        <w:numPr>
          <w:ilvl w:val="1"/>
          <w:numId w:val="41"/>
        </w:numPr>
        <w:autoSpaceDE w:val="0"/>
        <w:autoSpaceDN w:val="0"/>
        <w:adjustRightInd w:val="0"/>
        <w:spacing w:line="360" w:lineRule="auto"/>
        <w:ind w:left="565" w:hanging="564" w:hangingChars="269"/>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14:paraId="6ECC16C3">
      <w:pPr>
        <w:autoSpaceDE w:val="0"/>
        <w:autoSpaceDN w:val="0"/>
        <w:adjustRightInd w:val="0"/>
        <w:spacing w:line="360" w:lineRule="auto"/>
        <w:rPr>
          <w:rFonts w:hint="eastAsia" w:ascii="宋体" w:hAnsi="宋体" w:eastAsia="宋体" w:cs="宋体"/>
          <w:color w:val="auto"/>
          <w:sz w:val="24"/>
          <w:szCs w:val="24"/>
          <w:highlight w:val="none"/>
          <w:lang w:val="zh-CN"/>
        </w:rPr>
      </w:pPr>
    </w:p>
    <w:p w14:paraId="707DE6D1">
      <w:pPr>
        <w:tabs>
          <w:tab w:val="left" w:pos="360"/>
          <w:tab w:val="left" w:pos="600"/>
        </w:tabs>
        <w:autoSpaceDE w:val="0"/>
        <w:autoSpaceDN w:val="0"/>
        <w:adjustRightInd w:val="0"/>
        <w:spacing w:line="360" w:lineRule="auto"/>
        <w:ind w:left="600" w:hanging="600"/>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p>
    <w:p w14:paraId="5ADE34F8">
      <w:pPr>
        <w:tabs>
          <w:tab w:val="left" w:pos="567"/>
          <w:tab w:val="left" w:pos="1145"/>
        </w:tabs>
        <w:autoSpaceDE w:val="0"/>
        <w:autoSpaceDN w:val="0"/>
        <w:adjustRightInd w:val="0"/>
        <w:spacing w:line="360" w:lineRule="auto"/>
        <w:ind w:left="600" w:hanging="6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hint="eastAsia" w:ascii="宋体" w:hAnsi="宋体" w:eastAsia="宋体" w:cs="宋体"/>
          <w:b/>
          <w:bCs/>
          <w:color w:val="auto"/>
          <w:kern w:val="0"/>
          <w:szCs w:val="24"/>
          <w:highlight w:val="none"/>
          <w:lang w:val="en-US" w:eastAsia="zh-CN"/>
        </w:rPr>
        <w:t>7</w:t>
      </w:r>
      <w:r>
        <w:rPr>
          <w:rFonts w:hint="eastAsia" w:ascii="宋体" w:hAnsi="宋体" w:eastAsia="宋体" w:cs="宋体"/>
          <w:b/>
          <w:bCs/>
          <w:color w:val="auto"/>
          <w:kern w:val="0"/>
          <w:szCs w:val="24"/>
          <w:highlight w:val="none"/>
        </w:rPr>
        <w:t>人以上（含</w:t>
      </w:r>
      <w:r>
        <w:rPr>
          <w:rFonts w:hint="eastAsia" w:ascii="宋体" w:hAnsi="宋体" w:eastAsia="宋体" w:cs="宋体"/>
          <w:b/>
          <w:bCs/>
          <w:color w:val="auto"/>
          <w:kern w:val="0"/>
          <w:szCs w:val="24"/>
          <w:highlight w:val="none"/>
          <w:lang w:val="en-US" w:eastAsia="zh-CN"/>
        </w:rPr>
        <w:t>7</w:t>
      </w:r>
      <w:r>
        <w:rPr>
          <w:rFonts w:hint="eastAsia" w:ascii="宋体" w:hAnsi="宋体" w:eastAsia="宋体" w:cs="宋体"/>
          <w:b/>
          <w:bCs/>
          <w:color w:val="auto"/>
          <w:kern w:val="0"/>
          <w:szCs w:val="24"/>
          <w:highlight w:val="none"/>
        </w:rPr>
        <w:t>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14:paraId="3259EA2A">
      <w:pPr>
        <w:tabs>
          <w:tab w:val="left" w:pos="567"/>
          <w:tab w:val="left" w:pos="1145"/>
        </w:tabs>
        <w:autoSpaceDE w:val="0"/>
        <w:autoSpaceDN w:val="0"/>
        <w:adjustRightInd w:val="0"/>
        <w:spacing w:line="360" w:lineRule="auto"/>
        <w:ind w:left="600" w:hanging="6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14:paraId="5707C380">
      <w:pPr>
        <w:autoSpaceDE w:val="0"/>
        <w:autoSpaceDN w:val="0"/>
        <w:adjustRightInd w:val="0"/>
        <w:spacing w:line="360" w:lineRule="auto"/>
        <w:ind w:left="600" w:hanging="6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p>
    <w:p w14:paraId="6F97E91A">
      <w:pPr>
        <w:autoSpaceDE w:val="0"/>
        <w:autoSpaceDN w:val="0"/>
        <w:adjustRightInd w:val="0"/>
        <w:spacing w:line="360" w:lineRule="auto"/>
        <w:ind w:left="600" w:hanging="6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6C4124DE">
      <w:pPr>
        <w:autoSpaceDE w:val="0"/>
        <w:autoSpaceDN w:val="0"/>
        <w:adjustRightInd w:val="0"/>
        <w:spacing w:line="360" w:lineRule="auto"/>
        <w:rPr>
          <w:rFonts w:hint="eastAsia" w:ascii="宋体" w:hAnsi="宋体" w:eastAsia="宋体" w:cs="宋体"/>
          <w:color w:val="auto"/>
          <w:sz w:val="24"/>
          <w:szCs w:val="24"/>
          <w:highlight w:val="none"/>
          <w:lang w:val="zh-CN"/>
        </w:rPr>
      </w:pPr>
    </w:p>
    <w:p w14:paraId="57D10956">
      <w:pPr>
        <w:autoSpaceDE w:val="0"/>
        <w:autoSpaceDN w:val="0"/>
        <w:adjustRightInd w:val="0"/>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p>
    <w:p w14:paraId="12E18972">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14:paraId="57B2D17B">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14:paraId="32FC2F0A">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14:paraId="5D62D601">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14:paraId="2120F6BB">
      <w:pPr>
        <w:autoSpaceDE w:val="0"/>
        <w:autoSpaceDN w:val="0"/>
        <w:adjustRightInd w:val="0"/>
        <w:spacing w:line="360" w:lineRule="auto"/>
        <w:jc w:val="left"/>
        <w:rPr>
          <w:rFonts w:hint="eastAsia" w:ascii="宋体" w:hAnsi="宋体" w:eastAsia="宋体" w:cs="宋体"/>
          <w:color w:val="auto"/>
          <w:kern w:val="0"/>
          <w:sz w:val="24"/>
          <w:szCs w:val="24"/>
          <w:highlight w:val="none"/>
          <w:lang w:val="zh-CN"/>
        </w:rPr>
      </w:pPr>
    </w:p>
    <w:p w14:paraId="520DA551">
      <w:pPr>
        <w:tabs>
          <w:tab w:val="left" w:pos="720"/>
        </w:tabs>
        <w:autoSpaceDE w:val="0"/>
        <w:autoSpaceDN w:val="0"/>
        <w:adjustRightInd w:val="0"/>
        <w:spacing w:line="360" w:lineRule="auto"/>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4、评标委员会义务</w:t>
      </w:r>
    </w:p>
    <w:p w14:paraId="5907ACB2">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14:paraId="1D1462FC">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14:paraId="2BB19743">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14:paraId="37D5D945">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14:paraId="1FC41F0A">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14:paraId="051AEEB3">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14:paraId="683FA41A">
      <w:pPr>
        <w:tabs>
          <w:tab w:val="left" w:pos="720"/>
        </w:tabs>
        <w:autoSpaceDE w:val="0"/>
        <w:autoSpaceDN w:val="0"/>
        <w:adjustRightInd w:val="0"/>
        <w:spacing w:line="360" w:lineRule="auto"/>
        <w:rPr>
          <w:rFonts w:hint="eastAsia" w:ascii="宋体" w:hAnsi="宋体" w:eastAsia="宋体" w:cs="宋体"/>
          <w:color w:val="auto"/>
          <w:sz w:val="24"/>
          <w:szCs w:val="24"/>
          <w:highlight w:val="none"/>
          <w:lang w:val="zh-CN"/>
        </w:rPr>
      </w:pPr>
    </w:p>
    <w:p w14:paraId="55856C32">
      <w:pPr>
        <w:tabs>
          <w:tab w:val="left" w:pos="1547"/>
        </w:tabs>
        <w:autoSpaceDE w:val="0"/>
        <w:autoSpaceDN w:val="0"/>
        <w:adjustRightInd w:val="0"/>
        <w:spacing w:line="360" w:lineRule="auto"/>
        <w:rPr>
          <w:rFonts w:hint="eastAsia" w:ascii="宋体" w:hAnsi="宋体" w:eastAsia="宋体" w:cs="宋体"/>
          <w:b/>
          <w:color w:val="auto"/>
          <w:szCs w:val="24"/>
          <w:highlight w:val="none"/>
          <w:lang w:val="zh-CN"/>
        </w:rPr>
      </w:pPr>
      <w:r>
        <w:rPr>
          <w:rFonts w:hint="eastAsia" w:ascii="宋体" w:hAnsi="宋体" w:eastAsia="宋体" w:cs="宋体"/>
          <w:b/>
          <w:bCs/>
          <w:color w:val="auto"/>
          <w:szCs w:val="21"/>
          <w:highlight w:val="none"/>
          <w:lang w:val="zh-CN"/>
        </w:rPr>
        <w:t>5、评审程序</w:t>
      </w:r>
    </w:p>
    <w:p w14:paraId="20B20DB0">
      <w:pPr>
        <w:autoSpaceDE w:val="0"/>
        <w:autoSpaceDN w:val="0"/>
        <w:adjustRightInd w:val="0"/>
        <w:spacing w:line="360" w:lineRule="auto"/>
        <w:ind w:left="567" w:hanging="567"/>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公开招标：</w:t>
      </w:r>
    </w:p>
    <w:p w14:paraId="7813DA6B">
      <w:pPr>
        <w:autoSpaceDE w:val="0"/>
        <w:autoSpaceDN w:val="0"/>
        <w:adjustRightInd w:val="0"/>
        <w:spacing w:line="360" w:lineRule="auto"/>
        <w:ind w:left="567" w:hanging="567"/>
        <w:rPr>
          <w:rFonts w:hint="eastAsia" w:ascii="宋体" w:hAnsi="宋体" w:eastAsia="宋体" w:cs="宋体"/>
          <w:bCs/>
          <w:color w:val="auto"/>
          <w:szCs w:val="24"/>
          <w:highlight w:val="none"/>
          <w:lang w:val="zh-CN"/>
        </w:rPr>
      </w:pPr>
      <w:r>
        <w:rPr>
          <w:rFonts w:hint="eastAsia" w:ascii="宋体" w:hAnsi="宋体" w:eastAsia="宋体" w:cs="宋体"/>
          <w:color w:val="auto"/>
          <w:szCs w:val="24"/>
          <w:highlight w:val="none"/>
          <w:lang w:val="zh-CN"/>
        </w:rPr>
        <w:t>5.1</w:t>
      </w:r>
      <w:r>
        <w:rPr>
          <w:rFonts w:hint="eastAsia" w:ascii="宋体" w:hAnsi="宋体" w:eastAsia="宋体" w:cs="宋体"/>
          <w:color w:val="auto"/>
          <w:szCs w:val="24"/>
          <w:highlight w:val="none"/>
          <w:lang w:val="zh-CN"/>
        </w:rPr>
        <w:tab/>
      </w:r>
      <w:r>
        <w:rPr>
          <w:rFonts w:hint="eastAsia" w:ascii="宋体" w:hAnsi="宋体" w:eastAsia="宋体" w:cs="宋体"/>
          <w:bCs/>
          <w:color w:val="auto"/>
          <w:szCs w:val="24"/>
          <w:highlight w:val="none"/>
          <w:lang w:val="zh-CN"/>
        </w:rPr>
        <w:t>评审首先由评标委员会对投标人的</w:t>
      </w:r>
      <w:r>
        <w:rPr>
          <w:rFonts w:hint="eastAsia" w:ascii="宋体" w:hAnsi="宋体" w:eastAsia="宋体" w:cs="宋体"/>
          <w:color w:val="auto"/>
          <w:szCs w:val="24"/>
          <w:highlight w:val="none"/>
          <w:lang w:val="zh-CN"/>
        </w:rPr>
        <w:t>投标</w:t>
      </w:r>
      <w:r>
        <w:rPr>
          <w:rFonts w:hint="eastAsia" w:ascii="宋体" w:hAnsi="宋体" w:eastAsia="宋体" w:cs="宋体"/>
          <w:bCs/>
          <w:color w:val="auto"/>
          <w:szCs w:val="24"/>
          <w:highlight w:val="none"/>
          <w:lang w:val="zh-CN"/>
        </w:rPr>
        <w:t>文件做初审，对未能通过初审的投标文件不再进入下一阶段评审。</w:t>
      </w:r>
    </w:p>
    <w:p w14:paraId="43C60ED9">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5.2</w:t>
      </w:r>
      <w:r>
        <w:rPr>
          <w:rFonts w:hint="eastAsia" w:ascii="宋体" w:hAnsi="宋体" w:eastAsia="宋体" w:cs="宋体"/>
          <w:color w:val="auto"/>
          <w:szCs w:val="24"/>
          <w:highlight w:val="none"/>
          <w:lang w:val="zh-CN"/>
        </w:rPr>
        <w:tab/>
      </w:r>
      <w:r>
        <w:rPr>
          <w:rFonts w:hint="eastAsia" w:ascii="宋体" w:hAnsi="宋体" w:eastAsia="宋体" w:cs="宋体"/>
          <w:bCs/>
          <w:color w:val="auto"/>
          <w:szCs w:val="24"/>
          <w:highlight w:val="none"/>
          <w:lang w:val="zh-CN"/>
        </w:rPr>
        <w:t>评标</w:t>
      </w:r>
      <w:r>
        <w:rPr>
          <w:rFonts w:hint="eastAsia" w:ascii="宋体" w:hAnsi="宋体" w:eastAsia="宋体" w:cs="宋体"/>
          <w:color w:val="auto"/>
          <w:szCs w:val="24"/>
          <w:highlight w:val="none"/>
          <w:lang w:val="zh-CN"/>
        </w:rPr>
        <w:t>委员会对通过初审的投标人的投标文件进行详细的比较和评价。如需要，进行必要的澄清工作。</w:t>
      </w:r>
    </w:p>
    <w:p w14:paraId="0C5B7199">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5.3  依据评分标准以及各项权重，各位评标委员会成员单独就每个投标人的商务状况、技术状况进行比较和评价，分别评出其商务得分和技术得分。</w:t>
      </w:r>
    </w:p>
    <w:p w14:paraId="624CD46E">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5.4</w:t>
      </w:r>
      <w:r>
        <w:rPr>
          <w:rFonts w:hint="eastAsia" w:ascii="宋体" w:hAnsi="宋体" w:eastAsia="宋体" w:cs="宋体"/>
          <w:color w:val="auto"/>
          <w:szCs w:val="24"/>
          <w:highlight w:val="none"/>
          <w:lang w:val="zh-CN"/>
        </w:rPr>
        <w:tab/>
      </w:r>
      <w:r>
        <w:rPr>
          <w:rFonts w:hint="eastAsia" w:ascii="宋体" w:hAnsi="宋体" w:eastAsia="宋体" w:cs="宋体"/>
          <w:color w:val="auto"/>
          <w:kern w:val="0"/>
          <w:szCs w:val="24"/>
          <w:highlight w:val="none"/>
          <w:lang w:val="zh-CN"/>
        </w:rPr>
        <w:t>对有效投标人的投标报价进行审查和价格评分。</w:t>
      </w:r>
    </w:p>
    <w:p w14:paraId="3DD206E7">
      <w:pPr>
        <w:autoSpaceDE w:val="0"/>
        <w:autoSpaceDN w:val="0"/>
        <w:adjustRightInd w:val="0"/>
        <w:spacing w:line="360" w:lineRule="auto"/>
        <w:ind w:left="567" w:hanging="567"/>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5.5  将各</w:t>
      </w:r>
      <w:r>
        <w:rPr>
          <w:rFonts w:hint="eastAsia" w:ascii="宋体" w:hAnsi="宋体" w:eastAsia="宋体" w:cs="宋体"/>
          <w:color w:val="auto"/>
          <w:szCs w:val="24"/>
          <w:highlight w:val="none"/>
          <w:lang w:val="zh-CN"/>
        </w:rPr>
        <w:t>评委对</w:t>
      </w:r>
      <w:r>
        <w:rPr>
          <w:rFonts w:hint="eastAsia" w:ascii="宋体" w:hAnsi="宋体" w:eastAsia="宋体" w:cs="宋体"/>
          <w:color w:val="auto"/>
          <w:kern w:val="0"/>
          <w:szCs w:val="24"/>
          <w:highlight w:val="none"/>
          <w:lang w:val="zh-CN"/>
        </w:rPr>
        <w:t>投标人的技术打分的最终综合得分、商务打分的算术平均值和价格得分相加得出投标人的总分。</w:t>
      </w:r>
    </w:p>
    <w:p w14:paraId="3E740A89">
      <w:pPr>
        <w:autoSpaceDE w:val="0"/>
        <w:autoSpaceDN w:val="0"/>
        <w:adjustRightInd w:val="0"/>
        <w:spacing w:line="360" w:lineRule="auto"/>
        <w:ind w:left="567" w:hanging="567"/>
        <w:rPr>
          <w:rFonts w:hint="eastAsia" w:ascii="宋体" w:hAnsi="宋体" w:eastAsia="宋体" w:cs="宋体"/>
          <w:color w:val="auto"/>
          <w:kern w:val="0"/>
          <w:szCs w:val="21"/>
          <w:highlight w:val="none"/>
        </w:rPr>
      </w:pPr>
      <w:r>
        <w:rPr>
          <w:rFonts w:hint="eastAsia" w:ascii="宋体" w:hAnsi="宋体" w:eastAsia="宋体" w:cs="宋体"/>
          <w:bCs/>
          <w:color w:val="auto"/>
          <w:kern w:val="0"/>
          <w:szCs w:val="24"/>
          <w:highlight w:val="none"/>
        </w:rPr>
        <w:t xml:space="preserve">5.6  </w:t>
      </w:r>
      <w:r>
        <w:rPr>
          <w:rFonts w:hint="eastAsia" w:ascii="宋体" w:hAnsi="宋体" w:eastAsia="宋体" w:cs="宋体"/>
          <w:color w:val="auto"/>
          <w:kern w:val="0"/>
          <w:szCs w:val="21"/>
          <w:highlight w:val="none"/>
        </w:rPr>
        <w:t>评标委员会将向招标人推荐评标最后综合得分最高的前二名投标人为中标候选人，并标明排列顺序。</w:t>
      </w:r>
    </w:p>
    <w:p w14:paraId="71735A2A">
      <w:pPr>
        <w:autoSpaceDE w:val="0"/>
        <w:autoSpaceDN w:val="0"/>
        <w:adjustRightInd w:val="0"/>
        <w:spacing w:line="360" w:lineRule="auto"/>
        <w:ind w:left="525" w:hanging="525" w:hangingChars="250"/>
        <w:jc w:val="left"/>
        <w:rPr>
          <w:rFonts w:hint="eastAsia"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5.</w:t>
      </w:r>
      <w:r>
        <w:rPr>
          <w:rFonts w:hint="eastAsia" w:ascii="宋体" w:hAnsi="宋体" w:eastAsia="宋体" w:cs="宋体"/>
          <w:color w:val="auto"/>
          <w:szCs w:val="24"/>
          <w:highlight w:val="none"/>
          <w:lang w:val="zh-CN"/>
        </w:rPr>
        <w:t>7</w:t>
      </w:r>
      <w:r>
        <w:rPr>
          <w:rFonts w:hint="eastAsia" w:ascii="宋体" w:hAnsi="宋体" w:eastAsia="宋体" w:cs="宋体"/>
          <w:color w:val="auto"/>
          <w:szCs w:val="24"/>
          <w:highlight w:val="none"/>
          <w:lang w:val="zh-CN"/>
        </w:rPr>
        <w:tab/>
      </w:r>
      <w:r>
        <w:rPr>
          <w:rFonts w:hint="eastAsia" w:ascii="宋体" w:hAnsi="宋体" w:eastAsia="宋体" w:cs="宋体"/>
          <w:color w:val="auto"/>
          <w:kern w:val="0"/>
          <w:szCs w:val="24"/>
          <w:highlight w:val="none"/>
          <w:lang w:val="zh-CN"/>
        </w:rPr>
        <w:t>评标委员会</w:t>
      </w:r>
      <w:r>
        <w:rPr>
          <w:rFonts w:hint="eastAsia" w:ascii="宋体" w:hAnsi="宋体" w:eastAsia="宋体" w:cs="宋体"/>
          <w:color w:val="auto"/>
          <w:szCs w:val="24"/>
          <w:highlight w:val="none"/>
          <w:lang w:val="zh-CN"/>
        </w:rPr>
        <w:t>根据评审结果编写评标报告。</w:t>
      </w:r>
    </w:p>
    <w:p w14:paraId="22CFF6C3">
      <w:pPr>
        <w:autoSpaceDE w:val="0"/>
        <w:autoSpaceDN w:val="0"/>
        <w:adjustRightInd w:val="0"/>
        <w:spacing w:line="360" w:lineRule="auto"/>
        <w:ind w:left="525" w:hanging="525" w:hangingChars="250"/>
        <w:jc w:val="left"/>
        <w:rPr>
          <w:rFonts w:hint="eastAsia" w:ascii="宋体" w:hAnsi="宋体" w:eastAsia="宋体" w:cs="宋体"/>
          <w:color w:val="auto"/>
          <w:szCs w:val="24"/>
          <w:highlight w:val="none"/>
          <w:lang w:val="zh-CN"/>
        </w:rPr>
      </w:pPr>
    </w:p>
    <w:p w14:paraId="48FBC867">
      <w:pPr>
        <w:tabs>
          <w:tab w:val="left" w:pos="1140"/>
        </w:tabs>
        <w:autoSpaceDE w:val="0"/>
        <w:autoSpaceDN w:val="0"/>
        <w:adjustRightInd w:val="0"/>
        <w:spacing w:line="360" w:lineRule="auto"/>
        <w:jc w:val="center"/>
        <w:rPr>
          <w:rFonts w:hint="eastAsia" w:ascii="宋体" w:hAnsi="宋体" w:eastAsia="宋体" w:cs="宋体"/>
          <w:b/>
          <w:bCs/>
          <w:color w:val="auto"/>
          <w:sz w:val="28"/>
          <w:szCs w:val="28"/>
          <w:highlight w:val="none"/>
        </w:rPr>
      </w:pPr>
      <w:bookmarkStart w:id="1030" w:name="_Toc19435_WPSOffice_Level1"/>
      <w:r>
        <w:rPr>
          <w:rFonts w:hint="eastAsia" w:ascii="宋体" w:hAnsi="宋体" w:eastAsia="宋体" w:cs="宋体"/>
          <w:b/>
          <w:bCs/>
          <w:color w:val="auto"/>
          <w:sz w:val="28"/>
          <w:szCs w:val="28"/>
          <w:highlight w:val="none"/>
          <w:lang w:val="zh-CN"/>
        </w:rPr>
        <w:t>二、投标文件的初审</w:t>
      </w:r>
      <w:bookmarkEnd w:id="1030"/>
    </w:p>
    <w:p w14:paraId="327F8ABC">
      <w:pPr>
        <w:autoSpaceDE w:val="0"/>
        <w:autoSpaceDN w:val="0"/>
        <w:adjustRightInd w:val="0"/>
        <w:spacing w:line="360" w:lineRule="auto"/>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6、投标文件的初审分为资格性检查和符合性检查。</w:t>
      </w:r>
    </w:p>
    <w:p w14:paraId="32BFECA8">
      <w:pPr>
        <w:autoSpaceDE w:val="0"/>
        <w:autoSpaceDN w:val="0"/>
        <w:adjustRightInd w:val="0"/>
        <w:spacing w:line="360" w:lineRule="auto"/>
        <w:ind w:left="529"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545E7812">
      <w:pPr>
        <w:autoSpaceDE w:val="0"/>
        <w:autoSpaceDN w:val="0"/>
        <w:adjustRightInd w:val="0"/>
        <w:spacing w:line="360" w:lineRule="auto"/>
        <w:ind w:left="529"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14:paraId="2470BD2A">
      <w:pPr>
        <w:autoSpaceDE w:val="0"/>
        <w:autoSpaceDN w:val="0"/>
        <w:adjustRightInd w:val="0"/>
        <w:spacing w:line="360" w:lineRule="auto"/>
        <w:ind w:left="420" w:leftChars="200" w:firstLine="42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服务范围、质量，或指与招标文件有实质不一致，限制了合同项下委托人的权利和承包人的义务, 或对该重大偏离的修改对提交实质性响应投标的其他投标人将不公平。</w:t>
      </w:r>
    </w:p>
    <w:p w14:paraId="4D3A92E3">
      <w:pPr>
        <w:autoSpaceDE w:val="0"/>
        <w:autoSpaceDN w:val="0"/>
        <w:adjustRightInd w:val="0"/>
        <w:spacing w:line="360" w:lineRule="auto"/>
        <w:ind w:firstLine="840" w:firstLineChars="4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14:paraId="7967446D">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lang w:val="en-US" w:eastAsia="zh-CN"/>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14:paraId="45F22341">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7、投标文件出现下列情况之一的，被认定为无效投标：</w:t>
      </w:r>
    </w:p>
    <w:p w14:paraId="648ECDA4">
      <w:pPr>
        <w:autoSpaceDE w:val="0"/>
        <w:autoSpaceDN w:val="0"/>
        <w:adjustRightInd w:val="0"/>
        <w:spacing w:line="360" w:lineRule="auto"/>
        <w:outlineLvl w:val="9"/>
        <w:rPr>
          <w:rFonts w:hint="eastAsia" w:ascii="宋体" w:hAnsi="宋体" w:eastAsia="宋体" w:cs="宋体"/>
          <w:b/>
          <w:color w:val="auto"/>
          <w:szCs w:val="21"/>
          <w:highlight w:val="none"/>
          <w:lang w:val="zh-CN"/>
        </w:rPr>
      </w:pPr>
      <w:bookmarkStart w:id="1031" w:name="_Toc26899"/>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.1 上传的投标文件损坏或无法读取的；</w:t>
      </w:r>
      <w:bookmarkEnd w:id="1031"/>
    </w:p>
    <w:p w14:paraId="4153C798">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.2 经招标人确认，投标人在公共资源交易企业库填报的与本项目密切相关的信息与事实不相符的；</w:t>
      </w:r>
    </w:p>
    <w:p w14:paraId="51E8B292">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.3 投标文件中使用的本项目招标文件版本，与交易系统上发布的本项目招标文件的最新版本不一致的；</w:t>
      </w:r>
    </w:p>
    <w:p w14:paraId="141EAFCE">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4</w:t>
      </w:r>
      <w:r>
        <w:rPr>
          <w:rFonts w:hint="eastAsia" w:ascii="宋体" w:hAnsi="宋体" w:eastAsia="宋体" w:cs="宋体"/>
          <w:b/>
          <w:color w:val="auto"/>
          <w:szCs w:val="21"/>
          <w:highlight w:val="none"/>
          <w:lang w:val="zh-CN"/>
        </w:rPr>
        <w:t xml:space="preserve"> 投标文件签名使用的数字证书与签到的投标人名称不一致的；</w:t>
      </w:r>
    </w:p>
    <w:p w14:paraId="5AEAFD7D">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val="zh-CN"/>
        </w:rPr>
        <w:t>投标人的投标编制MAC信息、投标编制CPU序列号、投标编制硬盘序列号均与其他投标人相同的；</w:t>
      </w:r>
    </w:p>
    <w:p w14:paraId="09F00697">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6</w:t>
      </w:r>
      <w:r>
        <w:rPr>
          <w:rFonts w:hint="eastAsia" w:ascii="宋体" w:hAnsi="宋体" w:eastAsia="宋体" w:cs="宋体"/>
          <w:b/>
          <w:color w:val="auto"/>
          <w:szCs w:val="21"/>
          <w:highlight w:val="none"/>
          <w:lang w:val="zh-CN"/>
        </w:rPr>
        <w:t xml:space="preserve"> 投标文件附有招标人不能接受的条件的；</w:t>
      </w:r>
    </w:p>
    <w:p w14:paraId="154A217A">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 xml:space="preserve"> 投标人资格不满足第二篇投标人须知第2</w:t>
      </w:r>
      <w:r>
        <w:rPr>
          <w:rFonts w:hint="eastAsia" w:ascii="宋体" w:hAnsi="宋体" w:eastAsia="宋体" w:cs="宋体"/>
          <w:b/>
          <w:color w:val="auto"/>
          <w:szCs w:val="21"/>
          <w:highlight w:val="none"/>
          <w:lang w:val="en-US" w:eastAsia="zh-CN"/>
        </w:rPr>
        <w:t>条</w:t>
      </w:r>
      <w:r>
        <w:rPr>
          <w:rFonts w:hint="eastAsia" w:ascii="宋体" w:hAnsi="宋体" w:eastAsia="宋体" w:cs="宋体"/>
          <w:b/>
          <w:color w:val="auto"/>
          <w:szCs w:val="21"/>
          <w:highlight w:val="none"/>
          <w:lang w:val="zh-CN"/>
        </w:rPr>
        <w:t>的要求；</w:t>
      </w:r>
    </w:p>
    <w:p w14:paraId="529F3940">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8</w:t>
      </w:r>
      <w:r>
        <w:rPr>
          <w:rFonts w:hint="eastAsia" w:ascii="宋体" w:hAnsi="宋体" w:eastAsia="宋体" w:cs="宋体"/>
          <w:b/>
          <w:color w:val="auto"/>
          <w:szCs w:val="21"/>
          <w:highlight w:val="none"/>
          <w:lang w:val="zh-CN"/>
        </w:rPr>
        <w:t xml:space="preserve"> 投标人未按招标文件要求交纳投标保证金的；</w:t>
      </w:r>
    </w:p>
    <w:p w14:paraId="72109E82">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9</w:t>
      </w:r>
      <w:r>
        <w:rPr>
          <w:rFonts w:hint="eastAsia" w:ascii="宋体" w:hAnsi="宋体" w:eastAsia="宋体" w:cs="宋体"/>
          <w:b/>
          <w:color w:val="auto"/>
          <w:szCs w:val="21"/>
          <w:highlight w:val="none"/>
          <w:lang w:val="zh-CN"/>
        </w:rPr>
        <w:t xml:space="preserve"> 投标文件报价信封中填报的投标报价高于最高投标限价的或投标报价表中投标报价超过最高投标限价的或单项报价超过单项最高投标限价的；</w:t>
      </w:r>
    </w:p>
    <w:p w14:paraId="2BF313CD">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0</w:t>
      </w:r>
      <w:r>
        <w:rPr>
          <w:rFonts w:hint="eastAsia" w:ascii="宋体" w:hAnsi="宋体" w:eastAsia="宋体" w:cs="宋体"/>
          <w:b/>
          <w:color w:val="auto"/>
          <w:szCs w:val="21"/>
          <w:highlight w:val="none"/>
          <w:lang w:val="zh-CN"/>
        </w:rPr>
        <w:t xml:space="preserve"> 投标人以低于企业成本价报价，且投标人不能合理说明或不能提供相关证明材料；</w:t>
      </w:r>
    </w:p>
    <w:p w14:paraId="025A78E4">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1</w:t>
      </w:r>
      <w:r>
        <w:rPr>
          <w:rFonts w:hint="eastAsia" w:ascii="宋体" w:hAnsi="宋体" w:eastAsia="宋体" w:cs="宋体"/>
          <w:b/>
          <w:color w:val="auto"/>
          <w:szCs w:val="21"/>
          <w:highlight w:val="none"/>
          <w:lang w:val="zh-CN"/>
        </w:rPr>
        <w:t xml:space="preserve"> 投标人递交两份或多份内容不同的投标文件，或在一份投标文件中报有两个或多个报价，且未书面声明哪一个有效；</w:t>
      </w:r>
    </w:p>
    <w:p w14:paraId="6DD0E8B0">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lang w:val="zh-CN"/>
        </w:rPr>
        <w:t xml:space="preserve"> 投标文件未按第二篇投标人须知第17</w:t>
      </w:r>
      <w:r>
        <w:rPr>
          <w:rFonts w:hint="eastAsia" w:ascii="宋体" w:hAnsi="宋体" w:eastAsia="宋体" w:cs="宋体"/>
          <w:b/>
          <w:color w:val="auto"/>
          <w:szCs w:val="21"/>
          <w:highlight w:val="none"/>
          <w:lang w:val="en-US" w:eastAsia="zh-CN"/>
        </w:rPr>
        <w:t>条</w:t>
      </w:r>
      <w:r>
        <w:rPr>
          <w:rFonts w:hint="eastAsia" w:ascii="宋体" w:hAnsi="宋体" w:eastAsia="宋体" w:cs="宋体"/>
          <w:b/>
          <w:color w:val="auto"/>
          <w:szCs w:val="21"/>
          <w:highlight w:val="none"/>
          <w:lang w:val="zh-CN"/>
        </w:rPr>
        <w:t xml:space="preserve">的要求编制、使用企业数字证书或个人数字证书电子签名的； </w:t>
      </w:r>
    </w:p>
    <w:p w14:paraId="655A9D15">
      <w:pPr>
        <w:autoSpaceDE w:val="0"/>
        <w:autoSpaceDN w:val="0"/>
        <w:adjustRightInd w:val="0"/>
        <w:spacing w:line="360" w:lineRule="auto"/>
        <w:outlineLvl w:val="9"/>
        <w:rPr>
          <w:rFonts w:hint="eastAsia" w:ascii="宋体" w:hAnsi="宋体" w:eastAsia="宋体" w:cs="宋体"/>
          <w:b/>
          <w:color w:val="auto"/>
          <w:szCs w:val="21"/>
          <w:highlight w:val="none"/>
          <w:lang w:val="zh-CN"/>
        </w:rPr>
      </w:pPr>
      <w:bookmarkStart w:id="1032" w:name="_Toc16046"/>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lang w:val="zh-CN"/>
        </w:rPr>
        <w:t xml:space="preserve"> 投标有效期限不符合要求；</w:t>
      </w:r>
      <w:bookmarkEnd w:id="1032"/>
    </w:p>
    <w:p w14:paraId="4B29D82D">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4</w:t>
      </w:r>
      <w:r>
        <w:rPr>
          <w:rFonts w:hint="eastAsia" w:ascii="宋体" w:hAnsi="宋体" w:eastAsia="宋体" w:cs="宋体"/>
          <w:b/>
          <w:color w:val="auto"/>
          <w:szCs w:val="21"/>
          <w:highlight w:val="none"/>
          <w:lang w:val="zh-CN"/>
        </w:rPr>
        <w:t xml:space="preserve"> 投标文件未对招标范围内的全部内容进行投标报价或投标方案不是唯一；</w:t>
      </w:r>
    </w:p>
    <w:p w14:paraId="79451671">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val="zh-CN"/>
        </w:rPr>
        <w:t xml:space="preserve"> 未提供或虚假填写《合同条款偏离表》，或对《合同条款偏离表》有负偏离的；</w:t>
      </w:r>
    </w:p>
    <w:p w14:paraId="22F24ED0">
      <w:pPr>
        <w:autoSpaceDE w:val="0"/>
        <w:autoSpaceDN w:val="0"/>
        <w:adjustRightInd w:val="0"/>
        <w:spacing w:line="360" w:lineRule="auto"/>
        <w:outlineLvl w:val="9"/>
        <w:rPr>
          <w:rFonts w:hint="eastAsia" w:ascii="宋体" w:hAnsi="宋体" w:eastAsia="宋体" w:cs="宋体"/>
          <w:b/>
          <w:color w:val="auto"/>
          <w:szCs w:val="21"/>
          <w:highlight w:val="none"/>
          <w:lang w:val="zh-CN"/>
        </w:rPr>
      </w:pPr>
      <w:bookmarkStart w:id="1033" w:name="_Toc18040"/>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6</w:t>
      </w:r>
      <w:r>
        <w:rPr>
          <w:rFonts w:hint="eastAsia" w:ascii="宋体" w:hAnsi="宋体" w:eastAsia="宋体" w:cs="宋体"/>
          <w:b/>
          <w:color w:val="auto"/>
          <w:szCs w:val="21"/>
          <w:highlight w:val="none"/>
          <w:lang w:val="zh-CN"/>
        </w:rPr>
        <w:t xml:space="preserve"> 未填写或虚假填写《用户需求偏离表》的；</w:t>
      </w:r>
      <w:bookmarkEnd w:id="1033"/>
    </w:p>
    <w:p w14:paraId="7A75AD6F">
      <w:pPr>
        <w:spacing w:line="360" w:lineRule="auto"/>
        <w:ind w:left="0" w:leftChars="0" w:firstLine="0" w:firstLineChars="0"/>
        <w:rPr>
          <w:rFonts w:hint="eastAsia" w:ascii="宋体" w:hAnsi="宋体" w:eastAsia="宋体" w:cs="宋体"/>
          <w:b/>
          <w:bCs w:val="0"/>
          <w:color w:val="auto"/>
          <w:szCs w:val="21"/>
          <w:lang w:val="en-US"/>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 xml:space="preserve"> 未响应招标文件提出的实质性要求和条件（标注★的条款）；</w:t>
      </w:r>
    </w:p>
    <w:p w14:paraId="26FD6253">
      <w:pPr>
        <w:autoSpaceDE w:val="0"/>
        <w:autoSpaceDN w:val="0"/>
        <w:adjustRightInd w:val="0"/>
        <w:spacing w:line="360" w:lineRule="auto"/>
        <w:ind w:left="315" w:hanging="316" w:hangingChars="15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18</w:t>
      </w:r>
      <w:r>
        <w:rPr>
          <w:rFonts w:hint="eastAsia" w:ascii="宋体" w:hAnsi="宋体" w:eastAsia="宋体" w:cs="宋体"/>
          <w:b/>
          <w:color w:val="auto"/>
          <w:szCs w:val="21"/>
          <w:highlight w:val="none"/>
          <w:lang w:val="zh-CN"/>
        </w:rPr>
        <w:t xml:space="preserve"> 属于招标文件中规定为无效标的；属于法律、法规、规章规定的应作无效投标文件处理的。</w:t>
      </w:r>
    </w:p>
    <w:p w14:paraId="66C681C6">
      <w:pPr>
        <w:autoSpaceDE w:val="0"/>
        <w:autoSpaceDN w:val="0"/>
        <w:adjustRightInd w:val="0"/>
        <w:spacing w:line="360" w:lineRule="auto"/>
        <w:ind w:left="315" w:hanging="315" w:hangingChars="150"/>
        <w:rPr>
          <w:rFonts w:hint="eastAsia"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22F28255">
      <w:pPr>
        <w:spacing w:line="360" w:lineRule="auto"/>
        <w:ind w:left="480"/>
        <w:rPr>
          <w:rFonts w:hint="eastAsia" w:ascii="宋体" w:hAnsi="宋体" w:eastAsia="宋体" w:cs="宋体"/>
          <w:b/>
          <w:color w:val="auto"/>
          <w:kern w:val="0"/>
          <w:szCs w:val="21"/>
          <w:highlight w:val="none"/>
        </w:rPr>
      </w:pPr>
    </w:p>
    <w:p w14:paraId="1D4F05F7">
      <w:pPr>
        <w:tabs>
          <w:tab w:val="left" w:pos="1140"/>
        </w:tabs>
        <w:autoSpaceDE w:val="0"/>
        <w:autoSpaceDN w:val="0"/>
        <w:adjustRightInd w:val="0"/>
        <w:spacing w:line="360" w:lineRule="auto"/>
        <w:ind w:firstLine="3528" w:firstLineChars="1255"/>
        <w:jc w:val="left"/>
        <w:rPr>
          <w:rFonts w:hint="eastAsia" w:ascii="宋体" w:hAnsi="宋体" w:eastAsia="宋体" w:cs="宋体"/>
          <w:b/>
          <w:bCs/>
          <w:color w:val="auto"/>
          <w:sz w:val="28"/>
          <w:szCs w:val="28"/>
          <w:highlight w:val="none"/>
        </w:rPr>
      </w:pPr>
      <w:bookmarkStart w:id="1034" w:name="_Toc4109_WPSOffice_Level1"/>
      <w:r>
        <w:rPr>
          <w:rFonts w:hint="eastAsia" w:ascii="宋体" w:hAnsi="宋体" w:eastAsia="宋体" w:cs="宋体"/>
          <w:b/>
          <w:bCs/>
          <w:color w:val="auto"/>
          <w:sz w:val="28"/>
          <w:szCs w:val="28"/>
          <w:highlight w:val="none"/>
          <w:lang w:val="zh-CN"/>
        </w:rPr>
        <w:t>三、澄清有关问题</w:t>
      </w:r>
      <w:bookmarkEnd w:id="1034"/>
    </w:p>
    <w:p w14:paraId="2D77FA76">
      <w:pPr>
        <w:autoSpaceDE w:val="0"/>
        <w:autoSpaceDN w:val="0"/>
        <w:adjustRightInd w:val="0"/>
        <w:spacing w:line="360" w:lineRule="auto"/>
        <w:ind w:left="315" w:hanging="315" w:hangingChars="150"/>
        <w:rPr>
          <w:rFonts w:hint="eastAsia"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14:paraId="2D1EF7A1">
      <w:pPr>
        <w:autoSpaceDE w:val="0"/>
        <w:autoSpaceDN w:val="0"/>
        <w:adjustRightInd w:val="0"/>
        <w:spacing w:line="360" w:lineRule="auto"/>
        <w:ind w:left="529"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14:paraId="47D6F0BC">
      <w:pPr>
        <w:autoSpaceDE w:val="0"/>
        <w:autoSpaceDN w:val="0"/>
        <w:adjustRightInd w:val="0"/>
        <w:spacing w:line="360" w:lineRule="auto"/>
        <w:ind w:left="529"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038157E5">
      <w:pPr>
        <w:autoSpaceDE w:val="0"/>
        <w:autoSpaceDN w:val="0"/>
        <w:adjustRightInd w:val="0"/>
        <w:spacing w:line="360" w:lineRule="auto"/>
        <w:ind w:left="529" w:right="18"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14:paraId="53E94DA6">
      <w:pPr>
        <w:spacing w:line="360" w:lineRule="auto"/>
        <w:ind w:left="424" w:hanging="424" w:hangingChars="202"/>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  投标文件报价计算错误的修正</w:t>
      </w:r>
    </w:p>
    <w:p w14:paraId="083FC035">
      <w:pPr>
        <w:spacing w:line="360" w:lineRule="auto"/>
        <w:ind w:left="567" w:hanging="567" w:hangingChars="27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（1）评标委员会将对确定为实质上响应招标文件要求的投标文件进行校核，看其是否有计算或表达上的错误，修正错误的原则为：</w:t>
      </w:r>
      <w:r>
        <w:rPr>
          <w:rFonts w:hint="eastAsia" w:ascii="宋体" w:hAnsi="宋体" w:eastAsia="宋体" w:cs="宋体"/>
          <w:color w:val="auto"/>
          <w:kern w:val="0"/>
          <w:szCs w:val="21"/>
          <w:highlight w:val="none"/>
          <w:lang w:val="en-US" w:eastAsia="zh-CN"/>
        </w:rPr>
        <w:t>①</w:t>
      </w:r>
      <w:r>
        <w:rPr>
          <w:rFonts w:hint="eastAsia" w:ascii="宋体" w:hAnsi="宋体" w:eastAsia="宋体" w:cs="宋体"/>
          <w:color w:val="auto"/>
          <w:kern w:val="0"/>
          <w:szCs w:val="21"/>
          <w:highlight w:val="none"/>
        </w:rPr>
        <w:t>投标报价表不含税总报价金额与报价信封中的投标值不一致的，以报价信封中的投标值为准；</w:t>
      </w:r>
      <w:r>
        <w:rPr>
          <w:rFonts w:hint="eastAsia" w:ascii="宋体" w:hAnsi="宋体" w:eastAsia="宋体" w:cs="宋体"/>
          <w:color w:val="auto"/>
          <w:kern w:val="0"/>
          <w:szCs w:val="21"/>
          <w:highlight w:val="none"/>
          <w:lang w:val="en-US" w:eastAsia="zh-CN"/>
        </w:rPr>
        <w:t>②</w:t>
      </w:r>
      <w:r>
        <w:rPr>
          <w:rFonts w:hint="eastAsia" w:ascii="宋体" w:hAnsi="宋体" w:eastAsia="宋体" w:cs="宋体"/>
          <w:color w:val="auto"/>
          <w:kern w:val="0"/>
          <w:szCs w:val="21"/>
          <w:highlight w:val="none"/>
        </w:rPr>
        <w:t>投标报价表内容与投标分项报价表或投标文件中相应内容不一致的，以投标报价表为准；</w:t>
      </w:r>
      <w:r>
        <w:rPr>
          <w:rFonts w:hint="eastAsia" w:ascii="宋体" w:hAnsi="宋体" w:eastAsia="宋体" w:cs="宋体"/>
          <w:color w:val="auto"/>
          <w:kern w:val="0"/>
          <w:szCs w:val="21"/>
          <w:highlight w:val="none"/>
          <w:lang w:val="en-US" w:eastAsia="zh-CN"/>
        </w:rPr>
        <w:t>③</w:t>
      </w:r>
      <w:r>
        <w:rPr>
          <w:rFonts w:hint="eastAsia" w:ascii="宋体" w:hAnsi="宋体" w:eastAsia="宋体" w:cs="宋体"/>
          <w:color w:val="auto"/>
          <w:kern w:val="0"/>
          <w:szCs w:val="21"/>
          <w:highlight w:val="none"/>
        </w:rPr>
        <w:t>当以数字表示的金额与以文字表示的金额不一致时，以文字表示的金额为准。</w:t>
      </w:r>
      <w:r>
        <w:rPr>
          <w:rFonts w:hint="eastAsia" w:ascii="宋体" w:hAnsi="宋体" w:eastAsia="宋体" w:cs="宋体"/>
          <w:color w:val="auto"/>
          <w:kern w:val="0"/>
          <w:szCs w:val="21"/>
          <w:highlight w:val="none"/>
          <w:lang w:val="en-US" w:eastAsia="zh-CN"/>
        </w:rPr>
        <w:t>④</w:t>
      </w:r>
      <w:r>
        <w:rPr>
          <w:rFonts w:hint="eastAsia" w:ascii="宋体" w:hAnsi="宋体" w:eastAsia="宋体" w:cs="宋体"/>
          <w:color w:val="auto"/>
          <w:kern w:val="0"/>
          <w:szCs w:val="21"/>
          <w:highlight w:val="none"/>
        </w:rPr>
        <w:t>单项报价的金额小数点有明显错位的，以投标报价表的总价为准，并修改单项报价；</w:t>
      </w:r>
      <w:r>
        <w:rPr>
          <w:rFonts w:hint="eastAsia" w:ascii="宋体" w:hAnsi="宋体" w:eastAsia="宋体" w:cs="宋体"/>
          <w:color w:val="auto"/>
          <w:kern w:val="0"/>
          <w:szCs w:val="21"/>
          <w:highlight w:val="none"/>
          <w:lang w:val="en-US" w:eastAsia="zh-CN"/>
        </w:rPr>
        <w:t>⑤</w:t>
      </w:r>
      <w:r>
        <w:rPr>
          <w:rFonts w:hint="eastAsia" w:ascii="宋体" w:hAnsi="宋体" w:eastAsia="宋体" w:cs="宋体"/>
          <w:color w:val="auto"/>
          <w:kern w:val="0"/>
          <w:szCs w:val="21"/>
          <w:highlight w:val="none"/>
        </w:rPr>
        <w:t>投标报价表内单项报价汇总金额与不含税总报价不一致的，以单项报价计算结果为准；</w:t>
      </w:r>
      <w:r>
        <w:rPr>
          <w:rFonts w:hint="eastAsia" w:ascii="宋体" w:hAnsi="宋体" w:eastAsia="宋体" w:cs="宋体"/>
          <w:color w:val="auto"/>
          <w:kern w:val="0"/>
          <w:szCs w:val="21"/>
          <w:highlight w:val="none"/>
          <w:lang w:val="en-US" w:eastAsia="zh-CN"/>
        </w:rPr>
        <w:t>⑥</w:t>
      </w:r>
      <w:r>
        <w:rPr>
          <w:rFonts w:hint="eastAsia" w:ascii="宋体" w:hAnsi="宋体" w:eastAsia="宋体" w:cs="宋体"/>
          <w:color w:val="auto"/>
          <w:kern w:val="0"/>
          <w:szCs w:val="21"/>
          <w:highlight w:val="none"/>
        </w:rPr>
        <w:t>投标分项报价表内单项报价汇总金额与不含税合计金额不一致的，以单项报价金额计算结果为准</w:t>
      </w:r>
      <w:r>
        <w:rPr>
          <w:rFonts w:hint="eastAsia" w:ascii="宋体" w:hAnsi="宋体" w:eastAsia="宋体" w:cs="宋体"/>
          <w:color w:val="auto"/>
          <w:kern w:val="0"/>
          <w:szCs w:val="21"/>
          <w:highlight w:val="none"/>
          <w:lang w:val="en-US" w:eastAsia="zh-CN"/>
        </w:rPr>
        <w:t>⑦</w:t>
      </w:r>
      <w:r>
        <w:rPr>
          <w:rFonts w:hint="eastAsia" w:ascii="宋体" w:hAnsi="宋体" w:eastAsia="宋体" w:cs="宋体"/>
          <w:color w:val="auto"/>
          <w:kern w:val="0"/>
          <w:szCs w:val="21"/>
          <w:highlight w:val="none"/>
        </w:rPr>
        <w:t>按前述修正原则排序依次进行修正至唯一值后的报价表经双方确认后，作为合同文件的组成部分。</w:t>
      </w:r>
    </w:p>
    <w:p w14:paraId="2025AB08">
      <w:pPr>
        <w:spacing w:line="360" w:lineRule="auto"/>
        <w:ind w:left="567" w:hanging="567" w:hangingChars="270"/>
        <w:rPr>
          <w:rFonts w:hint="eastAsia"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362247B8">
      <w:pPr>
        <w:spacing w:line="360" w:lineRule="auto"/>
        <w:ind w:left="567" w:hanging="567" w:hangingChars="27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9.5  若投标人出现超低报价，有可能影响服务质量和不能诚信履约的，</w:t>
      </w:r>
      <w:r>
        <w:rPr>
          <w:rFonts w:hint="eastAsia" w:ascii="宋体" w:hAnsi="宋体" w:eastAsia="宋体" w:cs="宋体"/>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14:paraId="0E3D8B2F">
      <w:pPr>
        <w:spacing w:line="360" w:lineRule="auto"/>
        <w:ind w:left="567" w:hanging="567" w:hangingChars="270"/>
        <w:rPr>
          <w:rFonts w:hint="eastAsia" w:ascii="宋体" w:hAnsi="宋体" w:eastAsia="宋体" w:cs="宋体"/>
          <w:color w:val="auto"/>
          <w:kern w:val="0"/>
          <w:szCs w:val="21"/>
          <w:highlight w:val="none"/>
          <w:lang w:val="zh-CN"/>
        </w:rPr>
      </w:pPr>
    </w:p>
    <w:p w14:paraId="25F9D378">
      <w:pPr>
        <w:autoSpaceDE w:val="0"/>
        <w:autoSpaceDN w:val="0"/>
        <w:adjustRightInd w:val="0"/>
        <w:spacing w:line="360" w:lineRule="auto"/>
        <w:jc w:val="center"/>
        <w:rPr>
          <w:rFonts w:hint="eastAsia" w:ascii="宋体" w:hAnsi="宋体" w:eastAsia="宋体" w:cs="宋体"/>
          <w:b/>
          <w:bCs/>
          <w:color w:val="auto"/>
          <w:sz w:val="28"/>
          <w:szCs w:val="28"/>
          <w:highlight w:val="none"/>
          <w:lang w:val="zh-CN"/>
        </w:rPr>
      </w:pPr>
      <w:bookmarkStart w:id="1035" w:name="_Toc8518_WPSOffice_Level1"/>
    </w:p>
    <w:p w14:paraId="3C269FFD">
      <w:pPr>
        <w:autoSpaceDE w:val="0"/>
        <w:autoSpaceDN w:val="0"/>
        <w:adjustRightInd w:val="0"/>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四、比较和评价</w:t>
      </w:r>
      <w:bookmarkEnd w:id="1035"/>
    </w:p>
    <w:p w14:paraId="2A2409B1">
      <w:pPr>
        <w:autoSpaceDE w:val="0"/>
        <w:autoSpaceDN w:val="0"/>
        <w:adjustRightInd w:val="0"/>
        <w:spacing w:line="360" w:lineRule="auto"/>
        <w:ind w:left="422" w:leftChars="1" w:hanging="420" w:hangingChars="200"/>
        <w:rPr>
          <w:rFonts w:hint="eastAsia"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26096475">
      <w:pPr>
        <w:autoSpaceDE w:val="0"/>
        <w:autoSpaceDN w:val="0"/>
        <w:adjustRightInd w:val="0"/>
        <w:spacing w:line="360" w:lineRule="auto"/>
        <w:ind w:left="422" w:leftChars="1" w:hanging="420" w:hangingChars="200"/>
        <w:rPr>
          <w:rFonts w:hint="eastAsia" w:ascii="宋体" w:hAnsi="宋体" w:eastAsia="宋体" w:cs="宋体"/>
          <w:color w:val="auto"/>
          <w:szCs w:val="24"/>
          <w:highlight w:val="none"/>
          <w:lang w:val="zh-CN"/>
        </w:rPr>
      </w:pPr>
    </w:p>
    <w:p w14:paraId="75939641">
      <w:pPr>
        <w:tabs>
          <w:tab w:val="left" w:pos="1701"/>
        </w:tabs>
        <w:autoSpaceDE w:val="0"/>
        <w:autoSpaceDN w:val="0"/>
        <w:adjustRightInd w:val="0"/>
        <w:spacing w:line="360" w:lineRule="auto"/>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11、评委打分办法</w:t>
      </w:r>
    </w:p>
    <w:p w14:paraId="050CF967">
      <w:pPr>
        <w:autoSpaceDE w:val="0"/>
        <w:autoSpaceDN w:val="0"/>
        <w:adjustRightInd w:val="0"/>
        <w:spacing w:line="360" w:lineRule="auto"/>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11.1 参加评分的评委应尽力体现客观、实事求是，避免学派偏见和个人偏好。</w:t>
      </w:r>
    </w:p>
    <w:p w14:paraId="680F9950">
      <w:pPr>
        <w:autoSpaceDE w:val="0"/>
        <w:autoSpaceDN w:val="0"/>
        <w:adjustRightInd w:val="0"/>
        <w:spacing w:line="360" w:lineRule="auto"/>
        <w:ind w:left="565" w:leftChars="-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11.2 衡量、对比的依据，应以招标文件、投标文件、提供的正式试验数据、开标澄清中的文字为准，口头回答和收集的资料只作为参考。</w:t>
      </w:r>
    </w:p>
    <w:p w14:paraId="3138E6A6">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hint="eastAsia" w:ascii="宋体" w:hAnsi="宋体" w:eastAsia="宋体" w:cs="宋体"/>
          <w:color w:val="auto"/>
          <w:szCs w:val="24"/>
          <w:highlight w:val="none"/>
          <w:lang w:val="zh-CN"/>
        </w:rPr>
        <w:t>11.3 评分主要是为比较各投标人的商务、技术</w:t>
      </w:r>
      <w:r>
        <w:rPr>
          <w:rFonts w:hint="eastAsia" w:ascii="宋体" w:hAnsi="宋体" w:eastAsia="宋体" w:cs="宋体"/>
          <w:color w:val="auto"/>
          <w:szCs w:val="24"/>
          <w:highlight w:val="none"/>
          <w:lang w:val="en-US" w:eastAsia="zh-CN"/>
        </w:rPr>
        <w:t>和</w:t>
      </w:r>
      <w:r>
        <w:rPr>
          <w:rFonts w:hint="eastAsia" w:ascii="宋体" w:hAnsi="宋体" w:eastAsia="宋体" w:cs="宋体"/>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14:paraId="3BC00501">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评标委员会首先对商务标进行评审，按评标标准打分后，取所有评委评分的平均值得出该投标人的商务评分；</w:t>
      </w:r>
    </w:p>
    <w:p w14:paraId="29C142EF">
      <w:pPr>
        <w:autoSpaceDE w:val="0"/>
        <w:autoSpaceDN w:val="0"/>
        <w:adjustRightInd w:val="0"/>
        <w:spacing w:line="360" w:lineRule="auto"/>
        <w:ind w:left="565" w:leftChars="-1" w:hanging="567" w:hangingChars="270"/>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然后评标委员会对技术标进行评审，按评标标准打分后</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 w:val="21"/>
          <w:szCs w:val="21"/>
          <w:highlight w:val="none"/>
        </w:rPr>
        <w:t>当评标委员会为五人时，在所有评委对同一份投标文件技术标评审的总评分中，去掉一个最高分和一个最低分，计算剩余总评分的算术平均值即为该投标人技术部分的</w:t>
      </w:r>
      <w:r>
        <w:rPr>
          <w:rFonts w:hint="eastAsia" w:ascii="宋体" w:hAnsi="宋体" w:eastAsia="宋体" w:cs="宋体"/>
          <w:color w:val="auto"/>
          <w:sz w:val="21"/>
          <w:szCs w:val="21"/>
          <w:highlight w:val="none"/>
          <w:lang w:val="en-US" w:eastAsia="zh-CN"/>
        </w:rPr>
        <w:t>最终综合得分</w:t>
      </w:r>
      <w:r>
        <w:rPr>
          <w:rFonts w:hint="eastAsia" w:ascii="宋体" w:hAnsi="宋体" w:eastAsia="宋体" w:cs="宋体"/>
          <w:color w:val="auto"/>
          <w:sz w:val="21"/>
          <w:szCs w:val="21"/>
          <w:highlight w:val="none"/>
        </w:rPr>
        <w:t>；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中、差”</w:t>
      </w:r>
      <w:r>
        <w:rPr>
          <w:rFonts w:hint="eastAsia" w:ascii="宋体" w:hAnsi="宋体" w:eastAsia="宋体" w:cs="宋体"/>
          <w:color w:val="auto"/>
          <w:sz w:val="21"/>
          <w:szCs w:val="21"/>
          <w:highlight w:val="none"/>
          <w:lang w:val="en-US" w:eastAsia="zh-CN"/>
        </w:rPr>
        <w:t>区间</w:t>
      </w:r>
      <w:r>
        <w:rPr>
          <w:rFonts w:hint="eastAsia" w:ascii="宋体" w:hAnsi="宋体" w:eastAsia="宋体" w:cs="宋体"/>
          <w:color w:val="auto"/>
          <w:sz w:val="21"/>
          <w:szCs w:val="21"/>
          <w:highlight w:val="none"/>
        </w:rPr>
        <w:t>评审</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评分因素的评分低于权重分值60%的，应在评标报告中作出说明。</w:t>
      </w:r>
    </w:p>
    <w:p w14:paraId="695FC6BD">
      <w:pPr>
        <w:autoSpaceDE w:val="0"/>
        <w:autoSpaceDN w:val="0"/>
        <w:adjustRightInd w:val="0"/>
        <w:spacing w:line="360" w:lineRule="auto"/>
        <w:ind w:left="565" w:leftChars="-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最后评标委员会对报价进行评审，按评标标准计算得出该投标人的报价评分。</w:t>
      </w:r>
    </w:p>
    <w:p w14:paraId="26D8FBB8">
      <w:pPr>
        <w:tabs>
          <w:tab w:val="left" w:pos="600"/>
        </w:tabs>
        <w:autoSpaceDE w:val="0"/>
        <w:autoSpaceDN w:val="0"/>
        <w:adjustRightInd w:val="0"/>
        <w:spacing w:line="360" w:lineRule="auto"/>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11.4 评标委员会打分采取记名形式。</w:t>
      </w:r>
    </w:p>
    <w:p w14:paraId="45AB4F3C">
      <w:pPr>
        <w:autoSpaceDE w:val="0"/>
        <w:autoSpaceDN w:val="0"/>
        <w:adjustRightInd w:val="0"/>
        <w:spacing w:line="360" w:lineRule="auto"/>
        <w:ind w:left="565" w:leftChars="-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11.5 各评委根据秘书组提供的打分表严格按照评标大纲内的评分标准独立自主打分，任何人不得要求评委统一打分或统一确定等次顺序。</w:t>
      </w:r>
    </w:p>
    <w:p w14:paraId="71A27DA7">
      <w:pPr>
        <w:autoSpaceDE w:val="0"/>
        <w:autoSpaceDN w:val="0"/>
        <w:adjustRightInd w:val="0"/>
        <w:spacing w:line="360" w:lineRule="auto"/>
        <w:ind w:left="426" w:hanging="426"/>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11.6 对打分表中的每项条款，各评委应根据投标文件、澄清材料、招标文件要求，按满足的程度给投标人打分。</w:t>
      </w:r>
    </w:p>
    <w:p w14:paraId="3A977140">
      <w:pPr>
        <w:tabs>
          <w:tab w:val="left" w:pos="600"/>
        </w:tabs>
        <w:autoSpaceDE w:val="0"/>
        <w:autoSpaceDN w:val="0"/>
        <w:adjustRightInd w:val="0"/>
        <w:spacing w:line="360" w:lineRule="auto"/>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11.7 评分程序</w:t>
      </w:r>
    </w:p>
    <w:p w14:paraId="72F4F495">
      <w:pPr>
        <w:tabs>
          <w:tab w:val="left" w:pos="1134"/>
        </w:tabs>
        <w:autoSpaceDE w:val="0"/>
        <w:autoSpaceDN w:val="0"/>
        <w:adjustRightInd w:val="0"/>
        <w:spacing w:line="360" w:lineRule="auto"/>
        <w:ind w:left="565" w:leftChars="-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（1）就投标人的投标文件对照整理出商务、技术评标因素对比表、偏差表，并在经过校核的基础上逐项打分。</w:t>
      </w:r>
    </w:p>
    <w:p w14:paraId="39930896">
      <w:pPr>
        <w:tabs>
          <w:tab w:val="left" w:pos="1134"/>
        </w:tabs>
        <w:autoSpaceDE w:val="0"/>
        <w:autoSpaceDN w:val="0"/>
        <w:adjustRightInd w:val="0"/>
        <w:spacing w:line="360" w:lineRule="auto"/>
        <w:ind w:left="565" w:leftChars="-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（2）各评委独立完成打分后，将统计好的评分表交给招标代理机构秘书组复核。</w:t>
      </w:r>
    </w:p>
    <w:p w14:paraId="1BA5207D">
      <w:pPr>
        <w:tabs>
          <w:tab w:val="left" w:pos="1134"/>
        </w:tabs>
        <w:autoSpaceDE w:val="0"/>
        <w:autoSpaceDN w:val="0"/>
        <w:adjustRightInd w:val="0"/>
        <w:spacing w:line="360" w:lineRule="auto"/>
        <w:ind w:left="565" w:leftChars="-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（3）评分统计表中各投标人技术得分应为最终综合得分，商务和价格得分应为评委打分的算术平均值。</w:t>
      </w:r>
    </w:p>
    <w:p w14:paraId="77800615">
      <w:pPr>
        <w:autoSpaceDE w:val="0"/>
        <w:autoSpaceDN w:val="0"/>
        <w:adjustRightInd w:val="0"/>
        <w:spacing w:line="360" w:lineRule="auto"/>
        <w:rPr>
          <w:rFonts w:hint="eastAsia" w:ascii="宋体" w:hAnsi="宋体" w:eastAsia="宋体" w:cs="宋体"/>
          <w:color w:val="auto"/>
          <w:szCs w:val="24"/>
          <w:highlight w:val="none"/>
          <w:lang w:val="zh-CN"/>
        </w:rPr>
      </w:pPr>
    </w:p>
    <w:p w14:paraId="14B3F890">
      <w:pPr>
        <w:tabs>
          <w:tab w:val="left" w:pos="1701"/>
        </w:tabs>
        <w:autoSpaceDE w:val="0"/>
        <w:autoSpaceDN w:val="0"/>
        <w:adjustRightInd w:val="0"/>
        <w:spacing w:line="360" w:lineRule="auto"/>
        <w:outlineLvl w:val="1"/>
        <w:rPr>
          <w:rFonts w:hint="eastAsia" w:ascii="宋体" w:hAnsi="宋体" w:eastAsia="宋体" w:cs="宋体"/>
          <w:b/>
          <w:color w:val="auto"/>
          <w:szCs w:val="24"/>
          <w:highlight w:val="none"/>
          <w:lang w:val="zh-CN"/>
        </w:rPr>
      </w:pPr>
      <w:bookmarkStart w:id="1036" w:name="_Toc18288"/>
      <w:r>
        <w:rPr>
          <w:rFonts w:hint="eastAsia" w:ascii="宋体" w:hAnsi="宋体" w:eastAsia="宋体" w:cs="宋体"/>
          <w:b/>
          <w:color w:val="auto"/>
          <w:szCs w:val="24"/>
          <w:highlight w:val="none"/>
          <w:lang w:val="zh-CN"/>
        </w:rPr>
        <w:t>12、评分因素及分值</w:t>
      </w:r>
      <w:bookmarkEnd w:id="1036"/>
    </w:p>
    <w:tbl>
      <w:tblPr>
        <w:tblStyle w:val="41"/>
        <w:tblW w:w="4723"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315"/>
        <w:gridCol w:w="4825"/>
      </w:tblGrid>
      <w:tr w14:paraId="25B657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360" w:type="pct"/>
            <w:tcBorders>
              <w:top w:val="single" w:color="auto" w:sz="4" w:space="0"/>
              <w:left w:val="single" w:color="auto" w:sz="4" w:space="0"/>
              <w:bottom w:val="single" w:color="auto" w:sz="4" w:space="0"/>
              <w:right w:val="single" w:color="auto" w:sz="4" w:space="0"/>
            </w:tcBorders>
            <w:vAlign w:val="center"/>
          </w:tcPr>
          <w:p w14:paraId="5DD3A0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lang w:val="zh-CN"/>
              </w:rPr>
              <w:t>评分因素</w:t>
            </w:r>
          </w:p>
        </w:tc>
        <w:tc>
          <w:tcPr>
            <w:tcW w:w="2639" w:type="pct"/>
            <w:tcBorders>
              <w:top w:val="single" w:color="auto" w:sz="4" w:space="0"/>
              <w:left w:val="single" w:color="auto" w:sz="4" w:space="0"/>
              <w:bottom w:val="single" w:color="auto" w:sz="4" w:space="0"/>
              <w:right w:val="single" w:color="auto" w:sz="4" w:space="0"/>
            </w:tcBorders>
            <w:vAlign w:val="center"/>
          </w:tcPr>
          <w:p w14:paraId="7A98E5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lang w:val="zh-CN"/>
              </w:rPr>
              <w:t>分值</w:t>
            </w:r>
          </w:p>
        </w:tc>
      </w:tr>
      <w:tr w14:paraId="051882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360" w:type="pct"/>
            <w:tcBorders>
              <w:top w:val="single" w:color="auto" w:sz="4" w:space="0"/>
              <w:left w:val="single" w:color="auto" w:sz="4" w:space="0"/>
              <w:bottom w:val="single" w:color="auto" w:sz="4" w:space="0"/>
              <w:right w:val="single" w:color="auto" w:sz="4" w:space="0"/>
            </w:tcBorders>
            <w:vAlign w:val="center"/>
          </w:tcPr>
          <w:p w14:paraId="213B2A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1、商务</w:t>
            </w:r>
          </w:p>
        </w:tc>
        <w:tc>
          <w:tcPr>
            <w:tcW w:w="2639" w:type="pct"/>
            <w:tcBorders>
              <w:top w:val="single" w:color="auto" w:sz="4" w:space="0"/>
              <w:left w:val="single" w:color="auto" w:sz="4" w:space="0"/>
              <w:bottom w:val="single" w:color="auto" w:sz="4" w:space="0"/>
              <w:right w:val="single" w:color="auto" w:sz="4" w:space="0"/>
            </w:tcBorders>
            <w:vAlign w:val="center"/>
          </w:tcPr>
          <w:p w14:paraId="62AC85BD">
            <w:pPr>
              <w:ind w:firstLine="0" w:firstLineChars="0"/>
              <w:jc w:val="center"/>
              <w:rPr>
                <w:rFonts w:hint="eastAsia" w:ascii="宋体" w:hAnsi="宋体" w:eastAsia="宋体" w:cs="宋体"/>
                <w:bCs/>
                <w:color w:val="auto"/>
                <w:kern w:val="0"/>
                <w:sz w:val="21"/>
                <w:szCs w:val="21"/>
                <w:highlight w:val="none"/>
                <w:lang w:val="zh-CN"/>
              </w:rPr>
            </w:pPr>
            <w:r>
              <w:rPr>
                <w:rFonts w:hint="eastAsia" w:ascii="宋体" w:hAnsi="宋体" w:eastAsia="宋体" w:cs="宋体"/>
                <w:color w:val="auto"/>
                <w:kern w:val="2"/>
                <w:szCs w:val="21"/>
                <w:lang w:val="en-US" w:eastAsia="zh-CN"/>
              </w:rPr>
              <w:t>35</w:t>
            </w:r>
            <w:r>
              <w:rPr>
                <w:rFonts w:hint="eastAsia" w:ascii="宋体" w:hAnsi="宋体" w:eastAsia="宋体" w:cs="宋体"/>
                <w:color w:val="auto"/>
                <w:kern w:val="2"/>
                <w:szCs w:val="21"/>
                <w:lang w:val="zh-CN"/>
              </w:rPr>
              <w:t>分</w:t>
            </w:r>
          </w:p>
        </w:tc>
      </w:tr>
      <w:tr w14:paraId="69D695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360" w:type="pct"/>
            <w:tcBorders>
              <w:top w:val="single" w:color="auto" w:sz="4" w:space="0"/>
              <w:left w:val="single" w:color="auto" w:sz="4" w:space="0"/>
              <w:bottom w:val="single" w:color="auto" w:sz="4" w:space="0"/>
              <w:right w:val="single" w:color="auto" w:sz="4" w:space="0"/>
            </w:tcBorders>
            <w:vAlign w:val="center"/>
          </w:tcPr>
          <w:p w14:paraId="633A02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2、技术</w:t>
            </w:r>
          </w:p>
        </w:tc>
        <w:tc>
          <w:tcPr>
            <w:tcW w:w="2639" w:type="pct"/>
            <w:tcBorders>
              <w:top w:val="single" w:color="auto" w:sz="4" w:space="0"/>
              <w:left w:val="single" w:color="auto" w:sz="4" w:space="0"/>
              <w:bottom w:val="single" w:color="auto" w:sz="4" w:space="0"/>
              <w:right w:val="single" w:color="auto" w:sz="4" w:space="0"/>
            </w:tcBorders>
            <w:vAlign w:val="center"/>
          </w:tcPr>
          <w:p w14:paraId="48FBE7C7">
            <w:pPr>
              <w:ind w:firstLine="0" w:firstLineChars="0"/>
              <w:jc w:val="center"/>
              <w:rPr>
                <w:rFonts w:hint="eastAsia" w:ascii="宋体" w:hAnsi="宋体" w:eastAsia="宋体" w:cs="宋体"/>
                <w:bCs/>
                <w:color w:val="auto"/>
                <w:kern w:val="0"/>
                <w:sz w:val="21"/>
                <w:szCs w:val="21"/>
                <w:highlight w:val="none"/>
                <w:lang w:val="zh-CN"/>
              </w:rPr>
            </w:pPr>
            <w:r>
              <w:rPr>
                <w:rFonts w:hint="eastAsia" w:ascii="宋体" w:hAnsi="宋体" w:eastAsia="宋体" w:cs="宋体"/>
                <w:color w:val="auto"/>
                <w:kern w:val="2"/>
                <w:szCs w:val="21"/>
              </w:rPr>
              <w:t>4</w:t>
            </w:r>
            <w:r>
              <w:rPr>
                <w:rFonts w:hint="eastAsia" w:ascii="宋体" w:hAnsi="宋体" w:eastAsia="宋体" w:cs="宋体"/>
                <w:color w:val="auto"/>
                <w:kern w:val="2"/>
                <w:szCs w:val="21"/>
                <w:lang w:val="en-US" w:eastAsia="zh-CN"/>
              </w:rPr>
              <w:t>5</w:t>
            </w:r>
            <w:r>
              <w:rPr>
                <w:rFonts w:hint="eastAsia" w:ascii="宋体" w:hAnsi="宋体" w:eastAsia="宋体" w:cs="宋体"/>
                <w:color w:val="auto"/>
                <w:kern w:val="2"/>
                <w:szCs w:val="21"/>
                <w:lang w:val="zh-CN"/>
              </w:rPr>
              <w:t>分</w:t>
            </w:r>
          </w:p>
        </w:tc>
      </w:tr>
      <w:tr w14:paraId="18BCA7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360" w:type="pct"/>
            <w:tcBorders>
              <w:top w:val="single" w:color="auto" w:sz="4" w:space="0"/>
              <w:left w:val="single" w:color="auto" w:sz="4" w:space="0"/>
              <w:bottom w:val="single" w:color="auto" w:sz="4" w:space="0"/>
              <w:right w:val="single" w:color="auto" w:sz="4" w:space="0"/>
            </w:tcBorders>
            <w:vAlign w:val="center"/>
          </w:tcPr>
          <w:p w14:paraId="3FB9A9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3、价格</w:t>
            </w:r>
          </w:p>
        </w:tc>
        <w:tc>
          <w:tcPr>
            <w:tcW w:w="2639" w:type="pct"/>
            <w:tcBorders>
              <w:top w:val="single" w:color="auto" w:sz="4" w:space="0"/>
              <w:left w:val="single" w:color="auto" w:sz="4" w:space="0"/>
              <w:bottom w:val="single" w:color="auto" w:sz="4" w:space="0"/>
              <w:right w:val="single" w:color="auto" w:sz="4" w:space="0"/>
            </w:tcBorders>
            <w:vAlign w:val="center"/>
          </w:tcPr>
          <w:p w14:paraId="747F945F">
            <w:pPr>
              <w:ind w:firstLine="0" w:firstLineChars="0"/>
              <w:jc w:val="center"/>
              <w:rPr>
                <w:rFonts w:hint="eastAsia" w:ascii="宋体" w:hAnsi="宋体" w:eastAsia="宋体" w:cs="宋体"/>
                <w:bCs/>
                <w:color w:val="auto"/>
                <w:kern w:val="0"/>
                <w:sz w:val="21"/>
                <w:szCs w:val="21"/>
                <w:highlight w:val="none"/>
                <w:lang w:val="zh-CN"/>
              </w:rPr>
            </w:pPr>
            <w:r>
              <w:rPr>
                <w:rFonts w:hint="eastAsia" w:ascii="宋体" w:hAnsi="宋体" w:eastAsia="宋体" w:cs="宋体"/>
                <w:color w:val="auto"/>
                <w:kern w:val="2"/>
                <w:szCs w:val="21"/>
              </w:rPr>
              <w:t>20分</w:t>
            </w:r>
          </w:p>
        </w:tc>
      </w:tr>
    </w:tbl>
    <w:p w14:paraId="0552548C">
      <w:pPr>
        <w:tabs>
          <w:tab w:val="left" w:pos="585"/>
        </w:tabs>
        <w:autoSpaceDE w:val="0"/>
        <w:autoSpaceDN w:val="0"/>
        <w:adjustRightInd w:val="0"/>
        <w:spacing w:line="360" w:lineRule="auto"/>
        <w:rPr>
          <w:rFonts w:hint="eastAsia" w:ascii="宋体" w:hAnsi="宋体" w:eastAsia="宋体" w:cs="宋体"/>
          <w:b/>
          <w:color w:val="auto"/>
          <w:szCs w:val="21"/>
          <w:highlight w:val="none"/>
        </w:rPr>
      </w:pPr>
      <w:bookmarkStart w:id="1037" w:name="_Toc18349_WPSOffice_Level2"/>
    </w:p>
    <w:p w14:paraId="6DA0A979">
      <w:pPr>
        <w:tabs>
          <w:tab w:val="left" w:pos="585"/>
        </w:tabs>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商务：总分</w:t>
      </w:r>
      <w:r>
        <w:rPr>
          <w:rFonts w:hint="eastAsia" w:ascii="宋体" w:hAnsi="宋体" w:eastAsia="宋体" w:cs="宋体"/>
          <w:b/>
          <w:color w:val="auto"/>
          <w:szCs w:val="21"/>
          <w:highlight w:val="none"/>
          <w:lang w:val="en-US" w:eastAsia="zh-CN"/>
        </w:rPr>
        <w:t>35</w:t>
      </w:r>
      <w:r>
        <w:rPr>
          <w:rFonts w:hint="eastAsia" w:ascii="宋体" w:hAnsi="宋体" w:eastAsia="宋体" w:cs="宋体"/>
          <w:b/>
          <w:color w:val="auto"/>
          <w:szCs w:val="21"/>
          <w:highlight w:val="none"/>
          <w:lang w:val="zh-CN"/>
        </w:rPr>
        <w:t>分</w:t>
      </w:r>
      <w:bookmarkEnd w:id="1037"/>
    </w:p>
    <w:tbl>
      <w:tblPr>
        <w:tblStyle w:val="41"/>
        <w:tblW w:w="9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1280"/>
        <w:gridCol w:w="6890"/>
        <w:gridCol w:w="934"/>
      </w:tblGrid>
      <w:tr w14:paraId="5888F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15" w:type="dxa"/>
            <w:noWrap w:val="0"/>
            <w:vAlign w:val="center"/>
          </w:tcPr>
          <w:p w14:paraId="1133BC13">
            <w:pPr>
              <w:ind w:firstLine="0" w:firstLineChars="0"/>
              <w:jc w:val="center"/>
              <w:rPr>
                <w:rFonts w:hint="eastAsia" w:ascii="宋体" w:hAnsi="宋体" w:eastAsia="宋体" w:cs="宋体"/>
                <w:color w:val="auto"/>
                <w:szCs w:val="21"/>
              </w:rPr>
            </w:pPr>
            <w:r>
              <w:rPr>
                <w:rFonts w:hint="eastAsia" w:ascii="宋体" w:hAnsi="宋体" w:eastAsia="宋体" w:cs="宋体"/>
                <w:b/>
                <w:bCs/>
                <w:color w:val="auto"/>
                <w:szCs w:val="21"/>
              </w:rPr>
              <w:t>序号</w:t>
            </w:r>
          </w:p>
        </w:tc>
        <w:tc>
          <w:tcPr>
            <w:tcW w:w="1280" w:type="dxa"/>
            <w:noWrap w:val="0"/>
            <w:vAlign w:val="center"/>
          </w:tcPr>
          <w:p w14:paraId="4B5366D2">
            <w:pPr>
              <w:ind w:firstLine="0" w:firstLineChars="0"/>
              <w:jc w:val="center"/>
              <w:rPr>
                <w:rFonts w:hint="eastAsia" w:ascii="宋体" w:hAnsi="宋体" w:eastAsia="宋体" w:cs="宋体"/>
                <w:color w:val="auto"/>
                <w:szCs w:val="21"/>
              </w:rPr>
            </w:pPr>
            <w:r>
              <w:rPr>
                <w:rFonts w:hint="eastAsia" w:ascii="宋体" w:hAnsi="宋体" w:eastAsia="宋体" w:cs="宋体"/>
                <w:b/>
                <w:bCs/>
                <w:color w:val="auto"/>
                <w:szCs w:val="21"/>
              </w:rPr>
              <w:t>评标项目</w:t>
            </w:r>
          </w:p>
        </w:tc>
        <w:tc>
          <w:tcPr>
            <w:tcW w:w="6890" w:type="dxa"/>
            <w:noWrap w:val="0"/>
            <w:vAlign w:val="center"/>
          </w:tcPr>
          <w:p w14:paraId="03794970">
            <w:pPr>
              <w:ind w:firstLine="0" w:firstLineChars="0"/>
              <w:jc w:val="center"/>
              <w:rPr>
                <w:rFonts w:hint="eastAsia" w:ascii="宋体" w:hAnsi="宋体" w:eastAsia="宋体" w:cs="宋体"/>
                <w:b/>
                <w:bCs/>
                <w:color w:val="auto"/>
                <w:szCs w:val="21"/>
              </w:rPr>
            </w:pPr>
            <w:r>
              <w:rPr>
                <w:rFonts w:hint="eastAsia" w:ascii="宋体" w:hAnsi="宋体" w:eastAsia="宋体" w:cs="宋体"/>
                <w:b/>
                <w:bCs/>
                <w:color w:val="auto"/>
                <w:szCs w:val="21"/>
              </w:rPr>
              <w:t>评分标准</w:t>
            </w:r>
          </w:p>
        </w:tc>
        <w:tc>
          <w:tcPr>
            <w:tcW w:w="934" w:type="dxa"/>
            <w:noWrap w:val="0"/>
            <w:vAlign w:val="center"/>
          </w:tcPr>
          <w:p w14:paraId="70636976">
            <w:pPr>
              <w:ind w:firstLine="0" w:firstLineChars="0"/>
              <w:jc w:val="center"/>
              <w:rPr>
                <w:rFonts w:hint="eastAsia" w:ascii="宋体" w:hAnsi="宋体" w:eastAsia="宋体" w:cs="宋体"/>
                <w:b/>
                <w:bCs/>
                <w:color w:val="auto"/>
                <w:szCs w:val="21"/>
              </w:rPr>
            </w:pPr>
            <w:r>
              <w:rPr>
                <w:rFonts w:hint="eastAsia" w:ascii="宋体" w:hAnsi="宋体" w:eastAsia="宋体" w:cs="宋体"/>
                <w:b/>
                <w:bCs/>
                <w:color w:val="auto"/>
                <w:szCs w:val="21"/>
              </w:rPr>
              <w:t>满分值</w:t>
            </w:r>
          </w:p>
        </w:tc>
      </w:tr>
      <w:tr w14:paraId="2311C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14:paraId="29810FB2">
            <w:pPr>
              <w:ind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1280" w:type="dxa"/>
            <w:noWrap w:val="0"/>
            <w:vAlign w:val="center"/>
          </w:tcPr>
          <w:p w14:paraId="07AC31F2">
            <w:pPr>
              <w:ind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财务状况</w:t>
            </w:r>
          </w:p>
        </w:tc>
        <w:tc>
          <w:tcPr>
            <w:tcW w:w="6890" w:type="dxa"/>
            <w:noWrap w:val="0"/>
            <w:vAlign w:val="center"/>
          </w:tcPr>
          <w:p w14:paraId="0E846502">
            <w:pPr>
              <w:adjustRightInd/>
              <w:spacing w:line="360" w:lineRule="auto"/>
              <w:ind w:firstLine="0" w:firstLineChars="0"/>
              <w:jc w:val="both"/>
              <w:rPr>
                <w:rFonts w:hint="eastAsia" w:ascii="宋体" w:hAnsi="宋体" w:eastAsia="宋体" w:cs="宋体"/>
                <w:color w:val="auto"/>
                <w:szCs w:val="21"/>
              </w:rPr>
            </w:pPr>
            <w:r>
              <w:rPr>
                <w:rFonts w:hint="eastAsia" w:ascii="宋体" w:hAnsi="宋体" w:eastAsia="宋体" w:cs="宋体"/>
                <w:color w:val="auto"/>
                <w:szCs w:val="21"/>
              </w:rPr>
              <w:t>投标人202</w:t>
            </w:r>
            <w:r>
              <w:rPr>
                <w:rFonts w:hint="eastAsia" w:ascii="宋体" w:hAnsi="宋体" w:eastAsia="宋体" w:cs="宋体"/>
                <w:color w:val="auto"/>
                <w:szCs w:val="21"/>
                <w:lang w:val="en-US" w:eastAsia="zh-CN"/>
              </w:rPr>
              <w:t>2</w:t>
            </w:r>
            <w:r>
              <w:rPr>
                <w:rFonts w:hint="eastAsia" w:ascii="宋体" w:hAnsi="宋体" w:eastAsia="宋体" w:cs="宋体"/>
                <w:color w:val="auto"/>
                <w:szCs w:val="21"/>
              </w:rPr>
              <w:t>年-202</w:t>
            </w:r>
            <w:r>
              <w:rPr>
                <w:rFonts w:hint="eastAsia" w:ascii="宋体" w:hAnsi="宋体" w:eastAsia="宋体" w:cs="宋体"/>
                <w:color w:val="auto"/>
                <w:szCs w:val="21"/>
                <w:lang w:val="en-US" w:eastAsia="zh-CN"/>
              </w:rPr>
              <w:t>4</w:t>
            </w:r>
            <w:r>
              <w:rPr>
                <w:rFonts w:hint="eastAsia" w:ascii="宋体" w:hAnsi="宋体" w:eastAsia="宋体" w:cs="宋体"/>
                <w:color w:val="auto"/>
                <w:szCs w:val="21"/>
              </w:rPr>
              <w:t>年三个年度，每具有1个年度为盈利的得1分，满分3分。</w:t>
            </w:r>
          </w:p>
          <w:p w14:paraId="66954417">
            <w:pPr>
              <w:spacing w:line="360" w:lineRule="auto"/>
              <w:ind w:firstLine="0" w:firstLineChars="0"/>
              <w:rPr>
                <w:rFonts w:hint="eastAsia" w:ascii="宋体" w:hAnsi="宋体" w:eastAsia="宋体" w:cs="宋体"/>
                <w:b/>
                <w:color w:val="auto"/>
                <w:szCs w:val="21"/>
              </w:rPr>
            </w:pPr>
            <w:r>
              <w:rPr>
                <w:rFonts w:hint="eastAsia" w:ascii="宋体" w:hAnsi="宋体" w:eastAsia="宋体" w:cs="宋体"/>
                <w:b/>
                <w:color w:val="auto"/>
                <w:szCs w:val="21"/>
              </w:rPr>
              <w:t>备注：</w:t>
            </w:r>
          </w:p>
          <w:p w14:paraId="07CB2C31">
            <w:pPr>
              <w:spacing w:line="360" w:lineRule="auto"/>
              <w:ind w:firstLine="0" w:firstLineChars="0"/>
              <w:rPr>
                <w:rFonts w:hint="eastAsia" w:ascii="宋体" w:hAnsi="宋体" w:eastAsia="宋体" w:cs="宋体"/>
                <w:b/>
                <w:color w:val="auto"/>
                <w:szCs w:val="21"/>
              </w:rPr>
            </w:pPr>
            <w:r>
              <w:rPr>
                <w:rFonts w:hint="eastAsia" w:ascii="宋体" w:hAnsi="宋体" w:eastAsia="宋体" w:cs="宋体"/>
                <w:bCs/>
                <w:color w:val="auto"/>
                <w:szCs w:val="21"/>
              </w:rPr>
              <w:t>盈利指净利润为正数（非零、非负数），</w:t>
            </w:r>
            <w:r>
              <w:rPr>
                <w:rFonts w:hint="eastAsia" w:ascii="宋体" w:hAnsi="宋体" w:eastAsia="宋体" w:cs="宋体"/>
                <w:bCs/>
                <w:color w:val="auto"/>
                <w:szCs w:val="21"/>
                <w:lang w:val="en-US" w:eastAsia="zh-CN"/>
              </w:rPr>
              <w:t>投标人应提供2022年、2023年、2024年三个年度的财务报表，净利润</w:t>
            </w:r>
            <w:r>
              <w:rPr>
                <w:rFonts w:hint="eastAsia" w:ascii="宋体" w:hAnsi="宋体" w:eastAsia="宋体" w:cs="宋体"/>
                <w:bCs/>
                <w:color w:val="auto"/>
                <w:szCs w:val="21"/>
              </w:rPr>
              <w:t>以经审计的财务报表为准，</w:t>
            </w:r>
            <w:r>
              <w:rPr>
                <w:rFonts w:hint="eastAsia" w:ascii="宋体" w:hAnsi="宋体" w:eastAsia="宋体" w:cs="宋体"/>
                <w:bCs/>
                <w:color w:val="auto"/>
                <w:szCs w:val="21"/>
                <w:lang w:val="en-US" w:eastAsia="zh-CN"/>
              </w:rPr>
              <w:t>应</w:t>
            </w:r>
            <w:r>
              <w:rPr>
                <w:rFonts w:hint="eastAsia" w:ascii="宋体" w:hAnsi="宋体" w:eastAsia="宋体" w:cs="宋体"/>
                <w:bCs/>
                <w:color w:val="auto"/>
                <w:szCs w:val="21"/>
              </w:rPr>
              <w:t>提供经独立会计师事务所审计过的有效财务报表</w:t>
            </w:r>
            <w:r>
              <w:rPr>
                <w:rFonts w:hint="eastAsia" w:ascii="宋体" w:hAnsi="宋体" w:eastAsia="宋体" w:cs="宋体"/>
                <w:bCs/>
                <w:color w:val="auto"/>
                <w:szCs w:val="21"/>
                <w:lang w:val="en-US" w:eastAsia="zh-CN"/>
              </w:rPr>
              <w:t>原件扫描</w:t>
            </w:r>
            <w:r>
              <w:rPr>
                <w:rFonts w:hint="eastAsia" w:ascii="宋体" w:hAnsi="宋体" w:eastAsia="宋体" w:cs="宋体"/>
                <w:bCs/>
                <w:color w:val="auto"/>
                <w:szCs w:val="21"/>
              </w:rPr>
              <w:t>件，未提供前述财务报表或财务报表未能反映净利润的，不得分。</w:t>
            </w:r>
          </w:p>
        </w:tc>
        <w:tc>
          <w:tcPr>
            <w:tcW w:w="934" w:type="dxa"/>
            <w:noWrap w:val="0"/>
            <w:vAlign w:val="center"/>
          </w:tcPr>
          <w:p w14:paraId="1F1DA5D8">
            <w:pPr>
              <w:ind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3分</w:t>
            </w:r>
          </w:p>
        </w:tc>
      </w:tr>
      <w:tr w14:paraId="7F0E2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14:paraId="4C688129">
            <w:pPr>
              <w:ind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1280" w:type="dxa"/>
            <w:noWrap w:val="0"/>
            <w:vAlign w:val="center"/>
          </w:tcPr>
          <w:p w14:paraId="743106D0">
            <w:pPr>
              <w:ind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标准化程度</w:t>
            </w:r>
          </w:p>
          <w:p w14:paraId="07123AEF">
            <w:pPr>
              <w:ind w:firstLine="0" w:firstLineChars="0"/>
              <w:jc w:val="center"/>
              <w:rPr>
                <w:rFonts w:hint="eastAsia" w:ascii="宋体" w:hAnsi="宋体" w:eastAsia="宋体" w:cs="宋体"/>
                <w:color w:val="auto"/>
                <w:szCs w:val="21"/>
              </w:rPr>
            </w:pPr>
          </w:p>
        </w:tc>
        <w:tc>
          <w:tcPr>
            <w:tcW w:w="6890" w:type="dxa"/>
            <w:noWrap w:val="0"/>
            <w:vAlign w:val="center"/>
          </w:tcPr>
          <w:p w14:paraId="6AD92050">
            <w:pPr>
              <w:adjustRightInd/>
              <w:spacing w:line="360" w:lineRule="auto"/>
              <w:ind w:firstLine="0" w:firstLineChars="0"/>
              <w:jc w:val="both"/>
              <w:rPr>
                <w:rFonts w:hint="eastAsia" w:ascii="宋体" w:hAnsi="宋体" w:eastAsia="宋体" w:cs="宋体"/>
                <w:color w:val="auto"/>
                <w:kern w:val="2"/>
                <w:szCs w:val="21"/>
              </w:rPr>
            </w:pPr>
            <w:r>
              <w:rPr>
                <w:rFonts w:hint="eastAsia" w:ascii="宋体" w:hAnsi="宋体" w:eastAsia="宋体" w:cs="宋体"/>
                <w:color w:val="auto"/>
                <w:kern w:val="2"/>
                <w:szCs w:val="21"/>
              </w:rPr>
              <w:t>（1）投标人具有有效期内的ISO9001质量管理体系认证证书得1分；</w:t>
            </w:r>
          </w:p>
          <w:p w14:paraId="502509B3">
            <w:pPr>
              <w:adjustRightInd/>
              <w:spacing w:line="360" w:lineRule="auto"/>
              <w:ind w:firstLine="0" w:firstLineChars="0"/>
              <w:jc w:val="both"/>
              <w:rPr>
                <w:rFonts w:hint="eastAsia" w:ascii="宋体" w:hAnsi="宋体" w:eastAsia="宋体" w:cs="宋体"/>
                <w:color w:val="auto"/>
                <w:kern w:val="2"/>
                <w:szCs w:val="21"/>
              </w:rPr>
            </w:pPr>
            <w:r>
              <w:rPr>
                <w:rFonts w:hint="eastAsia" w:ascii="宋体" w:hAnsi="宋体" w:eastAsia="宋体" w:cs="宋体"/>
                <w:bCs/>
                <w:color w:val="auto"/>
                <w:kern w:val="2"/>
                <w:szCs w:val="21"/>
              </w:rPr>
              <w:t>（2）投标人具有有效期内的ISO14001环境管理体系认证证书得</w:t>
            </w:r>
            <w:r>
              <w:rPr>
                <w:rFonts w:hint="eastAsia" w:ascii="宋体" w:hAnsi="宋体" w:eastAsia="宋体" w:cs="宋体"/>
                <w:color w:val="auto"/>
                <w:kern w:val="2"/>
                <w:szCs w:val="21"/>
              </w:rPr>
              <w:t>1分；</w:t>
            </w:r>
          </w:p>
          <w:p w14:paraId="5D154533">
            <w:pPr>
              <w:adjustRightInd/>
              <w:spacing w:line="360" w:lineRule="auto"/>
              <w:ind w:firstLine="0" w:firstLineChars="0"/>
              <w:jc w:val="both"/>
              <w:rPr>
                <w:rFonts w:hint="eastAsia" w:ascii="宋体" w:hAnsi="宋体" w:eastAsia="宋体" w:cs="宋体"/>
                <w:color w:val="auto"/>
                <w:kern w:val="2"/>
                <w:szCs w:val="21"/>
              </w:rPr>
            </w:pPr>
            <w:r>
              <w:rPr>
                <w:rFonts w:hint="eastAsia" w:ascii="宋体" w:hAnsi="宋体" w:eastAsia="宋体" w:cs="宋体"/>
                <w:color w:val="auto"/>
                <w:kern w:val="2"/>
                <w:szCs w:val="21"/>
              </w:rPr>
              <w:t>（3）投标人具有有效期内的OHSAS18001（或GB/T45001-2020，或ISO45001）职业健康安全管理体系认证证书得1分。</w:t>
            </w:r>
          </w:p>
          <w:p w14:paraId="00E93612">
            <w:pPr>
              <w:snapToGrid w:val="0"/>
              <w:spacing w:line="360" w:lineRule="auto"/>
              <w:ind w:firstLine="0" w:firstLineChars="0"/>
              <w:rPr>
                <w:rFonts w:hint="eastAsia" w:ascii="宋体" w:hAnsi="宋体" w:eastAsia="宋体" w:cs="宋体"/>
                <w:b/>
                <w:bCs/>
                <w:color w:val="auto"/>
                <w:szCs w:val="21"/>
              </w:rPr>
            </w:pPr>
            <w:r>
              <w:rPr>
                <w:rFonts w:hint="eastAsia" w:ascii="宋体" w:hAnsi="宋体" w:eastAsia="宋体" w:cs="宋体"/>
                <w:b/>
                <w:bCs/>
                <w:color w:val="auto"/>
                <w:szCs w:val="21"/>
              </w:rPr>
              <w:t>备注：</w:t>
            </w:r>
          </w:p>
          <w:p w14:paraId="2DF6883E">
            <w:pPr>
              <w:snapToGrid w:val="0"/>
              <w:spacing w:line="360" w:lineRule="auto"/>
              <w:ind w:firstLine="0" w:firstLineChars="0"/>
              <w:rPr>
                <w:rFonts w:hint="eastAsia" w:ascii="宋体" w:hAnsi="宋体" w:eastAsia="宋体" w:cs="宋体"/>
                <w:color w:val="auto"/>
                <w:szCs w:val="21"/>
              </w:rPr>
            </w:pPr>
            <w:r>
              <w:rPr>
                <w:rFonts w:hint="eastAsia" w:ascii="宋体" w:hAnsi="宋体" w:eastAsia="宋体" w:cs="宋体"/>
                <w:color w:val="auto"/>
                <w:szCs w:val="21"/>
              </w:rPr>
              <w:t>投标人应提供上述证书</w:t>
            </w:r>
            <w:r>
              <w:rPr>
                <w:rFonts w:hint="eastAsia" w:ascii="宋体" w:hAnsi="宋体" w:eastAsia="宋体" w:cs="宋体"/>
                <w:color w:val="auto"/>
                <w:szCs w:val="21"/>
                <w:lang w:val="en-US" w:eastAsia="zh-CN"/>
              </w:rPr>
              <w:t>原件扫描</w:t>
            </w:r>
            <w:r>
              <w:rPr>
                <w:rFonts w:hint="eastAsia" w:ascii="宋体" w:hAnsi="宋体" w:eastAsia="宋体" w:cs="宋体"/>
                <w:color w:val="auto"/>
                <w:szCs w:val="21"/>
              </w:rPr>
              <w:t>件及</w:t>
            </w:r>
            <w:r>
              <w:rPr>
                <w:rFonts w:hint="eastAsia" w:ascii="宋体" w:hAnsi="宋体" w:eastAsia="宋体" w:cs="宋体"/>
                <w:color w:val="auto"/>
                <w:szCs w:val="21"/>
                <w:lang w:val="en-US" w:eastAsia="zh-CN"/>
              </w:rPr>
              <w:t>能显示证书有效状态的</w:t>
            </w:r>
            <w:r>
              <w:rPr>
                <w:rFonts w:hint="eastAsia" w:ascii="宋体" w:hAnsi="宋体" w:eastAsia="宋体" w:cs="宋体"/>
                <w:color w:val="auto"/>
                <w:szCs w:val="21"/>
              </w:rPr>
              <w:t>全国认证认可信息公共服务平台（http://cx.cnca.cn/)查询</w:t>
            </w:r>
            <w:r>
              <w:rPr>
                <w:rFonts w:hint="eastAsia" w:ascii="宋体" w:hAnsi="宋体" w:eastAsia="宋体" w:cs="宋体"/>
                <w:color w:val="auto"/>
                <w:szCs w:val="21"/>
                <w:lang w:val="en-US" w:eastAsia="zh-CN"/>
              </w:rPr>
              <w:t>结果凭证{凭证界面需显示有“全国认证认可信息公共服务平台”或“认证证书（需显示网址</w:t>
            </w:r>
            <w:r>
              <w:rPr>
                <w:rFonts w:hint="eastAsia" w:ascii="宋体" w:hAnsi="宋体" w:eastAsia="宋体" w:cs="宋体"/>
                <w:color w:val="auto"/>
                <w:szCs w:val="21"/>
              </w:rPr>
              <w:t>cx.cnca.cn</w:t>
            </w:r>
            <w:r>
              <w:rPr>
                <w:rFonts w:hint="eastAsia" w:ascii="宋体" w:hAnsi="宋体" w:eastAsia="宋体" w:cs="宋体"/>
                <w:color w:val="auto"/>
                <w:szCs w:val="21"/>
                <w:lang w:val="en-US" w:eastAsia="zh-CN"/>
              </w:rPr>
              <w:t>）”}，</w:t>
            </w:r>
            <w:r>
              <w:rPr>
                <w:rFonts w:hint="eastAsia" w:ascii="宋体" w:hAnsi="宋体" w:eastAsia="宋体" w:cs="宋体"/>
                <w:color w:val="auto"/>
                <w:szCs w:val="21"/>
              </w:rPr>
              <w:t>否则不得分。</w:t>
            </w:r>
          </w:p>
        </w:tc>
        <w:tc>
          <w:tcPr>
            <w:tcW w:w="934" w:type="dxa"/>
            <w:noWrap w:val="0"/>
            <w:vAlign w:val="center"/>
          </w:tcPr>
          <w:p w14:paraId="4855A266">
            <w:pPr>
              <w:ind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3分</w:t>
            </w:r>
          </w:p>
        </w:tc>
      </w:tr>
      <w:tr w14:paraId="02242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14:paraId="124A5989">
            <w:pPr>
              <w:ind w:firstLine="0" w:firstLineChars="0"/>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280" w:type="dxa"/>
            <w:noWrap w:val="0"/>
            <w:vAlign w:val="center"/>
          </w:tcPr>
          <w:p w14:paraId="764E700B">
            <w:pPr>
              <w:ind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业绩</w:t>
            </w:r>
          </w:p>
        </w:tc>
        <w:tc>
          <w:tcPr>
            <w:tcW w:w="6890" w:type="dxa"/>
            <w:noWrap w:val="0"/>
            <w:vAlign w:val="center"/>
          </w:tcPr>
          <w:p w14:paraId="5BE54208">
            <w:pPr>
              <w:spacing w:line="360" w:lineRule="auto"/>
              <w:ind w:firstLine="0" w:firstLineChars="0"/>
              <w:rPr>
                <w:rFonts w:hint="eastAsia" w:ascii="宋体" w:hAnsi="宋体" w:eastAsia="宋体" w:cs="宋体"/>
                <w:color w:val="auto"/>
                <w:szCs w:val="21"/>
              </w:rPr>
            </w:pPr>
            <w:r>
              <w:rPr>
                <w:rFonts w:hint="eastAsia" w:ascii="宋体" w:hAnsi="宋体" w:eastAsia="宋体" w:cs="宋体"/>
                <w:color w:val="auto"/>
                <w:szCs w:val="21"/>
              </w:rPr>
              <w:t>（1）投标人202</w:t>
            </w:r>
            <w:r>
              <w:rPr>
                <w:rFonts w:hint="eastAsia" w:ascii="宋体" w:hAnsi="宋体" w:eastAsia="宋体" w:cs="宋体"/>
                <w:color w:val="auto"/>
                <w:szCs w:val="21"/>
                <w:lang w:val="en-US" w:eastAsia="zh-CN"/>
              </w:rPr>
              <w:t>2</w:t>
            </w:r>
            <w:r>
              <w:rPr>
                <w:rFonts w:hint="eastAsia" w:ascii="宋体" w:hAnsi="宋体" w:eastAsia="宋体" w:cs="宋体"/>
                <w:color w:val="auto"/>
                <w:szCs w:val="21"/>
              </w:rPr>
              <w:t>年</w:t>
            </w:r>
            <w:r>
              <w:rPr>
                <w:rFonts w:hint="eastAsia" w:ascii="宋体" w:hAnsi="宋体" w:eastAsia="宋体" w:cs="宋体"/>
                <w:color w:val="auto"/>
                <w:szCs w:val="21"/>
                <w:lang w:val="en-US" w:eastAsia="zh-CN"/>
              </w:rPr>
              <w:t>以来</w:t>
            </w:r>
            <w:r>
              <w:rPr>
                <w:rFonts w:hint="eastAsia" w:ascii="宋体" w:hAnsi="宋体" w:eastAsia="宋体" w:cs="宋体"/>
                <w:color w:val="auto"/>
                <w:szCs w:val="21"/>
              </w:rPr>
              <w:t>（签订合同的时间</w:t>
            </w:r>
            <w:r>
              <w:rPr>
                <w:rFonts w:hint="eastAsia" w:ascii="宋体" w:hAnsi="宋体" w:eastAsia="宋体" w:cs="宋体"/>
                <w:color w:val="auto"/>
                <w:szCs w:val="21"/>
                <w:lang w:val="en-US" w:eastAsia="zh-CN"/>
              </w:rPr>
              <w:t>要求为2022年</w:t>
            </w:r>
            <w:r>
              <w:rPr>
                <w:rFonts w:hint="eastAsia" w:ascii="宋体" w:hAnsi="宋体" w:eastAsia="宋体" w:cs="宋体"/>
                <w:color w:val="auto"/>
                <w:szCs w:val="21"/>
              </w:rPr>
              <w:t>1月1日或以后）承接的物业管理服务项目业绩进行评审，</w:t>
            </w:r>
            <w:r>
              <w:rPr>
                <w:rFonts w:hint="eastAsia" w:ascii="宋体" w:hAnsi="宋体" w:eastAsia="宋体" w:cs="宋体"/>
                <w:color w:val="auto"/>
                <w:szCs w:val="21"/>
                <w:lang w:val="en-US" w:eastAsia="zh-CN"/>
              </w:rPr>
              <w:t>本小项</w:t>
            </w:r>
            <w:r>
              <w:rPr>
                <w:rFonts w:hint="eastAsia" w:ascii="宋体" w:hAnsi="宋体" w:eastAsia="宋体" w:cs="宋体"/>
                <w:color w:val="auto"/>
                <w:szCs w:val="21"/>
              </w:rPr>
              <w:t>满分1</w:t>
            </w:r>
            <w:r>
              <w:rPr>
                <w:rFonts w:hint="eastAsia" w:ascii="宋体" w:hAnsi="宋体" w:eastAsia="宋体" w:cs="宋体"/>
                <w:color w:val="auto"/>
                <w:szCs w:val="21"/>
                <w:lang w:val="en-US" w:eastAsia="zh-CN"/>
              </w:rPr>
              <w:t>0</w:t>
            </w:r>
            <w:r>
              <w:rPr>
                <w:rFonts w:hint="eastAsia" w:ascii="宋体" w:hAnsi="宋体" w:eastAsia="宋体" w:cs="宋体"/>
                <w:color w:val="auto"/>
                <w:szCs w:val="21"/>
              </w:rPr>
              <w:t>分：</w:t>
            </w:r>
          </w:p>
          <w:p w14:paraId="7CA2AEBB">
            <w:pPr>
              <w:spacing w:line="360" w:lineRule="auto"/>
              <w:ind w:firstLine="0" w:firstLineChars="0"/>
              <w:rPr>
                <w:rFonts w:hint="eastAsia" w:ascii="宋体" w:hAnsi="宋体" w:eastAsia="宋体" w:cs="宋体"/>
                <w:color w:val="auto"/>
                <w:szCs w:val="21"/>
              </w:rPr>
            </w:pPr>
            <w:r>
              <w:rPr>
                <w:rFonts w:hint="eastAsia" w:ascii="宋体" w:hAnsi="宋体" w:eastAsia="宋体" w:cs="宋体"/>
                <w:color w:val="auto"/>
                <w:kern w:val="2"/>
                <w:szCs w:val="21"/>
                <w:lang w:val="zh-CN"/>
              </w:rPr>
              <w:t>①每提供一个【</w:t>
            </w:r>
            <w:r>
              <w:rPr>
                <w:rFonts w:hint="eastAsia" w:ascii="宋体" w:hAnsi="宋体" w:eastAsia="宋体" w:cs="宋体"/>
                <w:color w:val="auto"/>
                <w:kern w:val="2"/>
                <w:szCs w:val="21"/>
                <w:lang w:val="en-US" w:eastAsia="zh-CN"/>
              </w:rPr>
              <w:t>8</w:t>
            </w:r>
            <w:r>
              <w:rPr>
                <w:rFonts w:hint="eastAsia" w:ascii="宋体" w:hAnsi="宋体" w:eastAsia="宋体" w:cs="宋体"/>
                <w:color w:val="auto"/>
                <w:kern w:val="2"/>
                <w:szCs w:val="21"/>
              </w:rPr>
              <w:t>00</w:t>
            </w:r>
            <w:r>
              <w:rPr>
                <w:rFonts w:hint="eastAsia" w:ascii="宋体" w:hAnsi="宋体" w:eastAsia="宋体" w:cs="宋体"/>
                <w:color w:val="auto"/>
                <w:kern w:val="2"/>
                <w:szCs w:val="21"/>
                <w:lang w:val="zh-CN"/>
              </w:rPr>
              <w:t>万元≤</w:t>
            </w:r>
            <w:r>
              <w:rPr>
                <w:rFonts w:hint="eastAsia" w:ascii="宋体" w:hAnsi="宋体" w:eastAsia="宋体" w:cs="宋体"/>
                <w:color w:val="auto"/>
                <w:kern w:val="2"/>
                <w:szCs w:val="21"/>
              </w:rPr>
              <w:t>物业服务项目年度金额</w:t>
            </w:r>
            <w:r>
              <w:rPr>
                <w:rFonts w:hint="eastAsia" w:ascii="宋体" w:hAnsi="宋体" w:eastAsia="宋体" w:cs="宋体"/>
                <w:color w:val="auto"/>
                <w:kern w:val="2"/>
                <w:szCs w:val="21"/>
                <w:lang w:val="zh-CN"/>
              </w:rPr>
              <w:t>】</w:t>
            </w:r>
            <w:r>
              <w:rPr>
                <w:rFonts w:hint="eastAsia" w:ascii="宋体" w:hAnsi="宋体" w:eastAsia="宋体" w:cs="宋体"/>
                <w:color w:val="auto"/>
                <w:szCs w:val="21"/>
              </w:rPr>
              <w:t>的业绩，得</w:t>
            </w:r>
            <w:r>
              <w:rPr>
                <w:rFonts w:hint="eastAsia" w:ascii="宋体" w:hAnsi="宋体" w:eastAsia="宋体" w:cs="宋体"/>
                <w:color w:val="auto"/>
                <w:szCs w:val="21"/>
                <w:lang w:val="en-US" w:eastAsia="zh-CN"/>
              </w:rPr>
              <w:t>2</w:t>
            </w:r>
            <w:r>
              <w:rPr>
                <w:rFonts w:hint="eastAsia" w:ascii="宋体" w:hAnsi="宋体" w:eastAsia="宋体" w:cs="宋体"/>
                <w:color w:val="auto"/>
                <w:szCs w:val="21"/>
              </w:rPr>
              <w:t>分；</w:t>
            </w:r>
          </w:p>
          <w:p w14:paraId="567792BC">
            <w:pPr>
              <w:spacing w:line="360" w:lineRule="auto"/>
              <w:ind w:firstLine="0" w:firstLineChars="0"/>
              <w:rPr>
                <w:rFonts w:hint="eastAsia" w:ascii="宋体" w:hAnsi="宋体" w:eastAsia="宋体" w:cs="宋体"/>
                <w:color w:val="auto"/>
                <w:szCs w:val="21"/>
              </w:rPr>
            </w:pPr>
            <w:r>
              <w:rPr>
                <w:rFonts w:hint="eastAsia" w:ascii="宋体" w:hAnsi="宋体" w:eastAsia="宋体" w:cs="宋体"/>
                <w:color w:val="auto"/>
                <w:kern w:val="2"/>
                <w:szCs w:val="21"/>
                <w:lang w:val="zh-CN"/>
              </w:rPr>
              <w:t>②每提供一个【</w:t>
            </w:r>
            <w:r>
              <w:rPr>
                <w:rFonts w:hint="eastAsia" w:ascii="宋体" w:hAnsi="宋体" w:eastAsia="宋体" w:cs="宋体"/>
                <w:color w:val="auto"/>
                <w:kern w:val="2"/>
                <w:szCs w:val="21"/>
                <w:lang w:val="en-US" w:eastAsia="zh-CN"/>
              </w:rPr>
              <w:t>5</w:t>
            </w:r>
            <w:r>
              <w:rPr>
                <w:rFonts w:hint="eastAsia" w:ascii="宋体" w:hAnsi="宋体" w:eastAsia="宋体" w:cs="宋体"/>
                <w:color w:val="auto"/>
                <w:kern w:val="2"/>
                <w:szCs w:val="21"/>
              </w:rPr>
              <w:t>00</w:t>
            </w:r>
            <w:r>
              <w:rPr>
                <w:rFonts w:hint="eastAsia" w:ascii="宋体" w:hAnsi="宋体" w:eastAsia="宋体" w:cs="宋体"/>
                <w:color w:val="auto"/>
                <w:kern w:val="2"/>
                <w:szCs w:val="21"/>
                <w:lang w:val="zh-CN"/>
              </w:rPr>
              <w:t>万元≤</w:t>
            </w:r>
            <w:r>
              <w:rPr>
                <w:rFonts w:hint="eastAsia" w:ascii="宋体" w:hAnsi="宋体" w:eastAsia="宋体" w:cs="宋体"/>
                <w:color w:val="auto"/>
                <w:kern w:val="2"/>
                <w:szCs w:val="21"/>
              </w:rPr>
              <w:t>物业服务项目年度金额</w:t>
            </w:r>
            <w:r>
              <w:rPr>
                <w:rFonts w:hint="eastAsia" w:ascii="宋体" w:hAnsi="宋体" w:eastAsia="宋体" w:cs="宋体"/>
                <w:color w:val="auto"/>
                <w:kern w:val="2"/>
                <w:szCs w:val="21"/>
                <w:lang w:val="zh-CN"/>
              </w:rPr>
              <w:t>＜</w:t>
            </w:r>
            <w:r>
              <w:rPr>
                <w:rFonts w:hint="eastAsia" w:ascii="宋体" w:hAnsi="宋体" w:eastAsia="宋体" w:cs="宋体"/>
                <w:color w:val="auto"/>
                <w:kern w:val="2"/>
                <w:szCs w:val="21"/>
                <w:lang w:val="en-US" w:eastAsia="zh-CN"/>
              </w:rPr>
              <w:t>8</w:t>
            </w:r>
            <w:r>
              <w:rPr>
                <w:rFonts w:hint="eastAsia" w:ascii="宋体" w:hAnsi="宋体" w:eastAsia="宋体" w:cs="宋体"/>
                <w:color w:val="auto"/>
                <w:kern w:val="2"/>
                <w:szCs w:val="21"/>
              </w:rPr>
              <w:t>00</w:t>
            </w:r>
            <w:r>
              <w:rPr>
                <w:rFonts w:hint="eastAsia" w:ascii="宋体" w:hAnsi="宋体" w:eastAsia="宋体" w:cs="宋体"/>
                <w:color w:val="auto"/>
                <w:kern w:val="2"/>
                <w:szCs w:val="21"/>
                <w:lang w:val="zh-CN"/>
              </w:rPr>
              <w:t>万元】</w:t>
            </w:r>
            <w:r>
              <w:rPr>
                <w:rFonts w:hint="eastAsia" w:ascii="宋体" w:hAnsi="宋体" w:eastAsia="宋体" w:cs="宋体"/>
                <w:color w:val="auto"/>
                <w:szCs w:val="21"/>
              </w:rPr>
              <w:t>的业绩，得</w:t>
            </w:r>
            <w:r>
              <w:rPr>
                <w:rFonts w:hint="eastAsia" w:ascii="宋体" w:hAnsi="宋体" w:eastAsia="宋体" w:cs="宋体"/>
                <w:color w:val="auto"/>
                <w:szCs w:val="21"/>
                <w:lang w:val="en-US" w:eastAsia="zh-CN"/>
              </w:rPr>
              <w:t>1</w:t>
            </w:r>
            <w:r>
              <w:rPr>
                <w:rFonts w:hint="eastAsia" w:ascii="宋体" w:hAnsi="宋体" w:eastAsia="宋体" w:cs="宋体"/>
                <w:color w:val="auto"/>
                <w:szCs w:val="21"/>
              </w:rPr>
              <w:t>分；</w:t>
            </w:r>
          </w:p>
          <w:p w14:paraId="76B058F2">
            <w:pPr>
              <w:spacing w:line="360" w:lineRule="auto"/>
              <w:ind w:firstLine="0" w:firstLineChars="0"/>
              <w:rPr>
                <w:rFonts w:hint="eastAsia" w:ascii="宋体" w:hAnsi="宋体" w:eastAsia="宋体" w:cs="宋体"/>
                <w:color w:val="auto"/>
                <w:szCs w:val="21"/>
              </w:rPr>
            </w:pPr>
            <w:r>
              <w:rPr>
                <w:rFonts w:hint="eastAsia" w:ascii="宋体" w:hAnsi="宋体" w:eastAsia="宋体" w:cs="宋体"/>
                <w:color w:val="auto"/>
                <w:kern w:val="2"/>
                <w:szCs w:val="21"/>
                <w:lang w:val="zh-CN"/>
              </w:rPr>
              <w:t>③每提供一个【</w:t>
            </w:r>
            <w:r>
              <w:rPr>
                <w:rFonts w:hint="eastAsia" w:ascii="宋体" w:hAnsi="宋体" w:eastAsia="宋体" w:cs="宋体"/>
                <w:color w:val="auto"/>
                <w:kern w:val="2"/>
                <w:szCs w:val="21"/>
                <w:lang w:val="en-US" w:eastAsia="zh-CN"/>
              </w:rPr>
              <w:t>3</w:t>
            </w:r>
            <w:r>
              <w:rPr>
                <w:rFonts w:hint="eastAsia" w:ascii="宋体" w:hAnsi="宋体" w:eastAsia="宋体" w:cs="宋体"/>
                <w:color w:val="auto"/>
                <w:kern w:val="2"/>
                <w:szCs w:val="21"/>
              </w:rPr>
              <w:t>00</w:t>
            </w:r>
            <w:r>
              <w:rPr>
                <w:rFonts w:hint="eastAsia" w:ascii="宋体" w:hAnsi="宋体" w:eastAsia="宋体" w:cs="宋体"/>
                <w:color w:val="auto"/>
                <w:kern w:val="2"/>
                <w:szCs w:val="21"/>
                <w:lang w:val="zh-CN"/>
              </w:rPr>
              <w:t>万元≤</w:t>
            </w:r>
            <w:r>
              <w:rPr>
                <w:rFonts w:hint="eastAsia" w:ascii="宋体" w:hAnsi="宋体" w:eastAsia="宋体" w:cs="宋体"/>
                <w:color w:val="auto"/>
                <w:kern w:val="2"/>
                <w:szCs w:val="21"/>
              </w:rPr>
              <w:t>物业服务项目年度金额</w:t>
            </w:r>
            <w:r>
              <w:rPr>
                <w:rFonts w:hint="eastAsia" w:ascii="宋体" w:hAnsi="宋体" w:eastAsia="宋体" w:cs="宋体"/>
                <w:color w:val="auto"/>
                <w:kern w:val="2"/>
                <w:szCs w:val="21"/>
                <w:lang w:val="zh-CN"/>
              </w:rPr>
              <w:t>＜</w:t>
            </w:r>
            <w:r>
              <w:rPr>
                <w:rFonts w:hint="eastAsia" w:ascii="宋体" w:hAnsi="宋体" w:eastAsia="宋体" w:cs="宋体"/>
                <w:color w:val="auto"/>
                <w:kern w:val="2"/>
                <w:szCs w:val="21"/>
                <w:lang w:val="en-US" w:eastAsia="zh-CN"/>
              </w:rPr>
              <w:t>5</w:t>
            </w:r>
            <w:r>
              <w:rPr>
                <w:rFonts w:hint="eastAsia" w:ascii="宋体" w:hAnsi="宋体" w:eastAsia="宋体" w:cs="宋体"/>
                <w:color w:val="auto"/>
                <w:kern w:val="2"/>
                <w:szCs w:val="21"/>
              </w:rPr>
              <w:t>00</w:t>
            </w:r>
            <w:r>
              <w:rPr>
                <w:rFonts w:hint="eastAsia" w:ascii="宋体" w:hAnsi="宋体" w:eastAsia="宋体" w:cs="宋体"/>
                <w:color w:val="auto"/>
                <w:kern w:val="2"/>
                <w:szCs w:val="21"/>
                <w:lang w:val="zh-CN"/>
              </w:rPr>
              <w:t>万元】</w:t>
            </w:r>
            <w:r>
              <w:rPr>
                <w:rFonts w:hint="eastAsia" w:ascii="宋体" w:hAnsi="宋体" w:eastAsia="宋体" w:cs="宋体"/>
                <w:color w:val="auto"/>
                <w:szCs w:val="21"/>
              </w:rPr>
              <w:t>的业绩，得</w:t>
            </w:r>
            <w:r>
              <w:rPr>
                <w:rFonts w:hint="eastAsia" w:ascii="宋体" w:hAnsi="宋体" w:eastAsia="宋体" w:cs="宋体"/>
                <w:color w:val="auto"/>
                <w:szCs w:val="21"/>
                <w:lang w:val="en-US" w:eastAsia="zh-CN"/>
              </w:rPr>
              <w:t>0.5</w:t>
            </w:r>
            <w:r>
              <w:rPr>
                <w:rFonts w:hint="eastAsia" w:ascii="宋体" w:hAnsi="宋体" w:eastAsia="宋体" w:cs="宋体"/>
                <w:color w:val="auto"/>
                <w:szCs w:val="21"/>
              </w:rPr>
              <w:t>分。</w:t>
            </w:r>
          </w:p>
          <w:p w14:paraId="0D9FC2D0">
            <w:pPr>
              <w:spacing w:line="360" w:lineRule="auto"/>
              <w:ind w:firstLine="0" w:firstLineChars="0"/>
              <w:rPr>
                <w:rFonts w:hint="eastAsia" w:ascii="宋体" w:hAnsi="宋体" w:eastAsia="宋体" w:cs="宋体"/>
                <w:color w:val="auto"/>
                <w:szCs w:val="21"/>
              </w:rPr>
            </w:pPr>
            <w:r>
              <w:rPr>
                <w:rFonts w:hint="eastAsia" w:ascii="宋体" w:hAnsi="宋体" w:eastAsia="宋体" w:cs="宋体"/>
                <w:color w:val="auto"/>
                <w:szCs w:val="21"/>
              </w:rPr>
              <w:t>（2）投标人提供的上述第</w:t>
            </w:r>
            <w:r>
              <w:rPr>
                <w:rFonts w:hint="eastAsia" w:ascii="宋体" w:hAnsi="宋体" w:eastAsia="宋体" w:cs="宋体"/>
                <w:color w:val="auto"/>
                <w:szCs w:val="21"/>
                <w:lang w:eastAsia="zh-CN"/>
              </w:rPr>
              <w:t>（</w:t>
            </w:r>
            <w:r>
              <w:rPr>
                <w:rFonts w:hint="eastAsia" w:ascii="宋体" w:hAnsi="宋体" w:eastAsia="宋体" w:cs="宋体"/>
                <w:color w:val="auto"/>
                <w:szCs w:val="21"/>
              </w:rPr>
              <w:t>1</w:t>
            </w:r>
            <w:r>
              <w:rPr>
                <w:rFonts w:hint="eastAsia" w:ascii="宋体" w:hAnsi="宋体" w:eastAsia="宋体" w:cs="宋体"/>
                <w:color w:val="auto"/>
                <w:szCs w:val="21"/>
                <w:lang w:eastAsia="zh-CN"/>
              </w:rPr>
              <w:t>）</w:t>
            </w:r>
            <w:r>
              <w:rPr>
                <w:rFonts w:hint="eastAsia" w:ascii="宋体" w:hAnsi="宋体" w:eastAsia="宋体" w:cs="宋体"/>
                <w:color w:val="auto"/>
                <w:szCs w:val="21"/>
              </w:rPr>
              <w:t>项业绩为商务办公楼或写字楼[建筑面积</w:t>
            </w:r>
            <w:r>
              <w:rPr>
                <w:rFonts w:hint="eastAsia" w:ascii="宋体" w:hAnsi="宋体" w:eastAsia="宋体" w:cs="宋体"/>
                <w:color w:val="auto"/>
                <w:szCs w:val="21"/>
                <w:lang w:val="en-US" w:eastAsia="zh-CN"/>
              </w:rPr>
              <w:t>9</w:t>
            </w:r>
            <w:r>
              <w:rPr>
                <w:rFonts w:hint="eastAsia" w:ascii="宋体" w:hAnsi="宋体" w:eastAsia="宋体" w:cs="宋体"/>
                <w:color w:val="auto"/>
                <w:szCs w:val="21"/>
              </w:rPr>
              <w:t>万（含）平方米以上且建筑楼层不低于22层]物业管理服务项目业绩的，在上述得分基础上进行加分，本小项满分</w:t>
            </w:r>
            <w:r>
              <w:rPr>
                <w:rFonts w:hint="eastAsia" w:ascii="宋体" w:hAnsi="宋体" w:eastAsia="宋体" w:cs="宋体"/>
                <w:color w:val="auto"/>
                <w:szCs w:val="21"/>
                <w:lang w:val="en-US" w:eastAsia="zh-CN"/>
              </w:rPr>
              <w:t>15</w:t>
            </w:r>
            <w:r>
              <w:rPr>
                <w:rFonts w:hint="eastAsia" w:ascii="宋体" w:hAnsi="宋体" w:eastAsia="宋体" w:cs="宋体"/>
                <w:color w:val="auto"/>
                <w:szCs w:val="21"/>
              </w:rPr>
              <w:t>分：</w:t>
            </w:r>
          </w:p>
          <w:p w14:paraId="1BEDCE83">
            <w:pPr>
              <w:spacing w:line="360" w:lineRule="auto"/>
              <w:ind w:firstLine="0" w:firstLineChars="0"/>
              <w:rPr>
                <w:rFonts w:hint="eastAsia" w:ascii="宋体" w:hAnsi="宋体" w:eastAsia="宋体" w:cs="宋体"/>
                <w:color w:val="auto"/>
                <w:szCs w:val="21"/>
              </w:rPr>
            </w:pPr>
            <w:r>
              <w:rPr>
                <w:rFonts w:hint="eastAsia" w:ascii="宋体" w:hAnsi="宋体" w:eastAsia="宋体" w:cs="宋体"/>
                <w:color w:val="auto"/>
                <w:kern w:val="2"/>
                <w:szCs w:val="21"/>
                <w:lang w:val="zh-CN"/>
              </w:rPr>
              <w:t>①</w:t>
            </w:r>
            <w:r>
              <w:rPr>
                <w:rFonts w:hint="eastAsia" w:ascii="宋体" w:hAnsi="宋体" w:eastAsia="宋体" w:cs="宋体"/>
                <w:color w:val="auto"/>
                <w:szCs w:val="21"/>
              </w:rPr>
              <w:t>每项</w:t>
            </w:r>
            <w:r>
              <w:rPr>
                <w:rFonts w:hint="eastAsia" w:ascii="宋体" w:hAnsi="宋体" w:eastAsia="宋体" w:cs="宋体"/>
                <w:color w:val="auto"/>
                <w:kern w:val="2"/>
                <w:szCs w:val="21"/>
                <w:lang w:val="zh-CN"/>
              </w:rPr>
              <w:t>【</w:t>
            </w:r>
            <w:r>
              <w:rPr>
                <w:rFonts w:hint="eastAsia" w:ascii="宋体" w:hAnsi="宋体" w:eastAsia="宋体" w:cs="宋体"/>
                <w:color w:val="auto"/>
                <w:kern w:val="2"/>
                <w:szCs w:val="21"/>
                <w:lang w:val="en-US" w:eastAsia="zh-CN"/>
              </w:rPr>
              <w:t>8</w:t>
            </w:r>
            <w:r>
              <w:rPr>
                <w:rFonts w:hint="eastAsia" w:ascii="宋体" w:hAnsi="宋体" w:eastAsia="宋体" w:cs="宋体"/>
                <w:color w:val="auto"/>
                <w:kern w:val="2"/>
                <w:szCs w:val="21"/>
              </w:rPr>
              <w:t>00</w:t>
            </w:r>
            <w:r>
              <w:rPr>
                <w:rFonts w:hint="eastAsia" w:ascii="宋体" w:hAnsi="宋体" w:eastAsia="宋体" w:cs="宋体"/>
                <w:color w:val="auto"/>
                <w:kern w:val="2"/>
                <w:szCs w:val="21"/>
                <w:lang w:val="zh-CN"/>
              </w:rPr>
              <w:t>万元≤</w:t>
            </w:r>
            <w:r>
              <w:rPr>
                <w:rFonts w:hint="eastAsia" w:ascii="宋体" w:hAnsi="宋体" w:eastAsia="宋体" w:cs="宋体"/>
                <w:color w:val="auto"/>
                <w:kern w:val="2"/>
                <w:szCs w:val="21"/>
              </w:rPr>
              <w:t>物业服务项目年度金额</w:t>
            </w:r>
            <w:r>
              <w:rPr>
                <w:rFonts w:hint="eastAsia" w:ascii="宋体" w:hAnsi="宋体" w:eastAsia="宋体" w:cs="宋体"/>
                <w:color w:val="auto"/>
                <w:kern w:val="2"/>
                <w:szCs w:val="21"/>
                <w:lang w:val="zh-CN"/>
              </w:rPr>
              <w:t>】</w:t>
            </w:r>
            <w:r>
              <w:rPr>
                <w:rFonts w:hint="eastAsia" w:ascii="宋体" w:hAnsi="宋体" w:eastAsia="宋体" w:cs="宋体"/>
                <w:color w:val="auto"/>
                <w:szCs w:val="21"/>
              </w:rPr>
              <w:t>的业绩，加</w:t>
            </w:r>
            <w:r>
              <w:rPr>
                <w:rFonts w:hint="eastAsia" w:ascii="宋体" w:hAnsi="宋体" w:eastAsia="宋体" w:cs="宋体"/>
                <w:color w:val="auto"/>
                <w:szCs w:val="21"/>
                <w:lang w:val="en-US" w:eastAsia="zh-CN"/>
              </w:rPr>
              <w:t>3</w:t>
            </w:r>
            <w:r>
              <w:rPr>
                <w:rFonts w:hint="eastAsia" w:ascii="宋体" w:hAnsi="宋体" w:eastAsia="宋体" w:cs="宋体"/>
                <w:color w:val="auto"/>
                <w:szCs w:val="21"/>
              </w:rPr>
              <w:t>分；</w:t>
            </w:r>
          </w:p>
          <w:p w14:paraId="210C9595">
            <w:pPr>
              <w:spacing w:line="360" w:lineRule="auto"/>
              <w:ind w:firstLine="0" w:firstLineChars="0"/>
              <w:rPr>
                <w:rFonts w:hint="eastAsia" w:ascii="宋体" w:hAnsi="宋体" w:eastAsia="宋体" w:cs="宋体"/>
                <w:color w:val="auto"/>
                <w:szCs w:val="21"/>
              </w:rPr>
            </w:pPr>
            <w:r>
              <w:rPr>
                <w:rFonts w:hint="eastAsia" w:ascii="宋体" w:hAnsi="宋体" w:eastAsia="宋体" w:cs="宋体"/>
                <w:color w:val="auto"/>
                <w:kern w:val="2"/>
                <w:szCs w:val="21"/>
                <w:lang w:val="zh-CN"/>
              </w:rPr>
              <w:t>②</w:t>
            </w:r>
            <w:r>
              <w:rPr>
                <w:rFonts w:hint="eastAsia" w:ascii="宋体" w:hAnsi="宋体" w:eastAsia="宋体" w:cs="宋体"/>
                <w:color w:val="auto"/>
                <w:szCs w:val="21"/>
              </w:rPr>
              <w:t>每项</w:t>
            </w:r>
            <w:r>
              <w:rPr>
                <w:rFonts w:hint="eastAsia" w:ascii="宋体" w:hAnsi="宋体" w:eastAsia="宋体" w:cs="宋体"/>
                <w:color w:val="auto"/>
                <w:kern w:val="2"/>
                <w:szCs w:val="21"/>
                <w:lang w:val="zh-CN"/>
              </w:rPr>
              <w:t>【</w:t>
            </w:r>
            <w:r>
              <w:rPr>
                <w:rFonts w:hint="eastAsia" w:ascii="宋体" w:hAnsi="宋体" w:eastAsia="宋体" w:cs="宋体"/>
                <w:color w:val="auto"/>
                <w:kern w:val="2"/>
                <w:szCs w:val="21"/>
                <w:lang w:val="en-US" w:eastAsia="zh-CN"/>
              </w:rPr>
              <w:t>5</w:t>
            </w:r>
            <w:r>
              <w:rPr>
                <w:rFonts w:hint="eastAsia" w:ascii="宋体" w:hAnsi="宋体" w:eastAsia="宋体" w:cs="宋体"/>
                <w:color w:val="auto"/>
                <w:kern w:val="2"/>
                <w:szCs w:val="21"/>
              </w:rPr>
              <w:t>00</w:t>
            </w:r>
            <w:r>
              <w:rPr>
                <w:rFonts w:hint="eastAsia" w:ascii="宋体" w:hAnsi="宋体" w:eastAsia="宋体" w:cs="宋体"/>
                <w:color w:val="auto"/>
                <w:kern w:val="2"/>
                <w:szCs w:val="21"/>
                <w:lang w:val="zh-CN"/>
              </w:rPr>
              <w:t>万元≤</w:t>
            </w:r>
            <w:r>
              <w:rPr>
                <w:rFonts w:hint="eastAsia" w:ascii="宋体" w:hAnsi="宋体" w:eastAsia="宋体" w:cs="宋体"/>
                <w:color w:val="auto"/>
                <w:kern w:val="2"/>
                <w:szCs w:val="21"/>
              </w:rPr>
              <w:t>物业服务项目年度金额</w:t>
            </w:r>
            <w:r>
              <w:rPr>
                <w:rFonts w:hint="eastAsia" w:ascii="宋体" w:hAnsi="宋体" w:eastAsia="宋体" w:cs="宋体"/>
                <w:color w:val="auto"/>
                <w:kern w:val="2"/>
                <w:szCs w:val="21"/>
                <w:lang w:val="zh-CN"/>
              </w:rPr>
              <w:t>＜</w:t>
            </w:r>
            <w:r>
              <w:rPr>
                <w:rFonts w:hint="eastAsia" w:ascii="宋体" w:hAnsi="宋体" w:eastAsia="宋体" w:cs="宋体"/>
                <w:color w:val="auto"/>
                <w:kern w:val="2"/>
                <w:szCs w:val="21"/>
                <w:lang w:val="en-US" w:eastAsia="zh-CN"/>
              </w:rPr>
              <w:t>8</w:t>
            </w:r>
            <w:r>
              <w:rPr>
                <w:rFonts w:hint="eastAsia" w:ascii="宋体" w:hAnsi="宋体" w:eastAsia="宋体" w:cs="宋体"/>
                <w:color w:val="auto"/>
                <w:kern w:val="2"/>
                <w:szCs w:val="21"/>
              </w:rPr>
              <w:t>00</w:t>
            </w:r>
            <w:r>
              <w:rPr>
                <w:rFonts w:hint="eastAsia" w:ascii="宋体" w:hAnsi="宋体" w:eastAsia="宋体" w:cs="宋体"/>
                <w:color w:val="auto"/>
                <w:kern w:val="2"/>
                <w:szCs w:val="21"/>
                <w:lang w:val="zh-CN"/>
              </w:rPr>
              <w:t>万元】</w:t>
            </w:r>
            <w:r>
              <w:rPr>
                <w:rFonts w:hint="eastAsia" w:ascii="宋体" w:hAnsi="宋体" w:eastAsia="宋体" w:cs="宋体"/>
                <w:color w:val="auto"/>
                <w:szCs w:val="21"/>
              </w:rPr>
              <w:t>的业绩，加</w:t>
            </w:r>
            <w:r>
              <w:rPr>
                <w:rFonts w:hint="eastAsia" w:ascii="宋体" w:hAnsi="宋体" w:eastAsia="宋体" w:cs="宋体"/>
                <w:color w:val="auto"/>
                <w:szCs w:val="21"/>
                <w:lang w:val="en-US" w:eastAsia="zh-CN"/>
              </w:rPr>
              <w:t>2</w:t>
            </w:r>
            <w:r>
              <w:rPr>
                <w:rFonts w:hint="eastAsia" w:ascii="宋体" w:hAnsi="宋体" w:eastAsia="宋体" w:cs="宋体"/>
                <w:color w:val="auto"/>
                <w:szCs w:val="21"/>
              </w:rPr>
              <w:t>分；</w:t>
            </w:r>
          </w:p>
          <w:p w14:paraId="6ECC66B7">
            <w:pPr>
              <w:spacing w:line="360" w:lineRule="auto"/>
              <w:ind w:firstLine="0" w:firstLineChars="0"/>
              <w:rPr>
                <w:rFonts w:hint="eastAsia" w:ascii="宋体" w:hAnsi="宋体" w:eastAsia="宋体" w:cs="宋体"/>
                <w:color w:val="auto"/>
                <w:szCs w:val="21"/>
              </w:rPr>
            </w:pPr>
            <w:r>
              <w:rPr>
                <w:rFonts w:hint="eastAsia" w:ascii="宋体" w:hAnsi="宋体" w:eastAsia="宋体" w:cs="宋体"/>
                <w:color w:val="auto"/>
                <w:kern w:val="2"/>
                <w:szCs w:val="21"/>
                <w:lang w:val="zh-CN"/>
              </w:rPr>
              <w:t>③</w:t>
            </w:r>
            <w:r>
              <w:rPr>
                <w:rFonts w:hint="eastAsia" w:ascii="宋体" w:hAnsi="宋体" w:eastAsia="宋体" w:cs="宋体"/>
                <w:color w:val="auto"/>
                <w:szCs w:val="21"/>
              </w:rPr>
              <w:t>每项</w:t>
            </w:r>
            <w:r>
              <w:rPr>
                <w:rFonts w:hint="eastAsia" w:ascii="宋体" w:hAnsi="宋体" w:eastAsia="宋体" w:cs="宋体"/>
                <w:color w:val="auto"/>
                <w:kern w:val="2"/>
                <w:szCs w:val="21"/>
                <w:lang w:val="zh-CN"/>
              </w:rPr>
              <w:t>【</w:t>
            </w:r>
            <w:r>
              <w:rPr>
                <w:rFonts w:hint="eastAsia" w:ascii="宋体" w:hAnsi="宋体" w:eastAsia="宋体" w:cs="宋体"/>
                <w:color w:val="auto"/>
                <w:kern w:val="2"/>
                <w:szCs w:val="21"/>
                <w:lang w:val="en-US" w:eastAsia="zh-CN"/>
              </w:rPr>
              <w:t>3</w:t>
            </w:r>
            <w:r>
              <w:rPr>
                <w:rFonts w:hint="eastAsia" w:ascii="宋体" w:hAnsi="宋体" w:eastAsia="宋体" w:cs="宋体"/>
                <w:color w:val="auto"/>
                <w:kern w:val="2"/>
                <w:szCs w:val="21"/>
              </w:rPr>
              <w:t>00</w:t>
            </w:r>
            <w:r>
              <w:rPr>
                <w:rFonts w:hint="eastAsia" w:ascii="宋体" w:hAnsi="宋体" w:eastAsia="宋体" w:cs="宋体"/>
                <w:color w:val="auto"/>
                <w:kern w:val="2"/>
                <w:szCs w:val="21"/>
                <w:lang w:val="zh-CN"/>
              </w:rPr>
              <w:t>万元≤</w:t>
            </w:r>
            <w:r>
              <w:rPr>
                <w:rFonts w:hint="eastAsia" w:ascii="宋体" w:hAnsi="宋体" w:eastAsia="宋体" w:cs="宋体"/>
                <w:color w:val="auto"/>
                <w:kern w:val="2"/>
                <w:szCs w:val="21"/>
              </w:rPr>
              <w:t>物业服务项目年度金额</w:t>
            </w:r>
            <w:r>
              <w:rPr>
                <w:rFonts w:hint="eastAsia" w:ascii="宋体" w:hAnsi="宋体" w:eastAsia="宋体" w:cs="宋体"/>
                <w:color w:val="auto"/>
                <w:kern w:val="2"/>
                <w:szCs w:val="21"/>
                <w:lang w:val="zh-CN"/>
              </w:rPr>
              <w:t>＜</w:t>
            </w:r>
            <w:r>
              <w:rPr>
                <w:rFonts w:hint="eastAsia" w:ascii="宋体" w:hAnsi="宋体" w:eastAsia="宋体" w:cs="宋体"/>
                <w:color w:val="auto"/>
                <w:kern w:val="2"/>
                <w:szCs w:val="21"/>
                <w:lang w:val="en-US" w:eastAsia="zh-CN"/>
              </w:rPr>
              <w:t>5</w:t>
            </w:r>
            <w:r>
              <w:rPr>
                <w:rFonts w:hint="eastAsia" w:ascii="宋体" w:hAnsi="宋体" w:eastAsia="宋体" w:cs="宋体"/>
                <w:color w:val="auto"/>
                <w:kern w:val="2"/>
                <w:szCs w:val="21"/>
              </w:rPr>
              <w:t>00</w:t>
            </w:r>
            <w:r>
              <w:rPr>
                <w:rFonts w:hint="eastAsia" w:ascii="宋体" w:hAnsi="宋体" w:eastAsia="宋体" w:cs="宋体"/>
                <w:color w:val="auto"/>
                <w:kern w:val="2"/>
                <w:szCs w:val="21"/>
                <w:lang w:val="zh-CN"/>
              </w:rPr>
              <w:t>万元】</w:t>
            </w:r>
            <w:r>
              <w:rPr>
                <w:rFonts w:hint="eastAsia" w:ascii="宋体" w:hAnsi="宋体" w:eastAsia="宋体" w:cs="宋体"/>
                <w:color w:val="auto"/>
                <w:szCs w:val="21"/>
              </w:rPr>
              <w:t>的业绩，加</w:t>
            </w:r>
            <w:r>
              <w:rPr>
                <w:rFonts w:hint="eastAsia" w:ascii="宋体" w:hAnsi="宋体" w:eastAsia="宋体" w:cs="宋体"/>
                <w:color w:val="auto"/>
                <w:szCs w:val="21"/>
                <w:lang w:val="en-US" w:eastAsia="zh-CN"/>
              </w:rPr>
              <w:t>1</w:t>
            </w:r>
            <w:r>
              <w:rPr>
                <w:rFonts w:hint="eastAsia" w:ascii="宋体" w:hAnsi="宋体" w:eastAsia="宋体" w:cs="宋体"/>
                <w:color w:val="auto"/>
                <w:szCs w:val="21"/>
              </w:rPr>
              <w:t>分。</w:t>
            </w:r>
          </w:p>
          <w:p w14:paraId="0DED79B0">
            <w:pPr>
              <w:pStyle w:val="53"/>
              <w:spacing w:line="360" w:lineRule="auto"/>
              <w:ind w:left="0" w:firstLine="0" w:firstLineChars="0"/>
              <w:rPr>
                <w:rFonts w:hint="eastAsia" w:ascii="宋体" w:hAnsi="宋体" w:eastAsia="宋体" w:cs="宋体"/>
                <w:b/>
                <w:bCs/>
                <w:color w:val="auto"/>
                <w:szCs w:val="21"/>
              </w:rPr>
            </w:pPr>
            <w:r>
              <w:rPr>
                <w:rFonts w:hint="eastAsia" w:ascii="宋体" w:hAnsi="宋体" w:eastAsia="宋体" w:cs="宋体"/>
                <w:b/>
                <w:bCs/>
                <w:color w:val="auto"/>
                <w:szCs w:val="21"/>
              </w:rPr>
              <w:t>备注：</w:t>
            </w:r>
          </w:p>
          <w:p w14:paraId="1A61E77C">
            <w:pPr>
              <w:pStyle w:val="53"/>
              <w:spacing w:line="360" w:lineRule="auto"/>
              <w:ind w:left="0" w:firstLine="0" w:firstLineChars="0"/>
              <w:rPr>
                <w:rFonts w:hint="eastAsia" w:ascii="宋体" w:hAnsi="宋体" w:eastAsia="宋体" w:cs="宋体"/>
                <w:color w:val="auto"/>
                <w:szCs w:val="21"/>
                <w:lang w:val="en-US"/>
              </w:rPr>
            </w:pPr>
            <w:r>
              <w:rPr>
                <w:rFonts w:hint="eastAsia" w:ascii="宋体" w:hAnsi="宋体" w:eastAsia="宋体" w:cs="宋体"/>
                <w:color w:val="auto"/>
                <w:szCs w:val="21"/>
              </w:rPr>
              <w:t>（</w:t>
            </w:r>
            <w:r>
              <w:rPr>
                <w:rFonts w:hint="eastAsia" w:ascii="宋体" w:hAnsi="宋体" w:eastAsia="宋体" w:cs="宋体"/>
                <w:color w:val="auto"/>
                <w:szCs w:val="21"/>
                <w:lang w:val="en-US"/>
              </w:rPr>
              <w:t>1</w:t>
            </w:r>
            <w:r>
              <w:rPr>
                <w:rFonts w:hint="eastAsia" w:ascii="宋体" w:hAnsi="宋体" w:eastAsia="宋体" w:cs="宋体"/>
                <w:color w:val="auto"/>
                <w:szCs w:val="21"/>
              </w:rPr>
              <w:t>）</w:t>
            </w:r>
            <w:r>
              <w:rPr>
                <w:rFonts w:hint="eastAsia" w:ascii="宋体" w:hAnsi="宋体" w:eastAsia="宋体" w:cs="宋体"/>
                <w:color w:val="auto"/>
                <w:szCs w:val="21"/>
                <w:lang w:val="en-US"/>
              </w:rPr>
              <w:t>业绩须附合同</w:t>
            </w:r>
            <w:r>
              <w:rPr>
                <w:rFonts w:hint="eastAsia" w:ascii="宋体" w:hAnsi="宋体" w:eastAsia="宋体" w:cs="宋体"/>
                <w:color w:val="auto"/>
                <w:szCs w:val="21"/>
                <w:lang w:val="en-US" w:eastAsia="zh-CN"/>
              </w:rPr>
              <w:t>扫描</w:t>
            </w:r>
            <w:r>
              <w:rPr>
                <w:rFonts w:hint="eastAsia" w:ascii="宋体" w:hAnsi="宋体" w:eastAsia="宋体" w:cs="宋体"/>
                <w:color w:val="auto"/>
                <w:szCs w:val="21"/>
                <w:lang w:val="en-US"/>
              </w:rPr>
              <w:t>件（合同服务提供方为投标人），和</w:t>
            </w:r>
            <w:r>
              <w:rPr>
                <w:rFonts w:hint="eastAsia" w:ascii="宋体" w:hAnsi="宋体" w:eastAsia="宋体" w:cs="宋体"/>
                <w:color w:val="auto"/>
                <w:szCs w:val="21"/>
                <w:lang w:val="en-US" w:eastAsia="zh-CN"/>
              </w:rPr>
              <w:t>已服务的任意一张发票扫描件（发票开具日期须在本项目招标公告发布之日前）</w:t>
            </w:r>
            <w:r>
              <w:rPr>
                <w:rFonts w:hint="eastAsia" w:ascii="宋体" w:hAnsi="宋体" w:eastAsia="宋体" w:cs="宋体"/>
                <w:color w:val="auto"/>
                <w:szCs w:val="21"/>
                <w:lang w:val="en-US"/>
              </w:rPr>
              <w:t>，否则不得分。</w:t>
            </w:r>
          </w:p>
          <w:p w14:paraId="6B048655">
            <w:pPr>
              <w:pStyle w:val="53"/>
              <w:spacing w:line="360" w:lineRule="auto"/>
              <w:ind w:left="0" w:firstLine="0" w:firstLineChars="0"/>
              <w:rPr>
                <w:rFonts w:hint="eastAsia" w:ascii="宋体" w:hAnsi="宋体" w:eastAsia="宋体" w:cs="宋体"/>
                <w:color w:val="auto"/>
                <w:szCs w:val="21"/>
                <w:lang w:val="en-US"/>
              </w:rPr>
            </w:pPr>
            <w:r>
              <w:rPr>
                <w:rFonts w:hint="eastAsia" w:ascii="宋体" w:hAnsi="宋体" w:eastAsia="宋体" w:cs="宋体"/>
                <w:color w:val="auto"/>
                <w:szCs w:val="21"/>
              </w:rPr>
              <w:t>（</w:t>
            </w:r>
            <w:r>
              <w:rPr>
                <w:rFonts w:hint="eastAsia" w:ascii="宋体" w:hAnsi="宋体" w:eastAsia="宋体" w:cs="宋体"/>
                <w:color w:val="auto"/>
                <w:szCs w:val="21"/>
                <w:lang w:val="en-US"/>
              </w:rPr>
              <w:t>2</w:t>
            </w:r>
            <w:r>
              <w:rPr>
                <w:rFonts w:hint="eastAsia" w:ascii="宋体" w:hAnsi="宋体" w:eastAsia="宋体" w:cs="宋体"/>
                <w:color w:val="auto"/>
                <w:szCs w:val="21"/>
              </w:rPr>
              <w:t>）</w:t>
            </w:r>
            <w:r>
              <w:rPr>
                <w:rFonts w:hint="eastAsia" w:ascii="宋体" w:hAnsi="宋体" w:eastAsia="宋体" w:cs="宋体"/>
                <w:color w:val="auto"/>
                <w:szCs w:val="21"/>
                <w:lang w:val="en-US"/>
              </w:rPr>
              <w:t>合同必须能反映评分条件（合同签订日期、合同期限、合同金额、物业类型、</w:t>
            </w:r>
            <w:r>
              <w:rPr>
                <w:rFonts w:hint="eastAsia" w:ascii="宋体" w:hAnsi="宋体" w:eastAsia="宋体" w:cs="宋体"/>
                <w:bCs/>
                <w:color w:val="auto"/>
                <w:kern w:val="2"/>
              </w:rPr>
              <w:t>建筑面积平方数、</w:t>
            </w:r>
            <w:r>
              <w:rPr>
                <w:rFonts w:hint="eastAsia" w:ascii="宋体" w:hAnsi="宋体" w:eastAsia="宋体" w:cs="宋体"/>
                <w:bCs/>
                <w:color w:val="auto"/>
                <w:kern w:val="2"/>
                <w:lang w:val="en-US"/>
              </w:rPr>
              <w:t>建筑层数），</w:t>
            </w:r>
            <w:r>
              <w:rPr>
                <w:rFonts w:hint="eastAsia" w:ascii="宋体" w:hAnsi="宋体" w:eastAsia="宋体" w:cs="宋体"/>
                <w:color w:val="auto"/>
                <w:szCs w:val="21"/>
                <w:lang w:val="en-US"/>
              </w:rPr>
              <w:t>合同服务内容必须为物业管理服务且同时包含</w:t>
            </w:r>
            <w:r>
              <w:rPr>
                <w:rFonts w:hint="eastAsia" w:ascii="宋体" w:hAnsi="宋体" w:eastAsia="宋体" w:cs="宋体"/>
                <w:color w:val="auto"/>
                <w:szCs w:val="21"/>
              </w:rPr>
              <w:t>保洁</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或清洁或环境卫生</w:t>
            </w:r>
            <w:r>
              <w:rPr>
                <w:rFonts w:hint="eastAsia" w:ascii="宋体" w:hAnsi="宋体" w:eastAsia="宋体" w:cs="宋体"/>
                <w:color w:val="auto"/>
                <w:szCs w:val="21"/>
                <w:lang w:eastAsia="zh-CN"/>
              </w:rPr>
              <w:t>）</w:t>
            </w:r>
            <w:r>
              <w:rPr>
                <w:rFonts w:hint="eastAsia" w:ascii="宋体" w:hAnsi="宋体" w:eastAsia="宋体" w:cs="宋体"/>
                <w:color w:val="auto"/>
                <w:szCs w:val="21"/>
              </w:rPr>
              <w:t>及保安</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或安保或秩序维护</w:t>
            </w:r>
            <w:r>
              <w:rPr>
                <w:rFonts w:hint="eastAsia" w:ascii="宋体" w:hAnsi="宋体" w:eastAsia="宋体" w:cs="宋体"/>
                <w:color w:val="auto"/>
                <w:szCs w:val="21"/>
                <w:lang w:eastAsia="zh-CN"/>
              </w:rPr>
              <w:t>）</w:t>
            </w:r>
            <w:r>
              <w:rPr>
                <w:rFonts w:hint="eastAsia" w:ascii="宋体" w:hAnsi="宋体" w:eastAsia="宋体" w:cs="宋体"/>
                <w:color w:val="auto"/>
                <w:szCs w:val="21"/>
              </w:rPr>
              <w:t>服务</w:t>
            </w:r>
            <w:r>
              <w:rPr>
                <w:rFonts w:hint="eastAsia" w:ascii="宋体" w:hAnsi="宋体" w:eastAsia="宋体" w:cs="宋体"/>
                <w:color w:val="auto"/>
                <w:szCs w:val="21"/>
                <w:lang w:val="en-US"/>
              </w:rPr>
              <w:t>，否则，需同时提供服务发包人</w:t>
            </w:r>
            <w:r>
              <w:rPr>
                <w:rFonts w:hint="eastAsia" w:ascii="宋体" w:hAnsi="宋体" w:eastAsia="宋体" w:cs="宋体"/>
                <w:color w:val="auto"/>
                <w:szCs w:val="21"/>
                <w:lang w:val="en-US" w:eastAsia="zh-CN"/>
              </w:rPr>
              <w:t>（业主）出具的书面文件扫描件</w:t>
            </w:r>
            <w:r>
              <w:rPr>
                <w:rFonts w:hint="eastAsia" w:ascii="宋体" w:hAnsi="宋体" w:eastAsia="宋体" w:cs="宋体"/>
                <w:color w:val="auto"/>
                <w:szCs w:val="21"/>
                <w:lang w:val="en-US"/>
              </w:rPr>
              <w:t>（需加盖服务发包人公章，即</w:t>
            </w:r>
            <w:r>
              <w:rPr>
                <w:rFonts w:hint="eastAsia" w:ascii="宋体" w:hAnsi="宋体" w:eastAsia="宋体" w:cs="宋体"/>
                <w:color w:val="auto"/>
                <w:szCs w:val="21"/>
                <w:lang w:val="en-US" w:eastAsia="zh-CN"/>
              </w:rPr>
              <w:t>扫描</w:t>
            </w:r>
            <w:r>
              <w:rPr>
                <w:rFonts w:hint="eastAsia" w:ascii="宋体" w:hAnsi="宋体" w:eastAsia="宋体" w:cs="宋体"/>
                <w:color w:val="auto"/>
                <w:szCs w:val="21"/>
                <w:lang w:val="en-US"/>
              </w:rPr>
              <w:t>件能显示服务发包人公章）</w:t>
            </w:r>
            <w:r>
              <w:rPr>
                <w:rFonts w:hint="eastAsia" w:ascii="宋体" w:hAnsi="宋体" w:eastAsia="宋体" w:cs="宋体"/>
                <w:color w:val="auto"/>
                <w:szCs w:val="21"/>
                <w:lang w:val="en-US" w:eastAsia="zh-CN"/>
              </w:rPr>
              <w:t>或</w:t>
            </w:r>
            <w:r>
              <w:rPr>
                <w:rFonts w:hint="eastAsia" w:ascii="宋体" w:hAnsi="宋体" w:eastAsia="宋体" w:cs="宋体"/>
                <w:color w:val="auto"/>
                <w:szCs w:val="21"/>
                <w:lang w:val="en-US"/>
              </w:rPr>
              <w:t>发包人</w:t>
            </w:r>
            <w:r>
              <w:rPr>
                <w:rFonts w:hint="eastAsia" w:ascii="宋体" w:hAnsi="宋体" w:eastAsia="宋体" w:cs="宋体"/>
                <w:color w:val="auto"/>
                <w:szCs w:val="21"/>
                <w:lang w:val="en-US" w:eastAsia="zh-CN"/>
              </w:rPr>
              <w:t>（业主）加盖公章反映条件的招标文件扫描件或政府部门</w:t>
            </w:r>
            <w:r>
              <w:rPr>
                <w:rFonts w:hint="eastAsia" w:ascii="宋体" w:hAnsi="宋体" w:eastAsia="宋体" w:cs="宋体"/>
                <w:color w:val="auto"/>
                <w:szCs w:val="21"/>
              </w:rPr>
              <w:t>出具的相关证明材料</w:t>
            </w:r>
            <w:r>
              <w:rPr>
                <w:rFonts w:hint="eastAsia" w:ascii="宋体" w:hAnsi="宋体" w:eastAsia="宋体" w:cs="宋体"/>
                <w:color w:val="auto"/>
                <w:szCs w:val="21"/>
                <w:lang w:val="en-US" w:eastAsia="zh-CN"/>
              </w:rPr>
              <w:t>扫描</w:t>
            </w:r>
            <w:r>
              <w:rPr>
                <w:rFonts w:hint="eastAsia" w:ascii="宋体" w:hAnsi="宋体" w:eastAsia="宋体" w:cs="宋体"/>
                <w:color w:val="auto"/>
                <w:szCs w:val="21"/>
                <w:lang w:val="en-US"/>
              </w:rPr>
              <w:t>件作为辅助证明，否则不得分。</w:t>
            </w:r>
          </w:p>
          <w:p w14:paraId="6F0B7C00">
            <w:pPr>
              <w:pStyle w:val="53"/>
              <w:spacing w:line="360" w:lineRule="auto"/>
              <w:ind w:left="0" w:firstLine="0" w:firstLineChars="0"/>
              <w:rPr>
                <w:rFonts w:hint="eastAsia" w:ascii="宋体" w:hAnsi="宋体" w:eastAsia="宋体" w:cs="宋体"/>
                <w:color w:val="auto"/>
                <w:szCs w:val="21"/>
                <w:lang w:val="en-US"/>
              </w:rPr>
            </w:pPr>
            <w:r>
              <w:rPr>
                <w:rFonts w:hint="eastAsia" w:ascii="宋体" w:hAnsi="宋体" w:eastAsia="宋体" w:cs="宋体"/>
                <w:color w:val="auto"/>
                <w:szCs w:val="21"/>
                <w:lang w:val="en-US"/>
              </w:rPr>
              <w:t>（3）</w:t>
            </w:r>
            <w:r>
              <w:rPr>
                <w:rFonts w:hint="eastAsia" w:ascii="宋体" w:hAnsi="宋体" w:eastAsia="宋体" w:cs="宋体"/>
                <w:color w:val="auto"/>
                <w:szCs w:val="21"/>
                <w:lang w:val="en-US" w:eastAsia="zh-CN"/>
              </w:rPr>
              <w:t>第（2）项评审项</w:t>
            </w:r>
            <w:r>
              <w:rPr>
                <w:rFonts w:hint="eastAsia" w:ascii="宋体" w:hAnsi="宋体" w:eastAsia="宋体" w:cs="宋体"/>
                <w:color w:val="auto"/>
                <w:szCs w:val="21"/>
                <w:lang w:val="en-US"/>
              </w:rPr>
              <w:t>业绩的物业类型须为商务办公楼或写字楼，不包括住宅小区、公寓、公园、工业园区、车站、机场、学校、医院项目，否则不得分。</w:t>
            </w:r>
          </w:p>
          <w:p w14:paraId="2AF45672">
            <w:pPr>
              <w:pStyle w:val="53"/>
              <w:spacing w:line="360" w:lineRule="auto"/>
              <w:ind w:left="0" w:firstLine="0" w:firstLineChars="0"/>
              <w:rPr>
                <w:rFonts w:hint="eastAsia" w:ascii="宋体" w:hAnsi="宋体" w:eastAsia="宋体" w:cs="宋体"/>
                <w:color w:val="auto"/>
                <w:szCs w:val="21"/>
                <w:lang w:val="en-US"/>
              </w:rPr>
            </w:pPr>
            <w:r>
              <w:rPr>
                <w:rFonts w:hint="eastAsia" w:ascii="宋体" w:hAnsi="宋体" w:eastAsia="宋体" w:cs="宋体"/>
                <w:color w:val="auto"/>
                <w:szCs w:val="21"/>
              </w:rPr>
              <w:t>（</w:t>
            </w:r>
            <w:r>
              <w:rPr>
                <w:rFonts w:hint="eastAsia" w:ascii="宋体" w:hAnsi="宋体" w:eastAsia="宋体" w:cs="宋体"/>
                <w:color w:val="auto"/>
                <w:szCs w:val="21"/>
                <w:lang w:val="en-US"/>
              </w:rPr>
              <w:t>4</w:t>
            </w:r>
            <w:r>
              <w:rPr>
                <w:rFonts w:hint="eastAsia" w:ascii="宋体" w:hAnsi="宋体" w:eastAsia="宋体" w:cs="宋体"/>
                <w:color w:val="auto"/>
                <w:szCs w:val="21"/>
              </w:rPr>
              <w:t>）</w:t>
            </w:r>
            <w:r>
              <w:rPr>
                <w:rFonts w:hint="eastAsia" w:ascii="宋体" w:hAnsi="宋体" w:eastAsia="宋体" w:cs="宋体"/>
                <w:color w:val="auto"/>
                <w:szCs w:val="21"/>
                <w:lang w:val="en-US"/>
              </w:rPr>
              <w:t>若业绩为框架式协议或资格入围无明确金额的合同，必须同时提供合同期限内已服务发票金额统计表和发票</w:t>
            </w:r>
            <w:r>
              <w:rPr>
                <w:rFonts w:hint="eastAsia" w:ascii="宋体" w:hAnsi="宋体" w:eastAsia="宋体" w:cs="宋体"/>
                <w:color w:val="auto"/>
                <w:szCs w:val="21"/>
                <w:lang w:val="en-US" w:eastAsia="zh-CN"/>
              </w:rPr>
              <w:t>扫描</w:t>
            </w:r>
            <w:r>
              <w:rPr>
                <w:rFonts w:hint="eastAsia" w:ascii="宋体" w:hAnsi="宋体" w:eastAsia="宋体" w:cs="宋体"/>
                <w:color w:val="auto"/>
                <w:szCs w:val="21"/>
                <w:lang w:val="en-US"/>
              </w:rPr>
              <w:t>件。发票合计金额视为投标人所提供该单项物业服务项目实际总金额，评审时按物业服务项目年度金额进行评审。</w:t>
            </w:r>
          </w:p>
          <w:p w14:paraId="6E0FE701">
            <w:pPr>
              <w:pStyle w:val="53"/>
              <w:spacing w:line="360" w:lineRule="auto"/>
              <w:ind w:left="0" w:firstLine="0" w:firstLineChars="0"/>
              <w:rPr>
                <w:rFonts w:hint="eastAsia" w:ascii="宋体" w:hAnsi="宋体" w:eastAsia="宋体" w:cs="宋体"/>
                <w:color w:val="auto"/>
                <w:kern w:val="2"/>
              </w:rPr>
            </w:pPr>
            <w:r>
              <w:rPr>
                <w:rFonts w:hint="eastAsia" w:ascii="宋体" w:hAnsi="宋体" w:eastAsia="宋体" w:cs="宋体"/>
                <w:color w:val="auto"/>
                <w:szCs w:val="21"/>
              </w:rPr>
              <w:t>（</w:t>
            </w:r>
            <w:r>
              <w:rPr>
                <w:rFonts w:hint="eastAsia" w:ascii="宋体" w:hAnsi="宋体" w:eastAsia="宋体" w:cs="宋体"/>
                <w:color w:val="auto"/>
                <w:szCs w:val="21"/>
                <w:lang w:val="en-US"/>
              </w:rPr>
              <w:t>5</w:t>
            </w:r>
            <w:r>
              <w:rPr>
                <w:rFonts w:hint="eastAsia" w:ascii="宋体" w:hAnsi="宋体" w:eastAsia="宋体" w:cs="宋体"/>
                <w:color w:val="auto"/>
                <w:szCs w:val="21"/>
              </w:rPr>
              <w:t>）单项合同服务期限要求大于</w:t>
            </w:r>
            <w:r>
              <w:rPr>
                <w:rFonts w:hint="eastAsia" w:ascii="宋体" w:hAnsi="宋体" w:eastAsia="宋体" w:cs="宋体"/>
                <w:color w:val="auto"/>
                <w:szCs w:val="21"/>
                <w:lang w:val="en-US" w:eastAsia="zh-CN"/>
              </w:rPr>
              <w:t>或等于一年</w:t>
            </w:r>
            <w:r>
              <w:rPr>
                <w:rFonts w:hint="eastAsia" w:ascii="宋体" w:hAnsi="宋体" w:eastAsia="宋体" w:cs="宋体"/>
                <w:color w:val="auto"/>
                <w:szCs w:val="21"/>
              </w:rPr>
              <w:t>，小于</w:t>
            </w:r>
            <w:r>
              <w:rPr>
                <w:rFonts w:hint="eastAsia" w:ascii="宋体" w:hAnsi="宋体" w:eastAsia="宋体" w:cs="宋体"/>
                <w:color w:val="auto"/>
                <w:szCs w:val="21"/>
                <w:lang w:val="en-US" w:eastAsia="zh-CN"/>
              </w:rPr>
              <w:t>一年</w:t>
            </w:r>
            <w:r>
              <w:rPr>
                <w:rFonts w:hint="eastAsia" w:ascii="宋体" w:hAnsi="宋体" w:eastAsia="宋体" w:cs="宋体"/>
                <w:color w:val="auto"/>
                <w:szCs w:val="21"/>
              </w:rPr>
              <w:t>的业绩合同在评标时将不予考虑；</w:t>
            </w:r>
            <w:r>
              <w:rPr>
                <w:rFonts w:hint="eastAsia" w:ascii="宋体" w:hAnsi="宋体" w:eastAsia="宋体" w:cs="宋体"/>
                <w:color w:val="auto"/>
                <w:kern w:val="2"/>
                <w:lang w:val="en-US"/>
              </w:rPr>
              <w:t>若单项合同服务期限</w:t>
            </w:r>
            <w:r>
              <w:rPr>
                <w:rFonts w:hint="eastAsia" w:ascii="宋体" w:hAnsi="宋体" w:eastAsia="宋体" w:cs="宋体"/>
                <w:color w:val="auto"/>
                <w:kern w:val="2"/>
                <w:lang w:val="en-US" w:eastAsia="zh-CN"/>
              </w:rPr>
              <w:t>为</w:t>
            </w:r>
            <w:r>
              <w:rPr>
                <w:rFonts w:hint="eastAsia" w:ascii="宋体" w:hAnsi="宋体" w:eastAsia="宋体" w:cs="宋体"/>
                <w:color w:val="auto"/>
                <w:kern w:val="2"/>
                <w:lang w:val="en-US"/>
              </w:rPr>
              <w:t>一年的，“物业服务项目年度金额”为单项合同服务期内总金额；若单项合同服务期限超过一年的，“物业服务项目年度金额”为单项合同总金额按照合同期限折算成平均每年度的金额，</w:t>
            </w:r>
            <w:r>
              <w:rPr>
                <w:rFonts w:hint="eastAsia" w:ascii="宋体" w:hAnsi="宋体" w:eastAsia="宋体" w:cs="宋体"/>
                <w:color w:val="auto"/>
                <w:kern w:val="2"/>
              </w:rPr>
              <w:t>即（单项合同总金额/</w:t>
            </w:r>
            <w:r>
              <w:rPr>
                <w:rFonts w:hint="eastAsia" w:ascii="宋体" w:hAnsi="宋体" w:eastAsia="宋体" w:cs="宋体"/>
                <w:color w:val="auto"/>
                <w:kern w:val="2"/>
                <w:lang w:val="en-US"/>
              </w:rPr>
              <w:t>合同服务期</w:t>
            </w:r>
            <w:r>
              <w:rPr>
                <w:rFonts w:hint="eastAsia" w:ascii="宋体" w:hAnsi="宋体" w:eastAsia="宋体" w:cs="宋体"/>
                <w:color w:val="auto"/>
                <w:kern w:val="2"/>
              </w:rPr>
              <w:t>月数）</w:t>
            </w:r>
            <w:r>
              <w:rPr>
                <w:rFonts w:hint="eastAsia" w:ascii="宋体" w:hAnsi="宋体" w:eastAsia="宋体" w:cs="宋体"/>
                <w:color w:val="auto"/>
                <w:kern w:val="2"/>
                <w:lang w:val="en-US"/>
              </w:rPr>
              <w:t>×</w:t>
            </w:r>
            <w:r>
              <w:rPr>
                <w:rFonts w:hint="eastAsia" w:ascii="宋体" w:hAnsi="宋体" w:eastAsia="宋体" w:cs="宋体"/>
                <w:color w:val="auto"/>
                <w:kern w:val="2"/>
              </w:rPr>
              <w:t>12。</w:t>
            </w:r>
          </w:p>
          <w:p w14:paraId="12C78546">
            <w:pPr>
              <w:pStyle w:val="53"/>
              <w:spacing w:line="360" w:lineRule="auto"/>
              <w:ind w:left="0" w:firstLine="0" w:firstLineChars="0"/>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val="en-US"/>
              </w:rPr>
              <w:t>6</w:t>
            </w:r>
            <w:r>
              <w:rPr>
                <w:rFonts w:hint="eastAsia" w:ascii="宋体" w:hAnsi="宋体" w:eastAsia="宋体" w:cs="宋体"/>
                <w:color w:val="auto"/>
                <w:szCs w:val="21"/>
              </w:rPr>
              <w:t>）未按</w:t>
            </w:r>
            <w:r>
              <w:rPr>
                <w:rFonts w:hint="eastAsia" w:ascii="宋体" w:hAnsi="宋体" w:eastAsia="宋体" w:cs="宋体"/>
                <w:color w:val="auto"/>
                <w:szCs w:val="21"/>
                <w:lang w:val="en-US"/>
              </w:rPr>
              <w:t>上述</w:t>
            </w:r>
            <w:r>
              <w:rPr>
                <w:rFonts w:hint="eastAsia" w:ascii="宋体" w:hAnsi="宋体" w:eastAsia="宋体" w:cs="宋体"/>
                <w:color w:val="auto"/>
                <w:szCs w:val="21"/>
              </w:rPr>
              <w:t>要求提供相关证明</w:t>
            </w:r>
            <w:r>
              <w:rPr>
                <w:rFonts w:hint="eastAsia" w:ascii="宋体" w:hAnsi="宋体" w:eastAsia="宋体" w:cs="宋体"/>
                <w:color w:val="auto"/>
                <w:szCs w:val="21"/>
                <w:lang w:val="en-US"/>
              </w:rPr>
              <w:t>材料</w:t>
            </w:r>
            <w:r>
              <w:rPr>
                <w:rFonts w:hint="eastAsia" w:ascii="宋体" w:hAnsi="宋体" w:eastAsia="宋体" w:cs="宋体"/>
                <w:color w:val="auto"/>
                <w:szCs w:val="21"/>
              </w:rPr>
              <w:t>的</w:t>
            </w:r>
            <w:r>
              <w:rPr>
                <w:rFonts w:hint="eastAsia" w:ascii="宋体" w:hAnsi="宋体" w:eastAsia="宋体" w:cs="宋体"/>
                <w:color w:val="auto"/>
                <w:szCs w:val="21"/>
                <w:lang w:val="en-US"/>
              </w:rPr>
              <w:t>业绩</w:t>
            </w:r>
            <w:r>
              <w:rPr>
                <w:rFonts w:hint="eastAsia" w:ascii="宋体" w:hAnsi="宋体" w:eastAsia="宋体" w:cs="宋体"/>
                <w:color w:val="auto"/>
                <w:szCs w:val="21"/>
              </w:rPr>
              <w:t>，</w:t>
            </w:r>
            <w:r>
              <w:rPr>
                <w:rFonts w:hint="eastAsia" w:ascii="宋体" w:hAnsi="宋体" w:eastAsia="宋体" w:cs="宋体"/>
                <w:color w:val="auto"/>
                <w:szCs w:val="21"/>
                <w:lang w:val="en-US"/>
              </w:rPr>
              <w:t>或所附材料无法证明填报项目属投标人完成的或符合本项评分要求的业绩，</w:t>
            </w:r>
            <w:r>
              <w:rPr>
                <w:rFonts w:hint="eastAsia" w:ascii="宋体" w:hAnsi="宋体" w:eastAsia="宋体" w:cs="宋体"/>
                <w:color w:val="auto"/>
                <w:szCs w:val="21"/>
              </w:rPr>
              <w:t>在评标时将不予考虑。</w:t>
            </w:r>
          </w:p>
        </w:tc>
        <w:tc>
          <w:tcPr>
            <w:tcW w:w="934" w:type="dxa"/>
            <w:noWrap w:val="0"/>
            <w:vAlign w:val="center"/>
          </w:tcPr>
          <w:p w14:paraId="4BBC73F9">
            <w:pPr>
              <w:ind w:firstLine="0" w:firstLineChars="0"/>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25</w:t>
            </w:r>
            <w:r>
              <w:rPr>
                <w:rFonts w:hint="eastAsia" w:ascii="宋体" w:hAnsi="宋体" w:eastAsia="宋体" w:cs="宋体"/>
                <w:color w:val="auto"/>
                <w:szCs w:val="21"/>
              </w:rPr>
              <w:t>分</w:t>
            </w:r>
          </w:p>
        </w:tc>
      </w:tr>
      <w:tr w14:paraId="5530C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5" w:type="dxa"/>
            <w:noWrap w:val="0"/>
            <w:vAlign w:val="center"/>
          </w:tcPr>
          <w:p w14:paraId="759A9E01">
            <w:pPr>
              <w:ind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4</w:t>
            </w:r>
          </w:p>
        </w:tc>
        <w:tc>
          <w:tcPr>
            <w:tcW w:w="1280" w:type="dxa"/>
            <w:noWrap w:val="0"/>
            <w:vAlign w:val="center"/>
          </w:tcPr>
          <w:p w14:paraId="19E9C890">
            <w:pPr>
              <w:ind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服务便利性</w:t>
            </w:r>
          </w:p>
        </w:tc>
        <w:tc>
          <w:tcPr>
            <w:tcW w:w="6890" w:type="dxa"/>
            <w:noWrap w:val="0"/>
            <w:vAlign w:val="center"/>
          </w:tcPr>
          <w:p w14:paraId="5D5F6CF1">
            <w:pPr>
              <w:spacing w:line="360" w:lineRule="auto"/>
              <w:ind w:firstLine="0" w:firstLine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根据投标人提供的服务便利性时间资料进行评审：</w:t>
            </w:r>
          </w:p>
          <w:p w14:paraId="56764D64">
            <w:pPr>
              <w:spacing w:line="360" w:lineRule="auto"/>
              <w:ind w:firstLine="0" w:firstLineChars="0"/>
              <w:rPr>
                <w:rFonts w:hint="eastAsia" w:ascii="宋体" w:hAnsi="宋体" w:eastAsia="宋体" w:cs="宋体"/>
                <w:color w:val="auto"/>
                <w:szCs w:val="21"/>
              </w:rPr>
            </w:pPr>
            <w:r>
              <w:rPr>
                <w:rFonts w:hint="eastAsia" w:ascii="宋体" w:hAnsi="宋体" w:eastAsia="宋体" w:cs="宋体"/>
                <w:color w:val="auto"/>
                <w:szCs w:val="21"/>
              </w:rPr>
              <w:t>（1）投标人</w:t>
            </w:r>
            <w:r>
              <w:rPr>
                <w:rFonts w:hint="eastAsia" w:ascii="宋体" w:hAnsi="宋体" w:eastAsia="宋体" w:cs="宋体"/>
                <w:color w:val="auto"/>
                <w:szCs w:val="21"/>
                <w:lang w:val="en-US" w:eastAsia="zh-CN"/>
              </w:rPr>
              <w:t>提供从投标人注册地或其分支机构到达水业大厦（地址：广东省东莞市南城街道宏北路16号）的时间资料，到达时间≤60分钟的，得4分；</w:t>
            </w:r>
          </w:p>
          <w:p w14:paraId="20A3CBE7">
            <w:pPr>
              <w:spacing w:line="360" w:lineRule="auto"/>
              <w:ind w:firstLine="0" w:firstLineChars="0"/>
              <w:rPr>
                <w:rFonts w:hint="eastAsia" w:ascii="宋体" w:hAnsi="宋体" w:eastAsia="宋体" w:cs="宋体"/>
                <w:color w:val="auto"/>
                <w:szCs w:val="21"/>
              </w:rPr>
            </w:pPr>
            <w:r>
              <w:rPr>
                <w:rFonts w:hint="eastAsia" w:ascii="宋体" w:hAnsi="宋体" w:eastAsia="宋体" w:cs="宋体"/>
                <w:color w:val="auto"/>
                <w:szCs w:val="21"/>
              </w:rPr>
              <w:t>（2）投标人</w:t>
            </w:r>
            <w:r>
              <w:rPr>
                <w:rFonts w:hint="eastAsia" w:ascii="宋体" w:hAnsi="宋体" w:eastAsia="宋体" w:cs="宋体"/>
                <w:color w:val="auto"/>
                <w:szCs w:val="21"/>
                <w:lang w:val="en-US" w:eastAsia="zh-CN"/>
              </w:rPr>
              <w:t>提供从投标人注册地或其分支机构到达水业大厦（地址：广东省东莞市南城街道宏北路16号）的时间资料，60分钟＜到达时间≤120分钟的，得2分</w:t>
            </w:r>
            <w:r>
              <w:rPr>
                <w:rFonts w:hint="eastAsia" w:ascii="宋体" w:hAnsi="宋体" w:eastAsia="宋体" w:cs="宋体"/>
                <w:color w:val="auto"/>
                <w:szCs w:val="21"/>
              </w:rPr>
              <w:t>；</w:t>
            </w:r>
          </w:p>
          <w:p w14:paraId="73458A8B">
            <w:pPr>
              <w:spacing w:line="360" w:lineRule="auto"/>
              <w:ind w:firstLine="0" w:firstLineChars="0"/>
              <w:rPr>
                <w:rFonts w:hint="eastAsia" w:ascii="宋体" w:hAnsi="宋体" w:eastAsia="宋体" w:cs="宋体"/>
                <w:color w:val="auto"/>
                <w:szCs w:val="21"/>
              </w:rPr>
            </w:pPr>
            <w:r>
              <w:rPr>
                <w:rFonts w:hint="eastAsia" w:ascii="宋体" w:hAnsi="宋体" w:eastAsia="宋体" w:cs="宋体"/>
                <w:color w:val="auto"/>
                <w:szCs w:val="21"/>
              </w:rPr>
              <w:t>（3）投标人</w:t>
            </w:r>
            <w:r>
              <w:rPr>
                <w:rFonts w:hint="eastAsia" w:ascii="宋体" w:hAnsi="宋体" w:eastAsia="宋体" w:cs="宋体"/>
                <w:color w:val="auto"/>
                <w:szCs w:val="21"/>
                <w:lang w:val="en-US" w:eastAsia="zh-CN"/>
              </w:rPr>
              <w:t>提供从投标人注册地或其分支机构到达水业大厦（地址：广东省东莞市南城街道宏北路16号）的时间资料，120分钟＜到达时间≤240分钟的，得1分</w:t>
            </w:r>
            <w:r>
              <w:rPr>
                <w:rFonts w:hint="eastAsia" w:ascii="宋体" w:hAnsi="宋体" w:eastAsia="宋体" w:cs="宋体"/>
                <w:color w:val="auto"/>
                <w:szCs w:val="21"/>
              </w:rPr>
              <w:t>；</w:t>
            </w:r>
          </w:p>
          <w:p w14:paraId="46346FC8">
            <w:pPr>
              <w:spacing w:line="360" w:lineRule="auto"/>
              <w:ind w:firstLine="0" w:firstLineChars="0"/>
              <w:rPr>
                <w:rFonts w:hint="eastAsia" w:ascii="宋体" w:hAnsi="宋体" w:eastAsia="宋体" w:cs="宋体"/>
                <w:color w:val="auto"/>
                <w:szCs w:val="21"/>
                <w:lang w:val="en-US" w:eastAsia="zh-CN"/>
              </w:rPr>
            </w:pP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4</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其他情况不得分。</w:t>
            </w:r>
          </w:p>
          <w:p w14:paraId="54C67619">
            <w:pPr>
              <w:spacing w:line="360" w:lineRule="auto"/>
              <w:ind w:firstLine="0" w:firstLineChars="0"/>
              <w:rPr>
                <w:rFonts w:hint="eastAsia" w:ascii="宋体" w:hAnsi="宋体" w:eastAsia="宋体" w:cs="宋体"/>
                <w:b/>
                <w:bCs/>
                <w:color w:val="auto"/>
                <w:szCs w:val="21"/>
              </w:rPr>
            </w:pPr>
            <w:r>
              <w:rPr>
                <w:rFonts w:hint="eastAsia" w:ascii="宋体" w:hAnsi="宋体" w:eastAsia="宋体" w:cs="宋体"/>
                <w:b/>
                <w:bCs/>
                <w:color w:val="auto"/>
                <w:szCs w:val="21"/>
              </w:rPr>
              <w:t>备注：</w:t>
            </w:r>
          </w:p>
          <w:p w14:paraId="7F364358">
            <w:pPr>
              <w:spacing w:line="360" w:lineRule="auto"/>
              <w:ind w:firstLine="0" w:firstLineChars="0"/>
              <w:rPr>
                <w:rFonts w:hint="eastAsia" w:ascii="宋体" w:hAnsi="宋体" w:eastAsia="宋体" w:cs="宋体"/>
                <w:color w:val="auto"/>
                <w:szCs w:val="21"/>
                <w:lang w:val="en-US"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投标人注册地或其分支机构地址以提供的营业执照或办公场所租赁合同或产权证明的地址为准，需提供前述证明扫描件，否则评审时将不予考虑。</w:t>
            </w:r>
          </w:p>
          <w:p w14:paraId="1B6A24F7">
            <w:pPr>
              <w:spacing w:line="360" w:lineRule="auto"/>
              <w:ind w:firstLine="0" w:firstLineChars="0"/>
              <w:rPr>
                <w:rFonts w:hint="eastAsia" w:ascii="宋体" w:hAnsi="宋体" w:eastAsia="宋体" w:cs="宋体"/>
                <w:color w:val="auto"/>
                <w:szCs w:val="21"/>
              </w:rPr>
            </w:pPr>
            <w:r>
              <w:rPr>
                <w:rFonts w:hint="eastAsia" w:ascii="宋体" w:hAnsi="宋体" w:eastAsia="宋体" w:cs="宋体"/>
                <w:color w:val="auto"/>
                <w:szCs w:val="21"/>
                <w:lang w:val="en-US" w:eastAsia="zh-CN"/>
              </w:rPr>
              <w:t>（2）本项评审，投标人需提供从投标人注册地或其分支机构地址到达指定地点的路线图导航截屏（需体现投标人注册地或其分支机构地址至指定地点的名称、距离以及用时等关系因素），未提供相关证明资料或不符合本项评分要求的，在评审时将不予考虑</w:t>
            </w:r>
            <w:r>
              <w:rPr>
                <w:rFonts w:hint="eastAsia" w:ascii="宋体" w:hAnsi="宋体" w:eastAsia="宋体" w:cs="宋体"/>
                <w:color w:val="auto"/>
                <w:szCs w:val="21"/>
              </w:rPr>
              <w:t>。</w:t>
            </w:r>
          </w:p>
          <w:p w14:paraId="586A9A8E">
            <w:pPr>
              <w:spacing w:line="360" w:lineRule="auto"/>
              <w:ind w:firstLine="0" w:firstLineChars="0"/>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3</w:t>
            </w:r>
            <w:r>
              <w:rPr>
                <w:rFonts w:hint="eastAsia" w:ascii="宋体" w:hAnsi="宋体" w:eastAsia="宋体" w:cs="宋体"/>
                <w:color w:val="auto"/>
                <w:szCs w:val="21"/>
              </w:rPr>
              <w:t>）</w:t>
            </w:r>
            <w:r>
              <w:rPr>
                <w:rFonts w:hint="eastAsia" w:ascii="宋体" w:hAnsi="宋体" w:eastAsia="宋体" w:cs="宋体"/>
                <w:color w:val="auto"/>
                <w:szCs w:val="21"/>
                <w:lang w:val="en-US" w:eastAsia="zh-CN"/>
              </w:rPr>
              <w:t>投标人如提供多个路线图时间资料，</w:t>
            </w:r>
            <w:r>
              <w:rPr>
                <w:rFonts w:hint="eastAsia" w:ascii="宋体" w:hAnsi="宋体" w:eastAsia="宋体" w:cs="宋体"/>
                <w:color w:val="auto"/>
                <w:szCs w:val="21"/>
              </w:rPr>
              <w:t>不重复或叠加得分，按该投标人符合本评审项目的较高标准项计分。</w:t>
            </w:r>
          </w:p>
        </w:tc>
        <w:tc>
          <w:tcPr>
            <w:tcW w:w="934" w:type="dxa"/>
            <w:noWrap w:val="0"/>
            <w:vAlign w:val="center"/>
          </w:tcPr>
          <w:p w14:paraId="034B4411">
            <w:pPr>
              <w:ind w:firstLine="0" w:firstLineChars="0"/>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4</w:t>
            </w:r>
            <w:r>
              <w:rPr>
                <w:rFonts w:hint="eastAsia" w:ascii="宋体" w:hAnsi="宋体" w:eastAsia="宋体" w:cs="宋体"/>
                <w:color w:val="auto"/>
                <w:szCs w:val="21"/>
              </w:rPr>
              <w:t>分</w:t>
            </w:r>
          </w:p>
        </w:tc>
      </w:tr>
    </w:tbl>
    <w:p w14:paraId="64224FA5">
      <w:pPr>
        <w:autoSpaceDE w:val="0"/>
        <w:autoSpaceDN w:val="0"/>
        <w:adjustRightInd w:val="0"/>
        <w:ind w:right="-26" w:firstLine="480"/>
        <w:jc w:val="center"/>
        <w:rPr>
          <w:rFonts w:hint="eastAsia" w:ascii="宋体" w:hAnsi="宋体" w:eastAsia="宋体" w:cs="宋体"/>
          <w:b/>
          <w:bCs/>
          <w:color w:val="auto"/>
          <w:kern w:val="0"/>
          <w:sz w:val="24"/>
          <w:szCs w:val="24"/>
          <w:highlight w:val="none"/>
        </w:rPr>
      </w:pPr>
      <w:bookmarkStart w:id="1038" w:name="_Toc11639_WPSOffice_Level2"/>
    </w:p>
    <w:p w14:paraId="24174A5D">
      <w:pPr>
        <w:tabs>
          <w:tab w:val="left" w:pos="585"/>
        </w:tabs>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w:t>
      </w: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zh-CN"/>
        </w:rPr>
        <w:t>技术：</w:t>
      </w:r>
      <w:r>
        <w:rPr>
          <w:rFonts w:hint="eastAsia" w:ascii="宋体" w:hAnsi="宋体" w:eastAsia="宋体" w:cs="宋体"/>
          <w:b/>
          <w:color w:val="auto"/>
          <w:szCs w:val="21"/>
          <w:highlight w:val="none"/>
          <w:lang w:val="zh-CN"/>
        </w:rPr>
        <w:t>总分</w:t>
      </w:r>
      <w:r>
        <w:rPr>
          <w:rFonts w:hint="eastAsia" w:ascii="宋体" w:hAnsi="宋体" w:eastAsia="宋体" w:cs="宋体"/>
          <w:b/>
          <w:color w:val="auto"/>
          <w:szCs w:val="21"/>
          <w:highlight w:val="none"/>
          <w:lang w:val="en-US" w:eastAsia="zh-CN"/>
        </w:rPr>
        <w:t>45</w:t>
      </w:r>
      <w:r>
        <w:rPr>
          <w:rFonts w:hint="eastAsia" w:ascii="宋体" w:hAnsi="宋体" w:eastAsia="宋体" w:cs="宋体"/>
          <w:b/>
          <w:color w:val="auto"/>
          <w:szCs w:val="21"/>
          <w:highlight w:val="none"/>
          <w:lang w:val="zh-CN"/>
        </w:rPr>
        <w:t>分</w:t>
      </w:r>
      <w:bookmarkEnd w:id="1038"/>
    </w:p>
    <w:tbl>
      <w:tblPr>
        <w:tblStyle w:val="41"/>
        <w:tblW w:w="52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1495"/>
        <w:gridCol w:w="6903"/>
        <w:gridCol w:w="1075"/>
      </w:tblGrid>
      <w:tr w14:paraId="50B46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 w:type="pct"/>
            <w:tcBorders>
              <w:top w:val="single" w:color="auto" w:sz="4" w:space="0"/>
              <w:left w:val="single" w:color="auto" w:sz="4" w:space="0"/>
              <w:bottom w:val="single" w:color="auto" w:sz="4" w:space="0"/>
              <w:right w:val="single" w:color="auto" w:sz="4" w:space="0"/>
            </w:tcBorders>
            <w:noWrap w:val="0"/>
            <w:vAlign w:val="center"/>
          </w:tcPr>
          <w:p w14:paraId="301EF253">
            <w:pPr>
              <w:keepNext w:val="0"/>
              <w:keepLines w:val="0"/>
              <w:pageBreakBefore w:val="0"/>
              <w:widowControl w:val="0"/>
              <w:kinsoku/>
              <w:wordWrap/>
              <w:overflowPunct/>
              <w:topLinePunct w:val="0"/>
              <w:bidi w:val="0"/>
              <w:snapToGrid/>
              <w:spacing w:line="360" w:lineRule="auto"/>
              <w:ind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741" w:type="pct"/>
            <w:tcBorders>
              <w:top w:val="single" w:color="auto" w:sz="4" w:space="0"/>
              <w:left w:val="single" w:color="auto" w:sz="4" w:space="0"/>
              <w:bottom w:val="single" w:color="auto" w:sz="4" w:space="0"/>
              <w:right w:val="single" w:color="auto" w:sz="4" w:space="0"/>
            </w:tcBorders>
            <w:noWrap w:val="0"/>
            <w:vAlign w:val="center"/>
          </w:tcPr>
          <w:p w14:paraId="5FCFC101">
            <w:pPr>
              <w:keepNext w:val="0"/>
              <w:keepLines w:val="0"/>
              <w:pageBreakBefore w:val="0"/>
              <w:widowControl w:val="0"/>
              <w:kinsoku/>
              <w:wordWrap/>
              <w:overflowPunct/>
              <w:topLinePunct w:val="0"/>
              <w:bidi w:val="0"/>
              <w:snapToGrid/>
              <w:spacing w:line="360" w:lineRule="auto"/>
              <w:ind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kern w:val="2"/>
                <w:sz w:val="21"/>
                <w:szCs w:val="21"/>
                <w:lang w:val="zh-CN"/>
              </w:rPr>
              <w:t>评审内容</w:t>
            </w:r>
          </w:p>
        </w:tc>
        <w:tc>
          <w:tcPr>
            <w:tcW w:w="3422" w:type="pct"/>
            <w:tcBorders>
              <w:top w:val="single" w:color="auto" w:sz="4" w:space="0"/>
              <w:left w:val="single" w:color="auto" w:sz="4" w:space="0"/>
              <w:bottom w:val="single" w:color="auto" w:sz="4" w:space="0"/>
              <w:right w:val="single" w:color="auto" w:sz="4" w:space="0"/>
            </w:tcBorders>
            <w:noWrap w:val="0"/>
            <w:vAlign w:val="center"/>
          </w:tcPr>
          <w:p w14:paraId="6FCD2500">
            <w:pPr>
              <w:keepNext w:val="0"/>
              <w:keepLines w:val="0"/>
              <w:pageBreakBefore w:val="0"/>
              <w:widowControl w:val="0"/>
              <w:kinsoku/>
              <w:wordWrap/>
              <w:overflowPunct/>
              <w:topLinePunct w:val="0"/>
              <w:bidi w:val="0"/>
              <w:snapToGrid/>
              <w:spacing w:line="360" w:lineRule="auto"/>
              <w:ind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评审细则</w:t>
            </w:r>
          </w:p>
        </w:tc>
        <w:tc>
          <w:tcPr>
            <w:tcW w:w="533" w:type="pct"/>
            <w:tcBorders>
              <w:top w:val="single" w:color="auto" w:sz="4" w:space="0"/>
              <w:left w:val="single" w:color="auto" w:sz="4" w:space="0"/>
              <w:bottom w:val="single" w:color="auto" w:sz="4" w:space="0"/>
              <w:right w:val="single" w:color="auto" w:sz="4" w:space="0"/>
            </w:tcBorders>
            <w:noWrap w:val="0"/>
            <w:vAlign w:val="center"/>
          </w:tcPr>
          <w:p w14:paraId="433CD88B">
            <w:pPr>
              <w:keepNext w:val="0"/>
              <w:keepLines w:val="0"/>
              <w:pageBreakBefore w:val="0"/>
              <w:widowControl w:val="0"/>
              <w:kinsoku/>
              <w:wordWrap/>
              <w:overflowPunct/>
              <w:topLinePunct w:val="0"/>
              <w:bidi w:val="0"/>
              <w:snapToGrid/>
              <w:spacing w:line="360" w:lineRule="auto"/>
              <w:ind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满分值</w:t>
            </w:r>
          </w:p>
        </w:tc>
      </w:tr>
      <w:tr w14:paraId="60332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 w:type="pct"/>
            <w:tcBorders>
              <w:top w:val="single" w:color="auto" w:sz="4" w:space="0"/>
              <w:left w:val="single" w:color="auto" w:sz="4" w:space="0"/>
              <w:bottom w:val="single" w:color="auto" w:sz="4" w:space="0"/>
              <w:right w:val="single" w:color="auto" w:sz="4" w:space="0"/>
            </w:tcBorders>
            <w:noWrap w:val="0"/>
            <w:vAlign w:val="center"/>
          </w:tcPr>
          <w:p w14:paraId="48AEF15E">
            <w:pPr>
              <w:keepNext w:val="0"/>
              <w:keepLines w:val="0"/>
              <w:pageBreakBefore w:val="0"/>
              <w:widowControl w:val="0"/>
              <w:kinsoku/>
              <w:wordWrap/>
              <w:overflowPunct/>
              <w:topLinePunct w:val="0"/>
              <w:bidi w:val="0"/>
              <w:snapToGrid/>
              <w:spacing w:line="360" w:lineRule="auto"/>
              <w:ind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rPr>
              <w:t>1</w:t>
            </w:r>
          </w:p>
        </w:tc>
        <w:tc>
          <w:tcPr>
            <w:tcW w:w="741" w:type="pct"/>
            <w:tcBorders>
              <w:top w:val="single" w:color="auto" w:sz="4" w:space="0"/>
              <w:left w:val="single" w:color="auto" w:sz="4" w:space="0"/>
              <w:bottom w:val="single" w:color="auto" w:sz="4" w:space="0"/>
              <w:right w:val="single" w:color="auto" w:sz="4" w:space="0"/>
            </w:tcBorders>
            <w:noWrap w:val="0"/>
            <w:vAlign w:val="center"/>
          </w:tcPr>
          <w:p w14:paraId="29948EBD">
            <w:pPr>
              <w:keepNext w:val="0"/>
              <w:keepLines w:val="0"/>
              <w:pageBreakBefore w:val="0"/>
              <w:widowControl w:val="0"/>
              <w:kinsoku/>
              <w:wordWrap/>
              <w:overflowPunct/>
              <w:topLinePunct w:val="0"/>
              <w:bidi w:val="0"/>
              <w:snapToGrid/>
              <w:spacing w:line="360" w:lineRule="auto"/>
              <w:ind w:firstLine="0" w:firstLineChars="0"/>
              <w:jc w:val="center"/>
              <w:textAlignment w:val="auto"/>
              <w:rPr>
                <w:rFonts w:hint="eastAsia" w:ascii="宋体" w:hAnsi="宋体" w:eastAsia="宋体" w:cs="宋体"/>
                <w:b/>
                <w:color w:val="auto"/>
                <w:kern w:val="2"/>
                <w:sz w:val="21"/>
                <w:szCs w:val="21"/>
                <w:lang w:val="zh-CN"/>
              </w:rPr>
            </w:pPr>
            <w:r>
              <w:rPr>
                <w:rFonts w:hint="eastAsia" w:ascii="宋体" w:hAnsi="宋体" w:eastAsia="宋体" w:cs="宋体"/>
                <w:color w:val="auto"/>
                <w:kern w:val="2"/>
                <w:sz w:val="21"/>
                <w:szCs w:val="21"/>
                <w:lang w:val="zh-CN"/>
              </w:rPr>
              <w:t>用户需求</w:t>
            </w:r>
            <w:r>
              <w:rPr>
                <w:rFonts w:hint="eastAsia" w:ascii="宋体" w:hAnsi="宋体" w:eastAsia="宋体" w:cs="宋体"/>
                <w:color w:val="auto"/>
                <w:kern w:val="2"/>
                <w:sz w:val="21"/>
                <w:szCs w:val="21"/>
              </w:rPr>
              <w:t>书</w:t>
            </w:r>
            <w:r>
              <w:rPr>
                <w:rFonts w:hint="eastAsia" w:ascii="宋体" w:hAnsi="宋体" w:eastAsia="宋体" w:cs="宋体"/>
                <w:color w:val="auto"/>
                <w:kern w:val="2"/>
                <w:sz w:val="21"/>
                <w:szCs w:val="21"/>
                <w:lang w:val="zh-CN"/>
              </w:rPr>
              <w:t>的响应</w:t>
            </w:r>
            <w:r>
              <w:rPr>
                <w:rFonts w:hint="eastAsia" w:ascii="宋体" w:hAnsi="宋体" w:eastAsia="宋体" w:cs="宋体"/>
                <w:color w:val="auto"/>
                <w:kern w:val="2"/>
                <w:sz w:val="21"/>
                <w:szCs w:val="21"/>
              </w:rPr>
              <w:t>情况</w:t>
            </w:r>
          </w:p>
        </w:tc>
        <w:tc>
          <w:tcPr>
            <w:tcW w:w="3422" w:type="pct"/>
            <w:tcBorders>
              <w:top w:val="single" w:color="auto" w:sz="4" w:space="0"/>
              <w:left w:val="single" w:color="auto" w:sz="4" w:space="0"/>
              <w:bottom w:val="single" w:color="auto" w:sz="4" w:space="0"/>
              <w:right w:val="single" w:color="auto" w:sz="4" w:space="0"/>
            </w:tcBorders>
            <w:noWrap w:val="0"/>
            <w:vAlign w:val="center"/>
          </w:tcPr>
          <w:p w14:paraId="798BF4CB">
            <w:pPr>
              <w:keepNext w:val="0"/>
              <w:keepLines w:val="0"/>
              <w:pageBreakBefore w:val="0"/>
              <w:widowControl w:val="0"/>
              <w:kinsoku/>
              <w:wordWrap/>
              <w:overflowPunct/>
              <w:topLinePunct w:val="0"/>
              <w:bidi w:val="0"/>
              <w:snapToGrid/>
              <w:spacing w:line="360" w:lineRule="auto"/>
              <w:ind w:firstLine="0" w:firstLineChars="0"/>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rPr>
              <w:t>根据用户需求偏离表的偏离情况进行评审计分，完全满足用户需求的要求得满分，每一处负偏离，扣2分，同时参照其投标文件中其部分的内容进行对比，每发现一处投标人填写为无偏离或正偏离，但评标委员会评审认定其为负偏离的，每处扣5分；本项最低分为0分。</w:t>
            </w:r>
          </w:p>
        </w:tc>
        <w:tc>
          <w:tcPr>
            <w:tcW w:w="533" w:type="pct"/>
            <w:tcBorders>
              <w:top w:val="single" w:color="auto" w:sz="4" w:space="0"/>
              <w:left w:val="single" w:color="auto" w:sz="4" w:space="0"/>
              <w:bottom w:val="single" w:color="auto" w:sz="4" w:space="0"/>
              <w:right w:val="single" w:color="auto" w:sz="4" w:space="0"/>
            </w:tcBorders>
            <w:noWrap w:val="0"/>
            <w:vAlign w:val="center"/>
          </w:tcPr>
          <w:p w14:paraId="7436EB6B">
            <w:pPr>
              <w:keepNext w:val="0"/>
              <w:keepLines w:val="0"/>
              <w:pageBreakBefore w:val="0"/>
              <w:widowControl w:val="0"/>
              <w:kinsoku/>
              <w:wordWrap/>
              <w:overflowPunct/>
              <w:topLinePunct w:val="0"/>
              <w:bidi w:val="0"/>
              <w:snapToGrid/>
              <w:spacing w:line="360" w:lineRule="auto"/>
              <w:ind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rPr>
              <w:t>5分</w:t>
            </w:r>
          </w:p>
        </w:tc>
      </w:tr>
      <w:tr w14:paraId="33461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 w:type="pct"/>
            <w:tcBorders>
              <w:top w:val="single" w:color="auto" w:sz="4" w:space="0"/>
              <w:left w:val="single" w:color="auto" w:sz="4" w:space="0"/>
              <w:bottom w:val="single" w:color="auto" w:sz="4" w:space="0"/>
              <w:right w:val="single" w:color="auto" w:sz="4" w:space="0"/>
            </w:tcBorders>
            <w:noWrap w:val="0"/>
            <w:vAlign w:val="center"/>
          </w:tcPr>
          <w:p w14:paraId="2D7A70DC">
            <w:pPr>
              <w:keepNext w:val="0"/>
              <w:keepLines w:val="0"/>
              <w:pageBreakBefore w:val="0"/>
              <w:widowControl w:val="0"/>
              <w:kinsoku/>
              <w:wordWrap/>
              <w:overflowPunct/>
              <w:topLinePunct w:val="0"/>
              <w:bidi w:val="0"/>
              <w:snapToGrid/>
              <w:spacing w:line="360" w:lineRule="auto"/>
              <w:ind w:firstLine="0" w:firstLineChars="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2</w:t>
            </w:r>
          </w:p>
        </w:tc>
        <w:tc>
          <w:tcPr>
            <w:tcW w:w="741" w:type="pct"/>
            <w:tcBorders>
              <w:top w:val="single" w:color="auto" w:sz="4" w:space="0"/>
              <w:left w:val="single" w:color="auto" w:sz="4" w:space="0"/>
              <w:bottom w:val="single" w:color="auto" w:sz="4" w:space="0"/>
              <w:right w:val="single" w:color="auto" w:sz="4" w:space="0"/>
            </w:tcBorders>
            <w:noWrap w:val="0"/>
            <w:vAlign w:val="center"/>
          </w:tcPr>
          <w:p w14:paraId="492A280F">
            <w:pPr>
              <w:keepNext w:val="0"/>
              <w:keepLines w:val="0"/>
              <w:pageBreakBefore w:val="0"/>
              <w:widowControl w:val="0"/>
              <w:kinsoku/>
              <w:wordWrap/>
              <w:overflowPunct/>
              <w:topLinePunct w:val="0"/>
              <w:bidi w:val="0"/>
              <w:snapToGrid/>
              <w:spacing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物业管理</w:t>
            </w:r>
            <w:r>
              <w:rPr>
                <w:rFonts w:hint="eastAsia" w:ascii="宋体" w:hAnsi="宋体" w:eastAsia="宋体" w:cs="宋体"/>
                <w:color w:val="auto"/>
                <w:sz w:val="21"/>
                <w:szCs w:val="21"/>
                <w:lang w:val="en-US" w:eastAsia="zh-CN"/>
              </w:rPr>
              <w:t>带教服务</w:t>
            </w:r>
            <w:r>
              <w:rPr>
                <w:rFonts w:hint="eastAsia" w:ascii="宋体" w:hAnsi="宋体" w:eastAsia="宋体" w:cs="宋体"/>
                <w:color w:val="auto"/>
                <w:sz w:val="21"/>
                <w:szCs w:val="21"/>
              </w:rPr>
              <w:t>方案</w:t>
            </w:r>
          </w:p>
        </w:tc>
        <w:tc>
          <w:tcPr>
            <w:tcW w:w="3422" w:type="pct"/>
            <w:tcBorders>
              <w:top w:val="single" w:color="auto" w:sz="4" w:space="0"/>
              <w:left w:val="single" w:color="auto" w:sz="4" w:space="0"/>
              <w:bottom w:val="single" w:color="auto" w:sz="4" w:space="0"/>
              <w:right w:val="single" w:color="auto" w:sz="4" w:space="0"/>
            </w:tcBorders>
            <w:noWrap w:val="0"/>
            <w:vAlign w:val="top"/>
          </w:tcPr>
          <w:p w14:paraId="4AC837DD">
            <w:pPr>
              <w:keepNext w:val="0"/>
              <w:keepLines w:val="0"/>
              <w:pageBreakBefore w:val="0"/>
              <w:widowControl w:val="0"/>
              <w:kinsoku/>
              <w:wordWrap/>
              <w:overflowPunct/>
              <w:topLinePunct w:val="0"/>
              <w:bidi w:val="0"/>
              <w:snapToGrid/>
              <w:spacing w:line="360" w:lineRule="auto"/>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根据投标人</w:t>
            </w:r>
            <w:r>
              <w:rPr>
                <w:rFonts w:hint="eastAsia" w:ascii="宋体" w:hAnsi="宋体" w:eastAsia="宋体" w:cs="宋体"/>
                <w:color w:val="auto"/>
                <w:sz w:val="21"/>
                <w:szCs w:val="21"/>
                <w:lang w:val="en-US" w:eastAsia="zh-CN"/>
              </w:rPr>
              <w:t>针对本项目提供的物业管理带教服务方案（包括但不限于导师团队组建、带教实施计划、带教培训资源情况、带教质量保障措施等内容）</w:t>
            </w:r>
            <w:r>
              <w:rPr>
                <w:rFonts w:hint="eastAsia" w:ascii="宋体" w:hAnsi="宋体" w:eastAsia="宋体" w:cs="宋体"/>
                <w:color w:val="auto"/>
                <w:sz w:val="21"/>
                <w:szCs w:val="21"/>
              </w:rPr>
              <w:t>进行评审。</w:t>
            </w:r>
          </w:p>
          <w:p w14:paraId="06604286">
            <w:pPr>
              <w:keepNext w:val="0"/>
              <w:keepLines w:val="0"/>
              <w:pageBreakBefore w:val="0"/>
              <w:widowControl w:val="0"/>
              <w:kinsoku/>
              <w:wordWrap/>
              <w:overflowPunct/>
              <w:topLinePunct w:val="0"/>
              <w:bidi w:val="0"/>
              <w:snapToGrid/>
              <w:spacing w:line="360" w:lineRule="auto"/>
              <w:ind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优：方案内容详细完整，导师团队配置强，实施计划科学、合理，培训资源丰富，培训内容针对性强，保障措施切实可行，与项目需求匹配度高，得[7-5分]。</w:t>
            </w:r>
          </w:p>
          <w:p w14:paraId="3F81909F">
            <w:pPr>
              <w:keepNext w:val="0"/>
              <w:keepLines w:val="0"/>
              <w:pageBreakBefore w:val="0"/>
              <w:widowControl w:val="0"/>
              <w:kinsoku/>
              <w:wordWrap/>
              <w:overflowPunct/>
              <w:topLinePunct w:val="0"/>
              <w:bidi w:val="0"/>
              <w:snapToGrid/>
              <w:spacing w:line="360" w:lineRule="auto"/>
              <w:ind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良：方案内容较完整，导师团队配置较强，实施计划较科学、较合理，培训资源较丰富，培训内容针对性较强，保障措施可行性较强，与项目需求匹配度比较高，得（5-3分]。</w:t>
            </w:r>
          </w:p>
          <w:p w14:paraId="25A40C9E">
            <w:pPr>
              <w:keepNext w:val="0"/>
              <w:keepLines w:val="0"/>
              <w:pageBreakBefore w:val="0"/>
              <w:widowControl w:val="0"/>
              <w:kinsoku/>
              <w:wordWrap/>
              <w:overflowPunct/>
              <w:topLinePunct w:val="0"/>
              <w:bidi w:val="0"/>
              <w:snapToGrid/>
              <w:spacing w:line="360" w:lineRule="auto"/>
              <w:ind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中：方案内容一般，导师团队配置一般，实施计划一般，培训资源一般，培训内容针对性一般，保障措施可行性一般，与项目需求匹配度一般，得（3-1分]。</w:t>
            </w:r>
          </w:p>
          <w:p w14:paraId="11F664C7">
            <w:pPr>
              <w:keepNext w:val="0"/>
              <w:keepLines w:val="0"/>
              <w:pageBreakBefore w:val="0"/>
              <w:widowControl w:val="0"/>
              <w:kinsoku/>
              <w:wordWrap/>
              <w:overflowPunct/>
              <w:topLinePunct w:val="0"/>
              <w:bidi w:val="0"/>
              <w:snapToGrid/>
              <w:spacing w:line="360" w:lineRule="auto"/>
              <w:ind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差：培训方案内容简单，导师团队配置差，实施计划差，培训资源差，培训内容针对性差，与项目需求匹配度差，得（1-0分]。</w:t>
            </w:r>
          </w:p>
          <w:p w14:paraId="2069CE68">
            <w:pPr>
              <w:keepNext w:val="0"/>
              <w:keepLines w:val="0"/>
              <w:pageBreakBefore w:val="0"/>
              <w:widowControl w:val="0"/>
              <w:kinsoku/>
              <w:wordWrap/>
              <w:overflowPunct/>
              <w:topLinePunct w:val="0"/>
              <w:bidi w:val="0"/>
              <w:snapToGrid/>
              <w:spacing w:line="360" w:lineRule="auto"/>
              <w:ind w:firstLine="0" w:firstLineChars="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备注:</w:t>
            </w:r>
          </w:p>
          <w:p w14:paraId="6318DADD">
            <w:pPr>
              <w:keepNext w:val="0"/>
              <w:keepLines w:val="0"/>
              <w:pageBreakBefore w:val="0"/>
              <w:widowControl w:val="0"/>
              <w:kinsoku/>
              <w:wordWrap/>
              <w:overflowPunct/>
              <w:topLinePunct w:val="0"/>
              <w:bidi w:val="0"/>
              <w:snapToGrid/>
              <w:spacing w:line="360" w:lineRule="auto"/>
              <w:ind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（1）未提供方案或方案内容缺少的不得分。</w:t>
            </w:r>
          </w:p>
          <w:p w14:paraId="4FE662AD">
            <w:pPr>
              <w:keepNext w:val="0"/>
              <w:keepLines w:val="0"/>
              <w:pageBreakBefore w:val="0"/>
              <w:widowControl w:val="0"/>
              <w:kinsoku/>
              <w:wordWrap/>
              <w:overflowPunct/>
              <w:topLinePunct w:val="0"/>
              <w:bidi w:val="0"/>
              <w:snapToGrid/>
              <w:spacing w:line="360" w:lineRule="auto"/>
              <w:ind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投标人方案的不同内容分别符合评审内容中不同档次得分要求的，评审时优先按较低的档次计分（即若投标人方案内容符合“优”的得分要求，另一部分内容符合“中”的得分要求时，应按“中”的档次考虑计分）。</w:t>
            </w:r>
          </w:p>
        </w:tc>
        <w:tc>
          <w:tcPr>
            <w:tcW w:w="533" w:type="pct"/>
            <w:tcBorders>
              <w:top w:val="single" w:color="auto" w:sz="4" w:space="0"/>
              <w:left w:val="single" w:color="auto" w:sz="4" w:space="0"/>
              <w:bottom w:val="single" w:color="auto" w:sz="4" w:space="0"/>
              <w:right w:val="single" w:color="auto" w:sz="4" w:space="0"/>
            </w:tcBorders>
            <w:noWrap w:val="0"/>
            <w:vAlign w:val="center"/>
          </w:tcPr>
          <w:p w14:paraId="16841F14">
            <w:pPr>
              <w:keepNext w:val="0"/>
              <w:keepLines w:val="0"/>
              <w:pageBreakBefore w:val="0"/>
              <w:widowControl w:val="0"/>
              <w:kinsoku/>
              <w:wordWrap/>
              <w:overflowPunct/>
              <w:topLinePunct w:val="0"/>
              <w:bidi w:val="0"/>
              <w:snapToGrid/>
              <w:spacing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分</w:t>
            </w:r>
          </w:p>
        </w:tc>
      </w:tr>
      <w:tr w14:paraId="39F20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 w:type="pct"/>
            <w:tcBorders>
              <w:top w:val="single" w:color="auto" w:sz="4" w:space="0"/>
              <w:left w:val="single" w:color="auto" w:sz="4" w:space="0"/>
              <w:bottom w:val="single" w:color="auto" w:sz="4" w:space="0"/>
              <w:right w:val="single" w:color="auto" w:sz="4" w:space="0"/>
            </w:tcBorders>
            <w:noWrap w:val="0"/>
            <w:vAlign w:val="center"/>
          </w:tcPr>
          <w:p w14:paraId="7657FA9B">
            <w:pPr>
              <w:keepNext w:val="0"/>
              <w:keepLines w:val="0"/>
              <w:pageBreakBefore w:val="0"/>
              <w:widowControl w:val="0"/>
              <w:kinsoku/>
              <w:wordWrap/>
              <w:overflowPunct/>
              <w:topLinePunct w:val="0"/>
              <w:bidi w:val="0"/>
              <w:snapToGrid/>
              <w:spacing w:line="360" w:lineRule="auto"/>
              <w:ind w:firstLine="0" w:firstLineChars="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w:t>
            </w:r>
          </w:p>
        </w:tc>
        <w:tc>
          <w:tcPr>
            <w:tcW w:w="741" w:type="pct"/>
            <w:tcBorders>
              <w:top w:val="single" w:color="auto" w:sz="4" w:space="0"/>
              <w:left w:val="single" w:color="auto" w:sz="4" w:space="0"/>
              <w:bottom w:val="single" w:color="auto" w:sz="4" w:space="0"/>
              <w:right w:val="single" w:color="auto" w:sz="4" w:space="0"/>
            </w:tcBorders>
            <w:noWrap w:val="0"/>
            <w:vAlign w:val="center"/>
          </w:tcPr>
          <w:p w14:paraId="67138578">
            <w:pPr>
              <w:keepNext w:val="0"/>
              <w:keepLines w:val="0"/>
              <w:pageBreakBefore w:val="0"/>
              <w:widowControl w:val="0"/>
              <w:kinsoku/>
              <w:wordWrap/>
              <w:overflowPunct/>
              <w:topLinePunct w:val="0"/>
              <w:bidi w:val="0"/>
              <w:snapToGrid/>
              <w:spacing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物业管理</w:t>
            </w:r>
            <w:r>
              <w:rPr>
                <w:rFonts w:hint="eastAsia" w:ascii="宋体" w:hAnsi="宋体" w:eastAsia="宋体" w:cs="宋体"/>
                <w:color w:val="auto"/>
                <w:sz w:val="21"/>
                <w:szCs w:val="21"/>
                <w:lang w:val="en-US" w:eastAsia="zh-CN"/>
              </w:rPr>
              <w:t>运营服务</w:t>
            </w:r>
            <w:r>
              <w:rPr>
                <w:rFonts w:hint="eastAsia" w:ascii="宋体" w:hAnsi="宋体" w:eastAsia="宋体" w:cs="宋体"/>
                <w:color w:val="auto"/>
                <w:sz w:val="21"/>
                <w:szCs w:val="21"/>
              </w:rPr>
              <w:t>方案</w:t>
            </w:r>
          </w:p>
        </w:tc>
        <w:tc>
          <w:tcPr>
            <w:tcW w:w="3422" w:type="pct"/>
            <w:tcBorders>
              <w:top w:val="single" w:color="auto" w:sz="4" w:space="0"/>
              <w:left w:val="single" w:color="auto" w:sz="4" w:space="0"/>
              <w:bottom w:val="single" w:color="auto" w:sz="4" w:space="0"/>
              <w:right w:val="single" w:color="auto" w:sz="4" w:space="0"/>
            </w:tcBorders>
            <w:noWrap w:val="0"/>
            <w:vAlign w:val="top"/>
          </w:tcPr>
          <w:p w14:paraId="039A6439">
            <w:pPr>
              <w:keepNext w:val="0"/>
              <w:keepLines w:val="0"/>
              <w:pageBreakBefore w:val="0"/>
              <w:widowControl w:val="0"/>
              <w:kinsoku/>
              <w:wordWrap/>
              <w:overflowPunct/>
              <w:topLinePunct w:val="0"/>
              <w:bidi w:val="0"/>
              <w:snapToGrid/>
              <w:spacing w:line="360" w:lineRule="auto"/>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根据投标人</w:t>
            </w:r>
            <w:r>
              <w:rPr>
                <w:rFonts w:hint="eastAsia" w:ascii="宋体" w:hAnsi="宋体" w:eastAsia="宋体" w:cs="宋体"/>
                <w:color w:val="auto"/>
                <w:sz w:val="21"/>
                <w:szCs w:val="21"/>
                <w:lang w:val="en-US" w:eastAsia="zh-CN"/>
              </w:rPr>
              <w:t>针对本项目提供的物业管理运营服务方案【包括但不限于前期准备及交接工作安排、物业管理团队组建方案、针对本项目服务内容（客户服务管理、安全保卫管理、清洁卫生管理、园林绿化养护和管理、空调系统维护保养管理、消防系统维护保养管理、供配电系统维护保养管理、给排水系统维护保养管理、智能化系统维护与保养管理、电梯系统维护与保养管理、突发应急管理、楼宇主体及其附属设施和公共配套设施维护与保养、日常物业维修及物业使用人装修管理）的组织实施方案、工作计划、响应速度及服务质量保障措施、针对本项目提出的增值服务及措施等内容】</w:t>
            </w:r>
            <w:r>
              <w:rPr>
                <w:rFonts w:hint="eastAsia" w:ascii="宋体" w:hAnsi="宋体" w:eastAsia="宋体" w:cs="宋体"/>
                <w:color w:val="auto"/>
                <w:sz w:val="21"/>
                <w:szCs w:val="21"/>
              </w:rPr>
              <w:t>进行评审。</w:t>
            </w:r>
          </w:p>
          <w:p w14:paraId="0828A4A9">
            <w:pPr>
              <w:keepNext w:val="0"/>
              <w:keepLines w:val="0"/>
              <w:pageBreakBefore w:val="0"/>
              <w:widowControl w:val="0"/>
              <w:kinsoku/>
              <w:wordWrap/>
              <w:overflowPunct/>
              <w:topLinePunct w:val="0"/>
              <w:bidi w:val="0"/>
              <w:snapToGrid/>
              <w:spacing w:line="360" w:lineRule="auto"/>
              <w:ind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优：方案内容详细、全面、针对性强，物业管理人员组建完善，保障措施切实可行，服务流程和组织配合清晰合理，响应速度快，增值服务种类繁多、完全贴合实际情况、可实施性强，完全能满足采购需求，得[10-8分]。</w:t>
            </w:r>
          </w:p>
          <w:p w14:paraId="4C2C7D45">
            <w:pPr>
              <w:keepNext w:val="0"/>
              <w:keepLines w:val="0"/>
              <w:pageBreakBefore w:val="0"/>
              <w:widowControl w:val="0"/>
              <w:kinsoku/>
              <w:wordWrap/>
              <w:overflowPunct/>
              <w:topLinePunct w:val="0"/>
              <w:bidi w:val="0"/>
              <w:snapToGrid/>
              <w:spacing w:line="360" w:lineRule="auto"/>
              <w:ind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良：方案内容比较详细、比较全面、针对性较强，物业管理人员组建较为完善，保障措施比较可行，服务流程和组织配合较清晰合理，响应速度较快，增值服务种类较多、比较贴合实际情况、可实施性较强，能满足采购需求，得（8-5分]。</w:t>
            </w:r>
          </w:p>
          <w:p w14:paraId="58B462ED">
            <w:pPr>
              <w:keepNext w:val="0"/>
              <w:keepLines w:val="0"/>
              <w:pageBreakBefore w:val="0"/>
              <w:widowControl w:val="0"/>
              <w:kinsoku/>
              <w:wordWrap/>
              <w:overflowPunct/>
              <w:topLinePunct w:val="0"/>
              <w:bidi w:val="0"/>
              <w:snapToGrid/>
              <w:spacing w:line="360" w:lineRule="auto"/>
              <w:ind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中：方案内容简单、针对性一般，物业管理人员组建一般，保障措施基本可行，服务流程和组织配合基本清晰合理，响应速度一般，增值服务种类一般、内容基本贴合实际情况、可实施性一般，基本能满足采购需求，得（5-2分]。</w:t>
            </w:r>
          </w:p>
          <w:p w14:paraId="0BA8DF4A">
            <w:pPr>
              <w:keepNext w:val="0"/>
              <w:keepLines w:val="0"/>
              <w:pageBreakBefore w:val="0"/>
              <w:widowControl w:val="0"/>
              <w:kinsoku/>
              <w:wordWrap/>
              <w:overflowPunct/>
              <w:topLinePunct w:val="0"/>
              <w:bidi w:val="0"/>
              <w:snapToGrid/>
              <w:spacing w:line="360" w:lineRule="auto"/>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差：方案内容不全、针对性不强，物业管理人员组建差，保障措施可行性差，服务流程和组织配合不清晰合理，响应速度差，增值服务种类较少、内容不贴合实际情况、可实施性差，不能满足采购需求，得（2-0分]。</w:t>
            </w:r>
          </w:p>
          <w:p w14:paraId="15A07826">
            <w:pPr>
              <w:keepNext w:val="0"/>
              <w:keepLines w:val="0"/>
              <w:pageBreakBefore w:val="0"/>
              <w:widowControl w:val="0"/>
              <w:kinsoku/>
              <w:wordWrap/>
              <w:overflowPunct/>
              <w:topLinePunct w:val="0"/>
              <w:bidi w:val="0"/>
              <w:snapToGrid/>
              <w:spacing w:line="360" w:lineRule="auto"/>
              <w:ind w:left="0" w:leftChars="0" w:firstLine="0" w:firstLineChars="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p w14:paraId="05CEF4E3">
            <w:pPr>
              <w:keepNext w:val="0"/>
              <w:keepLines w:val="0"/>
              <w:pageBreakBefore w:val="0"/>
              <w:widowControl w:val="0"/>
              <w:kinsoku/>
              <w:wordWrap/>
              <w:overflowPunct/>
              <w:topLinePunct w:val="0"/>
              <w:bidi w:val="0"/>
              <w:snapToGrid/>
              <w:spacing w:line="360" w:lineRule="auto"/>
              <w:ind w:left="0" w:leftChars="0" w:firstLine="0" w:firstLineChars="0"/>
              <w:textAlignment w:val="auto"/>
              <w:outlineLvl w:val="9"/>
              <w:rPr>
                <w:rFonts w:hint="eastAsia" w:ascii="宋体" w:hAnsi="宋体" w:eastAsia="宋体" w:cs="宋体"/>
                <w:b w:val="0"/>
                <w:bCs/>
                <w:color w:val="auto"/>
                <w:kern w:val="2"/>
                <w:sz w:val="21"/>
                <w:szCs w:val="21"/>
                <w:highlight w:val="none"/>
                <w:lang w:val="en-US" w:eastAsia="zh-CN"/>
              </w:rPr>
            </w:pPr>
            <w:r>
              <w:rPr>
                <w:rFonts w:hint="eastAsia" w:ascii="宋体" w:hAnsi="宋体" w:eastAsia="宋体" w:cs="宋体"/>
                <w:b w:val="0"/>
                <w:bCs/>
                <w:color w:val="auto"/>
                <w:kern w:val="2"/>
                <w:sz w:val="21"/>
                <w:szCs w:val="21"/>
                <w:highlight w:val="none"/>
                <w:lang w:val="en-US" w:eastAsia="zh-CN"/>
              </w:rPr>
              <w:t>（1）</w:t>
            </w:r>
            <w:r>
              <w:rPr>
                <w:rFonts w:hint="eastAsia" w:ascii="宋体" w:hAnsi="宋体" w:eastAsia="宋体" w:cs="宋体"/>
                <w:color w:val="auto"/>
                <w:sz w:val="21"/>
                <w:szCs w:val="21"/>
                <w:lang w:val="en-US" w:eastAsia="zh-CN"/>
              </w:rPr>
              <w:t>未提供方案或方案内容缺少的不得分</w:t>
            </w:r>
            <w:r>
              <w:rPr>
                <w:rFonts w:hint="eastAsia" w:ascii="宋体" w:hAnsi="宋体" w:eastAsia="宋体" w:cs="宋体"/>
                <w:b w:val="0"/>
                <w:bCs/>
                <w:color w:val="auto"/>
                <w:kern w:val="2"/>
                <w:sz w:val="21"/>
                <w:szCs w:val="21"/>
                <w:highlight w:val="none"/>
                <w:lang w:val="en-US" w:eastAsia="zh-CN"/>
              </w:rPr>
              <w:t>。</w:t>
            </w:r>
          </w:p>
          <w:p w14:paraId="49172F62">
            <w:pPr>
              <w:keepNext w:val="0"/>
              <w:keepLines w:val="0"/>
              <w:pageBreakBefore w:val="0"/>
              <w:widowControl w:val="0"/>
              <w:kinsoku/>
              <w:wordWrap/>
              <w:overflowPunct/>
              <w:topLinePunct w:val="0"/>
              <w:bidi w:val="0"/>
              <w:snapToGrid/>
              <w:spacing w:line="360" w:lineRule="auto"/>
              <w:ind w:left="0" w:leftChars="0" w:firstLine="0" w:firstLineChars="0"/>
              <w:textAlignment w:val="auto"/>
              <w:outlineLvl w:val="9"/>
              <w:rPr>
                <w:rFonts w:hint="eastAsia" w:ascii="宋体" w:hAnsi="宋体" w:eastAsia="宋体" w:cs="宋体"/>
                <w:color w:val="auto"/>
                <w:sz w:val="21"/>
                <w:szCs w:val="21"/>
                <w:lang w:val="en-US"/>
              </w:rPr>
            </w:pPr>
            <w:r>
              <w:rPr>
                <w:rFonts w:hint="eastAsia" w:ascii="宋体" w:hAnsi="宋体" w:eastAsia="宋体" w:cs="宋体"/>
                <w:b w:val="0"/>
                <w:bCs/>
                <w:color w:val="auto"/>
                <w:kern w:val="2"/>
                <w:sz w:val="21"/>
                <w:szCs w:val="21"/>
                <w:highlight w:val="none"/>
                <w:lang w:val="en-US" w:eastAsia="zh-CN"/>
              </w:rPr>
              <w:t>（2）投标人方案的不同内容分别符合评审内容中不同档次得分要求的，评审时优先按较低的档次计分（即若投标人方案内容符合“优”的得分要求，另一部分内容符合“中”的得分要求时，应按“中”的档次考虑计分）。</w:t>
            </w:r>
          </w:p>
        </w:tc>
        <w:tc>
          <w:tcPr>
            <w:tcW w:w="533" w:type="pct"/>
            <w:tcBorders>
              <w:top w:val="single" w:color="auto" w:sz="4" w:space="0"/>
              <w:left w:val="single" w:color="auto" w:sz="4" w:space="0"/>
              <w:bottom w:val="single" w:color="auto" w:sz="4" w:space="0"/>
              <w:right w:val="single" w:color="auto" w:sz="4" w:space="0"/>
            </w:tcBorders>
            <w:noWrap w:val="0"/>
            <w:vAlign w:val="center"/>
          </w:tcPr>
          <w:p w14:paraId="4A4B2F01">
            <w:pPr>
              <w:keepNext w:val="0"/>
              <w:keepLines w:val="0"/>
              <w:pageBreakBefore w:val="0"/>
              <w:widowControl w:val="0"/>
              <w:kinsoku/>
              <w:wordWrap/>
              <w:overflowPunct/>
              <w:topLinePunct w:val="0"/>
              <w:bidi w:val="0"/>
              <w:snapToGrid/>
              <w:spacing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分</w:t>
            </w:r>
          </w:p>
        </w:tc>
      </w:tr>
      <w:tr w14:paraId="1872B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 w:type="pct"/>
            <w:tcBorders>
              <w:top w:val="single" w:color="auto" w:sz="4" w:space="0"/>
              <w:left w:val="single" w:color="auto" w:sz="4" w:space="0"/>
              <w:bottom w:val="single" w:color="auto" w:sz="4" w:space="0"/>
              <w:right w:val="single" w:color="auto" w:sz="4" w:space="0"/>
            </w:tcBorders>
            <w:noWrap w:val="0"/>
            <w:vAlign w:val="center"/>
          </w:tcPr>
          <w:p w14:paraId="48950634">
            <w:pPr>
              <w:keepNext w:val="0"/>
              <w:keepLines w:val="0"/>
              <w:pageBreakBefore w:val="0"/>
              <w:widowControl w:val="0"/>
              <w:kinsoku/>
              <w:wordWrap/>
              <w:overflowPunct/>
              <w:topLinePunct w:val="0"/>
              <w:bidi w:val="0"/>
              <w:snapToGrid/>
              <w:spacing w:line="360" w:lineRule="auto"/>
              <w:ind w:firstLine="0" w:firstLineChars="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4</w:t>
            </w:r>
          </w:p>
        </w:tc>
        <w:tc>
          <w:tcPr>
            <w:tcW w:w="741" w:type="pct"/>
            <w:tcBorders>
              <w:top w:val="single" w:color="auto" w:sz="4" w:space="0"/>
              <w:left w:val="single" w:color="auto" w:sz="4" w:space="0"/>
              <w:bottom w:val="single" w:color="auto" w:sz="4" w:space="0"/>
              <w:right w:val="single" w:color="auto" w:sz="4" w:space="0"/>
            </w:tcBorders>
            <w:noWrap w:val="0"/>
            <w:vAlign w:val="center"/>
          </w:tcPr>
          <w:p w14:paraId="6019CDE3">
            <w:pPr>
              <w:keepNext w:val="0"/>
              <w:keepLines w:val="0"/>
              <w:pageBreakBefore w:val="0"/>
              <w:widowControl w:val="0"/>
              <w:kinsoku/>
              <w:wordWrap/>
              <w:overflowPunct/>
              <w:topLinePunct w:val="0"/>
              <w:bidi w:val="0"/>
              <w:snapToGrid/>
              <w:spacing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拟投入本项目的服务人员情况</w:t>
            </w:r>
          </w:p>
        </w:tc>
        <w:tc>
          <w:tcPr>
            <w:tcW w:w="3422" w:type="pct"/>
            <w:tcBorders>
              <w:top w:val="single" w:color="auto" w:sz="4" w:space="0"/>
              <w:left w:val="single" w:color="auto" w:sz="4" w:space="0"/>
              <w:bottom w:val="single" w:color="auto" w:sz="4" w:space="0"/>
              <w:right w:val="single" w:color="auto" w:sz="4" w:space="0"/>
            </w:tcBorders>
            <w:noWrap w:val="0"/>
            <w:vAlign w:val="top"/>
          </w:tcPr>
          <w:p w14:paraId="4ADC50F6">
            <w:pPr>
              <w:pStyle w:val="18"/>
              <w:keepNext w:val="0"/>
              <w:keepLines w:val="0"/>
              <w:pageBreakBefore w:val="0"/>
              <w:widowControl w:val="0"/>
              <w:kinsoku/>
              <w:wordWrap/>
              <w:overflowPunct/>
              <w:topLinePunct w:val="0"/>
              <w:bidi w:val="0"/>
              <w:snapToGrid/>
              <w:spacing w:line="360" w:lineRule="auto"/>
              <w:ind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（1）拟投入本项目的项目</w:t>
            </w:r>
            <w:r>
              <w:rPr>
                <w:rFonts w:hint="eastAsia" w:ascii="宋体" w:hAnsi="宋体" w:eastAsia="宋体" w:cs="宋体"/>
                <w:b w:val="0"/>
                <w:bCs w:val="0"/>
                <w:color w:val="auto"/>
                <w:sz w:val="21"/>
                <w:szCs w:val="21"/>
                <w:lang w:val="en-US" w:eastAsia="zh-CN"/>
              </w:rPr>
              <w:t>经理</w:t>
            </w:r>
            <w:r>
              <w:rPr>
                <w:rFonts w:hint="eastAsia" w:ascii="宋体" w:hAnsi="宋体" w:eastAsia="宋体" w:cs="宋体"/>
                <w:b w:val="0"/>
                <w:bCs w:val="0"/>
                <w:color w:val="auto"/>
                <w:sz w:val="21"/>
                <w:szCs w:val="21"/>
              </w:rPr>
              <w:t>（仅一人）</w:t>
            </w:r>
          </w:p>
          <w:p w14:paraId="3D116B34">
            <w:pPr>
              <w:pStyle w:val="18"/>
              <w:keepNext w:val="0"/>
              <w:keepLines w:val="0"/>
              <w:pageBreakBefore w:val="0"/>
              <w:widowControl w:val="0"/>
              <w:kinsoku/>
              <w:wordWrap/>
              <w:overflowPunct/>
              <w:topLinePunct w:val="0"/>
              <w:bidi w:val="0"/>
              <w:snapToGrid/>
              <w:spacing w:line="360" w:lineRule="auto"/>
              <w:ind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①拟投入本项目的项目</w:t>
            </w:r>
            <w:r>
              <w:rPr>
                <w:rFonts w:hint="eastAsia" w:ascii="宋体" w:hAnsi="宋体" w:eastAsia="宋体" w:cs="宋体"/>
                <w:b w:val="0"/>
                <w:bCs w:val="0"/>
                <w:color w:val="auto"/>
                <w:sz w:val="21"/>
                <w:szCs w:val="21"/>
                <w:lang w:val="en-US" w:eastAsia="zh-CN"/>
              </w:rPr>
              <w:t>经理</w:t>
            </w:r>
            <w:r>
              <w:rPr>
                <w:rFonts w:hint="eastAsia" w:ascii="宋体" w:hAnsi="宋体" w:eastAsia="宋体" w:cs="宋体"/>
                <w:b w:val="0"/>
                <w:bCs w:val="0"/>
                <w:color w:val="auto"/>
                <w:sz w:val="21"/>
                <w:szCs w:val="21"/>
              </w:rPr>
              <w:t>自202</w:t>
            </w:r>
            <w:r>
              <w:rPr>
                <w:rFonts w:hint="eastAsia" w:ascii="宋体" w:hAnsi="宋体" w:eastAsia="宋体" w:cs="宋体"/>
                <w:b w:val="0"/>
                <w:bCs w:val="0"/>
                <w:color w:val="auto"/>
                <w:sz w:val="21"/>
                <w:szCs w:val="21"/>
                <w:lang w:val="en-US" w:eastAsia="zh-CN"/>
              </w:rPr>
              <w:t>2</w:t>
            </w:r>
            <w:r>
              <w:rPr>
                <w:rFonts w:hint="eastAsia" w:ascii="宋体" w:hAnsi="宋体" w:eastAsia="宋体" w:cs="宋体"/>
                <w:b w:val="0"/>
                <w:bCs w:val="0"/>
                <w:color w:val="auto"/>
                <w:sz w:val="21"/>
                <w:szCs w:val="21"/>
              </w:rPr>
              <w:t>年1月1日起担任项目</w:t>
            </w:r>
            <w:r>
              <w:rPr>
                <w:rFonts w:hint="eastAsia" w:ascii="宋体" w:hAnsi="宋体" w:eastAsia="宋体" w:cs="宋体"/>
                <w:b w:val="0"/>
                <w:bCs w:val="0"/>
                <w:color w:val="auto"/>
                <w:sz w:val="21"/>
                <w:szCs w:val="21"/>
                <w:lang w:val="en-US" w:eastAsia="zh-CN"/>
              </w:rPr>
              <w:t>经理（或负责人）</w:t>
            </w:r>
            <w:r>
              <w:rPr>
                <w:rFonts w:hint="eastAsia" w:ascii="宋体" w:hAnsi="宋体" w:eastAsia="宋体" w:cs="宋体"/>
                <w:b w:val="0"/>
                <w:bCs w:val="0"/>
                <w:color w:val="auto"/>
                <w:sz w:val="21"/>
                <w:szCs w:val="21"/>
              </w:rPr>
              <w:t>负责过商务办公楼或写字楼 [建筑面积</w:t>
            </w:r>
            <w:r>
              <w:rPr>
                <w:rFonts w:hint="eastAsia" w:ascii="宋体" w:hAnsi="宋体" w:eastAsia="宋体" w:cs="宋体"/>
                <w:b w:val="0"/>
                <w:bCs w:val="0"/>
                <w:color w:val="auto"/>
                <w:sz w:val="21"/>
                <w:szCs w:val="21"/>
                <w:lang w:val="en-US" w:eastAsia="zh-CN"/>
              </w:rPr>
              <w:t>9</w:t>
            </w:r>
            <w:r>
              <w:rPr>
                <w:rFonts w:hint="eastAsia" w:ascii="宋体" w:hAnsi="宋体" w:eastAsia="宋体" w:cs="宋体"/>
                <w:b w:val="0"/>
                <w:bCs w:val="0"/>
                <w:color w:val="auto"/>
                <w:sz w:val="21"/>
                <w:szCs w:val="21"/>
              </w:rPr>
              <w:t>万（含）平方米以上且建筑楼层不低于22层]物业管理服务项目业绩的，每提供一个业绩得</w:t>
            </w:r>
            <w:r>
              <w:rPr>
                <w:rFonts w:hint="eastAsia" w:ascii="宋体" w:hAnsi="宋体" w:eastAsia="宋体" w:cs="宋体"/>
                <w:b w:val="0"/>
                <w:bCs w:val="0"/>
                <w:color w:val="auto"/>
                <w:sz w:val="21"/>
                <w:szCs w:val="21"/>
                <w:lang w:val="en-US" w:eastAsia="zh-CN"/>
              </w:rPr>
              <w:t>0.5</w:t>
            </w:r>
            <w:r>
              <w:rPr>
                <w:rFonts w:hint="eastAsia" w:ascii="宋体" w:hAnsi="宋体" w:eastAsia="宋体" w:cs="宋体"/>
                <w:b w:val="0"/>
                <w:bCs w:val="0"/>
                <w:color w:val="auto"/>
                <w:sz w:val="21"/>
                <w:szCs w:val="21"/>
              </w:rPr>
              <w:t>分，本小项最高得</w:t>
            </w:r>
            <w:r>
              <w:rPr>
                <w:rFonts w:hint="eastAsia" w:ascii="宋体" w:hAnsi="宋体" w:eastAsia="宋体" w:cs="宋体"/>
                <w:b w:val="0"/>
                <w:bCs w:val="0"/>
                <w:color w:val="auto"/>
                <w:sz w:val="21"/>
                <w:szCs w:val="21"/>
                <w:lang w:val="en-US" w:eastAsia="zh-CN"/>
              </w:rPr>
              <w:t>2</w:t>
            </w:r>
            <w:r>
              <w:rPr>
                <w:rFonts w:hint="eastAsia" w:ascii="宋体" w:hAnsi="宋体" w:eastAsia="宋体" w:cs="宋体"/>
                <w:b w:val="0"/>
                <w:bCs w:val="0"/>
                <w:color w:val="auto"/>
                <w:sz w:val="21"/>
                <w:szCs w:val="21"/>
              </w:rPr>
              <w:t>分。</w:t>
            </w:r>
          </w:p>
          <w:p w14:paraId="62355C04">
            <w:pPr>
              <w:pStyle w:val="18"/>
              <w:keepNext w:val="0"/>
              <w:keepLines w:val="0"/>
              <w:pageBreakBefore w:val="0"/>
              <w:widowControl w:val="0"/>
              <w:kinsoku/>
              <w:wordWrap/>
              <w:overflowPunct/>
              <w:topLinePunct w:val="0"/>
              <w:bidi w:val="0"/>
              <w:snapToGrid/>
              <w:spacing w:line="360" w:lineRule="auto"/>
              <w:ind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（2）投标人服务团队人员（不含项目</w:t>
            </w:r>
            <w:r>
              <w:rPr>
                <w:rFonts w:hint="eastAsia" w:ascii="宋体" w:hAnsi="宋体" w:eastAsia="宋体" w:cs="宋体"/>
                <w:b w:val="0"/>
                <w:bCs w:val="0"/>
                <w:color w:val="auto"/>
                <w:sz w:val="21"/>
                <w:szCs w:val="21"/>
                <w:lang w:val="en-US" w:eastAsia="zh-CN"/>
              </w:rPr>
              <w:t>经理</w:t>
            </w:r>
            <w:r>
              <w:rPr>
                <w:rFonts w:hint="eastAsia" w:ascii="宋体" w:hAnsi="宋体" w:eastAsia="宋体" w:cs="宋体"/>
                <w:b w:val="0"/>
                <w:bCs w:val="0"/>
                <w:color w:val="auto"/>
                <w:sz w:val="21"/>
                <w:szCs w:val="21"/>
              </w:rPr>
              <w:t>）</w:t>
            </w:r>
          </w:p>
          <w:p w14:paraId="1AAD82AA">
            <w:pPr>
              <w:pStyle w:val="18"/>
              <w:keepNext w:val="0"/>
              <w:keepLines w:val="0"/>
              <w:pageBreakBefore w:val="0"/>
              <w:widowControl w:val="0"/>
              <w:kinsoku/>
              <w:wordWrap/>
              <w:overflowPunct/>
              <w:topLinePunct w:val="0"/>
              <w:bidi w:val="0"/>
              <w:snapToGrid/>
              <w:spacing w:line="360" w:lineRule="auto"/>
              <w:ind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①投标人拟投入本项目的环境负责人，具有本科或以上学历，且持有人力资源和社会保障部门（或原劳动部门）颁发的园林或</w:t>
            </w:r>
            <w:r>
              <w:rPr>
                <w:rFonts w:hint="eastAsia" w:ascii="宋体" w:hAnsi="宋体" w:eastAsia="宋体" w:cs="宋体"/>
                <w:b w:val="0"/>
                <w:bCs w:val="0"/>
                <w:color w:val="auto"/>
                <w:sz w:val="21"/>
                <w:szCs w:val="21"/>
                <w:lang w:val="en-US" w:eastAsia="zh-CN"/>
              </w:rPr>
              <w:t>园林</w:t>
            </w:r>
            <w:r>
              <w:rPr>
                <w:rFonts w:hint="eastAsia" w:ascii="宋体" w:hAnsi="宋体" w:eastAsia="宋体" w:cs="宋体"/>
                <w:b w:val="0"/>
                <w:bCs w:val="0"/>
                <w:color w:val="auto"/>
                <w:sz w:val="21"/>
                <w:szCs w:val="21"/>
              </w:rPr>
              <w:t>绿化类专业中级或以上职称证书的，得1分；</w:t>
            </w:r>
          </w:p>
          <w:p w14:paraId="28F6E42C">
            <w:pPr>
              <w:pStyle w:val="18"/>
              <w:keepNext w:val="0"/>
              <w:keepLines w:val="0"/>
              <w:pageBreakBefore w:val="0"/>
              <w:widowControl w:val="0"/>
              <w:kinsoku/>
              <w:wordWrap/>
              <w:overflowPunct/>
              <w:topLinePunct w:val="0"/>
              <w:bidi w:val="0"/>
              <w:snapToGrid/>
              <w:spacing w:line="360" w:lineRule="auto"/>
              <w:ind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②投标人拟投入本项目工程负责人，具有本科或以上学历，且持有人力资源和社会保障部门（或原劳动部门）颁发的机电工程相关专业中级或以上职称证书的，得1分；</w:t>
            </w:r>
          </w:p>
          <w:p w14:paraId="647A460F">
            <w:pPr>
              <w:pStyle w:val="18"/>
              <w:keepNext w:val="0"/>
              <w:keepLines w:val="0"/>
              <w:pageBreakBefore w:val="0"/>
              <w:widowControl w:val="0"/>
              <w:kinsoku/>
              <w:wordWrap/>
              <w:overflowPunct/>
              <w:topLinePunct w:val="0"/>
              <w:bidi w:val="0"/>
              <w:snapToGrid/>
              <w:spacing w:line="360" w:lineRule="auto"/>
              <w:ind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③投标人拟投入本项目的技术人员持有特种作业操作证的，每人得0.5分，本小项最高得2分；</w:t>
            </w:r>
          </w:p>
          <w:p w14:paraId="5E24BF05">
            <w:pPr>
              <w:pStyle w:val="18"/>
              <w:keepNext w:val="0"/>
              <w:keepLines w:val="0"/>
              <w:pageBreakBefore w:val="0"/>
              <w:widowControl w:val="0"/>
              <w:kinsoku/>
              <w:wordWrap/>
              <w:overflowPunct/>
              <w:topLinePunct w:val="0"/>
              <w:bidi w:val="0"/>
              <w:snapToGrid/>
              <w:spacing w:line="360" w:lineRule="auto"/>
              <w:ind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④投标人拟投入本项目其他的专业技术人员（不含环境负责人和工程负责人）持有人力资源和社会保障部门（或原劳动部门）颁发的中级或以上职称的，每人得0.5分，本小项最高得2分；</w:t>
            </w:r>
          </w:p>
          <w:p w14:paraId="329354AE">
            <w:pPr>
              <w:pStyle w:val="18"/>
              <w:keepNext w:val="0"/>
              <w:keepLines w:val="0"/>
              <w:pageBreakBefore w:val="0"/>
              <w:widowControl w:val="0"/>
              <w:kinsoku/>
              <w:wordWrap/>
              <w:overflowPunct/>
              <w:topLinePunct w:val="0"/>
              <w:bidi w:val="0"/>
              <w:snapToGrid/>
              <w:spacing w:line="360" w:lineRule="auto"/>
              <w:ind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⑤投标人拟投入本项目消防控制室的保安人员或管理人员，持有应急管理部消防救援局（或公安部消防局）颁发的消防设施操作员[或原建（构）筑物消防员]职业资格证书的不少于4人，得1分，每增加1人加0.5分，本小项最高得2分；</w:t>
            </w:r>
          </w:p>
          <w:p w14:paraId="3A8DFA91">
            <w:pPr>
              <w:pStyle w:val="18"/>
              <w:keepNext w:val="0"/>
              <w:keepLines w:val="0"/>
              <w:pageBreakBefore w:val="0"/>
              <w:widowControl w:val="0"/>
              <w:kinsoku/>
              <w:wordWrap/>
              <w:overflowPunct/>
              <w:topLinePunct w:val="0"/>
              <w:bidi w:val="0"/>
              <w:snapToGrid/>
              <w:spacing w:line="360" w:lineRule="auto"/>
              <w:ind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⑥投标人拟投入本项目保安人员中具有退伍（退役军人）证书的，每人得0.5分，本小项最高得</w:t>
            </w:r>
            <w:r>
              <w:rPr>
                <w:rFonts w:hint="eastAsia" w:ascii="宋体" w:hAnsi="宋体" w:eastAsia="宋体" w:cs="宋体"/>
                <w:b w:val="0"/>
                <w:bCs w:val="0"/>
                <w:color w:val="auto"/>
                <w:sz w:val="21"/>
                <w:szCs w:val="21"/>
                <w:lang w:val="en-US"/>
              </w:rPr>
              <w:t>2</w:t>
            </w:r>
            <w:r>
              <w:rPr>
                <w:rFonts w:hint="eastAsia" w:ascii="宋体" w:hAnsi="宋体" w:eastAsia="宋体" w:cs="宋体"/>
                <w:b w:val="0"/>
                <w:bCs w:val="0"/>
                <w:color w:val="auto"/>
                <w:sz w:val="21"/>
                <w:szCs w:val="21"/>
              </w:rPr>
              <w:t>分。</w:t>
            </w:r>
          </w:p>
          <w:p w14:paraId="4F213F35">
            <w:pPr>
              <w:pStyle w:val="18"/>
              <w:keepNext w:val="0"/>
              <w:keepLines w:val="0"/>
              <w:pageBreakBefore w:val="0"/>
              <w:widowControl w:val="0"/>
              <w:kinsoku/>
              <w:wordWrap/>
              <w:overflowPunct/>
              <w:topLinePunct w:val="0"/>
              <w:bidi w:val="0"/>
              <w:snapToGrid/>
              <w:spacing w:line="360" w:lineRule="auto"/>
              <w:ind w:firstLine="0" w:firstLineChars="0"/>
              <w:jc w:val="lef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备注：</w:t>
            </w:r>
          </w:p>
          <w:p w14:paraId="74AE22AB">
            <w:pPr>
              <w:pStyle w:val="18"/>
              <w:keepNext w:val="0"/>
              <w:keepLines w:val="0"/>
              <w:pageBreakBefore w:val="0"/>
              <w:widowControl w:val="0"/>
              <w:kinsoku/>
              <w:wordWrap/>
              <w:overflowPunct/>
              <w:topLinePunct w:val="0"/>
              <w:bidi w:val="0"/>
              <w:snapToGrid/>
              <w:spacing w:line="360" w:lineRule="auto"/>
              <w:ind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val="en-US"/>
              </w:rPr>
              <w:t>1</w:t>
            </w:r>
            <w:r>
              <w:rPr>
                <w:rFonts w:hint="eastAsia" w:ascii="宋体" w:hAnsi="宋体" w:eastAsia="宋体" w:cs="宋体"/>
                <w:b w:val="0"/>
                <w:bCs w:val="0"/>
                <w:color w:val="auto"/>
                <w:sz w:val="21"/>
                <w:szCs w:val="21"/>
              </w:rPr>
              <w:t>）需提供上述人员的身份证、劳动合同、资格证书[学历证书/职称证/执业/职业资格证/退伍（退役军人）证]以及人力资源和社会保障部门（或税务部门）出具的</w:t>
            </w:r>
            <w:r>
              <w:rPr>
                <w:rFonts w:hint="eastAsia" w:ascii="宋体" w:hAnsi="宋体" w:eastAsia="宋体" w:cs="宋体"/>
                <w:b w:val="0"/>
                <w:bCs w:val="0"/>
                <w:color w:val="auto"/>
                <w:sz w:val="21"/>
                <w:szCs w:val="21"/>
                <w:lang w:val="en-US" w:eastAsia="zh-CN"/>
              </w:rPr>
              <w:t>投标人</w:t>
            </w:r>
            <w:r>
              <w:rPr>
                <w:rFonts w:hint="eastAsia" w:ascii="宋体" w:hAnsi="宋体" w:eastAsia="宋体" w:cs="宋体"/>
                <w:b w:val="0"/>
                <w:bCs w:val="0"/>
                <w:color w:val="auto"/>
                <w:sz w:val="21"/>
                <w:szCs w:val="21"/>
              </w:rPr>
              <w:t>（202</w:t>
            </w:r>
            <w:r>
              <w:rPr>
                <w:rFonts w:hint="eastAsia" w:ascii="宋体" w:hAnsi="宋体" w:eastAsia="宋体" w:cs="宋体"/>
                <w:b w:val="0"/>
                <w:bCs w:val="0"/>
                <w:color w:val="auto"/>
                <w:sz w:val="21"/>
                <w:szCs w:val="21"/>
                <w:lang w:val="en-US" w:eastAsia="zh-CN"/>
              </w:rPr>
              <w:t>5</w:t>
            </w:r>
            <w:r>
              <w:rPr>
                <w:rFonts w:hint="eastAsia" w:ascii="宋体" w:hAnsi="宋体" w:eastAsia="宋体" w:cs="宋体"/>
                <w:b w:val="0"/>
                <w:bCs w:val="0"/>
                <w:color w:val="auto"/>
                <w:sz w:val="21"/>
                <w:szCs w:val="21"/>
              </w:rPr>
              <w:t>年</w:t>
            </w:r>
            <w:r>
              <w:rPr>
                <w:rFonts w:hint="eastAsia" w:hAnsi="宋体" w:cs="宋体"/>
                <w:b w:val="0"/>
                <w:bCs w:val="0"/>
                <w:color w:val="auto"/>
                <w:sz w:val="21"/>
                <w:szCs w:val="21"/>
                <w:lang w:val="en-US" w:eastAsia="zh-CN"/>
              </w:rPr>
              <w:t>5</w:t>
            </w:r>
            <w:r>
              <w:rPr>
                <w:rFonts w:hint="eastAsia" w:ascii="宋体" w:hAnsi="宋体" w:eastAsia="宋体" w:cs="宋体"/>
                <w:b w:val="0"/>
                <w:bCs w:val="0"/>
                <w:color w:val="auto"/>
                <w:sz w:val="21"/>
                <w:szCs w:val="21"/>
              </w:rPr>
              <w:t>月、202</w:t>
            </w:r>
            <w:r>
              <w:rPr>
                <w:rFonts w:hint="eastAsia" w:ascii="宋体" w:hAnsi="宋体" w:eastAsia="宋体" w:cs="宋体"/>
                <w:b w:val="0"/>
                <w:bCs w:val="0"/>
                <w:color w:val="auto"/>
                <w:sz w:val="21"/>
                <w:szCs w:val="21"/>
                <w:lang w:val="en-US" w:eastAsia="zh-CN"/>
              </w:rPr>
              <w:t>5</w:t>
            </w:r>
            <w:r>
              <w:rPr>
                <w:rFonts w:hint="eastAsia" w:ascii="宋体" w:hAnsi="宋体" w:eastAsia="宋体" w:cs="宋体"/>
                <w:b w:val="0"/>
                <w:bCs w:val="0"/>
                <w:color w:val="auto"/>
                <w:sz w:val="21"/>
                <w:szCs w:val="21"/>
              </w:rPr>
              <w:t>年</w:t>
            </w:r>
            <w:r>
              <w:rPr>
                <w:rFonts w:hint="eastAsia" w:hAnsi="宋体" w:cs="宋体"/>
                <w:b w:val="0"/>
                <w:bCs w:val="0"/>
                <w:color w:val="auto"/>
                <w:sz w:val="21"/>
                <w:szCs w:val="21"/>
                <w:lang w:val="en-US" w:eastAsia="zh-CN"/>
              </w:rPr>
              <w:t>6</w:t>
            </w:r>
            <w:r>
              <w:rPr>
                <w:rFonts w:hint="eastAsia" w:ascii="宋体" w:hAnsi="宋体" w:eastAsia="宋体" w:cs="宋体"/>
                <w:b w:val="0"/>
                <w:bCs w:val="0"/>
                <w:color w:val="auto"/>
                <w:sz w:val="21"/>
                <w:szCs w:val="21"/>
              </w:rPr>
              <w:t>月、202</w:t>
            </w:r>
            <w:r>
              <w:rPr>
                <w:rFonts w:hint="eastAsia" w:ascii="宋体" w:hAnsi="宋体" w:eastAsia="宋体" w:cs="宋体"/>
                <w:b w:val="0"/>
                <w:bCs w:val="0"/>
                <w:color w:val="auto"/>
                <w:sz w:val="21"/>
                <w:szCs w:val="21"/>
                <w:lang w:val="en-US" w:eastAsia="zh-CN"/>
              </w:rPr>
              <w:t>5</w:t>
            </w:r>
            <w:r>
              <w:rPr>
                <w:rFonts w:hint="eastAsia" w:ascii="宋体" w:hAnsi="宋体" w:eastAsia="宋体" w:cs="宋体"/>
                <w:b w:val="0"/>
                <w:bCs w:val="0"/>
                <w:color w:val="auto"/>
                <w:sz w:val="21"/>
                <w:szCs w:val="21"/>
              </w:rPr>
              <w:t>年</w:t>
            </w:r>
            <w:r>
              <w:rPr>
                <w:rFonts w:hint="eastAsia" w:hAnsi="宋体" w:cs="宋体"/>
                <w:b w:val="0"/>
                <w:bCs w:val="0"/>
                <w:color w:val="auto"/>
                <w:sz w:val="21"/>
                <w:szCs w:val="21"/>
                <w:lang w:val="en-US" w:eastAsia="zh-CN"/>
              </w:rPr>
              <w:t>7</w:t>
            </w:r>
            <w:r>
              <w:rPr>
                <w:rFonts w:hint="eastAsia" w:ascii="宋体" w:hAnsi="宋体" w:eastAsia="宋体" w:cs="宋体"/>
                <w:b w:val="0"/>
                <w:bCs w:val="0"/>
                <w:color w:val="auto"/>
                <w:sz w:val="21"/>
                <w:szCs w:val="21"/>
              </w:rPr>
              <w:t>月</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2025年</w:t>
            </w:r>
            <w:r>
              <w:rPr>
                <w:rFonts w:hint="eastAsia" w:hAnsi="宋体" w:cs="宋体"/>
                <w:b w:val="0"/>
                <w:bCs w:val="0"/>
                <w:color w:val="auto"/>
                <w:sz w:val="21"/>
                <w:szCs w:val="21"/>
                <w:lang w:val="en-US" w:eastAsia="zh-CN"/>
              </w:rPr>
              <w:t>8</w:t>
            </w:r>
            <w:r>
              <w:rPr>
                <w:rFonts w:hint="eastAsia" w:ascii="宋体" w:hAnsi="宋体" w:eastAsia="宋体" w:cs="宋体"/>
                <w:b w:val="0"/>
                <w:bCs w:val="0"/>
                <w:color w:val="auto"/>
                <w:sz w:val="21"/>
                <w:szCs w:val="21"/>
                <w:lang w:val="en-US" w:eastAsia="zh-CN"/>
              </w:rPr>
              <w:t>月、2025年</w:t>
            </w:r>
            <w:r>
              <w:rPr>
                <w:rFonts w:hint="eastAsia" w:hAnsi="宋体" w:cs="宋体"/>
                <w:b w:val="0"/>
                <w:bCs w:val="0"/>
                <w:color w:val="auto"/>
                <w:sz w:val="21"/>
                <w:szCs w:val="21"/>
                <w:lang w:val="en-US" w:eastAsia="zh-CN"/>
              </w:rPr>
              <w:t>9</w:t>
            </w:r>
            <w:r>
              <w:rPr>
                <w:rFonts w:hint="eastAsia" w:ascii="宋体" w:hAnsi="宋体" w:eastAsia="宋体" w:cs="宋体"/>
                <w:b w:val="0"/>
                <w:bCs w:val="0"/>
                <w:color w:val="auto"/>
                <w:sz w:val="21"/>
                <w:szCs w:val="21"/>
                <w:lang w:val="en-US" w:eastAsia="zh-CN"/>
              </w:rPr>
              <w:t>月、2025年</w:t>
            </w:r>
            <w:r>
              <w:rPr>
                <w:rFonts w:hint="eastAsia" w:hAnsi="宋体" w:cs="宋体"/>
                <w:b w:val="0"/>
                <w:bCs w:val="0"/>
                <w:color w:val="auto"/>
                <w:sz w:val="21"/>
                <w:szCs w:val="21"/>
                <w:lang w:val="en-US" w:eastAsia="zh-CN"/>
              </w:rPr>
              <w:t>10</w:t>
            </w:r>
            <w:r>
              <w:rPr>
                <w:rFonts w:hint="eastAsia" w:ascii="宋体" w:hAnsi="宋体" w:eastAsia="宋体" w:cs="宋体"/>
                <w:b w:val="0"/>
                <w:bCs w:val="0"/>
                <w:color w:val="auto"/>
                <w:sz w:val="21"/>
                <w:szCs w:val="21"/>
                <w:lang w:val="en-US" w:eastAsia="zh-CN"/>
              </w:rPr>
              <w:t>月</w:t>
            </w: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val="en-US" w:eastAsia="zh-CN"/>
              </w:rPr>
              <w:t>连续6个</w:t>
            </w:r>
            <w:r>
              <w:rPr>
                <w:rFonts w:hint="eastAsia" w:ascii="宋体" w:hAnsi="宋体" w:eastAsia="宋体" w:cs="宋体"/>
                <w:b w:val="0"/>
                <w:bCs w:val="0"/>
                <w:color w:val="auto"/>
                <w:sz w:val="21"/>
                <w:szCs w:val="21"/>
              </w:rPr>
              <w:t>月为其缴纳的社保证明</w:t>
            </w:r>
            <w:r>
              <w:rPr>
                <w:rFonts w:hint="eastAsia" w:ascii="宋体" w:hAnsi="宋体" w:eastAsia="宋体" w:cs="宋体"/>
                <w:b w:val="0"/>
                <w:bCs w:val="0"/>
                <w:color w:val="auto"/>
                <w:sz w:val="21"/>
                <w:szCs w:val="21"/>
                <w:lang w:val="en-US" w:eastAsia="zh-CN"/>
              </w:rPr>
              <w:t>扫描</w:t>
            </w:r>
            <w:r>
              <w:rPr>
                <w:rFonts w:hint="eastAsia" w:ascii="宋体" w:hAnsi="宋体" w:eastAsia="宋体" w:cs="宋体"/>
                <w:b w:val="0"/>
                <w:bCs w:val="0"/>
                <w:color w:val="auto"/>
                <w:sz w:val="21"/>
                <w:szCs w:val="21"/>
              </w:rPr>
              <w:t>件，身份证、劳动合同、资格证书[学历证书/职称证/执业/职业资格证/退伍（退役军人）证/保安员证]、社保证明的人员名称需一致时才统计得分，不提供或人员名称不一致不得分。</w:t>
            </w:r>
          </w:p>
          <w:p w14:paraId="2EFCF5C6">
            <w:pPr>
              <w:pStyle w:val="18"/>
              <w:keepNext w:val="0"/>
              <w:keepLines w:val="0"/>
              <w:pageBreakBefore w:val="0"/>
              <w:widowControl w:val="0"/>
              <w:kinsoku/>
              <w:wordWrap/>
              <w:overflowPunct/>
              <w:topLinePunct w:val="0"/>
              <w:bidi w:val="0"/>
              <w:snapToGrid/>
              <w:spacing w:line="360" w:lineRule="auto"/>
              <w:ind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val="en-US"/>
              </w:rPr>
              <w:t>2</w:t>
            </w:r>
            <w:r>
              <w:rPr>
                <w:rFonts w:hint="eastAsia" w:ascii="宋体" w:hAnsi="宋体" w:eastAsia="宋体" w:cs="宋体"/>
                <w:b w:val="0"/>
                <w:bCs w:val="0"/>
                <w:color w:val="auto"/>
                <w:sz w:val="21"/>
                <w:szCs w:val="21"/>
              </w:rPr>
              <w:t>）项目负责人业绩和企业业绩可重复计分。项目负责人业绩证明材料需提供合同</w:t>
            </w:r>
            <w:r>
              <w:rPr>
                <w:rFonts w:hint="eastAsia" w:ascii="宋体" w:hAnsi="宋体" w:eastAsia="宋体" w:cs="宋体"/>
                <w:b w:val="0"/>
                <w:bCs w:val="0"/>
                <w:color w:val="auto"/>
                <w:sz w:val="21"/>
                <w:szCs w:val="21"/>
                <w:lang w:val="en-US" w:eastAsia="zh-CN"/>
              </w:rPr>
              <w:t>扫描</w:t>
            </w:r>
            <w:r>
              <w:rPr>
                <w:rFonts w:hint="eastAsia" w:ascii="宋体" w:hAnsi="宋体" w:eastAsia="宋体" w:cs="宋体"/>
                <w:b w:val="0"/>
                <w:bCs w:val="0"/>
                <w:color w:val="auto"/>
                <w:sz w:val="21"/>
                <w:szCs w:val="21"/>
              </w:rPr>
              <w:t>件，单项合同服务期限要求大于</w:t>
            </w:r>
            <w:r>
              <w:rPr>
                <w:rFonts w:hint="eastAsia" w:ascii="宋体" w:hAnsi="宋体" w:eastAsia="宋体" w:cs="宋体"/>
                <w:b w:val="0"/>
                <w:bCs w:val="0"/>
                <w:color w:val="auto"/>
                <w:sz w:val="21"/>
                <w:szCs w:val="21"/>
                <w:lang w:val="en-US" w:eastAsia="zh-CN"/>
              </w:rPr>
              <w:t>或等于一年</w:t>
            </w:r>
            <w:r>
              <w:rPr>
                <w:rFonts w:hint="eastAsia" w:ascii="宋体" w:hAnsi="宋体" w:eastAsia="宋体" w:cs="宋体"/>
                <w:b w:val="0"/>
                <w:bCs w:val="0"/>
                <w:color w:val="auto"/>
                <w:sz w:val="21"/>
                <w:szCs w:val="21"/>
              </w:rPr>
              <w:t>，小于</w:t>
            </w:r>
            <w:r>
              <w:rPr>
                <w:rFonts w:hint="eastAsia" w:ascii="宋体" w:hAnsi="宋体" w:eastAsia="宋体" w:cs="宋体"/>
                <w:b w:val="0"/>
                <w:bCs w:val="0"/>
                <w:color w:val="auto"/>
                <w:sz w:val="21"/>
                <w:szCs w:val="21"/>
                <w:lang w:val="en-US" w:eastAsia="zh-CN"/>
              </w:rPr>
              <w:t>一年</w:t>
            </w:r>
            <w:r>
              <w:rPr>
                <w:rFonts w:hint="eastAsia" w:ascii="宋体" w:hAnsi="宋体" w:eastAsia="宋体" w:cs="宋体"/>
                <w:b w:val="0"/>
                <w:bCs w:val="0"/>
                <w:color w:val="auto"/>
                <w:sz w:val="21"/>
                <w:szCs w:val="21"/>
              </w:rPr>
              <w:t>的业绩合同在评标时将不予考虑；合同中应体现项目相关评审信息（合同签订日期、合同期限、物业类型、建筑面积平方数、建筑层数）和项目负责人，合同服务内容必须为物业管理服务且同时包含保洁</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或清洁或环境卫生</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及保安</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或安保或秩序维护</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服务，若不能体现还应提供发包人（业主）</w:t>
            </w:r>
            <w:r>
              <w:rPr>
                <w:rFonts w:hint="eastAsia" w:ascii="宋体" w:hAnsi="宋体" w:eastAsia="宋体" w:cs="宋体"/>
                <w:b w:val="0"/>
                <w:bCs w:val="0"/>
                <w:color w:val="auto"/>
                <w:sz w:val="21"/>
                <w:szCs w:val="21"/>
                <w:lang w:val="en-US" w:eastAsia="zh-CN"/>
              </w:rPr>
              <w:t>出具的书面文件扫描件</w:t>
            </w:r>
            <w:r>
              <w:rPr>
                <w:rFonts w:hint="eastAsia" w:ascii="宋体" w:hAnsi="宋体" w:eastAsia="宋体" w:cs="宋体"/>
                <w:b w:val="0"/>
                <w:bCs w:val="0"/>
                <w:color w:val="auto"/>
                <w:sz w:val="21"/>
                <w:szCs w:val="21"/>
                <w:lang w:val="en-US"/>
              </w:rPr>
              <w:t>（需加盖服务发包人公章，即</w:t>
            </w:r>
            <w:r>
              <w:rPr>
                <w:rFonts w:hint="eastAsia" w:ascii="宋体" w:hAnsi="宋体" w:eastAsia="宋体" w:cs="宋体"/>
                <w:b w:val="0"/>
                <w:bCs w:val="0"/>
                <w:color w:val="auto"/>
                <w:sz w:val="21"/>
                <w:szCs w:val="21"/>
                <w:lang w:val="en-US" w:eastAsia="zh-CN"/>
              </w:rPr>
              <w:t>扫描</w:t>
            </w:r>
            <w:r>
              <w:rPr>
                <w:rFonts w:hint="eastAsia" w:ascii="宋体" w:hAnsi="宋体" w:eastAsia="宋体" w:cs="宋体"/>
                <w:b w:val="0"/>
                <w:bCs w:val="0"/>
                <w:color w:val="auto"/>
                <w:sz w:val="21"/>
                <w:szCs w:val="21"/>
                <w:lang w:val="en-US"/>
              </w:rPr>
              <w:t>件能显示服务发包人公章）</w:t>
            </w:r>
            <w:r>
              <w:rPr>
                <w:rFonts w:hint="eastAsia" w:ascii="宋体" w:hAnsi="宋体" w:eastAsia="宋体" w:cs="宋体"/>
                <w:b w:val="0"/>
                <w:bCs w:val="0"/>
                <w:color w:val="auto"/>
                <w:sz w:val="21"/>
                <w:szCs w:val="21"/>
                <w:lang w:val="en-US" w:eastAsia="zh-CN"/>
              </w:rPr>
              <w:t>或</w:t>
            </w:r>
            <w:r>
              <w:rPr>
                <w:rFonts w:hint="eastAsia" w:ascii="宋体" w:hAnsi="宋体" w:eastAsia="宋体" w:cs="宋体"/>
                <w:b w:val="0"/>
                <w:bCs w:val="0"/>
                <w:color w:val="auto"/>
                <w:sz w:val="21"/>
                <w:szCs w:val="21"/>
                <w:lang w:val="en-US"/>
              </w:rPr>
              <w:t>发包人</w:t>
            </w:r>
            <w:r>
              <w:rPr>
                <w:rFonts w:hint="eastAsia" w:ascii="宋体" w:hAnsi="宋体" w:eastAsia="宋体" w:cs="宋体"/>
                <w:b w:val="0"/>
                <w:bCs w:val="0"/>
                <w:color w:val="auto"/>
                <w:sz w:val="21"/>
                <w:szCs w:val="21"/>
                <w:lang w:val="en-US" w:eastAsia="zh-CN"/>
              </w:rPr>
              <w:t>（业主）加盖公章反映条件的招标文件扫描件或政府部门</w:t>
            </w:r>
            <w:r>
              <w:rPr>
                <w:rFonts w:hint="eastAsia" w:ascii="宋体" w:hAnsi="宋体" w:eastAsia="宋体" w:cs="宋体"/>
                <w:b w:val="0"/>
                <w:bCs w:val="0"/>
                <w:color w:val="auto"/>
                <w:sz w:val="21"/>
                <w:szCs w:val="21"/>
              </w:rPr>
              <w:t>出具的相关证明材料。</w:t>
            </w:r>
          </w:p>
          <w:p w14:paraId="6DCA3F4B">
            <w:pPr>
              <w:pStyle w:val="18"/>
              <w:keepNext w:val="0"/>
              <w:keepLines w:val="0"/>
              <w:pageBreakBefore w:val="0"/>
              <w:widowControl w:val="0"/>
              <w:kinsoku/>
              <w:wordWrap/>
              <w:overflowPunct/>
              <w:topLinePunct w:val="0"/>
              <w:bidi w:val="0"/>
              <w:snapToGrid/>
              <w:spacing w:line="360" w:lineRule="auto"/>
              <w:ind w:firstLine="0" w:firstLineChars="0"/>
              <w:jc w:val="left"/>
              <w:textAlignment w:val="auto"/>
              <w:rPr>
                <w:rFonts w:hint="eastAsia" w:ascii="宋体" w:hAnsi="宋体" w:eastAsia="宋体" w:cs="宋体"/>
                <w:color w:val="auto"/>
                <w:sz w:val="21"/>
                <w:szCs w:val="21"/>
              </w:rPr>
            </w:pP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val="en-US"/>
              </w:rPr>
              <w:t>3</w:t>
            </w: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val="en-US"/>
              </w:rPr>
              <w:t>项目负责人业绩的物业类型须为商务办公楼或写字楼，不包括住宅小区、公寓、公园、工业园区、车站、机场、学校、医院项目，否则不得分。</w:t>
            </w:r>
          </w:p>
        </w:tc>
        <w:tc>
          <w:tcPr>
            <w:tcW w:w="533" w:type="pct"/>
            <w:tcBorders>
              <w:top w:val="single" w:color="auto" w:sz="4" w:space="0"/>
              <w:left w:val="single" w:color="auto" w:sz="4" w:space="0"/>
              <w:bottom w:val="single" w:color="auto" w:sz="4" w:space="0"/>
              <w:right w:val="single" w:color="auto" w:sz="4" w:space="0"/>
            </w:tcBorders>
            <w:noWrap w:val="0"/>
            <w:vAlign w:val="center"/>
          </w:tcPr>
          <w:p w14:paraId="5FA8D173">
            <w:pPr>
              <w:keepNext w:val="0"/>
              <w:keepLines w:val="0"/>
              <w:pageBreakBefore w:val="0"/>
              <w:widowControl w:val="0"/>
              <w:kinsoku/>
              <w:wordWrap/>
              <w:overflowPunct/>
              <w:topLinePunct w:val="0"/>
              <w:bidi w:val="0"/>
              <w:snapToGrid/>
              <w:spacing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12</w:t>
            </w:r>
            <w:r>
              <w:rPr>
                <w:rFonts w:hint="eastAsia" w:ascii="宋体" w:hAnsi="宋体" w:eastAsia="宋体" w:cs="宋体"/>
                <w:color w:val="auto"/>
                <w:sz w:val="21"/>
                <w:szCs w:val="21"/>
              </w:rPr>
              <w:t>分</w:t>
            </w:r>
          </w:p>
        </w:tc>
      </w:tr>
      <w:tr w14:paraId="3FE75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 w:type="pct"/>
            <w:tcBorders>
              <w:top w:val="single" w:color="auto" w:sz="4" w:space="0"/>
              <w:left w:val="single" w:color="auto" w:sz="4" w:space="0"/>
              <w:right w:val="single" w:color="auto" w:sz="4" w:space="0"/>
            </w:tcBorders>
            <w:noWrap w:val="0"/>
            <w:vAlign w:val="center"/>
          </w:tcPr>
          <w:p w14:paraId="4E75B14B">
            <w:pPr>
              <w:keepNext w:val="0"/>
              <w:keepLines w:val="0"/>
              <w:pageBreakBefore w:val="0"/>
              <w:widowControl w:val="0"/>
              <w:kinsoku/>
              <w:wordWrap/>
              <w:overflowPunct/>
              <w:topLinePunct w:val="0"/>
              <w:bidi w:val="0"/>
              <w:snapToGrid/>
              <w:spacing w:line="360" w:lineRule="auto"/>
              <w:ind w:firstLine="0" w:firstLineChars="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5</w:t>
            </w:r>
          </w:p>
        </w:tc>
        <w:tc>
          <w:tcPr>
            <w:tcW w:w="741" w:type="pct"/>
            <w:tcBorders>
              <w:top w:val="single" w:color="auto" w:sz="4" w:space="0"/>
              <w:left w:val="single" w:color="auto" w:sz="4" w:space="0"/>
              <w:right w:val="single" w:color="auto" w:sz="4" w:space="0"/>
            </w:tcBorders>
            <w:noWrap w:val="0"/>
            <w:vAlign w:val="center"/>
          </w:tcPr>
          <w:p w14:paraId="0F25435D">
            <w:pPr>
              <w:keepNext w:val="0"/>
              <w:keepLines w:val="0"/>
              <w:pageBreakBefore w:val="0"/>
              <w:widowControl w:val="0"/>
              <w:kinsoku/>
              <w:wordWrap/>
              <w:overflowPunct/>
              <w:topLinePunct w:val="0"/>
              <w:bidi w:val="0"/>
              <w:snapToGrid/>
              <w:spacing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拟投入的设备及软件</w:t>
            </w:r>
            <w:r>
              <w:rPr>
                <w:rFonts w:hint="eastAsia" w:ascii="宋体" w:hAnsi="宋体" w:eastAsia="宋体" w:cs="宋体"/>
                <w:color w:val="auto"/>
                <w:sz w:val="21"/>
                <w:szCs w:val="21"/>
                <w:lang w:val="en-US" w:eastAsia="zh-CN"/>
              </w:rPr>
              <w:t>系统</w:t>
            </w:r>
            <w:r>
              <w:rPr>
                <w:rFonts w:hint="eastAsia" w:ascii="宋体" w:hAnsi="宋体" w:eastAsia="宋体" w:cs="宋体"/>
                <w:color w:val="auto"/>
                <w:sz w:val="21"/>
                <w:szCs w:val="21"/>
              </w:rPr>
              <w:t>情况</w:t>
            </w:r>
          </w:p>
        </w:tc>
        <w:tc>
          <w:tcPr>
            <w:tcW w:w="3422" w:type="pct"/>
            <w:tcBorders>
              <w:top w:val="single" w:color="auto" w:sz="4" w:space="0"/>
              <w:left w:val="single" w:color="auto" w:sz="4" w:space="0"/>
              <w:right w:val="single" w:color="auto" w:sz="4" w:space="0"/>
            </w:tcBorders>
            <w:noWrap w:val="0"/>
            <w:vAlign w:val="center"/>
          </w:tcPr>
          <w:p w14:paraId="1ABDD9E6">
            <w:pPr>
              <w:keepNext w:val="0"/>
              <w:keepLines w:val="0"/>
              <w:pageBreakBefore w:val="0"/>
              <w:widowControl w:val="0"/>
              <w:kinsoku/>
              <w:wordWrap/>
              <w:overflowPunct/>
              <w:topLinePunct w:val="0"/>
              <w:bidi w:val="0"/>
              <w:snapToGrid/>
              <w:spacing w:line="360" w:lineRule="auto"/>
              <w:ind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设备</w:t>
            </w:r>
            <w:r>
              <w:rPr>
                <w:rFonts w:hint="eastAsia" w:ascii="宋体" w:hAnsi="宋体" w:eastAsia="宋体" w:cs="宋体"/>
                <w:color w:val="auto"/>
                <w:sz w:val="21"/>
                <w:szCs w:val="21"/>
                <w:lang w:val="en-US" w:eastAsia="zh-CN"/>
              </w:rPr>
              <w:t>配置情况。</w:t>
            </w:r>
            <w:r>
              <w:rPr>
                <w:rFonts w:hint="eastAsia" w:ascii="宋体" w:hAnsi="宋体" w:eastAsia="宋体" w:cs="宋体"/>
                <w:color w:val="auto"/>
                <w:sz w:val="21"/>
                <w:szCs w:val="21"/>
              </w:rPr>
              <w:t>投标人为保证本项目物业管理服务工作正常开展配备的设备</w:t>
            </w:r>
            <w:r>
              <w:rPr>
                <w:rFonts w:hint="eastAsia" w:ascii="宋体" w:hAnsi="宋体" w:eastAsia="宋体" w:cs="宋体"/>
                <w:color w:val="auto"/>
                <w:sz w:val="21"/>
                <w:szCs w:val="21"/>
                <w:lang w:val="en-US" w:eastAsia="zh-CN"/>
              </w:rPr>
              <w:t>包括</w:t>
            </w:r>
            <w:r>
              <w:rPr>
                <w:rFonts w:hint="eastAsia" w:ascii="宋体" w:hAnsi="宋体" w:eastAsia="宋体" w:cs="宋体"/>
                <w:color w:val="auto"/>
                <w:sz w:val="21"/>
                <w:szCs w:val="21"/>
              </w:rPr>
              <w:t>光纤熔接机、低压电缆故障测试仪、智能蓄电池内阻测试仪、升降平台、光泽度仪、加重晶面机、加重翻新机（石材护理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的，得3分，前述设备每少一类，扣1分，扣完为止，本子项最低得0分；</w:t>
            </w:r>
          </w:p>
          <w:p w14:paraId="08C0E45A">
            <w:pPr>
              <w:keepNext w:val="0"/>
              <w:keepLines w:val="0"/>
              <w:pageBreakBefore w:val="0"/>
              <w:widowControl w:val="0"/>
              <w:kinsoku/>
              <w:wordWrap/>
              <w:overflowPunct/>
              <w:topLinePunct w:val="0"/>
              <w:bidi w:val="0"/>
              <w:snapToGrid/>
              <w:spacing w:line="360" w:lineRule="auto"/>
              <w:ind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软件系统</w:t>
            </w:r>
            <w:r>
              <w:rPr>
                <w:rFonts w:hint="eastAsia" w:ascii="宋体" w:hAnsi="宋体" w:eastAsia="宋体" w:cs="宋体"/>
                <w:color w:val="auto"/>
                <w:sz w:val="21"/>
                <w:szCs w:val="21"/>
                <w:lang w:val="en-US" w:eastAsia="zh-CN"/>
              </w:rPr>
              <w:t>配置情况。</w:t>
            </w:r>
            <w:r>
              <w:rPr>
                <w:rFonts w:hint="eastAsia" w:ascii="宋体" w:hAnsi="宋体" w:eastAsia="宋体" w:cs="宋体"/>
                <w:color w:val="auto"/>
                <w:sz w:val="21"/>
                <w:szCs w:val="21"/>
              </w:rPr>
              <w:t>投标人为保证本项目物业管理服务工作正常开展配备的</w:t>
            </w:r>
            <w:r>
              <w:rPr>
                <w:rFonts w:hint="eastAsia" w:ascii="宋体" w:hAnsi="宋体" w:eastAsia="宋体" w:cs="宋体"/>
                <w:color w:val="auto"/>
                <w:sz w:val="21"/>
                <w:szCs w:val="21"/>
                <w:lang w:val="en-US" w:eastAsia="zh-CN"/>
              </w:rPr>
              <w:t>软件系统包括</w:t>
            </w:r>
            <w:r>
              <w:rPr>
                <w:rFonts w:hint="eastAsia" w:ascii="宋体" w:hAnsi="宋体" w:eastAsia="宋体" w:cs="宋体"/>
                <w:color w:val="auto"/>
                <w:sz w:val="21"/>
                <w:szCs w:val="21"/>
              </w:rPr>
              <w:t>物业信息管理平台、保洁定位系统、保安签到系统</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如保安签到系统、合伙人签到系统或其他签到系统</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、客户关系管理系统</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突发事件管理系统的</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得2分，前述系统每少一类，扣1分，扣完为止，本子项最低得0分；</w:t>
            </w:r>
          </w:p>
          <w:p w14:paraId="03B7A5D0">
            <w:pPr>
              <w:keepNext w:val="0"/>
              <w:keepLines w:val="0"/>
              <w:pageBreakBefore w:val="0"/>
              <w:widowControl w:val="0"/>
              <w:kinsoku/>
              <w:wordWrap/>
              <w:overflowPunct/>
              <w:topLinePunct w:val="0"/>
              <w:bidi w:val="0"/>
              <w:snapToGrid/>
              <w:spacing w:line="360" w:lineRule="auto"/>
              <w:ind w:firstLine="0" w:firstLineChars="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备注：</w:t>
            </w:r>
          </w:p>
          <w:p w14:paraId="504B878A">
            <w:pPr>
              <w:keepNext w:val="0"/>
              <w:keepLines w:val="0"/>
              <w:pageBreakBefore w:val="0"/>
              <w:widowControl w:val="0"/>
              <w:kinsoku/>
              <w:wordWrap/>
              <w:overflowPunct/>
              <w:topLinePunct w:val="0"/>
              <w:bidi w:val="0"/>
              <w:snapToGrid/>
              <w:spacing w:line="360" w:lineRule="auto"/>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（1）必须提供设备及软件</w:t>
            </w:r>
            <w:r>
              <w:rPr>
                <w:rFonts w:hint="eastAsia" w:ascii="宋体" w:hAnsi="宋体" w:eastAsia="宋体" w:cs="宋体"/>
                <w:color w:val="auto"/>
                <w:sz w:val="21"/>
                <w:szCs w:val="21"/>
                <w:lang w:val="en-US" w:eastAsia="zh-CN"/>
              </w:rPr>
              <w:t>系统</w:t>
            </w:r>
            <w:r>
              <w:rPr>
                <w:rFonts w:hint="eastAsia" w:ascii="宋体" w:hAnsi="宋体" w:eastAsia="宋体" w:cs="宋体"/>
                <w:color w:val="auto"/>
                <w:sz w:val="21"/>
                <w:szCs w:val="21"/>
              </w:rPr>
              <w:t>清单。</w:t>
            </w:r>
          </w:p>
          <w:p w14:paraId="75DFDDC3">
            <w:pPr>
              <w:keepNext w:val="0"/>
              <w:keepLines w:val="0"/>
              <w:pageBreakBefore w:val="0"/>
              <w:widowControl w:val="0"/>
              <w:kinsoku/>
              <w:wordWrap/>
              <w:overflowPunct/>
              <w:topLinePunct w:val="0"/>
              <w:bidi w:val="0"/>
              <w:snapToGrid/>
              <w:spacing w:line="360" w:lineRule="auto"/>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（2）自有设备的须提供：</w:t>
            </w:r>
            <w:r>
              <w:rPr>
                <w:rFonts w:hint="eastAsia" w:ascii="宋体" w:hAnsi="宋体" w:eastAsia="宋体" w:cs="宋体"/>
                <w:color w:val="auto"/>
                <w:sz w:val="21"/>
                <w:szCs w:val="21"/>
                <w:lang w:val="zh-CN"/>
              </w:rPr>
              <w:t>①</w:t>
            </w:r>
            <w:r>
              <w:rPr>
                <w:rFonts w:hint="eastAsia" w:ascii="宋体" w:hAnsi="宋体" w:eastAsia="宋体" w:cs="宋体"/>
                <w:color w:val="auto"/>
                <w:sz w:val="21"/>
                <w:szCs w:val="21"/>
              </w:rPr>
              <w:t>购买发票</w:t>
            </w:r>
            <w:r>
              <w:rPr>
                <w:rFonts w:hint="eastAsia" w:ascii="宋体" w:hAnsi="宋体" w:eastAsia="宋体" w:cs="宋体"/>
                <w:color w:val="auto"/>
                <w:sz w:val="21"/>
                <w:szCs w:val="21"/>
                <w:lang w:val="en-US" w:eastAsia="zh-CN"/>
              </w:rPr>
              <w:t>扫描</w:t>
            </w:r>
            <w:r>
              <w:rPr>
                <w:rFonts w:hint="eastAsia" w:ascii="宋体" w:hAnsi="宋体" w:eastAsia="宋体" w:cs="宋体"/>
                <w:color w:val="auto"/>
                <w:sz w:val="21"/>
                <w:szCs w:val="21"/>
              </w:rPr>
              <w:t>件；</w:t>
            </w:r>
            <w:r>
              <w:rPr>
                <w:rFonts w:hint="eastAsia" w:ascii="宋体" w:hAnsi="宋体" w:eastAsia="宋体" w:cs="宋体"/>
                <w:color w:val="auto"/>
                <w:sz w:val="21"/>
                <w:szCs w:val="21"/>
                <w:lang w:val="zh-CN"/>
              </w:rPr>
              <w:t>②</w:t>
            </w:r>
            <w:r>
              <w:rPr>
                <w:rFonts w:hint="eastAsia" w:ascii="宋体" w:hAnsi="宋体" w:eastAsia="宋体" w:cs="宋体"/>
                <w:color w:val="auto"/>
                <w:sz w:val="21"/>
                <w:szCs w:val="21"/>
              </w:rPr>
              <w:t>设备照片/图片</w:t>
            </w:r>
            <w:r>
              <w:rPr>
                <w:rFonts w:hint="eastAsia" w:ascii="宋体" w:hAnsi="宋体" w:eastAsia="宋体" w:cs="宋体"/>
                <w:color w:val="auto"/>
                <w:sz w:val="21"/>
                <w:szCs w:val="21"/>
                <w:lang w:val="en-US" w:eastAsia="zh-CN"/>
              </w:rPr>
              <w:t>扫描</w:t>
            </w:r>
            <w:r>
              <w:rPr>
                <w:rFonts w:hint="eastAsia" w:ascii="宋体" w:hAnsi="宋体" w:eastAsia="宋体" w:cs="宋体"/>
                <w:color w:val="auto"/>
                <w:sz w:val="21"/>
                <w:szCs w:val="21"/>
              </w:rPr>
              <w:t>件（照片/图片须清晰显示拍摄时间为202</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月1日或以后）。</w:t>
            </w:r>
          </w:p>
          <w:p w14:paraId="0ABF3014">
            <w:pPr>
              <w:keepNext w:val="0"/>
              <w:keepLines w:val="0"/>
              <w:pageBreakBefore w:val="0"/>
              <w:widowControl w:val="0"/>
              <w:kinsoku/>
              <w:wordWrap/>
              <w:overflowPunct/>
              <w:topLinePunct w:val="0"/>
              <w:bidi w:val="0"/>
              <w:snapToGrid/>
              <w:spacing w:line="360" w:lineRule="auto"/>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（3）租赁设备的须提供：</w:t>
            </w:r>
            <w:r>
              <w:rPr>
                <w:rFonts w:hint="eastAsia" w:ascii="宋体" w:hAnsi="宋体" w:eastAsia="宋体" w:cs="宋体"/>
                <w:color w:val="auto"/>
                <w:sz w:val="21"/>
                <w:szCs w:val="21"/>
                <w:lang w:val="zh-CN"/>
              </w:rPr>
              <w:t>①</w:t>
            </w:r>
            <w:r>
              <w:rPr>
                <w:rFonts w:hint="eastAsia" w:ascii="宋体" w:hAnsi="宋体" w:eastAsia="宋体" w:cs="宋体"/>
                <w:color w:val="auto"/>
                <w:sz w:val="21"/>
                <w:szCs w:val="21"/>
              </w:rPr>
              <w:t>租赁合同</w:t>
            </w:r>
            <w:r>
              <w:rPr>
                <w:rFonts w:hint="eastAsia" w:ascii="宋体" w:hAnsi="宋体" w:eastAsia="宋体" w:cs="宋体"/>
                <w:color w:val="auto"/>
                <w:sz w:val="21"/>
                <w:szCs w:val="21"/>
                <w:lang w:val="en-US" w:eastAsia="zh-CN"/>
              </w:rPr>
              <w:t>扫描</w:t>
            </w:r>
            <w:r>
              <w:rPr>
                <w:rFonts w:hint="eastAsia" w:ascii="宋体" w:hAnsi="宋体" w:eastAsia="宋体" w:cs="宋体"/>
                <w:color w:val="auto"/>
                <w:sz w:val="21"/>
                <w:szCs w:val="21"/>
              </w:rPr>
              <w:t>件（租赁期限需涵盖本项目服务期）；</w:t>
            </w:r>
            <w:r>
              <w:rPr>
                <w:rFonts w:hint="eastAsia" w:ascii="宋体" w:hAnsi="宋体" w:eastAsia="宋体" w:cs="宋体"/>
                <w:color w:val="auto"/>
                <w:sz w:val="21"/>
                <w:szCs w:val="21"/>
                <w:lang w:val="zh-CN"/>
              </w:rPr>
              <w:t>②</w:t>
            </w:r>
            <w:r>
              <w:rPr>
                <w:rFonts w:hint="eastAsia" w:ascii="宋体" w:hAnsi="宋体" w:eastAsia="宋体" w:cs="宋体"/>
                <w:color w:val="auto"/>
                <w:sz w:val="21"/>
                <w:szCs w:val="21"/>
              </w:rPr>
              <w:t>设备照片/图片</w:t>
            </w:r>
            <w:r>
              <w:rPr>
                <w:rFonts w:hint="eastAsia" w:ascii="宋体" w:hAnsi="宋体" w:eastAsia="宋体" w:cs="宋体"/>
                <w:color w:val="auto"/>
                <w:sz w:val="21"/>
                <w:szCs w:val="21"/>
                <w:lang w:val="en-US" w:eastAsia="zh-CN"/>
              </w:rPr>
              <w:t>扫描</w:t>
            </w:r>
            <w:r>
              <w:rPr>
                <w:rFonts w:hint="eastAsia" w:ascii="宋体" w:hAnsi="宋体" w:eastAsia="宋体" w:cs="宋体"/>
                <w:color w:val="auto"/>
                <w:sz w:val="21"/>
                <w:szCs w:val="21"/>
              </w:rPr>
              <w:t>件（照片/图片须清晰显示拍摄时间为202</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月1日或以后）。</w:t>
            </w:r>
          </w:p>
          <w:p w14:paraId="76FF0D1E">
            <w:pPr>
              <w:keepNext w:val="0"/>
              <w:keepLines w:val="0"/>
              <w:pageBreakBefore w:val="0"/>
              <w:widowControl w:val="0"/>
              <w:kinsoku/>
              <w:wordWrap/>
              <w:overflowPunct/>
              <w:topLinePunct w:val="0"/>
              <w:bidi w:val="0"/>
              <w:snapToGrid/>
              <w:spacing w:line="360" w:lineRule="auto"/>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（4）软件系统为投标人</w:t>
            </w:r>
            <w:r>
              <w:rPr>
                <w:rFonts w:hint="eastAsia" w:ascii="宋体" w:hAnsi="宋体" w:eastAsia="宋体" w:cs="宋体"/>
                <w:color w:val="auto"/>
                <w:sz w:val="21"/>
                <w:szCs w:val="21"/>
                <w:lang w:val="en-US" w:eastAsia="zh-CN"/>
              </w:rPr>
              <w:t>或其关联公司</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本</w:t>
            </w:r>
            <w:r>
              <w:rPr>
                <w:rFonts w:hint="eastAsia" w:ascii="宋体" w:hAnsi="宋体" w:eastAsia="宋体" w:cs="宋体"/>
                <w:color w:val="auto"/>
                <w:sz w:val="21"/>
                <w:szCs w:val="21"/>
                <w:lang w:val="en-US" w:eastAsia="zh-CN"/>
              </w:rPr>
              <w:t>处软件系统开发人</w:t>
            </w:r>
            <w:r>
              <w:rPr>
                <w:rFonts w:hint="eastAsia" w:ascii="宋体" w:hAnsi="宋体" w:eastAsia="宋体" w:cs="宋体"/>
                <w:color w:val="auto"/>
                <w:sz w:val="21"/>
                <w:szCs w:val="21"/>
              </w:rPr>
              <w:t>所指的“投标人</w:t>
            </w:r>
            <w:r>
              <w:rPr>
                <w:rFonts w:hint="eastAsia" w:ascii="宋体" w:hAnsi="宋体" w:eastAsia="宋体" w:cs="宋体"/>
                <w:color w:val="auto"/>
                <w:sz w:val="21"/>
                <w:szCs w:val="21"/>
                <w:lang w:val="en-US" w:eastAsia="zh-CN"/>
              </w:rPr>
              <w:t>或其关联公司</w:t>
            </w:r>
            <w:r>
              <w:rPr>
                <w:rFonts w:hint="eastAsia" w:ascii="宋体" w:hAnsi="宋体" w:eastAsia="宋体" w:cs="宋体"/>
                <w:color w:val="auto"/>
                <w:sz w:val="21"/>
                <w:szCs w:val="21"/>
              </w:rPr>
              <w:t>”包括投标人</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以及其母公司、控股股东公司、全资子公司、控股子公司、同一集团下属公司</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开发的须提供：</w:t>
            </w:r>
            <w:r>
              <w:rPr>
                <w:rFonts w:hint="eastAsia" w:ascii="宋体" w:hAnsi="宋体" w:eastAsia="宋体" w:cs="宋体"/>
                <w:color w:val="auto"/>
                <w:sz w:val="21"/>
                <w:szCs w:val="21"/>
                <w:lang w:val="zh-CN"/>
              </w:rPr>
              <w:t>①</w:t>
            </w:r>
            <w:r>
              <w:rPr>
                <w:rFonts w:hint="eastAsia" w:ascii="宋体" w:hAnsi="宋体" w:eastAsia="宋体" w:cs="宋体"/>
                <w:color w:val="auto"/>
                <w:sz w:val="21"/>
                <w:szCs w:val="21"/>
              </w:rPr>
              <w:t>计算机软件著作权证书或专利证；</w:t>
            </w:r>
            <w:r>
              <w:rPr>
                <w:rFonts w:hint="eastAsia" w:ascii="宋体" w:hAnsi="宋体" w:eastAsia="宋体" w:cs="宋体"/>
                <w:color w:val="auto"/>
                <w:sz w:val="21"/>
                <w:szCs w:val="21"/>
                <w:lang w:val="zh-CN"/>
              </w:rPr>
              <w:t>②</w:t>
            </w:r>
            <w:r>
              <w:rPr>
                <w:rFonts w:hint="eastAsia" w:ascii="宋体" w:hAnsi="宋体" w:eastAsia="宋体" w:cs="宋体"/>
                <w:color w:val="auto"/>
                <w:sz w:val="21"/>
                <w:szCs w:val="21"/>
              </w:rPr>
              <w:t>软件系统照片/图片</w:t>
            </w:r>
            <w:r>
              <w:rPr>
                <w:rFonts w:hint="eastAsia" w:ascii="宋体" w:hAnsi="宋体" w:eastAsia="宋体" w:cs="宋体"/>
                <w:color w:val="auto"/>
                <w:sz w:val="21"/>
                <w:szCs w:val="21"/>
                <w:lang w:val="en-US" w:eastAsia="zh-CN"/>
              </w:rPr>
              <w:t>扫描</w:t>
            </w:r>
            <w:r>
              <w:rPr>
                <w:rFonts w:hint="eastAsia" w:ascii="宋体" w:hAnsi="宋体" w:eastAsia="宋体" w:cs="宋体"/>
                <w:color w:val="auto"/>
                <w:sz w:val="21"/>
                <w:szCs w:val="21"/>
              </w:rPr>
              <w:t>件（照片/图片须清晰显示拍摄时间为202</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月1日或以后）。③</w:t>
            </w:r>
            <w:r>
              <w:rPr>
                <w:rFonts w:hint="eastAsia" w:ascii="宋体" w:hAnsi="宋体" w:eastAsia="宋体" w:cs="宋体"/>
                <w:color w:val="auto"/>
                <w:sz w:val="21"/>
                <w:szCs w:val="21"/>
                <w:lang w:val="en-US" w:eastAsia="zh-CN"/>
              </w:rPr>
              <w:t>软件系统</w:t>
            </w:r>
            <w:r>
              <w:rPr>
                <w:rFonts w:hint="eastAsia" w:ascii="宋体" w:hAnsi="宋体" w:eastAsia="宋体" w:cs="宋体"/>
                <w:color w:val="auto"/>
                <w:sz w:val="21"/>
                <w:szCs w:val="21"/>
              </w:rPr>
              <w:t>属于前述</w:t>
            </w:r>
            <w:r>
              <w:rPr>
                <w:rFonts w:hint="eastAsia" w:ascii="宋体" w:hAnsi="宋体" w:eastAsia="宋体" w:cs="宋体"/>
                <w:color w:val="auto"/>
                <w:sz w:val="21"/>
                <w:szCs w:val="21"/>
                <w:lang w:val="en-US" w:eastAsia="zh-CN"/>
              </w:rPr>
              <w:t>投标人</w:t>
            </w:r>
            <w:r>
              <w:rPr>
                <w:rFonts w:hint="eastAsia" w:ascii="宋体" w:hAnsi="宋体" w:eastAsia="宋体" w:cs="宋体"/>
                <w:color w:val="auto"/>
                <w:sz w:val="21"/>
                <w:szCs w:val="21"/>
              </w:rPr>
              <w:t>关联公司的，必须同时提供反映关联关系的证明材料，否则不予认定</w:t>
            </w:r>
            <w:r>
              <w:rPr>
                <w:rFonts w:hint="eastAsia" w:ascii="宋体" w:hAnsi="宋体" w:eastAsia="宋体" w:cs="宋体"/>
                <w:color w:val="auto"/>
                <w:sz w:val="21"/>
                <w:szCs w:val="21"/>
                <w:lang w:eastAsia="zh-CN"/>
              </w:rPr>
              <w:t>。</w:t>
            </w:r>
          </w:p>
          <w:p w14:paraId="35E24F1D">
            <w:pPr>
              <w:keepNext w:val="0"/>
              <w:keepLines w:val="0"/>
              <w:pageBreakBefore w:val="0"/>
              <w:widowControl w:val="0"/>
              <w:kinsoku/>
              <w:wordWrap/>
              <w:overflowPunct/>
              <w:topLinePunct w:val="0"/>
              <w:bidi w:val="0"/>
              <w:snapToGrid/>
              <w:spacing w:line="360" w:lineRule="auto"/>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（5）软件系统为投标人购买的须提供：</w:t>
            </w:r>
            <w:r>
              <w:rPr>
                <w:rFonts w:hint="eastAsia" w:ascii="宋体" w:hAnsi="宋体" w:eastAsia="宋体" w:cs="宋体"/>
                <w:color w:val="auto"/>
                <w:sz w:val="21"/>
                <w:szCs w:val="21"/>
                <w:lang w:val="zh-CN"/>
              </w:rPr>
              <w:t>①</w:t>
            </w:r>
            <w:r>
              <w:rPr>
                <w:rFonts w:hint="eastAsia" w:ascii="宋体" w:hAnsi="宋体" w:eastAsia="宋体" w:cs="宋体"/>
                <w:color w:val="auto"/>
                <w:sz w:val="21"/>
                <w:szCs w:val="21"/>
              </w:rPr>
              <w:t>软件系统购买发票</w:t>
            </w:r>
            <w:r>
              <w:rPr>
                <w:rFonts w:hint="eastAsia" w:ascii="宋体" w:hAnsi="宋体" w:eastAsia="宋体" w:cs="宋体"/>
                <w:color w:val="auto"/>
                <w:sz w:val="21"/>
                <w:szCs w:val="21"/>
                <w:lang w:val="en-US" w:eastAsia="zh-CN"/>
              </w:rPr>
              <w:t>扫描</w:t>
            </w:r>
            <w:r>
              <w:rPr>
                <w:rFonts w:hint="eastAsia" w:ascii="宋体" w:hAnsi="宋体" w:eastAsia="宋体" w:cs="宋体"/>
                <w:color w:val="auto"/>
                <w:sz w:val="21"/>
                <w:szCs w:val="21"/>
              </w:rPr>
              <w:t>件；</w:t>
            </w:r>
            <w:r>
              <w:rPr>
                <w:rFonts w:hint="eastAsia" w:ascii="宋体" w:hAnsi="宋体" w:eastAsia="宋体" w:cs="宋体"/>
                <w:color w:val="auto"/>
                <w:sz w:val="21"/>
                <w:szCs w:val="21"/>
                <w:lang w:val="zh-CN"/>
              </w:rPr>
              <w:t>②</w:t>
            </w:r>
            <w:r>
              <w:rPr>
                <w:rFonts w:hint="eastAsia" w:ascii="宋体" w:hAnsi="宋体" w:eastAsia="宋体" w:cs="宋体"/>
                <w:color w:val="auto"/>
                <w:sz w:val="21"/>
                <w:szCs w:val="21"/>
              </w:rPr>
              <w:t>软件系统照片/图片</w:t>
            </w:r>
            <w:r>
              <w:rPr>
                <w:rFonts w:hint="eastAsia" w:ascii="宋体" w:hAnsi="宋体" w:eastAsia="宋体" w:cs="宋体"/>
                <w:color w:val="auto"/>
                <w:sz w:val="21"/>
                <w:szCs w:val="21"/>
                <w:lang w:val="en-US" w:eastAsia="zh-CN"/>
              </w:rPr>
              <w:t>扫描</w:t>
            </w:r>
            <w:r>
              <w:rPr>
                <w:rFonts w:hint="eastAsia" w:ascii="宋体" w:hAnsi="宋体" w:eastAsia="宋体" w:cs="宋体"/>
                <w:color w:val="auto"/>
                <w:sz w:val="21"/>
                <w:szCs w:val="21"/>
              </w:rPr>
              <w:t>件（照片/图片须清晰显示拍摄时间为202</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月1日或以后）。</w:t>
            </w:r>
          </w:p>
          <w:p w14:paraId="59663E35">
            <w:pPr>
              <w:pStyle w:val="136"/>
              <w:keepNext w:val="0"/>
              <w:keepLines w:val="0"/>
              <w:pageBreakBefore w:val="0"/>
              <w:widowControl w:val="0"/>
              <w:kinsoku/>
              <w:wordWrap/>
              <w:overflowPunct/>
              <w:topLinePunct w:val="0"/>
              <w:bidi w:val="0"/>
              <w:snapToGrid/>
              <w:spacing w:line="360" w:lineRule="auto"/>
              <w:ind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（6）</w:t>
            </w:r>
            <w:r>
              <w:rPr>
                <w:rFonts w:hint="eastAsia" w:ascii="宋体" w:hAnsi="宋体" w:eastAsia="宋体" w:cs="宋体"/>
                <w:color w:val="auto"/>
                <w:sz w:val="21"/>
                <w:szCs w:val="21"/>
              </w:rPr>
              <w:t>未按上述</w:t>
            </w:r>
            <w:r>
              <w:rPr>
                <w:rFonts w:hint="eastAsia" w:ascii="宋体" w:hAnsi="宋体" w:eastAsia="宋体" w:cs="宋体"/>
                <w:color w:val="auto"/>
                <w:sz w:val="21"/>
                <w:szCs w:val="21"/>
                <w:lang w:val="en-US" w:eastAsia="zh-CN"/>
              </w:rPr>
              <w:t>对应项的</w:t>
            </w:r>
            <w:r>
              <w:rPr>
                <w:rFonts w:hint="eastAsia" w:ascii="宋体" w:hAnsi="宋体" w:eastAsia="宋体" w:cs="宋体"/>
                <w:color w:val="auto"/>
                <w:sz w:val="21"/>
                <w:szCs w:val="21"/>
              </w:rPr>
              <w:t>要求提供证明材料的不得分。</w:t>
            </w:r>
          </w:p>
          <w:p w14:paraId="11A5FC6F">
            <w:pPr>
              <w:pStyle w:val="136"/>
              <w:keepNext w:val="0"/>
              <w:keepLines w:val="0"/>
              <w:pageBreakBefore w:val="0"/>
              <w:widowControl w:val="0"/>
              <w:kinsoku/>
              <w:wordWrap/>
              <w:overflowPunct/>
              <w:topLinePunct w:val="0"/>
              <w:bidi w:val="0"/>
              <w:snapToGrid/>
              <w:spacing w:line="360" w:lineRule="auto"/>
              <w:ind w:firstLine="0" w:firstLineChars="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上述</w:t>
            </w:r>
            <w:r>
              <w:rPr>
                <w:rFonts w:hint="eastAsia" w:ascii="宋体" w:hAnsi="宋体" w:eastAsia="宋体" w:cs="宋体"/>
                <w:color w:val="auto"/>
                <w:sz w:val="21"/>
                <w:szCs w:val="21"/>
                <w:lang w:val="en-US" w:bidi="en-US"/>
              </w:rPr>
              <w:t>投标人承诺自愿免费投入本项目使用的设备</w:t>
            </w:r>
            <w:r>
              <w:rPr>
                <w:rFonts w:hint="eastAsia" w:ascii="宋体" w:hAnsi="宋体" w:eastAsia="宋体" w:cs="宋体"/>
                <w:color w:val="auto"/>
                <w:sz w:val="21"/>
                <w:szCs w:val="21"/>
                <w:lang w:val="en-US" w:eastAsia="zh-CN" w:bidi="en-US"/>
              </w:rPr>
              <w:t>及</w:t>
            </w:r>
            <w:r>
              <w:rPr>
                <w:rFonts w:hint="eastAsia" w:ascii="宋体" w:hAnsi="宋体" w:eastAsia="宋体" w:cs="宋体"/>
                <w:color w:val="auto"/>
                <w:sz w:val="21"/>
                <w:szCs w:val="21"/>
                <w:lang w:val="en-US" w:bidi="en-US"/>
              </w:rPr>
              <w:t>软件</w:t>
            </w:r>
            <w:r>
              <w:rPr>
                <w:rFonts w:hint="eastAsia" w:ascii="宋体" w:hAnsi="宋体" w:eastAsia="宋体" w:cs="宋体"/>
                <w:color w:val="auto"/>
                <w:sz w:val="21"/>
                <w:szCs w:val="21"/>
                <w:lang w:val="en-US" w:eastAsia="zh-CN" w:bidi="en-US"/>
              </w:rPr>
              <w:t>系统</w:t>
            </w:r>
            <w:r>
              <w:rPr>
                <w:rFonts w:hint="eastAsia" w:ascii="宋体" w:hAnsi="宋体" w:eastAsia="宋体" w:cs="宋体"/>
                <w:color w:val="auto"/>
                <w:sz w:val="21"/>
                <w:szCs w:val="21"/>
                <w:lang w:val="en-US" w:bidi="en-US"/>
              </w:rPr>
              <w:t>不得以任何理由向招标人申请额外支付任何费用</w:t>
            </w:r>
            <w:r>
              <w:rPr>
                <w:rFonts w:hint="eastAsia" w:ascii="宋体" w:hAnsi="宋体" w:eastAsia="宋体" w:cs="宋体"/>
                <w:color w:val="auto"/>
                <w:sz w:val="21"/>
                <w:szCs w:val="21"/>
                <w:lang w:val="en-US" w:eastAsia="zh-CN" w:bidi="en-US"/>
              </w:rPr>
              <w:t>。</w:t>
            </w:r>
          </w:p>
        </w:tc>
        <w:tc>
          <w:tcPr>
            <w:tcW w:w="533" w:type="pct"/>
            <w:tcBorders>
              <w:top w:val="single" w:color="auto" w:sz="4" w:space="0"/>
              <w:left w:val="single" w:color="auto" w:sz="4" w:space="0"/>
              <w:right w:val="single" w:color="auto" w:sz="4" w:space="0"/>
            </w:tcBorders>
            <w:noWrap w:val="0"/>
            <w:vAlign w:val="center"/>
          </w:tcPr>
          <w:p w14:paraId="23486969">
            <w:pPr>
              <w:keepNext w:val="0"/>
              <w:keepLines w:val="0"/>
              <w:pageBreakBefore w:val="0"/>
              <w:widowControl w:val="0"/>
              <w:kinsoku/>
              <w:wordWrap/>
              <w:overflowPunct/>
              <w:topLinePunct w:val="0"/>
              <w:bidi w:val="0"/>
              <w:snapToGrid/>
              <w:spacing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w:t>
            </w:r>
          </w:p>
        </w:tc>
      </w:tr>
      <w:tr w14:paraId="1DFA7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 w:type="pct"/>
            <w:tcBorders>
              <w:left w:val="single" w:color="auto" w:sz="4" w:space="0"/>
              <w:right w:val="single" w:color="auto" w:sz="4" w:space="0"/>
            </w:tcBorders>
            <w:noWrap w:val="0"/>
            <w:vAlign w:val="center"/>
          </w:tcPr>
          <w:p w14:paraId="656F49BC">
            <w:pPr>
              <w:keepNext w:val="0"/>
              <w:keepLines w:val="0"/>
              <w:pageBreakBefore w:val="0"/>
              <w:widowControl w:val="0"/>
              <w:kinsoku/>
              <w:wordWrap/>
              <w:overflowPunct/>
              <w:topLinePunct w:val="0"/>
              <w:bidi w:val="0"/>
              <w:snapToGrid/>
              <w:spacing w:line="360" w:lineRule="auto"/>
              <w:ind w:firstLine="0" w:firstLineChars="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6</w:t>
            </w:r>
          </w:p>
        </w:tc>
        <w:tc>
          <w:tcPr>
            <w:tcW w:w="741" w:type="pct"/>
            <w:tcBorders>
              <w:left w:val="single" w:color="auto" w:sz="4" w:space="0"/>
              <w:right w:val="single" w:color="auto" w:sz="4" w:space="0"/>
            </w:tcBorders>
            <w:noWrap w:val="0"/>
            <w:vAlign w:val="center"/>
          </w:tcPr>
          <w:p w14:paraId="06C3E99B">
            <w:pPr>
              <w:keepNext w:val="0"/>
              <w:keepLines w:val="0"/>
              <w:pageBreakBefore w:val="0"/>
              <w:widowControl w:val="0"/>
              <w:kinsoku/>
              <w:wordWrap/>
              <w:overflowPunct/>
              <w:topLinePunct w:val="0"/>
              <w:bidi w:val="0"/>
              <w:snapToGrid/>
              <w:spacing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应急预案和重大活动保障措施</w:t>
            </w:r>
          </w:p>
        </w:tc>
        <w:tc>
          <w:tcPr>
            <w:tcW w:w="3422" w:type="pct"/>
            <w:tcBorders>
              <w:top w:val="single" w:color="auto" w:sz="4" w:space="0"/>
              <w:left w:val="single" w:color="auto" w:sz="4" w:space="0"/>
              <w:bottom w:val="single" w:color="auto" w:sz="4" w:space="0"/>
              <w:right w:val="single" w:color="auto" w:sz="4" w:space="0"/>
            </w:tcBorders>
            <w:noWrap w:val="0"/>
            <w:vAlign w:val="center"/>
          </w:tcPr>
          <w:p w14:paraId="78B9D7B5">
            <w:pPr>
              <w:keepNext w:val="0"/>
              <w:keepLines w:val="0"/>
              <w:pageBreakBefore w:val="0"/>
              <w:widowControl w:val="0"/>
              <w:kinsoku/>
              <w:wordWrap/>
              <w:overflowPunct/>
              <w:topLinePunct w:val="0"/>
              <w:bidi w:val="0"/>
              <w:snapToGrid/>
              <w:spacing w:line="360" w:lineRule="auto"/>
              <w:ind w:left="0" w:leftChars="0" w:firstLine="0" w:firstLineChars="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根据</w:t>
            </w:r>
            <w:r>
              <w:rPr>
                <w:rFonts w:hint="eastAsia" w:ascii="宋体" w:hAnsi="宋体" w:eastAsia="宋体" w:cs="宋体"/>
                <w:b w:val="0"/>
                <w:bCs/>
                <w:color w:val="auto"/>
                <w:kern w:val="2"/>
                <w:sz w:val="21"/>
                <w:szCs w:val="21"/>
                <w:highlight w:val="none"/>
                <w:lang w:val="en-US" w:eastAsia="zh-CN"/>
              </w:rPr>
              <w:t>投标人</w:t>
            </w:r>
            <w:r>
              <w:rPr>
                <w:rFonts w:hint="eastAsia" w:ascii="宋体" w:hAnsi="宋体" w:eastAsia="宋体" w:cs="宋体"/>
                <w:color w:val="auto"/>
                <w:sz w:val="21"/>
                <w:szCs w:val="21"/>
                <w:highlight w:val="none"/>
                <w:lang w:val="en-US" w:eastAsia="zh-CN"/>
              </w:rPr>
              <w:t>针对本项目提供的</w:t>
            </w:r>
            <w:r>
              <w:rPr>
                <w:rFonts w:hint="eastAsia" w:ascii="宋体" w:hAnsi="宋体" w:eastAsia="宋体" w:cs="宋体"/>
                <w:color w:val="auto"/>
                <w:sz w:val="21"/>
                <w:szCs w:val="21"/>
              </w:rPr>
              <w:t>应急预案和重大活动保障措施</w:t>
            </w:r>
            <w:r>
              <w:rPr>
                <w:rFonts w:hint="eastAsia" w:ascii="宋体" w:hAnsi="宋体" w:eastAsia="宋体" w:cs="宋体"/>
                <w:color w:val="auto"/>
                <w:sz w:val="21"/>
                <w:szCs w:val="21"/>
                <w:highlight w:val="none"/>
                <w:lang w:val="en-US" w:eastAsia="zh-CN"/>
              </w:rPr>
              <w:t>，包括但不限于项目实施过程可能发生的各类突发紧急情况（如：</w:t>
            </w:r>
            <w:r>
              <w:rPr>
                <w:rFonts w:hint="eastAsia" w:ascii="宋体" w:hAnsi="宋体" w:eastAsia="宋体" w:cs="宋体"/>
                <w:color w:val="auto"/>
                <w:sz w:val="21"/>
                <w:szCs w:val="21"/>
              </w:rPr>
              <w:t>特殊天气、火灾、设备故障、突发治安事件、公共卫生事件、重大活动</w:t>
            </w:r>
            <w:r>
              <w:rPr>
                <w:rFonts w:hint="eastAsia" w:ascii="宋体" w:hAnsi="宋体" w:eastAsia="宋体" w:cs="宋体"/>
                <w:color w:val="auto"/>
                <w:sz w:val="21"/>
                <w:szCs w:val="21"/>
                <w:highlight w:val="none"/>
                <w:lang w:val="en-US" w:eastAsia="zh-CN"/>
              </w:rPr>
              <w:t>等内容）、各类突发紧急情况相应的保障措施（包括事件处理原则、流程、方法、紧急情况报告机制等内容）的情况进行综合评审</w:t>
            </w:r>
            <w:r>
              <w:rPr>
                <w:rFonts w:hint="eastAsia" w:ascii="宋体" w:hAnsi="宋体" w:eastAsia="宋体" w:cs="宋体"/>
                <w:color w:val="auto"/>
                <w:sz w:val="21"/>
                <w:szCs w:val="21"/>
                <w:highlight w:val="none"/>
                <w:lang w:eastAsia="zh-CN"/>
              </w:rPr>
              <w:t>：</w:t>
            </w:r>
          </w:p>
          <w:p w14:paraId="72FD97DF">
            <w:pPr>
              <w:keepNext w:val="0"/>
              <w:keepLines w:val="0"/>
              <w:pageBreakBefore w:val="0"/>
              <w:widowControl w:val="0"/>
              <w:kinsoku/>
              <w:wordWrap/>
              <w:overflowPunct/>
              <w:topLinePunct w:val="0"/>
              <w:bidi w:val="0"/>
              <w:snapToGrid/>
              <w:spacing w:line="360" w:lineRule="auto"/>
              <w:textAlignment w:val="auto"/>
              <w:outlineLvl w:val="9"/>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eastAsia="zh-CN"/>
              </w:rPr>
              <w:t>优：</w:t>
            </w:r>
            <w:r>
              <w:rPr>
                <w:rFonts w:hint="eastAsia" w:ascii="宋体" w:hAnsi="宋体" w:eastAsia="宋体" w:cs="宋体"/>
                <w:color w:val="auto"/>
                <w:sz w:val="21"/>
                <w:szCs w:val="21"/>
                <w:highlight w:val="none"/>
                <w:lang w:val="zh-CN" w:eastAsia="zh-CN"/>
              </w:rPr>
              <w:t>应急处理方案详实且完整，能够全面覆盖所有可能发生的应急情况，并对每一类应急情况制定了详尽且具有操作性的保障措施，并给出了详细可行的解决方案，能有效指导现场处置行动，确保</w:t>
            </w:r>
            <w:r>
              <w:rPr>
                <w:rFonts w:hint="eastAsia" w:ascii="宋体" w:hAnsi="宋体" w:eastAsia="宋体" w:cs="宋体"/>
                <w:color w:val="auto"/>
                <w:sz w:val="21"/>
                <w:szCs w:val="21"/>
                <w:highlight w:val="none"/>
                <w:lang w:val="en-US" w:eastAsia="zh-CN"/>
              </w:rPr>
              <w:t>应急事件</w:t>
            </w:r>
            <w:r>
              <w:rPr>
                <w:rFonts w:hint="eastAsia" w:ascii="宋体" w:hAnsi="宋体" w:eastAsia="宋体" w:cs="宋体"/>
                <w:color w:val="auto"/>
                <w:sz w:val="21"/>
                <w:szCs w:val="21"/>
                <w:highlight w:val="none"/>
                <w:lang w:val="zh-CN" w:eastAsia="zh-CN"/>
              </w:rPr>
              <w:t>得到有效控制，</w:t>
            </w:r>
            <w:r>
              <w:rPr>
                <w:rFonts w:hint="eastAsia" w:ascii="宋体" w:hAnsi="宋体" w:eastAsia="宋体" w:cs="宋体"/>
                <w:color w:val="auto"/>
                <w:sz w:val="21"/>
                <w:szCs w:val="21"/>
                <w:highlight w:val="none"/>
                <w:lang w:val="en-US" w:eastAsia="zh-CN"/>
              </w:rPr>
              <w:t>得[6-5分]</w:t>
            </w:r>
            <w:r>
              <w:rPr>
                <w:rFonts w:hint="eastAsia" w:ascii="宋体" w:hAnsi="宋体" w:eastAsia="宋体" w:cs="宋体"/>
                <w:color w:val="auto"/>
                <w:sz w:val="21"/>
                <w:szCs w:val="21"/>
                <w:highlight w:val="none"/>
                <w:lang w:val="zh-CN" w:eastAsia="zh-CN"/>
              </w:rPr>
              <w:t>。</w:t>
            </w:r>
          </w:p>
          <w:p w14:paraId="6BC2A22F">
            <w:pPr>
              <w:keepNext w:val="0"/>
              <w:keepLines w:val="0"/>
              <w:pageBreakBefore w:val="0"/>
              <w:widowControl w:val="0"/>
              <w:kinsoku/>
              <w:wordWrap/>
              <w:overflowPunct/>
              <w:topLinePunct w:val="0"/>
              <w:bidi w:val="0"/>
              <w:snapToGrid/>
              <w:spacing w:line="360" w:lineRule="auto"/>
              <w:textAlignment w:val="auto"/>
              <w:outlineLvl w:val="9"/>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rPr>
              <w:t>良</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zh-CN" w:eastAsia="zh-CN"/>
              </w:rPr>
              <w:t>应急预案较为完整，对各类应急情况制定了具体的保障措施，并给出了相应的解决方案，能够考虑到了大部分情况下可能发生的问题，在少数特殊情况下可能存在一定的不确定性或存在一些细节上的不足，但总体上仍能较好地指导现场处置行动，有效控制</w:t>
            </w:r>
            <w:r>
              <w:rPr>
                <w:rFonts w:hint="eastAsia" w:ascii="宋体" w:hAnsi="宋体" w:eastAsia="宋体" w:cs="宋体"/>
                <w:color w:val="auto"/>
                <w:sz w:val="21"/>
                <w:szCs w:val="21"/>
                <w:highlight w:val="none"/>
                <w:lang w:val="en-US" w:eastAsia="zh-CN"/>
              </w:rPr>
              <w:t>应急事件</w:t>
            </w:r>
            <w:r>
              <w:rPr>
                <w:rFonts w:hint="eastAsia" w:ascii="宋体" w:hAnsi="宋体" w:eastAsia="宋体" w:cs="宋体"/>
                <w:color w:val="auto"/>
                <w:sz w:val="21"/>
                <w:szCs w:val="21"/>
                <w:highlight w:val="none"/>
                <w:lang w:val="zh-CN" w:eastAsia="zh-CN"/>
              </w:rPr>
              <w:t>的发展，</w:t>
            </w:r>
            <w:r>
              <w:rPr>
                <w:rFonts w:hint="eastAsia" w:ascii="宋体" w:hAnsi="宋体" w:eastAsia="宋体" w:cs="宋体"/>
                <w:color w:val="auto"/>
                <w:sz w:val="21"/>
                <w:szCs w:val="21"/>
                <w:highlight w:val="none"/>
                <w:lang w:val="en-US" w:eastAsia="zh-CN"/>
              </w:rPr>
              <w:t>得（5-3分]</w:t>
            </w:r>
            <w:r>
              <w:rPr>
                <w:rFonts w:hint="eastAsia" w:ascii="宋体" w:hAnsi="宋体" w:eastAsia="宋体" w:cs="宋体"/>
                <w:color w:val="auto"/>
                <w:sz w:val="21"/>
                <w:szCs w:val="21"/>
                <w:highlight w:val="none"/>
                <w:lang w:val="zh-CN" w:eastAsia="zh-CN"/>
              </w:rPr>
              <w:t>。</w:t>
            </w:r>
          </w:p>
          <w:p w14:paraId="5C603052">
            <w:pPr>
              <w:keepNext w:val="0"/>
              <w:keepLines w:val="0"/>
              <w:pageBreakBefore w:val="0"/>
              <w:widowControl w:val="0"/>
              <w:kinsoku/>
              <w:wordWrap/>
              <w:overflowPunct/>
              <w:topLinePunct w:val="0"/>
              <w:bidi w:val="0"/>
              <w:snapToGrid/>
              <w:spacing w:line="360" w:lineRule="auto"/>
              <w:textAlignment w:val="auto"/>
              <w:outlineLvl w:val="9"/>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中：应急预案基本完整，对一般应急情况制定了相应的保障措施，并给出了相应的解决方案，但解决方案需要进一步完善以提高其指导性，</w:t>
            </w:r>
            <w:r>
              <w:rPr>
                <w:rFonts w:hint="eastAsia" w:ascii="宋体" w:hAnsi="宋体" w:eastAsia="宋体" w:cs="宋体"/>
                <w:color w:val="auto"/>
                <w:sz w:val="21"/>
                <w:szCs w:val="21"/>
                <w:highlight w:val="none"/>
                <w:lang w:val="en-US" w:eastAsia="zh-CN"/>
              </w:rPr>
              <w:t>得（3-1分]</w:t>
            </w:r>
            <w:r>
              <w:rPr>
                <w:rFonts w:hint="eastAsia" w:ascii="宋体" w:hAnsi="宋体" w:eastAsia="宋体" w:cs="宋体"/>
                <w:color w:val="auto"/>
                <w:sz w:val="21"/>
                <w:szCs w:val="21"/>
                <w:highlight w:val="none"/>
                <w:lang w:val="zh-CN" w:eastAsia="zh-CN"/>
              </w:rPr>
              <w:t>。</w:t>
            </w:r>
          </w:p>
          <w:p w14:paraId="173AE1C5">
            <w:pPr>
              <w:keepNext w:val="0"/>
              <w:keepLines w:val="0"/>
              <w:pageBreakBefore w:val="0"/>
              <w:widowControl w:val="0"/>
              <w:kinsoku/>
              <w:wordWrap/>
              <w:overflowPunct/>
              <w:topLinePunct w:val="0"/>
              <w:bidi w:val="0"/>
              <w:snapToGrid/>
              <w:spacing w:line="360" w:lineRule="auto"/>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差：应急预案不完整或缺少合理性，对各类应急情况的保障措施不够具体，无对应的解决方案，可预判服务期间发生应急情况时会出现频繁的负面问题，得（1-0分]。</w:t>
            </w:r>
          </w:p>
          <w:p w14:paraId="0085E0C8">
            <w:pPr>
              <w:keepNext w:val="0"/>
              <w:keepLines w:val="0"/>
              <w:pageBreakBefore w:val="0"/>
              <w:widowControl w:val="0"/>
              <w:kinsoku/>
              <w:wordWrap/>
              <w:overflowPunct/>
              <w:topLinePunct w:val="0"/>
              <w:bidi w:val="0"/>
              <w:snapToGrid/>
              <w:spacing w:line="360" w:lineRule="auto"/>
              <w:ind w:left="0" w:leftChars="0" w:firstLine="0" w:firstLineChars="0"/>
              <w:textAlignment w:val="auto"/>
              <w:outlineLvl w:val="9"/>
              <w:rPr>
                <w:rFonts w:hint="eastAsia" w:ascii="宋体" w:hAnsi="宋体" w:eastAsia="宋体" w:cs="宋体"/>
                <w:b/>
                <w:color w:val="auto"/>
                <w:kern w:val="2"/>
                <w:sz w:val="21"/>
                <w:szCs w:val="21"/>
                <w:highlight w:val="none"/>
                <w:lang w:val="en-US" w:eastAsia="zh-CN"/>
              </w:rPr>
            </w:pPr>
            <w:r>
              <w:rPr>
                <w:rFonts w:hint="eastAsia" w:ascii="宋体" w:hAnsi="宋体" w:eastAsia="宋体" w:cs="宋体"/>
                <w:b/>
                <w:color w:val="auto"/>
                <w:kern w:val="2"/>
                <w:sz w:val="21"/>
                <w:szCs w:val="21"/>
                <w:highlight w:val="none"/>
                <w:lang w:val="en-US" w:eastAsia="zh-CN"/>
              </w:rPr>
              <w:t>备注：</w:t>
            </w:r>
          </w:p>
          <w:p w14:paraId="400E2768">
            <w:pPr>
              <w:keepNext w:val="0"/>
              <w:keepLines w:val="0"/>
              <w:pageBreakBefore w:val="0"/>
              <w:widowControl w:val="0"/>
              <w:kinsoku/>
              <w:wordWrap/>
              <w:overflowPunct/>
              <w:topLinePunct w:val="0"/>
              <w:bidi w:val="0"/>
              <w:snapToGrid/>
              <w:spacing w:line="360" w:lineRule="auto"/>
              <w:ind w:left="0" w:leftChars="0" w:firstLine="0" w:firstLineChars="0"/>
              <w:textAlignment w:val="auto"/>
              <w:outlineLvl w:val="9"/>
              <w:rPr>
                <w:rFonts w:hint="eastAsia" w:ascii="宋体" w:hAnsi="宋体" w:eastAsia="宋体" w:cs="宋体"/>
                <w:b w:val="0"/>
                <w:bCs/>
                <w:color w:val="auto"/>
                <w:kern w:val="2"/>
                <w:sz w:val="21"/>
                <w:szCs w:val="21"/>
                <w:highlight w:val="none"/>
                <w:lang w:val="en-US" w:eastAsia="zh-CN"/>
              </w:rPr>
            </w:pPr>
            <w:r>
              <w:rPr>
                <w:rFonts w:hint="eastAsia" w:ascii="宋体" w:hAnsi="宋体" w:eastAsia="宋体" w:cs="宋体"/>
                <w:b w:val="0"/>
                <w:bCs/>
                <w:color w:val="auto"/>
                <w:kern w:val="2"/>
                <w:sz w:val="21"/>
                <w:szCs w:val="21"/>
                <w:highlight w:val="none"/>
                <w:lang w:val="en-US" w:eastAsia="zh-CN"/>
              </w:rPr>
              <w:t>（1）未提供预案或应急预案内容不全面，应对措施操作性差的不得分。</w:t>
            </w:r>
          </w:p>
          <w:p w14:paraId="7AADB824">
            <w:pPr>
              <w:keepNext w:val="0"/>
              <w:keepLines w:val="0"/>
              <w:pageBreakBefore w:val="0"/>
              <w:widowControl w:val="0"/>
              <w:kinsoku/>
              <w:wordWrap/>
              <w:overflowPunct/>
              <w:topLinePunct w:val="0"/>
              <w:bidi w:val="0"/>
              <w:snapToGrid/>
              <w:spacing w:line="360" w:lineRule="auto"/>
              <w:ind w:left="0" w:leftChars="0" w:firstLine="0" w:firstLineChars="0"/>
              <w:textAlignment w:val="auto"/>
              <w:outlineLvl w:val="9"/>
              <w:rPr>
                <w:rFonts w:hint="eastAsia" w:ascii="宋体" w:hAnsi="宋体" w:eastAsia="宋体" w:cs="宋体"/>
                <w:color w:val="auto"/>
                <w:sz w:val="21"/>
                <w:szCs w:val="21"/>
              </w:rPr>
            </w:pPr>
            <w:r>
              <w:rPr>
                <w:rFonts w:hint="eastAsia" w:ascii="宋体" w:hAnsi="宋体" w:eastAsia="宋体" w:cs="宋体"/>
                <w:b w:val="0"/>
                <w:bCs/>
                <w:color w:val="auto"/>
                <w:kern w:val="2"/>
                <w:sz w:val="21"/>
                <w:szCs w:val="21"/>
                <w:highlight w:val="none"/>
                <w:lang w:val="en-US" w:eastAsia="zh-CN"/>
              </w:rPr>
              <w:t>（2）投标人预案的不同内容分别符合评审内容中不同档次得分要求的，评审时优先按较低的档次计分（即若投标人方案内容符合“优”的得分要求，另一部分内容符合“中”的得分要求时，应按“中”的档次考虑计分）。</w:t>
            </w:r>
          </w:p>
        </w:tc>
        <w:tc>
          <w:tcPr>
            <w:tcW w:w="533" w:type="pct"/>
            <w:tcBorders>
              <w:top w:val="single" w:color="auto" w:sz="4" w:space="0"/>
              <w:left w:val="single" w:color="auto" w:sz="4" w:space="0"/>
              <w:right w:val="single" w:color="auto" w:sz="4" w:space="0"/>
            </w:tcBorders>
            <w:noWrap w:val="0"/>
            <w:vAlign w:val="center"/>
          </w:tcPr>
          <w:p w14:paraId="401A17B6">
            <w:pPr>
              <w:keepNext w:val="0"/>
              <w:keepLines w:val="0"/>
              <w:pageBreakBefore w:val="0"/>
              <w:widowControl w:val="0"/>
              <w:kinsoku/>
              <w:wordWrap/>
              <w:overflowPunct/>
              <w:topLinePunct w:val="0"/>
              <w:bidi w:val="0"/>
              <w:snapToGrid/>
              <w:spacing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分</w:t>
            </w:r>
          </w:p>
        </w:tc>
      </w:tr>
    </w:tbl>
    <w:p w14:paraId="38710ACF">
      <w:pPr>
        <w:autoSpaceDE w:val="0"/>
        <w:autoSpaceDN w:val="0"/>
        <w:adjustRightInd w:val="0"/>
        <w:spacing w:line="360" w:lineRule="auto"/>
        <w:ind w:left="420" w:leftChars="200" w:firstLine="42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26A6B4B2">
      <w:pPr>
        <w:autoSpaceDE w:val="0"/>
        <w:autoSpaceDN w:val="0"/>
        <w:adjustRightInd w:val="0"/>
        <w:spacing w:line="360" w:lineRule="auto"/>
        <w:ind w:left="420" w:leftChars="200" w:firstLine="420" w:firstLineChars="200"/>
        <w:rPr>
          <w:rFonts w:hint="eastAsia" w:ascii="宋体" w:hAnsi="宋体" w:eastAsia="宋体" w:cs="宋体"/>
          <w:b w:val="0"/>
          <w:bCs/>
          <w:color w:val="auto"/>
          <w:szCs w:val="24"/>
          <w:highlight w:val="none"/>
          <w:lang w:val="en-US" w:eastAsia="zh-CN"/>
        </w:rPr>
      </w:pPr>
      <w:r>
        <w:rPr>
          <w:rFonts w:hint="eastAsia" w:ascii="宋体" w:hAnsi="宋体" w:eastAsia="宋体" w:cs="宋体"/>
          <w:b w:val="0"/>
          <w:bCs/>
          <w:color w:val="auto"/>
          <w:szCs w:val="24"/>
          <w:highlight w:val="none"/>
          <w:lang w:val="en-US" w:eastAsia="zh-CN"/>
        </w:rPr>
        <w:t>①表中“[”代表闭区间，“]”代表闭区间，如[0，1]代表该分数段范围为大于等于0且小于等于1。表中“（”代表开区间，“]”代表闭区间，如（1，2]代表该分数段范围为大于1且小于等于2。</w:t>
      </w:r>
    </w:p>
    <w:p w14:paraId="5B48C821">
      <w:pPr>
        <w:autoSpaceDE w:val="0"/>
        <w:autoSpaceDN w:val="0"/>
        <w:adjustRightInd w:val="0"/>
        <w:spacing w:line="360" w:lineRule="auto"/>
        <w:ind w:left="420" w:leftChars="200" w:firstLine="420" w:firstLineChars="200"/>
        <w:rPr>
          <w:rFonts w:hint="eastAsia" w:ascii="宋体" w:hAnsi="宋体" w:eastAsia="宋体" w:cs="宋体"/>
          <w:b w:val="0"/>
          <w:bCs/>
          <w:color w:val="auto"/>
          <w:szCs w:val="24"/>
          <w:highlight w:val="none"/>
          <w:lang w:val="en-US" w:eastAsia="zh-CN"/>
        </w:rPr>
      </w:pPr>
      <w:r>
        <w:rPr>
          <w:rFonts w:hint="eastAsia" w:ascii="宋体" w:hAnsi="宋体" w:eastAsia="宋体" w:cs="宋体"/>
          <w:b w:val="0"/>
          <w:bCs/>
          <w:color w:val="auto"/>
          <w:szCs w:val="24"/>
          <w:highlight w:val="none"/>
          <w:lang w:val="en-US" w:eastAsia="zh-CN"/>
        </w:rPr>
        <w:t>②分数出现小数点，保留小数点后2位，从小数点后第3位四舍五入。</w:t>
      </w:r>
    </w:p>
    <w:p w14:paraId="4E50A8F1">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zh-CN"/>
        </w:rPr>
      </w:pPr>
      <w:r>
        <w:rPr>
          <w:rFonts w:hint="eastAsia" w:ascii="宋体" w:hAnsi="宋体" w:eastAsia="宋体" w:cs="宋体"/>
          <w:b/>
          <w:bCs/>
          <w:color w:val="auto"/>
          <w:sz w:val="21"/>
          <w:szCs w:val="21"/>
          <w:highlight w:val="none"/>
          <w:lang w:val="en-US" w:eastAsia="zh-CN"/>
        </w:rPr>
        <w:t>③</w:t>
      </w:r>
      <w:r>
        <w:rPr>
          <w:rFonts w:hint="eastAsia" w:ascii="宋体" w:hAnsi="宋体" w:eastAsia="宋体" w:cs="宋体"/>
          <w:b/>
          <w:color w:val="auto"/>
          <w:szCs w:val="24"/>
          <w:highlight w:val="none"/>
          <w:lang w:val="zh-CN"/>
        </w:rPr>
        <w:t>上述“评分项目”中按“优、</w:t>
      </w:r>
      <w:r>
        <w:rPr>
          <w:rFonts w:hint="eastAsia" w:ascii="宋体" w:hAnsi="宋体" w:eastAsia="宋体" w:cs="宋体"/>
          <w:b/>
          <w:color w:val="auto"/>
          <w:szCs w:val="24"/>
          <w:highlight w:val="none"/>
          <w:lang w:val="en-US" w:eastAsia="zh-CN"/>
        </w:rPr>
        <w:t>良、中</w:t>
      </w:r>
      <w:r>
        <w:rPr>
          <w:rFonts w:hint="eastAsia" w:ascii="宋体" w:hAnsi="宋体" w:eastAsia="宋体" w:cs="宋体"/>
          <w:b/>
          <w:color w:val="auto"/>
          <w:szCs w:val="24"/>
          <w:highlight w:val="none"/>
          <w:lang w:val="zh-CN"/>
        </w:rPr>
        <w:t>、差”</w:t>
      </w:r>
      <w:r>
        <w:rPr>
          <w:rFonts w:hint="eastAsia" w:ascii="宋体" w:hAnsi="宋体" w:eastAsia="宋体" w:cs="宋体"/>
          <w:b/>
          <w:color w:val="auto"/>
          <w:szCs w:val="24"/>
          <w:highlight w:val="none"/>
          <w:lang w:val="en-US" w:eastAsia="zh-CN"/>
        </w:rPr>
        <w:t>区间</w:t>
      </w:r>
      <w:r>
        <w:rPr>
          <w:rFonts w:hint="eastAsia" w:ascii="宋体" w:hAnsi="宋体" w:eastAsia="宋体" w:cs="宋体"/>
          <w:b/>
          <w:color w:val="auto"/>
          <w:szCs w:val="24"/>
          <w:highlight w:val="none"/>
          <w:lang w:val="zh-CN"/>
        </w:rPr>
        <w:t>评审的，若低于该项满分分值60%时，评标专家需详细填写该项低分的充分理由，例如：该项目内容存在违反国家有关标准和规范或与项目实际不符等原则性问题。</w:t>
      </w:r>
    </w:p>
    <w:p w14:paraId="1A22C46C">
      <w:pPr>
        <w:autoSpaceDE w:val="0"/>
        <w:autoSpaceDN w:val="0"/>
        <w:adjustRightInd w:val="0"/>
        <w:spacing w:line="360" w:lineRule="auto"/>
        <w:ind w:left="420" w:leftChars="200"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sz w:val="21"/>
          <w:szCs w:val="21"/>
          <w:highlight w:val="none"/>
          <w:lang w:val="en-US" w:eastAsia="zh-CN"/>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14:paraId="0BE43385">
      <w:pPr>
        <w:tabs>
          <w:tab w:val="left" w:pos="1701"/>
        </w:tabs>
        <w:autoSpaceDE w:val="0"/>
        <w:autoSpaceDN w:val="0"/>
        <w:adjustRightInd w:val="0"/>
        <w:spacing w:line="360" w:lineRule="auto"/>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（3）价格评分方法</w:t>
      </w:r>
    </w:p>
    <w:p w14:paraId="37F47B72">
      <w:pPr>
        <w:spacing w:line="360" w:lineRule="auto"/>
        <w:ind w:left="480" w:firstLine="211" w:firstLineChars="100"/>
        <w:rPr>
          <w:rFonts w:hint="eastAsia" w:ascii="宋体" w:hAnsi="宋体" w:eastAsia="宋体" w:cs="宋体"/>
          <w:b/>
          <w:bCs/>
          <w:color w:val="auto"/>
          <w:kern w:val="0"/>
          <w:szCs w:val="21"/>
          <w:highlight w:val="none"/>
          <w:lang w:val="zh-CN"/>
        </w:rPr>
      </w:pPr>
      <w:r>
        <w:rPr>
          <w:rFonts w:hint="eastAsia" w:ascii="宋体" w:hAnsi="宋体" w:eastAsia="宋体" w:cs="宋体"/>
          <w:b/>
          <w:bCs/>
          <w:color w:val="auto"/>
          <w:kern w:val="0"/>
          <w:szCs w:val="28"/>
          <w:highlight w:val="none"/>
          <w:lang w:val="zh-CN"/>
        </w:rPr>
        <w:t xml:space="preserve">1）经济文件的符合性审查 </w:t>
      </w:r>
    </w:p>
    <w:p w14:paraId="7126DFDD">
      <w:pPr>
        <w:spacing w:line="360" w:lineRule="auto"/>
        <w:ind w:left="420" w:leftChars="200"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51748BC6">
      <w:pPr>
        <w:autoSpaceDE w:val="0"/>
        <w:autoSpaceDN w:val="0"/>
        <w:adjustRightInd w:val="0"/>
        <w:spacing w:line="360" w:lineRule="auto"/>
        <w:ind w:left="420" w:leftChars="200" w:firstLine="420" w:firstLineChars="200"/>
        <w:rPr>
          <w:rFonts w:hint="eastAsia"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若投标人不能合理说明或不能提供相关证明材料的，评标委员会将认定其投标报价低于成本，同时否决其投标。</w:t>
      </w:r>
    </w:p>
    <w:p w14:paraId="5122C02B">
      <w:pPr>
        <w:spacing w:line="360" w:lineRule="auto"/>
        <w:ind w:left="420" w:leftChars="200" w:firstLine="422" w:firstLineChars="200"/>
        <w:rPr>
          <w:rFonts w:hint="eastAsia"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多数的原则，获多数表决通过的投标人才有资格进入下一阶段的评审,否则将按无效投标处理。</w:t>
      </w:r>
    </w:p>
    <w:p w14:paraId="6DA445E2">
      <w:pPr>
        <w:spacing w:line="360" w:lineRule="auto"/>
        <w:ind w:left="480" w:firstLine="211" w:firstLineChars="1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eastAsia" w:ascii="宋体" w:hAnsi="宋体" w:eastAsia="宋体" w:cs="宋体"/>
          <w:b/>
          <w:bCs/>
          <w:color w:val="auto"/>
          <w:kern w:val="0"/>
          <w:szCs w:val="21"/>
          <w:highlight w:val="none"/>
          <w:lang w:val="en-US" w:eastAsia="zh-CN"/>
        </w:rPr>
        <w:t>20</w:t>
      </w:r>
      <w:r>
        <w:rPr>
          <w:rFonts w:hint="eastAsia" w:ascii="宋体" w:hAnsi="宋体" w:eastAsia="宋体" w:cs="宋体"/>
          <w:b/>
          <w:bCs/>
          <w:color w:val="auto"/>
          <w:kern w:val="0"/>
          <w:szCs w:val="21"/>
          <w:highlight w:val="none"/>
          <w:lang w:val="zh-CN"/>
        </w:rPr>
        <w:t>分</w:t>
      </w:r>
    </w:p>
    <w:p w14:paraId="013D1B3D">
      <w:pPr>
        <w:pStyle w:val="70"/>
        <w:spacing w:line="360" w:lineRule="auto"/>
        <w:ind w:left="420" w:leftChars="200" w:firstLine="0" w:firstLineChars="0"/>
        <w:rPr>
          <w:rFonts w:hint="eastAsia" w:ascii="宋体" w:eastAsia="宋体" w:cs="宋体"/>
          <w:b/>
          <w:color w:val="auto"/>
          <w:sz w:val="21"/>
          <w:szCs w:val="21"/>
          <w:lang w:val="zh-CN"/>
        </w:rPr>
      </w:pPr>
    </w:p>
    <w:tbl>
      <w:tblPr>
        <w:tblStyle w:val="41"/>
        <w:tblW w:w="46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
        <w:gridCol w:w="5064"/>
        <w:gridCol w:w="2932"/>
      </w:tblGrid>
      <w:tr w14:paraId="45CFB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0" w:hRule="atLeast"/>
          <w:jc w:val="center"/>
        </w:trPr>
        <w:tc>
          <w:tcPr>
            <w:tcW w:w="510" w:type="pct"/>
            <w:noWrap w:val="0"/>
            <w:vAlign w:val="center"/>
          </w:tcPr>
          <w:p w14:paraId="432F561C">
            <w:pPr>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2843" w:type="pct"/>
            <w:noWrap w:val="0"/>
            <w:vAlign w:val="center"/>
          </w:tcPr>
          <w:p w14:paraId="030ADD36">
            <w:pPr>
              <w:ind w:firstLine="42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费用</w:t>
            </w:r>
            <w:r>
              <w:rPr>
                <w:rFonts w:hint="eastAsia" w:ascii="宋体" w:hAnsi="宋体" w:eastAsia="宋体" w:cs="宋体"/>
                <w:color w:val="auto"/>
                <w:sz w:val="21"/>
                <w:szCs w:val="21"/>
                <w:lang w:val="en-US" w:eastAsia="zh-CN"/>
              </w:rPr>
              <w:t>名称</w:t>
            </w:r>
          </w:p>
        </w:tc>
        <w:tc>
          <w:tcPr>
            <w:tcW w:w="1646" w:type="pct"/>
            <w:noWrap w:val="0"/>
            <w:vAlign w:val="center"/>
          </w:tcPr>
          <w:p w14:paraId="21C28B09">
            <w:pPr>
              <w:ind w:firstLine="420"/>
              <w:jc w:val="center"/>
              <w:rPr>
                <w:rFonts w:hint="eastAsia" w:ascii="宋体" w:hAnsi="宋体" w:eastAsia="宋体" w:cs="宋体"/>
                <w:color w:val="auto"/>
                <w:sz w:val="21"/>
                <w:szCs w:val="21"/>
              </w:rPr>
            </w:pPr>
            <w:r>
              <w:rPr>
                <w:rFonts w:hint="eastAsia" w:ascii="宋体" w:hAnsi="宋体" w:eastAsia="宋体" w:cs="宋体"/>
                <w:color w:val="auto"/>
                <w:sz w:val="21"/>
                <w:szCs w:val="21"/>
              </w:rPr>
              <w:t>价格分值</w:t>
            </w:r>
          </w:p>
        </w:tc>
      </w:tr>
      <w:tr w14:paraId="3FD04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10" w:type="pct"/>
            <w:noWrap w:val="0"/>
            <w:vAlign w:val="center"/>
          </w:tcPr>
          <w:p w14:paraId="519034C9">
            <w:pPr>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2843" w:type="pct"/>
            <w:noWrap w:val="0"/>
            <w:vAlign w:val="center"/>
          </w:tcPr>
          <w:p w14:paraId="57B18A19">
            <w:pPr>
              <w:ind w:firstLine="420"/>
              <w:jc w:val="center"/>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eastAsia="zh-CN"/>
              </w:rPr>
              <w:t>物业管理带教服务费用</w:t>
            </w:r>
          </w:p>
        </w:tc>
        <w:tc>
          <w:tcPr>
            <w:tcW w:w="1646" w:type="pct"/>
            <w:noWrap w:val="0"/>
            <w:vAlign w:val="center"/>
          </w:tcPr>
          <w:p w14:paraId="66C02D98">
            <w:pPr>
              <w:ind w:firstLine="42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r>
      <w:tr w14:paraId="084BA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10" w:type="pct"/>
            <w:noWrap w:val="0"/>
            <w:vAlign w:val="center"/>
          </w:tcPr>
          <w:p w14:paraId="1B279567">
            <w:pPr>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2843" w:type="pct"/>
            <w:noWrap w:val="0"/>
            <w:vAlign w:val="center"/>
          </w:tcPr>
          <w:p w14:paraId="69854837">
            <w:pPr>
              <w:ind w:firstLine="42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物业管理</w:t>
            </w:r>
            <w:r>
              <w:rPr>
                <w:rFonts w:hint="eastAsia" w:ascii="宋体" w:hAnsi="宋体" w:eastAsia="宋体" w:cs="宋体"/>
                <w:color w:val="auto"/>
                <w:sz w:val="21"/>
                <w:szCs w:val="21"/>
              </w:rPr>
              <w:t>运营</w:t>
            </w:r>
            <w:r>
              <w:rPr>
                <w:rFonts w:hint="eastAsia" w:ascii="宋体" w:hAnsi="宋体" w:eastAsia="宋体" w:cs="宋体"/>
                <w:color w:val="auto"/>
                <w:sz w:val="21"/>
                <w:szCs w:val="21"/>
                <w:lang w:val="en-US" w:eastAsia="zh-CN"/>
              </w:rPr>
              <w:t>服务</w:t>
            </w:r>
            <w:r>
              <w:rPr>
                <w:rFonts w:hint="eastAsia" w:ascii="宋体" w:hAnsi="宋体" w:eastAsia="宋体" w:cs="宋体"/>
                <w:color w:val="auto"/>
                <w:sz w:val="21"/>
                <w:szCs w:val="21"/>
              </w:rPr>
              <w:t>费用最高限额</w:t>
            </w:r>
          </w:p>
        </w:tc>
        <w:tc>
          <w:tcPr>
            <w:tcW w:w="1646" w:type="pct"/>
            <w:noWrap w:val="0"/>
            <w:vAlign w:val="center"/>
          </w:tcPr>
          <w:p w14:paraId="28A75A57">
            <w:pPr>
              <w:ind w:firstLine="42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w:t>
            </w:r>
          </w:p>
        </w:tc>
      </w:tr>
      <w:tr w14:paraId="44B3C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10" w:type="pct"/>
            <w:noWrap w:val="0"/>
            <w:vAlign w:val="center"/>
          </w:tcPr>
          <w:p w14:paraId="2B196BC1">
            <w:pPr>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2843" w:type="pct"/>
            <w:noWrap w:val="0"/>
            <w:vAlign w:val="center"/>
          </w:tcPr>
          <w:p w14:paraId="51A3CFBD">
            <w:pPr>
              <w:ind w:firstLine="42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物业管理运营服务</w:t>
            </w:r>
            <w:r>
              <w:rPr>
                <w:rFonts w:hint="eastAsia" w:ascii="宋体" w:hAnsi="宋体" w:eastAsia="宋体" w:cs="宋体"/>
                <w:color w:val="auto"/>
                <w:sz w:val="21"/>
                <w:szCs w:val="21"/>
              </w:rPr>
              <w:t>人工费用最高限额</w:t>
            </w:r>
          </w:p>
        </w:tc>
        <w:tc>
          <w:tcPr>
            <w:tcW w:w="1646" w:type="pct"/>
            <w:noWrap w:val="0"/>
            <w:vAlign w:val="center"/>
          </w:tcPr>
          <w:p w14:paraId="516A29BA">
            <w:pPr>
              <w:ind w:firstLine="42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r>
    </w:tbl>
    <w:p w14:paraId="43B4CD0E">
      <w:pPr>
        <w:pStyle w:val="70"/>
        <w:spacing w:line="360" w:lineRule="auto"/>
        <w:ind w:left="0" w:leftChars="0" w:firstLine="0" w:firstLineChars="0"/>
        <w:rPr>
          <w:rFonts w:hint="eastAsia" w:ascii="宋体" w:hAnsi="宋体" w:eastAsia="宋体" w:cs="宋体"/>
          <w:b/>
          <w:color w:val="auto"/>
          <w:sz w:val="21"/>
          <w:szCs w:val="21"/>
          <w:lang w:val="zh-CN"/>
        </w:rPr>
      </w:pPr>
    </w:p>
    <w:p w14:paraId="07E5A97C">
      <w:pPr>
        <w:pStyle w:val="70"/>
        <w:spacing w:line="360" w:lineRule="auto"/>
        <w:ind w:firstLine="843" w:firstLineChars="400"/>
        <w:rPr>
          <w:rFonts w:hint="eastAsia" w:ascii="宋体" w:hAnsi="宋体" w:eastAsia="宋体" w:cs="宋体"/>
          <w:b/>
          <w:bCs/>
          <w:color w:val="auto"/>
          <w:sz w:val="21"/>
          <w:szCs w:val="21"/>
        </w:rPr>
      </w:pPr>
      <w:r>
        <w:rPr>
          <w:rFonts w:hint="eastAsia" w:ascii="宋体" w:hAnsi="宋体" w:eastAsia="宋体" w:cs="宋体"/>
          <w:b/>
          <w:bCs/>
          <w:color w:val="auto"/>
          <w:sz w:val="21"/>
          <w:szCs w:val="21"/>
          <w:lang w:val="zh-CN"/>
        </w:rPr>
        <w:t>①</w:t>
      </w:r>
      <w:r>
        <w:rPr>
          <w:rFonts w:hint="eastAsia" w:ascii="宋体" w:hAnsi="宋体" w:eastAsia="宋体" w:cs="宋体"/>
          <w:b/>
          <w:bCs/>
          <w:color w:val="auto"/>
          <w:sz w:val="21"/>
          <w:szCs w:val="21"/>
          <w:lang w:val="en-US" w:eastAsia="zh-CN"/>
        </w:rPr>
        <w:t>物业管理带教服务费用</w:t>
      </w:r>
      <w:r>
        <w:rPr>
          <w:rFonts w:hint="eastAsia" w:ascii="宋体" w:hAnsi="宋体" w:eastAsia="宋体" w:cs="宋体"/>
          <w:b/>
          <w:bCs/>
          <w:color w:val="auto"/>
          <w:sz w:val="21"/>
          <w:szCs w:val="21"/>
        </w:rPr>
        <w:t>价格得分</w:t>
      </w:r>
    </w:p>
    <w:p w14:paraId="022E3573">
      <w:pPr>
        <w:widowControl/>
        <w:spacing w:line="360" w:lineRule="auto"/>
        <w:ind w:left="420" w:leftChars="200" w:firstLine="420"/>
        <w:rPr>
          <w:rFonts w:hint="eastAsia" w:ascii="宋体" w:hAnsi="宋体" w:eastAsia="宋体" w:cs="宋体"/>
          <w:color w:val="auto"/>
          <w:sz w:val="21"/>
          <w:szCs w:val="21"/>
        </w:rPr>
      </w:pPr>
      <w:r>
        <w:rPr>
          <w:rFonts w:hint="eastAsia" w:ascii="宋体" w:hAnsi="宋体" w:eastAsia="宋体" w:cs="宋体"/>
          <w:color w:val="auto"/>
          <w:sz w:val="21"/>
          <w:szCs w:val="21"/>
        </w:rPr>
        <w:t>A、根据有效投标人的投标报价(</w:t>
      </w:r>
      <w:r>
        <w:rPr>
          <w:rFonts w:hint="eastAsia" w:ascii="宋体" w:hAnsi="宋体" w:eastAsia="宋体" w:cs="宋体"/>
          <w:color w:val="auto"/>
          <w:sz w:val="21"/>
          <w:szCs w:val="21"/>
          <w:lang w:val="en-US" w:eastAsia="zh-CN"/>
        </w:rPr>
        <w:t>物业管理带教服务费用</w:t>
      </w:r>
      <w:r>
        <w:rPr>
          <w:rFonts w:hint="eastAsia" w:ascii="宋体" w:hAnsi="宋体" w:eastAsia="宋体" w:cs="宋体"/>
          <w:color w:val="auto"/>
          <w:sz w:val="21"/>
          <w:szCs w:val="21"/>
        </w:rPr>
        <w:t>)，最低价作为基准价。投标人报价等于基准价的得满分</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分，其它投标人的价格得分统一按照下列公式计算：</w:t>
      </w:r>
    </w:p>
    <w:p w14:paraId="464D1955">
      <w:pPr>
        <w:widowControl/>
        <w:spacing w:line="360" w:lineRule="auto"/>
        <w:ind w:firstLine="840" w:firstLineChars="40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价格得分=(基准价／投标报价)×</w:t>
      </w:r>
      <w:r>
        <w:rPr>
          <w:rFonts w:hint="eastAsia" w:ascii="宋体" w:hAnsi="宋体" w:eastAsia="宋体" w:cs="宋体"/>
          <w:color w:val="auto"/>
          <w:sz w:val="21"/>
          <w:szCs w:val="21"/>
          <w:lang w:val="en-US" w:eastAsia="zh-CN"/>
        </w:rPr>
        <w:t>4</w:t>
      </w:r>
    </w:p>
    <w:p w14:paraId="65A42388">
      <w:pPr>
        <w:widowControl/>
        <w:spacing w:line="360" w:lineRule="auto"/>
        <w:ind w:firstLine="840" w:firstLineChars="400"/>
        <w:rPr>
          <w:rFonts w:hint="eastAsia" w:ascii="宋体" w:hAnsi="宋体" w:eastAsia="宋体" w:cs="宋体"/>
          <w:color w:val="auto"/>
          <w:sz w:val="21"/>
          <w:szCs w:val="21"/>
        </w:rPr>
      </w:pPr>
      <w:r>
        <w:rPr>
          <w:rFonts w:hint="eastAsia" w:ascii="宋体" w:hAnsi="宋体" w:eastAsia="宋体" w:cs="宋体"/>
          <w:color w:val="auto"/>
          <w:sz w:val="21"/>
          <w:szCs w:val="21"/>
        </w:rPr>
        <w:t>B、分数出现小数点，保留小数点后2位，从小数点后第3位四舍五入。</w:t>
      </w:r>
    </w:p>
    <w:p w14:paraId="695BA09C">
      <w:pPr>
        <w:pStyle w:val="70"/>
        <w:spacing w:line="360" w:lineRule="auto"/>
        <w:ind w:firstLine="843" w:firstLineChars="400"/>
        <w:rPr>
          <w:rFonts w:hint="eastAsia" w:ascii="宋体" w:hAnsi="宋体" w:eastAsia="宋体" w:cs="宋体"/>
          <w:b/>
          <w:bCs/>
          <w:color w:val="auto"/>
          <w:sz w:val="21"/>
          <w:szCs w:val="21"/>
        </w:rPr>
      </w:pPr>
      <w:r>
        <w:rPr>
          <w:rFonts w:hint="eastAsia" w:ascii="宋体" w:hAnsi="宋体" w:eastAsia="宋体" w:cs="宋体"/>
          <w:b/>
          <w:bCs/>
          <w:color w:val="auto"/>
          <w:sz w:val="21"/>
          <w:szCs w:val="21"/>
          <w:lang w:val="zh-CN"/>
        </w:rPr>
        <w:t>②</w:t>
      </w:r>
      <w:r>
        <w:rPr>
          <w:rFonts w:hint="eastAsia" w:ascii="宋体" w:hAnsi="宋体" w:eastAsia="宋体" w:cs="宋体"/>
          <w:b/>
          <w:bCs/>
          <w:color w:val="auto"/>
          <w:sz w:val="21"/>
          <w:szCs w:val="21"/>
          <w:lang w:val="en-US" w:eastAsia="zh-CN"/>
        </w:rPr>
        <w:t>物业管理</w:t>
      </w:r>
      <w:r>
        <w:rPr>
          <w:rFonts w:hint="eastAsia" w:ascii="宋体" w:hAnsi="宋体" w:eastAsia="宋体" w:cs="宋体"/>
          <w:b/>
          <w:bCs/>
          <w:color w:val="auto"/>
          <w:sz w:val="21"/>
          <w:szCs w:val="21"/>
        </w:rPr>
        <w:t>运营</w:t>
      </w:r>
      <w:r>
        <w:rPr>
          <w:rFonts w:hint="eastAsia" w:ascii="宋体" w:hAnsi="宋体" w:eastAsia="宋体" w:cs="宋体"/>
          <w:b/>
          <w:bCs/>
          <w:color w:val="auto"/>
          <w:sz w:val="21"/>
          <w:szCs w:val="21"/>
          <w:lang w:val="en-US" w:eastAsia="zh-CN"/>
        </w:rPr>
        <w:t>服务</w:t>
      </w:r>
      <w:r>
        <w:rPr>
          <w:rFonts w:hint="eastAsia" w:ascii="宋体" w:hAnsi="宋体" w:eastAsia="宋体" w:cs="宋体"/>
          <w:b/>
          <w:bCs/>
          <w:color w:val="auto"/>
          <w:sz w:val="21"/>
          <w:szCs w:val="21"/>
        </w:rPr>
        <w:t>费用最高限额价格得分</w:t>
      </w:r>
    </w:p>
    <w:p w14:paraId="3B229518">
      <w:pPr>
        <w:widowControl/>
        <w:spacing w:line="360" w:lineRule="auto"/>
        <w:ind w:left="420" w:leftChars="200" w:firstLine="420"/>
        <w:rPr>
          <w:rFonts w:hint="eastAsia" w:ascii="宋体" w:hAnsi="宋体" w:eastAsia="宋体" w:cs="宋体"/>
          <w:color w:val="auto"/>
          <w:sz w:val="21"/>
          <w:szCs w:val="21"/>
        </w:rPr>
      </w:pPr>
      <w:r>
        <w:rPr>
          <w:rFonts w:hint="eastAsia" w:ascii="宋体" w:hAnsi="宋体" w:eastAsia="宋体" w:cs="宋体"/>
          <w:color w:val="auto"/>
          <w:sz w:val="21"/>
          <w:szCs w:val="21"/>
        </w:rPr>
        <w:t>A、根据有效投标人的投标报价（</w:t>
      </w:r>
      <w:r>
        <w:rPr>
          <w:rFonts w:hint="eastAsia" w:ascii="宋体" w:hAnsi="宋体" w:eastAsia="宋体" w:cs="宋体"/>
          <w:color w:val="auto"/>
          <w:sz w:val="21"/>
          <w:szCs w:val="21"/>
          <w:lang w:val="en-US" w:eastAsia="zh-CN"/>
        </w:rPr>
        <w:t>物业管理</w:t>
      </w:r>
      <w:r>
        <w:rPr>
          <w:rFonts w:hint="eastAsia" w:ascii="宋体" w:hAnsi="宋体" w:eastAsia="宋体" w:cs="宋体"/>
          <w:color w:val="auto"/>
          <w:sz w:val="21"/>
          <w:szCs w:val="21"/>
        </w:rPr>
        <w:t>运营</w:t>
      </w:r>
      <w:r>
        <w:rPr>
          <w:rFonts w:hint="eastAsia" w:ascii="宋体" w:hAnsi="宋体" w:eastAsia="宋体" w:cs="宋体"/>
          <w:color w:val="auto"/>
          <w:sz w:val="21"/>
          <w:szCs w:val="21"/>
          <w:lang w:val="en-US" w:eastAsia="zh-CN"/>
        </w:rPr>
        <w:t>服务</w:t>
      </w:r>
      <w:r>
        <w:rPr>
          <w:rFonts w:hint="eastAsia" w:ascii="宋体" w:hAnsi="宋体" w:eastAsia="宋体" w:cs="宋体"/>
          <w:color w:val="auto"/>
          <w:sz w:val="21"/>
          <w:szCs w:val="21"/>
        </w:rPr>
        <w:t>费用最高限额），最低价作为基准价。投标人报价等于基准价的得满分</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分，其它投标人的价格得分统一按照下列公式计算：</w:t>
      </w:r>
    </w:p>
    <w:p w14:paraId="52BDE349">
      <w:pPr>
        <w:widowControl/>
        <w:spacing w:line="360" w:lineRule="auto"/>
        <w:ind w:firstLine="840" w:firstLineChars="40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价格得分=(基准价／投标报价)×</w:t>
      </w:r>
      <w:r>
        <w:rPr>
          <w:rFonts w:hint="eastAsia" w:ascii="宋体" w:hAnsi="宋体" w:eastAsia="宋体" w:cs="宋体"/>
          <w:color w:val="auto"/>
          <w:sz w:val="21"/>
          <w:szCs w:val="21"/>
          <w:lang w:val="en-US" w:eastAsia="zh-CN"/>
        </w:rPr>
        <w:t>6</w:t>
      </w:r>
    </w:p>
    <w:p w14:paraId="3777ED7A">
      <w:pPr>
        <w:widowControl/>
        <w:spacing w:line="360" w:lineRule="auto"/>
        <w:ind w:firstLine="840" w:firstLineChars="400"/>
        <w:rPr>
          <w:rFonts w:hint="eastAsia" w:ascii="宋体" w:hAnsi="宋体" w:eastAsia="宋体" w:cs="宋体"/>
          <w:color w:val="auto"/>
          <w:sz w:val="21"/>
          <w:szCs w:val="21"/>
        </w:rPr>
      </w:pPr>
      <w:r>
        <w:rPr>
          <w:rFonts w:hint="eastAsia" w:ascii="宋体" w:hAnsi="宋体" w:eastAsia="宋体" w:cs="宋体"/>
          <w:color w:val="auto"/>
          <w:sz w:val="21"/>
          <w:szCs w:val="21"/>
        </w:rPr>
        <w:t>B、分数出现小数点，保留小数点后2位，从小数点后第3位四舍五入。</w:t>
      </w:r>
    </w:p>
    <w:p w14:paraId="1D1D3834">
      <w:pPr>
        <w:pStyle w:val="70"/>
        <w:spacing w:line="360" w:lineRule="auto"/>
        <w:ind w:firstLine="843" w:firstLineChars="400"/>
        <w:rPr>
          <w:rFonts w:hint="eastAsia" w:ascii="宋体" w:hAnsi="宋体" w:eastAsia="宋体" w:cs="宋体"/>
          <w:b/>
          <w:bCs/>
          <w:color w:val="auto"/>
          <w:sz w:val="21"/>
          <w:szCs w:val="21"/>
        </w:rPr>
      </w:pPr>
      <w:r>
        <w:rPr>
          <w:rFonts w:hint="eastAsia" w:ascii="宋体" w:hAnsi="宋体" w:eastAsia="宋体" w:cs="宋体"/>
          <w:b/>
          <w:bCs/>
          <w:color w:val="auto"/>
          <w:sz w:val="21"/>
          <w:szCs w:val="21"/>
          <w:lang w:val="zh-CN"/>
        </w:rPr>
        <w:t>③</w:t>
      </w:r>
      <w:r>
        <w:rPr>
          <w:rFonts w:hint="eastAsia" w:ascii="宋体" w:hAnsi="宋体" w:eastAsia="宋体" w:cs="宋体"/>
          <w:b/>
          <w:bCs/>
          <w:color w:val="auto"/>
          <w:sz w:val="21"/>
          <w:szCs w:val="21"/>
          <w:lang w:val="en-US" w:eastAsia="zh-CN"/>
        </w:rPr>
        <w:t>物业管理运营服务</w:t>
      </w:r>
      <w:r>
        <w:rPr>
          <w:rFonts w:hint="eastAsia" w:ascii="宋体" w:hAnsi="宋体" w:eastAsia="宋体" w:cs="宋体"/>
          <w:b/>
          <w:bCs/>
          <w:color w:val="auto"/>
          <w:sz w:val="21"/>
          <w:szCs w:val="21"/>
        </w:rPr>
        <w:t>人工费用最高限额价格得分</w:t>
      </w:r>
    </w:p>
    <w:p w14:paraId="2BE1AD8C">
      <w:pPr>
        <w:widowControl/>
        <w:spacing w:line="360" w:lineRule="auto"/>
        <w:ind w:left="420" w:leftChars="200" w:firstLine="420"/>
        <w:rPr>
          <w:rFonts w:hint="eastAsia" w:ascii="宋体" w:hAnsi="宋体" w:eastAsia="宋体" w:cs="宋体"/>
          <w:color w:val="auto"/>
          <w:sz w:val="21"/>
          <w:szCs w:val="21"/>
        </w:rPr>
      </w:pPr>
      <w:r>
        <w:rPr>
          <w:rFonts w:hint="eastAsia" w:ascii="宋体" w:hAnsi="宋体" w:eastAsia="宋体" w:cs="宋体"/>
          <w:color w:val="auto"/>
          <w:sz w:val="21"/>
          <w:szCs w:val="21"/>
        </w:rPr>
        <w:t>A、根据有效投标人的投标报价（</w:t>
      </w:r>
      <w:r>
        <w:rPr>
          <w:rFonts w:hint="eastAsia" w:ascii="宋体" w:hAnsi="宋体" w:eastAsia="宋体" w:cs="宋体"/>
          <w:color w:val="auto"/>
          <w:sz w:val="21"/>
          <w:szCs w:val="21"/>
          <w:lang w:val="en-US" w:eastAsia="zh-CN"/>
        </w:rPr>
        <w:t>物业管理</w:t>
      </w:r>
      <w:r>
        <w:rPr>
          <w:rFonts w:hint="eastAsia" w:ascii="宋体" w:hAnsi="宋体" w:eastAsia="宋体" w:cs="宋体"/>
          <w:color w:val="auto"/>
          <w:sz w:val="21"/>
          <w:szCs w:val="21"/>
        </w:rPr>
        <w:t>运营</w:t>
      </w:r>
      <w:r>
        <w:rPr>
          <w:rFonts w:hint="eastAsia" w:ascii="宋体" w:hAnsi="宋体" w:eastAsia="宋体" w:cs="宋体"/>
          <w:color w:val="auto"/>
          <w:sz w:val="21"/>
          <w:szCs w:val="21"/>
          <w:lang w:val="en-US" w:eastAsia="zh-CN"/>
        </w:rPr>
        <w:t>服务</w:t>
      </w:r>
      <w:r>
        <w:rPr>
          <w:rFonts w:hint="eastAsia" w:ascii="宋体" w:hAnsi="宋体" w:eastAsia="宋体" w:cs="宋体"/>
          <w:color w:val="auto"/>
          <w:sz w:val="21"/>
          <w:szCs w:val="21"/>
        </w:rPr>
        <w:t>人工费用最高限额），最低价作为基准价。投标人报价等于基准价的得满分</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分，其它投标人的价格得分统一按照下列公式计算：</w:t>
      </w:r>
    </w:p>
    <w:p w14:paraId="15A6ABDC">
      <w:pPr>
        <w:widowControl/>
        <w:spacing w:line="360" w:lineRule="auto"/>
        <w:ind w:firstLine="840" w:firstLineChars="40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价格得分=(基准价／投标报价)×</w:t>
      </w:r>
      <w:r>
        <w:rPr>
          <w:rFonts w:hint="eastAsia" w:ascii="宋体" w:hAnsi="宋体" w:eastAsia="宋体" w:cs="宋体"/>
          <w:color w:val="auto"/>
          <w:sz w:val="21"/>
          <w:szCs w:val="21"/>
          <w:lang w:val="en-US" w:eastAsia="zh-CN"/>
        </w:rPr>
        <w:t>10</w:t>
      </w:r>
    </w:p>
    <w:p w14:paraId="6063BBB7">
      <w:pPr>
        <w:widowControl/>
        <w:spacing w:line="360" w:lineRule="auto"/>
        <w:ind w:firstLine="840" w:firstLineChars="400"/>
        <w:rPr>
          <w:rFonts w:hint="eastAsia" w:ascii="宋体" w:hAnsi="宋体" w:eastAsia="宋体" w:cs="宋体"/>
          <w:color w:val="auto"/>
          <w:sz w:val="21"/>
          <w:szCs w:val="21"/>
        </w:rPr>
      </w:pPr>
      <w:r>
        <w:rPr>
          <w:rFonts w:hint="eastAsia" w:ascii="宋体" w:hAnsi="宋体" w:eastAsia="宋体" w:cs="宋体"/>
          <w:color w:val="auto"/>
          <w:sz w:val="21"/>
          <w:szCs w:val="21"/>
        </w:rPr>
        <w:t>B、分数出现小数点，保留小数点后2位，从小数点后第3位四舍五入。</w:t>
      </w:r>
    </w:p>
    <w:p w14:paraId="12F08BEC">
      <w:pPr>
        <w:pStyle w:val="51"/>
        <w:spacing w:line="360" w:lineRule="auto"/>
        <w:ind w:left="840" w:leftChars="400" w:firstLine="422"/>
        <w:jc w:val="left"/>
        <w:rPr>
          <w:rFonts w:hint="eastAsia" w:ascii="宋体" w:hAnsi="宋体" w:cs="宋体"/>
          <w:b w:val="0"/>
          <w:color w:val="auto"/>
        </w:rPr>
      </w:pPr>
      <w:r>
        <w:rPr>
          <w:rFonts w:hint="eastAsia" w:ascii="宋体" w:hAnsi="宋体" w:eastAsia="宋体" w:cs="宋体"/>
          <w:bCs/>
          <w:color w:val="auto"/>
          <w:sz w:val="21"/>
          <w:szCs w:val="21"/>
          <w:u w:val="single"/>
        </w:rPr>
        <w:t>所有有效投标人的</w:t>
      </w:r>
      <w:r>
        <w:rPr>
          <w:rFonts w:hint="eastAsia" w:ascii="宋体" w:hAnsi="宋体" w:eastAsia="宋体" w:cs="宋体"/>
          <w:bCs/>
          <w:color w:val="auto"/>
          <w:sz w:val="21"/>
          <w:szCs w:val="21"/>
          <w:u w:val="single"/>
          <w:lang w:val="en-US" w:eastAsia="zh-CN"/>
        </w:rPr>
        <w:t>物业管理带教服务费用</w:t>
      </w:r>
      <w:r>
        <w:rPr>
          <w:rFonts w:hint="eastAsia" w:ascii="宋体" w:hAnsi="宋体" w:eastAsia="宋体" w:cs="宋体"/>
          <w:bCs/>
          <w:color w:val="auto"/>
          <w:sz w:val="21"/>
          <w:szCs w:val="21"/>
          <w:u w:val="single"/>
        </w:rPr>
        <w:t>、</w:t>
      </w:r>
      <w:r>
        <w:rPr>
          <w:rFonts w:hint="eastAsia" w:ascii="宋体" w:hAnsi="宋体" w:eastAsia="宋体" w:cs="宋体"/>
          <w:bCs/>
          <w:color w:val="auto"/>
          <w:sz w:val="21"/>
          <w:szCs w:val="21"/>
          <w:u w:val="single"/>
          <w:lang w:val="en-US" w:eastAsia="zh-CN"/>
        </w:rPr>
        <w:t>物业管理</w:t>
      </w:r>
      <w:r>
        <w:rPr>
          <w:rFonts w:hint="eastAsia" w:ascii="宋体" w:hAnsi="宋体" w:eastAsia="宋体" w:cs="宋体"/>
          <w:bCs/>
          <w:color w:val="auto"/>
          <w:sz w:val="21"/>
          <w:szCs w:val="21"/>
          <w:u w:val="single"/>
        </w:rPr>
        <w:t>运营</w:t>
      </w:r>
      <w:r>
        <w:rPr>
          <w:rFonts w:hint="eastAsia" w:ascii="宋体" w:hAnsi="宋体" w:eastAsia="宋体" w:cs="宋体"/>
          <w:bCs/>
          <w:color w:val="auto"/>
          <w:sz w:val="21"/>
          <w:szCs w:val="21"/>
          <w:u w:val="single"/>
          <w:lang w:val="en-US" w:eastAsia="zh-CN"/>
        </w:rPr>
        <w:t>服务</w:t>
      </w:r>
      <w:r>
        <w:rPr>
          <w:rFonts w:hint="eastAsia" w:ascii="宋体" w:hAnsi="宋体" w:eastAsia="宋体" w:cs="宋体"/>
          <w:bCs/>
          <w:color w:val="auto"/>
          <w:sz w:val="21"/>
          <w:szCs w:val="21"/>
          <w:u w:val="single"/>
        </w:rPr>
        <w:t>费用最高限额、</w:t>
      </w:r>
      <w:r>
        <w:rPr>
          <w:rFonts w:hint="eastAsia" w:ascii="宋体" w:hAnsi="宋体" w:eastAsia="宋体" w:cs="宋体"/>
          <w:bCs/>
          <w:color w:val="auto"/>
          <w:sz w:val="21"/>
          <w:szCs w:val="21"/>
          <w:u w:val="single"/>
          <w:lang w:val="en-US" w:eastAsia="zh-CN"/>
        </w:rPr>
        <w:t>物业管理运营服务</w:t>
      </w:r>
      <w:r>
        <w:rPr>
          <w:rFonts w:hint="eastAsia" w:ascii="宋体" w:hAnsi="宋体" w:eastAsia="宋体" w:cs="宋体"/>
          <w:bCs/>
          <w:color w:val="auto"/>
          <w:sz w:val="21"/>
          <w:szCs w:val="21"/>
          <w:u w:val="single"/>
        </w:rPr>
        <w:t>人工费用最高限额的价格得分汇总求和后，以汇总求和的分值作为投标人最终的价格得分</w:t>
      </w:r>
      <w:r>
        <w:rPr>
          <w:rFonts w:hint="eastAsia" w:ascii="宋体" w:hAnsi="宋体" w:eastAsia="宋体" w:cs="宋体"/>
          <w:b w:val="0"/>
          <w:color w:val="auto"/>
          <w:sz w:val="21"/>
          <w:szCs w:val="21"/>
        </w:rPr>
        <w:t>。</w:t>
      </w:r>
    </w:p>
    <w:p w14:paraId="6A22DB16">
      <w:pPr>
        <w:tabs>
          <w:tab w:val="left" w:pos="585"/>
        </w:tabs>
        <w:autoSpaceDE w:val="0"/>
        <w:autoSpaceDN w:val="0"/>
        <w:adjustRightInd w:val="0"/>
        <w:spacing w:line="400" w:lineRule="exact"/>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（4）综合得分</w:t>
      </w:r>
    </w:p>
    <w:p w14:paraId="2070C011">
      <w:pPr>
        <w:spacing w:line="400" w:lineRule="exact"/>
        <w:ind w:firstLine="848" w:firstLineChars="404"/>
        <w:rPr>
          <w:rFonts w:hint="eastAsia" w:ascii="宋体" w:hAnsi="宋体" w:eastAsia="宋体" w:cs="宋体"/>
          <w:color w:val="auto"/>
          <w:kern w:val="0"/>
          <w:szCs w:val="28"/>
          <w:highlight w:val="none"/>
          <w:lang w:val="zh-CN"/>
        </w:rPr>
      </w:pPr>
      <w:bookmarkStart w:id="1039" w:name="_Toc31624_WPSOffice_Level2"/>
      <w:r>
        <w:rPr>
          <w:rFonts w:hint="eastAsia" w:ascii="宋体" w:hAnsi="宋体" w:eastAsia="宋体" w:cs="宋体"/>
          <w:color w:val="auto"/>
          <w:kern w:val="0"/>
          <w:szCs w:val="28"/>
          <w:highlight w:val="none"/>
          <w:lang w:val="zh-CN"/>
        </w:rPr>
        <w:t>评标总得分=F1＋F2＋……+Fn</w:t>
      </w:r>
      <w:bookmarkEnd w:id="1039"/>
    </w:p>
    <w:p w14:paraId="2A2D1223">
      <w:pPr>
        <w:widowControl/>
        <w:autoSpaceDE w:val="0"/>
        <w:autoSpaceDN w:val="0"/>
        <w:adjustRightInd w:val="0"/>
        <w:spacing w:line="400" w:lineRule="exact"/>
        <w:ind w:firstLine="840" w:firstLineChars="400"/>
        <w:jc w:val="left"/>
        <w:rPr>
          <w:rFonts w:hint="eastAsia" w:ascii="宋体" w:hAnsi="宋体" w:eastAsia="宋体" w:cs="宋体"/>
          <w:color w:val="auto"/>
          <w:kern w:val="0"/>
          <w:szCs w:val="21"/>
          <w:highlight w:val="none"/>
        </w:rPr>
      </w:pPr>
      <w:bookmarkStart w:id="1040" w:name="_Toc13236_WPSOffice_Level2"/>
      <w:r>
        <w:rPr>
          <w:rFonts w:hint="eastAsia" w:ascii="宋体" w:hAnsi="宋体" w:eastAsia="宋体" w:cs="宋体"/>
          <w:color w:val="auto"/>
          <w:kern w:val="0"/>
          <w:szCs w:val="21"/>
          <w:highlight w:val="none"/>
        </w:rPr>
        <w:t>F1、F2、……Fn分别为各项评分因素的得分</w:t>
      </w:r>
      <w:bookmarkEnd w:id="1040"/>
      <w:r>
        <w:rPr>
          <w:rFonts w:hint="eastAsia" w:ascii="宋体" w:hAnsi="宋体" w:eastAsia="宋体" w:cs="宋体"/>
          <w:color w:val="auto"/>
          <w:kern w:val="0"/>
          <w:szCs w:val="21"/>
          <w:highlight w:val="none"/>
        </w:rPr>
        <w:t>。</w:t>
      </w:r>
    </w:p>
    <w:p w14:paraId="568AF5D3">
      <w:pPr>
        <w:autoSpaceDE w:val="0"/>
        <w:autoSpaceDN w:val="0"/>
        <w:adjustRightInd w:val="0"/>
        <w:spacing w:line="360" w:lineRule="auto"/>
        <w:ind w:left="564" w:leftChars="1" w:hanging="562" w:hangingChars="200"/>
        <w:rPr>
          <w:rFonts w:hint="eastAsia" w:ascii="宋体" w:hAnsi="宋体" w:eastAsia="宋体" w:cs="宋体"/>
          <w:b/>
          <w:bCs/>
          <w:color w:val="auto"/>
          <w:sz w:val="28"/>
          <w:szCs w:val="28"/>
          <w:highlight w:val="none"/>
        </w:rPr>
      </w:pPr>
    </w:p>
    <w:p w14:paraId="3A5FB04F">
      <w:pPr>
        <w:autoSpaceDE w:val="0"/>
        <w:autoSpaceDN w:val="0"/>
        <w:adjustRightInd w:val="0"/>
        <w:spacing w:line="360" w:lineRule="auto"/>
        <w:jc w:val="center"/>
        <w:rPr>
          <w:rFonts w:hint="eastAsia" w:ascii="宋体" w:hAnsi="宋体" w:eastAsia="宋体" w:cs="宋体"/>
          <w:b/>
          <w:bCs/>
          <w:color w:val="auto"/>
          <w:sz w:val="28"/>
          <w:szCs w:val="28"/>
          <w:highlight w:val="none"/>
        </w:rPr>
      </w:pPr>
      <w:bookmarkStart w:id="1041" w:name="_Toc518_WPSOffice_Level1"/>
      <w:r>
        <w:rPr>
          <w:rFonts w:hint="eastAsia" w:ascii="宋体" w:hAnsi="宋体" w:eastAsia="宋体" w:cs="宋体"/>
          <w:b/>
          <w:bCs/>
          <w:color w:val="auto"/>
          <w:sz w:val="28"/>
          <w:szCs w:val="28"/>
          <w:highlight w:val="none"/>
          <w:lang w:val="zh-CN"/>
        </w:rPr>
        <w:t>五、推荐中标人</w:t>
      </w:r>
      <w:bookmarkEnd w:id="1041"/>
    </w:p>
    <w:p w14:paraId="06B276BC">
      <w:pPr>
        <w:autoSpaceDE w:val="0"/>
        <w:autoSpaceDN w:val="0"/>
        <w:adjustRightInd w:val="0"/>
        <w:spacing w:line="360" w:lineRule="auto"/>
        <w:ind w:left="420" w:hanging="420" w:hanging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r>
        <w:rPr>
          <w:rFonts w:hint="eastAsia" w:ascii="宋体" w:hAnsi="宋体" w:eastAsia="宋体" w:cs="宋体"/>
          <w:color w:val="auto"/>
          <w:szCs w:val="24"/>
          <w:highlight w:val="none"/>
          <w:lang w:val="zh-CN"/>
        </w:rPr>
        <w:t>评标委员会按评审后得分由高到低顺序排列</w:t>
      </w:r>
      <w:r>
        <w:rPr>
          <w:rFonts w:hint="eastAsia" w:ascii="宋体" w:hAnsi="宋体" w:eastAsia="宋体" w:cs="宋体"/>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14:paraId="6501E655">
      <w:pPr>
        <w:autoSpaceDE w:val="0"/>
        <w:autoSpaceDN w:val="0"/>
        <w:adjustRightInd w:val="0"/>
        <w:spacing w:line="360" w:lineRule="auto"/>
        <w:ind w:left="420" w:leftChars="200" w:firstLine="420" w:firstLineChars="200"/>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1"/>
          <w:highlight w:val="none"/>
        </w:rPr>
        <w:t>如果有两个或以上的投标人的最后综合得分相同，则在最后综合得分相同的投标人中按投标报价</w:t>
      </w:r>
      <w:r>
        <w:rPr>
          <w:rFonts w:hint="eastAsia" w:ascii="宋体" w:hAnsi="宋体" w:eastAsia="宋体" w:cs="宋体"/>
          <w:color w:val="auto"/>
          <w:kern w:val="0"/>
          <w:szCs w:val="21"/>
          <w:highlight w:val="none"/>
          <w:lang w:val="zh-CN"/>
        </w:rPr>
        <w:t>由低到高顺序排出次序，报价低的排前，报价高的排后。</w:t>
      </w:r>
      <w:r>
        <w:rPr>
          <w:rFonts w:hint="eastAsia" w:ascii="宋体" w:hAnsi="宋体" w:eastAsia="宋体" w:cs="宋体"/>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61615120">
      <w:pPr>
        <w:widowControl/>
        <w:spacing w:line="360" w:lineRule="auto"/>
        <w:jc w:val="left"/>
        <w:rPr>
          <w:rFonts w:hint="eastAsia" w:ascii="宋体" w:hAnsi="宋体" w:eastAsia="宋体" w:cs="宋体"/>
          <w:color w:val="auto"/>
          <w:kern w:val="0"/>
          <w:szCs w:val="21"/>
          <w:highlight w:val="none"/>
        </w:rPr>
      </w:pPr>
    </w:p>
    <w:p w14:paraId="034C4FB9">
      <w:pPr>
        <w:autoSpaceDE w:val="0"/>
        <w:autoSpaceDN w:val="0"/>
        <w:adjustRightInd w:val="0"/>
        <w:spacing w:line="360" w:lineRule="auto"/>
        <w:ind w:left="185" w:leftChars="88" w:firstLine="3443" w:firstLineChars="1225"/>
        <w:rPr>
          <w:rFonts w:hint="eastAsia" w:ascii="宋体" w:hAnsi="宋体" w:eastAsia="宋体" w:cs="宋体"/>
          <w:b/>
          <w:bCs/>
          <w:color w:val="auto"/>
          <w:sz w:val="28"/>
          <w:szCs w:val="28"/>
          <w:highlight w:val="none"/>
          <w:lang w:val="zh-CN"/>
        </w:rPr>
      </w:pPr>
      <w:bookmarkStart w:id="1042" w:name="_Toc22724_WPSOffice_Level1"/>
      <w:r>
        <w:rPr>
          <w:rFonts w:hint="eastAsia" w:ascii="宋体" w:hAnsi="宋体" w:eastAsia="宋体" w:cs="宋体"/>
          <w:b/>
          <w:bCs/>
          <w:color w:val="auto"/>
          <w:sz w:val="28"/>
          <w:szCs w:val="28"/>
          <w:highlight w:val="none"/>
          <w:lang w:val="zh-CN"/>
        </w:rPr>
        <w:t>六、编写评标报告</w:t>
      </w:r>
      <w:bookmarkEnd w:id="1042"/>
    </w:p>
    <w:p w14:paraId="37345B6F">
      <w:pPr>
        <w:autoSpaceDE w:val="0"/>
        <w:autoSpaceDN w:val="0"/>
        <w:adjustRightInd w:val="0"/>
        <w:spacing w:line="360" w:lineRule="auto"/>
        <w:ind w:left="420" w:hanging="420" w:hangingChars="200"/>
        <w:jc w:val="left"/>
        <w:rPr>
          <w:rFonts w:hint="eastAsia"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14、评标委员会根据评审结果撰写评标报告。评标报告是评标委员会根据全体评标委员会成员签字的原始评审记录和评审结果编写的报告，其主要内容包括：</w:t>
      </w:r>
    </w:p>
    <w:p w14:paraId="1E63A58B">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14:paraId="1FEEDA4F">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14:paraId="3F0C620D">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14:paraId="02A22F58">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14:paraId="499760E5">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14:paraId="75DDA27E">
      <w:pPr>
        <w:autoSpaceDE w:val="0"/>
        <w:autoSpaceDN w:val="0"/>
        <w:adjustRightInd w:val="0"/>
        <w:spacing w:line="360" w:lineRule="auto"/>
        <w:jc w:val="left"/>
        <w:rPr>
          <w:rFonts w:hint="eastAsia"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14:paraId="1B14C59B">
      <w:pPr>
        <w:autoSpaceDE w:val="0"/>
        <w:autoSpaceDN w:val="0"/>
        <w:adjustRightInd w:val="0"/>
        <w:spacing w:line="360" w:lineRule="auto"/>
        <w:jc w:val="center"/>
        <w:rPr>
          <w:rFonts w:hint="eastAsia" w:ascii="宋体" w:hAnsi="宋体" w:eastAsia="宋体" w:cs="宋体"/>
          <w:b/>
          <w:bCs/>
          <w:color w:val="auto"/>
          <w:sz w:val="28"/>
          <w:szCs w:val="28"/>
          <w:highlight w:val="none"/>
          <w:lang w:val="zh-CN"/>
        </w:rPr>
      </w:pPr>
    </w:p>
    <w:p w14:paraId="71C559C9">
      <w:pPr>
        <w:autoSpaceDE w:val="0"/>
        <w:autoSpaceDN w:val="0"/>
        <w:adjustRightInd w:val="0"/>
        <w:spacing w:line="360" w:lineRule="auto"/>
        <w:jc w:val="center"/>
        <w:rPr>
          <w:rFonts w:hint="eastAsia" w:ascii="宋体" w:hAnsi="宋体" w:eastAsia="宋体" w:cs="宋体"/>
          <w:b/>
          <w:bCs/>
          <w:color w:val="auto"/>
          <w:sz w:val="30"/>
          <w:szCs w:val="30"/>
          <w:highlight w:val="none"/>
          <w:lang w:val="zh-CN"/>
        </w:rPr>
      </w:pPr>
      <w:bookmarkStart w:id="1043" w:name="_Toc23773_WPSOffice_Level1"/>
      <w:r>
        <w:rPr>
          <w:rFonts w:hint="eastAsia" w:ascii="宋体" w:hAnsi="宋体" w:eastAsia="宋体" w:cs="宋体"/>
          <w:b/>
          <w:bCs/>
          <w:color w:val="auto"/>
          <w:sz w:val="28"/>
          <w:szCs w:val="28"/>
          <w:highlight w:val="none"/>
          <w:lang w:val="zh-CN"/>
        </w:rPr>
        <w:t>七、注意事项</w:t>
      </w:r>
      <w:bookmarkEnd w:id="1043"/>
    </w:p>
    <w:p w14:paraId="61D8556E">
      <w:pPr>
        <w:autoSpaceDE w:val="0"/>
        <w:autoSpaceDN w:val="0"/>
        <w:adjustRightInd w:val="0"/>
        <w:spacing w:line="360" w:lineRule="auto"/>
        <w:ind w:left="420" w:hanging="420" w:hanging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15、为确保评审工作的顺利进行，防止因泄密或其它意外而造成的不良后果及影响，凡参加评审工作的人员都必须认真执行本规定：</w:t>
      </w:r>
    </w:p>
    <w:p w14:paraId="5D0AB107">
      <w:pPr>
        <w:autoSpaceDE w:val="0"/>
        <w:autoSpaceDN w:val="0"/>
        <w:adjustRightInd w:val="0"/>
        <w:spacing w:line="360" w:lineRule="auto"/>
        <w:ind w:left="436" w:leftChars="-59" w:hanging="560" w:hangingChars="2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14:paraId="5B5BC8EF">
      <w:pPr>
        <w:autoSpaceDE w:val="0"/>
        <w:autoSpaceDN w:val="0"/>
        <w:adjustRightInd w:val="0"/>
        <w:spacing w:line="360" w:lineRule="auto"/>
        <w:ind w:left="436" w:leftChars="-59" w:hanging="560" w:hangingChars="2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14:paraId="3E398B6B">
      <w:pPr>
        <w:autoSpaceDE w:val="0"/>
        <w:autoSpaceDN w:val="0"/>
        <w:adjustRightInd w:val="0"/>
        <w:spacing w:line="360" w:lineRule="auto"/>
        <w:ind w:left="436" w:leftChars="-59" w:hanging="560" w:hangingChars="2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734806BB">
      <w:pPr>
        <w:autoSpaceDE w:val="0"/>
        <w:autoSpaceDN w:val="0"/>
        <w:adjustRightInd w:val="0"/>
        <w:spacing w:line="360" w:lineRule="auto"/>
        <w:ind w:left="436" w:leftChars="-59" w:hanging="560" w:hangingChars="2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lang w:val="en-US" w:eastAsia="zh-CN"/>
        </w:rPr>
        <w:t>如有需要举行</w:t>
      </w:r>
      <w:r>
        <w:rPr>
          <w:rFonts w:hint="eastAsia" w:ascii="宋体" w:hAnsi="宋体" w:eastAsia="宋体" w:cs="宋体"/>
          <w:color w:val="auto"/>
          <w:szCs w:val="24"/>
          <w:highlight w:val="none"/>
          <w:lang w:val="zh-CN"/>
        </w:rPr>
        <w:t>澄清会，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4557D148">
      <w:pPr>
        <w:autoSpaceDE w:val="0"/>
        <w:autoSpaceDN w:val="0"/>
        <w:adjustRightInd w:val="0"/>
        <w:spacing w:line="360" w:lineRule="auto"/>
        <w:ind w:left="436" w:leftChars="-59" w:hanging="560" w:hangingChars="2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（5）任何评审人员和工作人员不得对外公布评审的一切内容。</w:t>
      </w:r>
      <w:bookmarkEnd w:id="996"/>
      <w:bookmarkEnd w:id="1016"/>
      <w:bookmarkEnd w:id="1017"/>
      <w:bookmarkEnd w:id="1018"/>
    </w:p>
    <w:p w14:paraId="1EF242FA">
      <w:pPr>
        <w:rPr>
          <w:color w:val="auto"/>
        </w:rPr>
      </w:pPr>
    </w:p>
    <w:p w14:paraId="525361FD">
      <w:pPr>
        <w:rPr>
          <w:color w:val="auto"/>
        </w:rPr>
      </w:pPr>
    </w:p>
    <w:p w14:paraId="212198ED">
      <w:pPr>
        <w:rPr>
          <w:color w:val="auto"/>
        </w:rPr>
      </w:pPr>
    </w:p>
    <w:sectPr>
      <w:footerReference r:id="rId21" w:type="default"/>
      <w:pgSz w:w="12240" w:h="15840"/>
      <w:pgMar w:top="1191" w:right="1737" w:bottom="1191" w:left="1043" w:header="720" w:footer="720" w:gutter="0"/>
      <w:pgNumType w:fmt="decimal"/>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Microsoft YaHei UI">
    <w:altName w:val="宋体"/>
    <w:panose1 w:val="020B0503020204020204"/>
    <w:charset w:val="86"/>
    <w:family w:val="swiss"/>
    <w:pitch w:val="default"/>
    <w:sig w:usb0="00000000" w:usb1="0000000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FrutigerNext LT Light">
    <w:altName w:val="宋体"/>
    <w:panose1 w:val="00000000000000000000"/>
    <w:charset w:val="86"/>
    <w:family w:val="swiss"/>
    <w:pitch w:val="default"/>
    <w:sig w:usb0="00000000" w:usb1="00000000" w:usb2="00000010"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8BDB4">
    <w:pPr>
      <w:pStyle w:val="29"/>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BA1B1B">
                          <w:pPr>
                            <w:pStyle w:val="2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69BA1B1B">
                    <w:pPr>
                      <w:pStyle w:val="2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160</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4550D">
    <w:pPr>
      <w:pStyle w:val="29"/>
      <w:jc w:val="cente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362F30">
                          <w:pPr>
                            <w:pStyle w:val="29"/>
                          </w:pPr>
                          <w:r>
                            <w:t xml:space="preserve">第 </w:t>
                          </w:r>
                          <w:r>
                            <w:fldChar w:fldCharType="begin"/>
                          </w:r>
                          <w:r>
                            <w:instrText xml:space="preserve"> PAGE  \* MERGEFORMAT </w:instrText>
                          </w:r>
                          <w:r>
                            <w:fldChar w:fldCharType="separate"/>
                          </w:r>
                          <w:r>
                            <w:t>123</w:t>
                          </w:r>
                          <w:r>
                            <w:fldChar w:fldCharType="end"/>
                          </w:r>
                          <w:r>
                            <w:t xml:space="preserve"> 页 共 </w:t>
                          </w:r>
                          <w:r>
                            <w:fldChar w:fldCharType="begin"/>
                          </w:r>
                          <w:r>
                            <w:instrText xml:space="preserve"> NUMPAGES  \* MERGEFORMAT </w:instrText>
                          </w:r>
                          <w:r>
                            <w:fldChar w:fldCharType="separate"/>
                          </w:r>
                          <w:r>
                            <w:t>160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15362F30">
                    <w:pPr>
                      <w:pStyle w:val="29"/>
                    </w:pPr>
                    <w:r>
                      <w:t xml:space="preserve">第 </w:t>
                    </w:r>
                    <w:r>
                      <w:fldChar w:fldCharType="begin"/>
                    </w:r>
                    <w:r>
                      <w:instrText xml:space="preserve"> PAGE  \* MERGEFORMAT </w:instrText>
                    </w:r>
                    <w:r>
                      <w:fldChar w:fldCharType="separate"/>
                    </w:r>
                    <w:r>
                      <w:t>123</w:t>
                    </w:r>
                    <w:r>
                      <w:fldChar w:fldCharType="end"/>
                    </w:r>
                    <w:r>
                      <w:t xml:space="preserve"> 页 共 </w:t>
                    </w:r>
                    <w:r>
                      <w:fldChar w:fldCharType="begin"/>
                    </w:r>
                    <w:r>
                      <w:instrText xml:space="preserve"> NUMPAGES  \* MERGEFORMAT </w:instrText>
                    </w:r>
                    <w:r>
                      <w:fldChar w:fldCharType="separate"/>
                    </w:r>
                    <w:r>
                      <w:t>160</w:t>
                    </w:r>
                    <w:r>
                      <w:fldChar w:fldCharType="end"/>
                    </w:r>
                    <w:r>
                      <w:t xml:space="preserve"> 页</w:t>
                    </w:r>
                  </w:p>
                </w:txbxContent>
              </v:textbox>
            </v:shape>
          </w:pict>
        </mc:Fallback>
      </mc:AlternateContent>
    </w:r>
  </w:p>
  <w:p w14:paraId="427FE320">
    <w:pPr>
      <w:pStyle w:val="29"/>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48E41">
    <w:pPr>
      <w:spacing w:line="175" w:lineRule="auto"/>
      <w:ind w:left="444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B4A9F9">
                          <w:pPr>
                            <w:pStyle w:val="29"/>
                          </w:pPr>
                          <w:r>
                            <w:t xml:space="preserve">第 </w:t>
                          </w:r>
                          <w:r>
                            <w:fldChar w:fldCharType="begin"/>
                          </w:r>
                          <w:r>
                            <w:instrText xml:space="preserve"> PAGE  \* MERGEFORMAT </w:instrText>
                          </w:r>
                          <w:r>
                            <w:fldChar w:fldCharType="separate"/>
                          </w:r>
                          <w:r>
                            <w:t>127</w:t>
                          </w:r>
                          <w:r>
                            <w:fldChar w:fldCharType="end"/>
                          </w:r>
                          <w:r>
                            <w:t xml:space="preserve"> 页 共 </w:t>
                          </w:r>
                          <w:r>
                            <w:fldChar w:fldCharType="begin"/>
                          </w:r>
                          <w:r>
                            <w:instrText xml:space="preserve"> NUMPAGES  \* MERGEFORMAT </w:instrText>
                          </w:r>
                          <w:r>
                            <w:fldChar w:fldCharType="separate"/>
                          </w:r>
                          <w:r>
                            <w:t>160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00B4A9F9">
                    <w:pPr>
                      <w:pStyle w:val="29"/>
                    </w:pPr>
                    <w:r>
                      <w:t xml:space="preserve">第 </w:t>
                    </w:r>
                    <w:r>
                      <w:fldChar w:fldCharType="begin"/>
                    </w:r>
                    <w:r>
                      <w:instrText xml:space="preserve"> PAGE  \* MERGEFORMAT </w:instrText>
                    </w:r>
                    <w:r>
                      <w:fldChar w:fldCharType="separate"/>
                    </w:r>
                    <w:r>
                      <w:t>127</w:t>
                    </w:r>
                    <w:r>
                      <w:fldChar w:fldCharType="end"/>
                    </w:r>
                    <w:r>
                      <w:t xml:space="preserve"> 页 共 </w:t>
                    </w:r>
                    <w:r>
                      <w:fldChar w:fldCharType="begin"/>
                    </w:r>
                    <w:r>
                      <w:instrText xml:space="preserve"> NUMPAGES  \* MERGEFORMAT </w:instrText>
                    </w:r>
                    <w:r>
                      <w:fldChar w:fldCharType="separate"/>
                    </w:r>
                    <w:r>
                      <w:t>160</w:t>
                    </w:r>
                    <w:r>
                      <w:fldChar w:fldCharType="end"/>
                    </w:r>
                    <w: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20628">
    <w:pPr>
      <w:tabs>
        <w:tab w:val="left" w:pos="6469"/>
      </w:tabs>
      <w:spacing w:line="175" w:lineRule="auto"/>
      <w:ind w:left="4700"/>
      <w:rPr>
        <w:rFonts w:hint="eastAsia" w:ascii="Times New Roman" w:hAnsi="Times New Roman" w:eastAsia="宋体" w:cs="Times New Roman"/>
        <w:sz w:val="16"/>
        <w:szCs w:val="16"/>
        <w:lang w:eastAsia="zh-CN"/>
      </w:rPr>
    </w:pPr>
    <w:r>
      <w:rPr>
        <w:sz w:val="16"/>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C17A0D">
                          <w:pPr>
                            <w:pStyle w:val="29"/>
                          </w:pPr>
                          <w:r>
                            <w:t xml:space="preserve">第 </w:t>
                          </w:r>
                          <w:r>
                            <w:fldChar w:fldCharType="begin"/>
                          </w:r>
                          <w:r>
                            <w:instrText xml:space="preserve"> PAGE  \* MERGEFORMAT </w:instrText>
                          </w:r>
                          <w:r>
                            <w:fldChar w:fldCharType="separate"/>
                          </w:r>
                          <w:r>
                            <w:t>134</w:t>
                          </w:r>
                          <w:r>
                            <w:fldChar w:fldCharType="end"/>
                          </w:r>
                          <w:r>
                            <w:t xml:space="preserve"> 页 共 </w:t>
                          </w:r>
                          <w:r>
                            <w:fldChar w:fldCharType="begin"/>
                          </w:r>
                          <w:r>
                            <w:instrText xml:space="preserve"> NUMPAGES  \* MERGEFORMAT </w:instrText>
                          </w:r>
                          <w:r>
                            <w:fldChar w:fldCharType="separate"/>
                          </w:r>
                          <w:r>
                            <w:t>160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70C17A0D">
                    <w:pPr>
                      <w:pStyle w:val="29"/>
                    </w:pPr>
                    <w:r>
                      <w:t xml:space="preserve">第 </w:t>
                    </w:r>
                    <w:r>
                      <w:fldChar w:fldCharType="begin"/>
                    </w:r>
                    <w:r>
                      <w:instrText xml:space="preserve"> PAGE  \* MERGEFORMAT </w:instrText>
                    </w:r>
                    <w:r>
                      <w:fldChar w:fldCharType="separate"/>
                    </w:r>
                    <w:r>
                      <w:t>134</w:t>
                    </w:r>
                    <w:r>
                      <w:fldChar w:fldCharType="end"/>
                    </w:r>
                    <w:r>
                      <w:t xml:space="preserve"> 页 共 </w:t>
                    </w:r>
                    <w:r>
                      <w:fldChar w:fldCharType="begin"/>
                    </w:r>
                    <w:r>
                      <w:instrText xml:space="preserve"> NUMPAGES  \* MERGEFORMAT </w:instrText>
                    </w:r>
                    <w:r>
                      <w:fldChar w:fldCharType="separate"/>
                    </w:r>
                    <w:r>
                      <w:t>160</w:t>
                    </w:r>
                    <w:r>
                      <w:fldChar w:fldCharType="end"/>
                    </w:r>
                    <w:r>
                      <w:t xml:space="preserve"> 页</w:t>
                    </w:r>
                  </w:p>
                </w:txbxContent>
              </v:textbox>
            </v:shape>
          </w:pict>
        </mc:Fallback>
      </mc:AlternateContent>
    </w:r>
    <w:r>
      <w:rPr>
        <w:rFonts w:hint="eastAsia" w:ascii="Times New Roman" w:hAnsi="Times New Roman" w:eastAsia="宋体" w:cs="Times New Roman"/>
        <w:spacing w:val="-5"/>
        <w:sz w:val="16"/>
        <w:szCs w:val="16"/>
        <w:lang w:eastAsia="zh-CN"/>
      </w:rPr>
      <w:tab/>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F68BF">
    <w:pPr>
      <w:tabs>
        <w:tab w:val="left" w:pos="6469"/>
      </w:tabs>
      <w:spacing w:line="175" w:lineRule="auto"/>
      <w:ind w:left="4700"/>
      <w:rPr>
        <w:rFonts w:hint="eastAsia" w:ascii="Times New Roman" w:hAnsi="Times New Roman" w:eastAsia="宋体" w:cs="Times New Roman"/>
        <w:sz w:val="16"/>
        <w:szCs w:val="16"/>
        <w:lang w:eastAsia="zh-CN"/>
      </w:rPr>
    </w:pPr>
    <w:r>
      <w:rPr>
        <w:sz w:val="16"/>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854903">
                          <w:pPr>
                            <w:pStyle w:val="29"/>
                          </w:pPr>
                          <w:r>
                            <w:t xml:space="preserve">第 </w:t>
                          </w:r>
                          <w:r>
                            <w:fldChar w:fldCharType="begin"/>
                          </w:r>
                          <w:r>
                            <w:instrText xml:space="preserve"> PAGE  \* MERGEFORMAT </w:instrText>
                          </w:r>
                          <w:r>
                            <w:fldChar w:fldCharType="separate"/>
                          </w:r>
                          <w:r>
                            <w:t>137</w:t>
                          </w:r>
                          <w:r>
                            <w:fldChar w:fldCharType="end"/>
                          </w:r>
                          <w:r>
                            <w:t xml:space="preserve"> 页 共 </w:t>
                          </w:r>
                          <w:r>
                            <w:fldChar w:fldCharType="begin"/>
                          </w:r>
                          <w:r>
                            <w:instrText xml:space="preserve"> NUMPAGES  \* MERGEFORMAT </w:instrText>
                          </w:r>
                          <w:r>
                            <w:fldChar w:fldCharType="separate"/>
                          </w:r>
                          <w:r>
                            <w:t>160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71854903">
                    <w:pPr>
                      <w:pStyle w:val="29"/>
                    </w:pPr>
                    <w:r>
                      <w:t xml:space="preserve">第 </w:t>
                    </w:r>
                    <w:r>
                      <w:fldChar w:fldCharType="begin"/>
                    </w:r>
                    <w:r>
                      <w:instrText xml:space="preserve"> PAGE  \* MERGEFORMAT </w:instrText>
                    </w:r>
                    <w:r>
                      <w:fldChar w:fldCharType="separate"/>
                    </w:r>
                    <w:r>
                      <w:t>137</w:t>
                    </w:r>
                    <w:r>
                      <w:fldChar w:fldCharType="end"/>
                    </w:r>
                    <w:r>
                      <w:t xml:space="preserve"> 页 共 </w:t>
                    </w:r>
                    <w:r>
                      <w:fldChar w:fldCharType="begin"/>
                    </w:r>
                    <w:r>
                      <w:instrText xml:space="preserve"> NUMPAGES  \* MERGEFORMAT </w:instrText>
                    </w:r>
                    <w:r>
                      <w:fldChar w:fldCharType="separate"/>
                    </w:r>
                    <w:r>
                      <w:t>160</w:t>
                    </w:r>
                    <w:r>
                      <w:fldChar w:fldCharType="end"/>
                    </w:r>
                    <w:r>
                      <w:t xml:space="preserve"> 页</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E460E">
    <w:pPr>
      <w:spacing w:line="175" w:lineRule="auto"/>
      <w:ind w:left="4700"/>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ECB7CE">
                          <w:pPr>
                            <w:pStyle w:val="29"/>
                          </w:pPr>
                          <w:r>
                            <w:t xml:space="preserve">第 </w:t>
                          </w:r>
                          <w:r>
                            <w:fldChar w:fldCharType="begin"/>
                          </w:r>
                          <w:r>
                            <w:instrText xml:space="preserve"> PAGE  \* MERGEFORMAT </w:instrText>
                          </w:r>
                          <w:r>
                            <w:fldChar w:fldCharType="separate"/>
                          </w:r>
                          <w:r>
                            <w:t>142</w:t>
                          </w:r>
                          <w:r>
                            <w:fldChar w:fldCharType="end"/>
                          </w:r>
                          <w:r>
                            <w:t xml:space="preserve"> 页 </w:t>
                          </w:r>
                          <w:r>
                            <w:fldChar w:fldCharType="begin"/>
                          </w:r>
                          <w:r>
                            <w:instrText xml:space="preserve"> NUMPAGES  \* MERGEFORMAT </w:instrText>
                          </w:r>
                          <w:r>
                            <w:fldChar w:fldCharType="separate"/>
                          </w:r>
                          <w:r>
                            <w:t>160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31ECB7CE">
                    <w:pPr>
                      <w:pStyle w:val="29"/>
                    </w:pPr>
                    <w:r>
                      <w:t xml:space="preserve">第 </w:t>
                    </w:r>
                    <w:r>
                      <w:fldChar w:fldCharType="begin"/>
                    </w:r>
                    <w:r>
                      <w:instrText xml:space="preserve"> PAGE  \* MERGEFORMAT </w:instrText>
                    </w:r>
                    <w:r>
                      <w:fldChar w:fldCharType="separate"/>
                    </w:r>
                    <w:r>
                      <w:t>142</w:t>
                    </w:r>
                    <w:r>
                      <w:fldChar w:fldCharType="end"/>
                    </w:r>
                    <w:r>
                      <w:t xml:space="preserve"> 页 </w:t>
                    </w:r>
                    <w:r>
                      <w:fldChar w:fldCharType="begin"/>
                    </w:r>
                    <w:r>
                      <w:instrText xml:space="preserve"> NUMPAGES  \* MERGEFORMAT </w:instrText>
                    </w:r>
                    <w:r>
                      <w:fldChar w:fldCharType="separate"/>
                    </w:r>
                    <w:r>
                      <w:t>160</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5395D">
    <w:pPr>
      <w:pStyle w:val="29"/>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B679E">
    <w:pPr>
      <w:pStyle w:val="29"/>
      <w:jc w:val="cente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CD81CA">
                          <w:pPr>
                            <w:pStyle w:val="29"/>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160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0ACD81CA">
                    <w:pPr>
                      <w:pStyle w:val="29"/>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160</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C5FF8">
    <w:pPr>
      <w:pStyle w:val="29"/>
      <w:jc w:val="cente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963124">
                          <w:pPr>
                            <w:pStyle w:val="29"/>
                          </w:pPr>
                          <w:r>
                            <w:t xml:space="preserve">第 </w:t>
                          </w:r>
                          <w:r>
                            <w:fldChar w:fldCharType="begin"/>
                          </w:r>
                          <w:r>
                            <w:instrText xml:space="preserve"> PAGE  \* MERGEFORMAT </w:instrText>
                          </w:r>
                          <w:r>
                            <w:fldChar w:fldCharType="separate"/>
                          </w:r>
                          <w:r>
                            <w:t>102</w:t>
                          </w:r>
                          <w:r>
                            <w:fldChar w:fldCharType="end"/>
                          </w:r>
                          <w:r>
                            <w:t xml:space="preserve"> 页 共 </w:t>
                          </w:r>
                          <w:r>
                            <w:fldChar w:fldCharType="begin"/>
                          </w:r>
                          <w:r>
                            <w:instrText xml:space="preserve"> NUMPAGES  \* MERGEFORMAT </w:instrText>
                          </w:r>
                          <w:r>
                            <w:fldChar w:fldCharType="separate"/>
                          </w:r>
                          <w:r>
                            <w:t>160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12963124">
                    <w:pPr>
                      <w:pStyle w:val="29"/>
                    </w:pPr>
                    <w:r>
                      <w:t xml:space="preserve">第 </w:t>
                    </w:r>
                    <w:r>
                      <w:fldChar w:fldCharType="begin"/>
                    </w:r>
                    <w:r>
                      <w:instrText xml:space="preserve"> PAGE  \* MERGEFORMAT </w:instrText>
                    </w:r>
                    <w:r>
                      <w:fldChar w:fldCharType="separate"/>
                    </w:r>
                    <w:r>
                      <w:t>102</w:t>
                    </w:r>
                    <w:r>
                      <w:fldChar w:fldCharType="end"/>
                    </w:r>
                    <w:r>
                      <w:t xml:space="preserve"> 页 共 </w:t>
                    </w:r>
                    <w:r>
                      <w:fldChar w:fldCharType="begin"/>
                    </w:r>
                    <w:r>
                      <w:instrText xml:space="preserve"> NUMPAGES  \* MERGEFORMAT </w:instrText>
                    </w:r>
                    <w:r>
                      <w:fldChar w:fldCharType="separate"/>
                    </w:r>
                    <w:r>
                      <w:t>160</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12265">
    <w:pPr>
      <w:pStyle w:val="29"/>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28306">
    <w:pPr>
      <w:pStyle w:val="29"/>
      <w:jc w:val="cente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92A266">
                          <w:pPr>
                            <w:pStyle w:val="29"/>
                          </w:pPr>
                          <w:r>
                            <w:t xml:space="preserve">第 </w:t>
                          </w:r>
                          <w:r>
                            <w:fldChar w:fldCharType="begin"/>
                          </w:r>
                          <w:r>
                            <w:instrText xml:space="preserve"> PAGE  \* MERGEFORMAT </w:instrText>
                          </w:r>
                          <w:r>
                            <w:fldChar w:fldCharType="separate"/>
                          </w:r>
                          <w:r>
                            <w:t>104</w:t>
                          </w:r>
                          <w:r>
                            <w:fldChar w:fldCharType="end"/>
                          </w:r>
                          <w:r>
                            <w:t xml:space="preserve"> 页 共 </w:t>
                          </w:r>
                          <w:r>
                            <w:fldChar w:fldCharType="begin"/>
                          </w:r>
                          <w:r>
                            <w:instrText xml:space="preserve"> NUMPAGES  \* MERGEFORMAT </w:instrText>
                          </w:r>
                          <w:r>
                            <w:fldChar w:fldCharType="separate"/>
                          </w:r>
                          <w:r>
                            <w:t>160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5692A266">
                    <w:pPr>
                      <w:pStyle w:val="29"/>
                    </w:pPr>
                    <w:r>
                      <w:t xml:space="preserve">第 </w:t>
                    </w:r>
                    <w:r>
                      <w:fldChar w:fldCharType="begin"/>
                    </w:r>
                    <w:r>
                      <w:instrText xml:space="preserve"> PAGE  \* MERGEFORMAT </w:instrText>
                    </w:r>
                    <w:r>
                      <w:fldChar w:fldCharType="separate"/>
                    </w:r>
                    <w:r>
                      <w:t>104</w:t>
                    </w:r>
                    <w:r>
                      <w:fldChar w:fldCharType="end"/>
                    </w:r>
                    <w:r>
                      <w:t xml:space="preserve"> 页 共 </w:t>
                    </w:r>
                    <w:r>
                      <w:fldChar w:fldCharType="begin"/>
                    </w:r>
                    <w:r>
                      <w:instrText xml:space="preserve"> NUMPAGES  \* MERGEFORMAT </w:instrText>
                    </w:r>
                    <w:r>
                      <w:fldChar w:fldCharType="separate"/>
                    </w:r>
                    <w:r>
                      <w:t>160</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3F83B">
    <w:pPr>
      <w:pStyle w:val="29"/>
      <w:jc w:val="cente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BBDEAD">
                          <w:pPr>
                            <w:pStyle w:val="29"/>
                          </w:pPr>
                          <w:r>
                            <w:t xml:space="preserve">第 </w:t>
                          </w:r>
                          <w:r>
                            <w:fldChar w:fldCharType="begin"/>
                          </w:r>
                          <w:r>
                            <w:instrText xml:space="preserve"> PAGE  \* MERGEFORMAT </w:instrText>
                          </w:r>
                          <w:r>
                            <w:fldChar w:fldCharType="separate"/>
                          </w:r>
                          <w:r>
                            <w:t>105</w:t>
                          </w:r>
                          <w:r>
                            <w:fldChar w:fldCharType="end"/>
                          </w:r>
                          <w:r>
                            <w:t xml:space="preserve"> 页 共 </w:t>
                          </w:r>
                          <w:r>
                            <w:fldChar w:fldCharType="begin"/>
                          </w:r>
                          <w:r>
                            <w:instrText xml:space="preserve"> NUMPAGES  \* MERGEFORMAT </w:instrText>
                          </w:r>
                          <w:r>
                            <w:fldChar w:fldCharType="separate"/>
                          </w:r>
                          <w:r>
                            <w:t>160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3CBBDEAD">
                    <w:pPr>
                      <w:pStyle w:val="29"/>
                    </w:pPr>
                    <w:r>
                      <w:t xml:space="preserve">第 </w:t>
                    </w:r>
                    <w:r>
                      <w:fldChar w:fldCharType="begin"/>
                    </w:r>
                    <w:r>
                      <w:instrText xml:space="preserve"> PAGE  \* MERGEFORMAT </w:instrText>
                    </w:r>
                    <w:r>
                      <w:fldChar w:fldCharType="separate"/>
                    </w:r>
                    <w:r>
                      <w:t>105</w:t>
                    </w:r>
                    <w:r>
                      <w:fldChar w:fldCharType="end"/>
                    </w:r>
                    <w:r>
                      <w:t xml:space="preserve"> 页 共 </w:t>
                    </w:r>
                    <w:r>
                      <w:fldChar w:fldCharType="begin"/>
                    </w:r>
                    <w:r>
                      <w:instrText xml:space="preserve"> NUMPAGES  \* MERGEFORMAT </w:instrText>
                    </w:r>
                    <w:r>
                      <w:fldChar w:fldCharType="separate"/>
                    </w:r>
                    <w:r>
                      <w:t>160</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0BDF7">
    <w:pPr>
      <w:pStyle w:val="29"/>
      <w:jc w:val="cente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B9335B">
                          <w:pPr>
                            <w:pStyle w:val="29"/>
                          </w:pPr>
                          <w:r>
                            <w:t xml:space="preserve">第 </w:t>
                          </w:r>
                          <w:r>
                            <w:fldChar w:fldCharType="begin"/>
                          </w:r>
                          <w:r>
                            <w:instrText xml:space="preserve"> PAGE  \* MERGEFORMAT </w:instrText>
                          </w:r>
                          <w:r>
                            <w:fldChar w:fldCharType="separate"/>
                          </w:r>
                          <w:r>
                            <w:t>119</w:t>
                          </w:r>
                          <w:r>
                            <w:fldChar w:fldCharType="end"/>
                          </w:r>
                          <w:r>
                            <w:t xml:space="preserve"> 页 共 </w:t>
                          </w:r>
                          <w:r>
                            <w:fldChar w:fldCharType="begin"/>
                          </w:r>
                          <w:r>
                            <w:instrText xml:space="preserve"> NUMPAGES  \* MERGEFORMAT </w:instrText>
                          </w:r>
                          <w:r>
                            <w:fldChar w:fldCharType="separate"/>
                          </w:r>
                          <w:r>
                            <w:t>160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4BB9335B">
                    <w:pPr>
                      <w:pStyle w:val="29"/>
                    </w:pPr>
                    <w:r>
                      <w:t xml:space="preserve">第 </w:t>
                    </w:r>
                    <w:r>
                      <w:fldChar w:fldCharType="begin"/>
                    </w:r>
                    <w:r>
                      <w:instrText xml:space="preserve"> PAGE  \* MERGEFORMAT </w:instrText>
                    </w:r>
                    <w:r>
                      <w:fldChar w:fldCharType="separate"/>
                    </w:r>
                    <w:r>
                      <w:t>119</w:t>
                    </w:r>
                    <w:r>
                      <w:fldChar w:fldCharType="end"/>
                    </w:r>
                    <w:r>
                      <w:t xml:space="preserve"> 页 共 </w:t>
                    </w:r>
                    <w:r>
                      <w:fldChar w:fldCharType="begin"/>
                    </w:r>
                    <w:r>
                      <w:instrText xml:space="preserve"> NUMPAGES  \* MERGEFORMAT </w:instrText>
                    </w:r>
                    <w:r>
                      <w:fldChar w:fldCharType="separate"/>
                    </w:r>
                    <w:r>
                      <w:t>160</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142CD">
    <w:pPr>
      <w:pStyle w:val="29"/>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B807D">
    <w:pPr>
      <w:pStyle w:val="3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D70D8">
    <w:pPr>
      <w:pStyle w:val="3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FF39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33E16">
    <w:pPr>
      <w:spacing w:before="45" w:line="219" w:lineRule="auto"/>
      <w:ind w:left="977"/>
      <w:rPr>
        <w:rFonts w:ascii="宋体" w:hAnsi="宋体" w:eastAsia="宋体" w:cs="宋体"/>
        <w:sz w:val="17"/>
        <w:szCs w:val="17"/>
      </w:rPr>
    </w:pPr>
    <w:r>
      <w:drawing>
        <wp:anchor distT="0" distB="0" distL="0" distR="0" simplePos="0" relativeHeight="251666432" behindDoc="0" locked="0" layoutInCell="1" allowOverlap="1">
          <wp:simplePos x="0" y="0"/>
          <wp:positionH relativeFrom="column">
            <wp:posOffset>6350</wp:posOffset>
          </wp:positionH>
          <wp:positionV relativeFrom="paragraph">
            <wp:posOffset>165100</wp:posOffset>
          </wp:positionV>
          <wp:extent cx="5803900" cy="6350"/>
          <wp:effectExtent l="0" t="0" r="0" b="0"/>
          <wp:wrapNone/>
          <wp:docPr id="250" name="IM 250"/>
          <wp:cNvGraphicFramePr/>
          <a:graphic xmlns:a="http://schemas.openxmlformats.org/drawingml/2006/main">
            <a:graphicData uri="http://schemas.openxmlformats.org/drawingml/2006/picture">
              <pic:pic xmlns:pic="http://schemas.openxmlformats.org/drawingml/2006/picture">
                <pic:nvPicPr>
                  <pic:cNvPr id="250" name="IM 250"/>
                  <pic:cNvPicPr/>
                </pic:nvPicPr>
                <pic:blipFill>
                  <a:blip r:embed="rId1"/>
                  <a:stretch>
                    <a:fillRect/>
                  </a:stretch>
                </pic:blipFill>
                <pic:spPr>
                  <a:xfrm>
                    <a:off x="0" y="0"/>
                    <a:ext cx="5803958" cy="6350"/>
                  </a:xfrm>
                  <a:prstGeom prst="rect">
                    <a:avLst/>
                  </a:prstGeom>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00391">
    <w:pPr>
      <w:pStyle w:val="3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B54A75"/>
    <w:multiLevelType w:val="singleLevel"/>
    <w:tmpl w:val="80B54A75"/>
    <w:lvl w:ilvl="0" w:tentative="0">
      <w:start w:val="1"/>
      <w:numFmt w:val="decimal"/>
      <w:suff w:val="nothing"/>
      <w:lvlText w:val="%1)"/>
      <w:lvlJc w:val="left"/>
      <w:pPr>
        <w:ind w:left="425" w:hanging="425"/>
      </w:pPr>
      <w:rPr>
        <w:rFonts w:hint="default"/>
      </w:rPr>
    </w:lvl>
  </w:abstractNum>
  <w:abstractNum w:abstractNumId="1">
    <w:nsid w:val="ADBA924C"/>
    <w:multiLevelType w:val="singleLevel"/>
    <w:tmpl w:val="ADBA924C"/>
    <w:lvl w:ilvl="0" w:tentative="0">
      <w:start w:val="1"/>
      <w:numFmt w:val="decimal"/>
      <w:suff w:val="nothing"/>
      <w:lvlText w:val="%1)"/>
      <w:lvlJc w:val="left"/>
      <w:pPr>
        <w:ind w:left="425" w:hanging="425"/>
      </w:pPr>
      <w:rPr>
        <w:rFonts w:hint="default"/>
      </w:rPr>
    </w:lvl>
  </w:abstractNum>
  <w:abstractNum w:abstractNumId="2">
    <w:nsid w:val="B36F6073"/>
    <w:multiLevelType w:val="singleLevel"/>
    <w:tmpl w:val="B36F6073"/>
    <w:lvl w:ilvl="0" w:tentative="0">
      <w:start w:val="1"/>
      <w:numFmt w:val="decimal"/>
      <w:suff w:val="nothing"/>
      <w:lvlText w:val="%1)"/>
      <w:lvlJc w:val="left"/>
      <w:pPr>
        <w:ind w:left="425" w:hanging="425"/>
      </w:pPr>
      <w:rPr>
        <w:rFonts w:hint="default"/>
      </w:rPr>
    </w:lvl>
  </w:abstractNum>
  <w:abstractNum w:abstractNumId="3">
    <w:nsid w:val="BAFA0C03"/>
    <w:multiLevelType w:val="singleLevel"/>
    <w:tmpl w:val="BAFA0C03"/>
    <w:lvl w:ilvl="0" w:tentative="0">
      <w:start w:val="1"/>
      <w:numFmt w:val="decimal"/>
      <w:suff w:val="nothing"/>
      <w:lvlText w:val="(%1)"/>
      <w:lvlJc w:val="left"/>
      <w:pPr>
        <w:ind w:left="425" w:hanging="425"/>
      </w:pPr>
      <w:rPr>
        <w:rFonts w:hint="default"/>
      </w:rPr>
    </w:lvl>
  </w:abstractNum>
  <w:abstractNum w:abstractNumId="4">
    <w:nsid w:val="BBF33E44"/>
    <w:multiLevelType w:val="singleLevel"/>
    <w:tmpl w:val="BBF33E44"/>
    <w:lvl w:ilvl="0" w:tentative="0">
      <w:start w:val="1"/>
      <w:numFmt w:val="decimal"/>
      <w:suff w:val="nothing"/>
      <w:lvlText w:val="(%1)"/>
      <w:lvlJc w:val="left"/>
      <w:pPr>
        <w:ind w:left="425" w:hanging="425"/>
      </w:pPr>
      <w:rPr>
        <w:rFonts w:hint="default"/>
      </w:rPr>
    </w:lvl>
  </w:abstractNum>
  <w:abstractNum w:abstractNumId="5">
    <w:nsid w:val="C060F2F1"/>
    <w:multiLevelType w:val="singleLevel"/>
    <w:tmpl w:val="C060F2F1"/>
    <w:lvl w:ilvl="0" w:tentative="0">
      <w:start w:val="1"/>
      <w:numFmt w:val="decimal"/>
      <w:suff w:val="nothing"/>
      <w:lvlText w:val="%1)"/>
      <w:lvlJc w:val="left"/>
      <w:pPr>
        <w:ind w:left="425" w:hanging="425"/>
      </w:pPr>
      <w:rPr>
        <w:rFonts w:hint="default"/>
      </w:rPr>
    </w:lvl>
  </w:abstractNum>
  <w:abstractNum w:abstractNumId="6">
    <w:nsid w:val="C31AD552"/>
    <w:multiLevelType w:val="singleLevel"/>
    <w:tmpl w:val="C31AD552"/>
    <w:lvl w:ilvl="0" w:tentative="0">
      <w:start w:val="1"/>
      <w:numFmt w:val="decimal"/>
      <w:suff w:val="nothing"/>
      <w:lvlText w:val="%1、"/>
      <w:lvlJc w:val="left"/>
    </w:lvl>
  </w:abstractNum>
  <w:abstractNum w:abstractNumId="7">
    <w:nsid w:val="CC3DB06B"/>
    <w:multiLevelType w:val="singleLevel"/>
    <w:tmpl w:val="CC3DB06B"/>
    <w:lvl w:ilvl="0" w:tentative="0">
      <w:start w:val="1"/>
      <w:numFmt w:val="decimal"/>
      <w:suff w:val="nothing"/>
      <w:lvlText w:val="(%1)"/>
      <w:lvlJc w:val="left"/>
      <w:pPr>
        <w:ind w:left="425" w:hanging="425"/>
      </w:pPr>
      <w:rPr>
        <w:rFonts w:hint="default"/>
      </w:rPr>
    </w:lvl>
  </w:abstractNum>
  <w:abstractNum w:abstractNumId="8">
    <w:nsid w:val="D4D4BE2F"/>
    <w:multiLevelType w:val="singleLevel"/>
    <w:tmpl w:val="D4D4BE2F"/>
    <w:lvl w:ilvl="0" w:tentative="0">
      <w:start w:val="1"/>
      <w:numFmt w:val="decimal"/>
      <w:suff w:val="nothing"/>
      <w:lvlText w:val="(%1)"/>
      <w:lvlJc w:val="left"/>
      <w:pPr>
        <w:ind w:left="425" w:hanging="425"/>
      </w:pPr>
      <w:rPr>
        <w:rFonts w:hint="default"/>
      </w:rPr>
    </w:lvl>
  </w:abstractNum>
  <w:abstractNum w:abstractNumId="9">
    <w:nsid w:val="E167BED5"/>
    <w:multiLevelType w:val="singleLevel"/>
    <w:tmpl w:val="E167BED5"/>
    <w:lvl w:ilvl="0" w:tentative="0">
      <w:start w:val="1"/>
      <w:numFmt w:val="bullet"/>
      <w:pStyle w:val="20"/>
      <w:lvlText w:val=""/>
      <w:lvlJc w:val="left"/>
      <w:pPr>
        <w:tabs>
          <w:tab w:val="left" w:pos="780"/>
        </w:tabs>
        <w:ind w:left="780" w:hanging="360"/>
      </w:pPr>
      <w:rPr>
        <w:rFonts w:hint="default" w:ascii="Wingdings" w:hAnsi="Wingdings"/>
      </w:rPr>
    </w:lvl>
  </w:abstractNum>
  <w:abstractNum w:abstractNumId="10">
    <w:nsid w:val="F602F23A"/>
    <w:multiLevelType w:val="singleLevel"/>
    <w:tmpl w:val="F602F23A"/>
    <w:lvl w:ilvl="0" w:tentative="0">
      <w:start w:val="1"/>
      <w:numFmt w:val="decimal"/>
      <w:suff w:val="nothing"/>
      <w:lvlText w:val="(%1)"/>
      <w:lvlJc w:val="left"/>
      <w:pPr>
        <w:ind w:left="425" w:hanging="425"/>
      </w:pPr>
      <w:rPr>
        <w:rFonts w:hint="default"/>
      </w:rPr>
    </w:lvl>
  </w:abstractNum>
  <w:abstractNum w:abstractNumId="11">
    <w:nsid w:val="F628569C"/>
    <w:multiLevelType w:val="singleLevel"/>
    <w:tmpl w:val="F628569C"/>
    <w:lvl w:ilvl="0" w:tentative="0">
      <w:start w:val="4"/>
      <w:numFmt w:val="decimal"/>
      <w:suff w:val="nothing"/>
      <w:lvlText w:val="（%1）"/>
      <w:lvlJc w:val="left"/>
    </w:lvl>
  </w:abstractNum>
  <w:abstractNum w:abstractNumId="12">
    <w:nsid w:val="FECF2916"/>
    <w:multiLevelType w:val="singleLevel"/>
    <w:tmpl w:val="FECF2916"/>
    <w:lvl w:ilvl="0" w:tentative="0">
      <w:start w:val="1"/>
      <w:numFmt w:val="chineseCounting"/>
      <w:suff w:val="space"/>
      <w:lvlText w:val="第%1条"/>
      <w:lvlJc w:val="left"/>
      <w:rPr>
        <w:rFonts w:hint="eastAsia"/>
      </w:rPr>
    </w:lvl>
  </w:abstractNum>
  <w:abstractNum w:abstractNumId="13">
    <w:nsid w:val="00000001"/>
    <w:multiLevelType w:val="singleLevel"/>
    <w:tmpl w:val="00000001"/>
    <w:lvl w:ilvl="0" w:tentative="0">
      <w:start w:val="1"/>
      <w:numFmt w:val="decimal"/>
      <w:suff w:val="nothing"/>
      <w:lvlText w:val="%1）"/>
      <w:lvlJc w:val="left"/>
    </w:lvl>
  </w:abstractNum>
  <w:abstractNum w:abstractNumId="14">
    <w:nsid w:val="00000002"/>
    <w:multiLevelType w:val="singleLevel"/>
    <w:tmpl w:val="00000002"/>
    <w:lvl w:ilvl="0" w:tentative="0">
      <w:start w:val="1"/>
      <w:numFmt w:val="decimal"/>
      <w:suff w:val="nothing"/>
      <w:lvlText w:val="%1）"/>
      <w:lvlJc w:val="left"/>
    </w:lvl>
  </w:abstractNum>
  <w:abstractNum w:abstractNumId="15">
    <w:nsid w:val="00000003"/>
    <w:multiLevelType w:val="singleLevel"/>
    <w:tmpl w:val="00000003"/>
    <w:lvl w:ilvl="0" w:tentative="0">
      <w:start w:val="1"/>
      <w:numFmt w:val="decimal"/>
      <w:suff w:val="nothing"/>
      <w:lvlText w:val="%1）"/>
      <w:lvlJc w:val="left"/>
    </w:lvl>
  </w:abstractNum>
  <w:abstractNum w:abstractNumId="16">
    <w:nsid w:val="00000004"/>
    <w:multiLevelType w:val="singleLevel"/>
    <w:tmpl w:val="00000004"/>
    <w:lvl w:ilvl="0" w:tentative="0">
      <w:start w:val="1"/>
      <w:numFmt w:val="decimal"/>
      <w:suff w:val="nothing"/>
      <w:lvlText w:val="%1）"/>
      <w:lvlJc w:val="left"/>
    </w:lvl>
  </w:abstractNum>
  <w:abstractNum w:abstractNumId="17">
    <w:nsid w:val="00000005"/>
    <w:multiLevelType w:val="singleLevel"/>
    <w:tmpl w:val="00000005"/>
    <w:lvl w:ilvl="0" w:tentative="0">
      <w:start w:val="1"/>
      <w:numFmt w:val="decimal"/>
      <w:suff w:val="nothing"/>
      <w:lvlText w:val="%1）"/>
      <w:lvlJc w:val="left"/>
    </w:lvl>
  </w:abstractNum>
  <w:abstractNum w:abstractNumId="18">
    <w:nsid w:val="00000006"/>
    <w:multiLevelType w:val="singleLevel"/>
    <w:tmpl w:val="00000006"/>
    <w:lvl w:ilvl="0" w:tentative="0">
      <w:start w:val="1"/>
      <w:numFmt w:val="decimal"/>
      <w:suff w:val="nothing"/>
      <w:lvlText w:val="（%1）"/>
      <w:lvlJc w:val="left"/>
    </w:lvl>
  </w:abstractNum>
  <w:abstractNum w:abstractNumId="19">
    <w:nsid w:val="00000007"/>
    <w:multiLevelType w:val="singleLevel"/>
    <w:tmpl w:val="00000007"/>
    <w:lvl w:ilvl="0" w:tentative="0">
      <w:start w:val="1"/>
      <w:numFmt w:val="decimal"/>
      <w:suff w:val="nothing"/>
      <w:lvlText w:val="%1）"/>
      <w:lvlJc w:val="left"/>
    </w:lvl>
  </w:abstractNum>
  <w:abstractNum w:abstractNumId="20">
    <w:nsid w:val="00000009"/>
    <w:multiLevelType w:val="singleLevel"/>
    <w:tmpl w:val="00000009"/>
    <w:lvl w:ilvl="0" w:tentative="0">
      <w:start w:val="1"/>
      <w:numFmt w:val="decimal"/>
      <w:suff w:val="nothing"/>
      <w:lvlText w:val="%1）"/>
      <w:lvlJc w:val="left"/>
    </w:lvl>
  </w:abstractNum>
  <w:abstractNum w:abstractNumId="21">
    <w:nsid w:val="0000000A"/>
    <w:multiLevelType w:val="singleLevel"/>
    <w:tmpl w:val="0000000A"/>
    <w:lvl w:ilvl="0" w:tentative="0">
      <w:start w:val="1"/>
      <w:numFmt w:val="decimal"/>
      <w:lvlText w:val="%1."/>
      <w:lvlJc w:val="left"/>
      <w:pPr>
        <w:tabs>
          <w:tab w:val="left" w:pos="312"/>
        </w:tabs>
      </w:pPr>
    </w:lvl>
  </w:abstractNum>
  <w:abstractNum w:abstractNumId="22">
    <w:nsid w:val="0000000B"/>
    <w:multiLevelType w:val="singleLevel"/>
    <w:tmpl w:val="0000000B"/>
    <w:lvl w:ilvl="0" w:tentative="0">
      <w:start w:val="1"/>
      <w:numFmt w:val="decimal"/>
      <w:suff w:val="nothing"/>
      <w:lvlText w:val="%1）"/>
      <w:lvlJc w:val="left"/>
    </w:lvl>
  </w:abstractNum>
  <w:abstractNum w:abstractNumId="23">
    <w:nsid w:val="0000000D"/>
    <w:multiLevelType w:val="singleLevel"/>
    <w:tmpl w:val="0000000D"/>
    <w:lvl w:ilvl="0" w:tentative="0">
      <w:start w:val="1"/>
      <w:numFmt w:val="decimal"/>
      <w:suff w:val="nothing"/>
      <w:lvlText w:val="%1）"/>
      <w:lvlJc w:val="left"/>
    </w:lvl>
  </w:abstractNum>
  <w:abstractNum w:abstractNumId="24">
    <w:nsid w:val="0000000F"/>
    <w:multiLevelType w:val="singleLevel"/>
    <w:tmpl w:val="0000000F"/>
    <w:lvl w:ilvl="0" w:tentative="0">
      <w:start w:val="1"/>
      <w:numFmt w:val="decimal"/>
      <w:suff w:val="nothing"/>
      <w:lvlText w:val="%1）"/>
      <w:lvlJc w:val="left"/>
    </w:lvl>
  </w:abstractNum>
  <w:abstractNum w:abstractNumId="25">
    <w:nsid w:val="00000010"/>
    <w:multiLevelType w:val="singleLevel"/>
    <w:tmpl w:val="00000010"/>
    <w:lvl w:ilvl="0" w:tentative="0">
      <w:start w:val="1"/>
      <w:numFmt w:val="decimal"/>
      <w:suff w:val="nothing"/>
      <w:lvlText w:val="%1）"/>
      <w:lvlJc w:val="left"/>
    </w:lvl>
  </w:abstractNum>
  <w:abstractNum w:abstractNumId="26">
    <w:nsid w:val="00000011"/>
    <w:multiLevelType w:val="singleLevel"/>
    <w:tmpl w:val="00000011"/>
    <w:lvl w:ilvl="0" w:tentative="0">
      <w:start w:val="1"/>
      <w:numFmt w:val="decimal"/>
      <w:suff w:val="nothing"/>
      <w:lvlText w:val="%1）"/>
      <w:lvlJc w:val="left"/>
    </w:lvl>
  </w:abstractNum>
  <w:abstractNum w:abstractNumId="27">
    <w:nsid w:val="00000012"/>
    <w:multiLevelType w:val="singleLevel"/>
    <w:tmpl w:val="00000012"/>
    <w:lvl w:ilvl="0" w:tentative="0">
      <w:start w:val="1"/>
      <w:numFmt w:val="decimal"/>
      <w:suff w:val="nothing"/>
      <w:lvlText w:val="%1）"/>
      <w:lvlJc w:val="left"/>
    </w:lvl>
  </w:abstractNum>
  <w:abstractNum w:abstractNumId="28">
    <w:nsid w:val="0053208E"/>
    <w:multiLevelType w:val="singleLevel"/>
    <w:tmpl w:val="0053208E"/>
    <w:lvl w:ilvl="0" w:tentative="0">
      <w:start w:val="1"/>
      <w:numFmt w:val="decimal"/>
      <w:suff w:val="nothing"/>
      <w:lvlText w:val="%1）"/>
      <w:lvlJc w:val="left"/>
    </w:lvl>
  </w:abstractNum>
  <w:abstractNum w:abstractNumId="29">
    <w:nsid w:val="18B3BF17"/>
    <w:multiLevelType w:val="singleLevel"/>
    <w:tmpl w:val="18B3BF17"/>
    <w:lvl w:ilvl="0" w:tentative="0">
      <w:start w:val="1"/>
      <w:numFmt w:val="decimal"/>
      <w:suff w:val="nothing"/>
      <w:lvlText w:val="(%1)"/>
      <w:lvlJc w:val="left"/>
      <w:pPr>
        <w:ind w:left="425" w:hanging="425"/>
      </w:pPr>
      <w:rPr>
        <w:rFonts w:hint="default"/>
      </w:rPr>
    </w:lvl>
  </w:abstractNum>
  <w:abstractNum w:abstractNumId="30">
    <w:nsid w:val="1F67E2BA"/>
    <w:multiLevelType w:val="singleLevel"/>
    <w:tmpl w:val="1F67E2BA"/>
    <w:lvl w:ilvl="0" w:tentative="0">
      <w:start w:val="1"/>
      <w:numFmt w:val="decimal"/>
      <w:suff w:val="nothing"/>
      <w:lvlText w:val="(%1)"/>
      <w:lvlJc w:val="left"/>
      <w:pPr>
        <w:ind w:left="425" w:hanging="425"/>
      </w:pPr>
      <w:rPr>
        <w:rFonts w:hint="default"/>
      </w:rPr>
    </w:lvl>
  </w:abstractNum>
  <w:abstractNum w:abstractNumId="31">
    <w:nsid w:val="2D89CA0E"/>
    <w:multiLevelType w:val="singleLevel"/>
    <w:tmpl w:val="2D89CA0E"/>
    <w:lvl w:ilvl="0" w:tentative="0">
      <w:start w:val="1"/>
      <w:numFmt w:val="decimal"/>
      <w:suff w:val="nothing"/>
      <w:lvlText w:val="(%1)"/>
      <w:lvlJc w:val="left"/>
      <w:pPr>
        <w:ind w:left="425" w:hanging="425"/>
      </w:pPr>
      <w:rPr>
        <w:rFonts w:hint="default"/>
      </w:rPr>
    </w:lvl>
  </w:abstractNum>
  <w:abstractNum w:abstractNumId="32">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33">
    <w:nsid w:val="35D5175C"/>
    <w:multiLevelType w:val="singleLevel"/>
    <w:tmpl w:val="35D5175C"/>
    <w:lvl w:ilvl="0" w:tentative="0">
      <w:start w:val="1"/>
      <w:numFmt w:val="decimal"/>
      <w:suff w:val="nothing"/>
      <w:lvlText w:val="(%1)"/>
      <w:lvlJc w:val="left"/>
      <w:pPr>
        <w:ind w:left="425" w:hanging="425"/>
      </w:pPr>
      <w:rPr>
        <w:rFonts w:hint="default"/>
      </w:rPr>
    </w:lvl>
  </w:abstractNum>
  <w:abstractNum w:abstractNumId="34">
    <w:nsid w:val="3BDA0D3F"/>
    <w:multiLevelType w:val="singleLevel"/>
    <w:tmpl w:val="3BDA0D3F"/>
    <w:lvl w:ilvl="0" w:tentative="0">
      <w:start w:val="1"/>
      <w:numFmt w:val="decimal"/>
      <w:suff w:val="nothing"/>
      <w:lvlText w:val="%1)"/>
      <w:lvlJc w:val="left"/>
      <w:pPr>
        <w:ind w:left="425" w:hanging="425"/>
      </w:pPr>
      <w:rPr>
        <w:rFonts w:hint="default"/>
      </w:rPr>
    </w:lvl>
  </w:abstractNum>
  <w:abstractNum w:abstractNumId="35">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51D65FF1"/>
    <w:multiLevelType w:val="singleLevel"/>
    <w:tmpl w:val="51D65FF1"/>
    <w:lvl w:ilvl="0" w:tentative="0">
      <w:start w:val="1"/>
      <w:numFmt w:val="decimal"/>
      <w:suff w:val="nothing"/>
      <w:lvlText w:val="%1)"/>
      <w:lvlJc w:val="left"/>
      <w:pPr>
        <w:ind w:left="425" w:hanging="425"/>
      </w:pPr>
      <w:rPr>
        <w:rFonts w:hint="default"/>
      </w:rPr>
    </w:lvl>
  </w:abstractNum>
  <w:abstractNum w:abstractNumId="37">
    <w:nsid w:val="5617671E"/>
    <w:multiLevelType w:val="singleLevel"/>
    <w:tmpl w:val="5617671E"/>
    <w:lvl w:ilvl="0" w:tentative="0">
      <w:start w:val="1"/>
      <w:numFmt w:val="decimal"/>
      <w:suff w:val="nothing"/>
      <w:lvlText w:val="(%1)"/>
      <w:lvlJc w:val="left"/>
      <w:pPr>
        <w:ind w:left="425" w:hanging="425"/>
      </w:pPr>
      <w:rPr>
        <w:rFonts w:hint="default"/>
      </w:rPr>
    </w:lvl>
  </w:abstractNum>
  <w:abstractNum w:abstractNumId="38">
    <w:nsid w:val="613B39A1"/>
    <w:multiLevelType w:val="singleLevel"/>
    <w:tmpl w:val="613B39A1"/>
    <w:lvl w:ilvl="0" w:tentative="0">
      <w:start w:val="3"/>
      <w:numFmt w:val="chineseCounting"/>
      <w:suff w:val="nothing"/>
      <w:lvlText w:val="%1、"/>
      <w:lvlJc w:val="left"/>
      <w:rPr>
        <w:rFonts w:hint="eastAsia"/>
      </w:rPr>
    </w:lvl>
  </w:abstractNum>
  <w:abstractNum w:abstractNumId="39">
    <w:nsid w:val="6B4DC260"/>
    <w:multiLevelType w:val="singleLevel"/>
    <w:tmpl w:val="6B4DC260"/>
    <w:lvl w:ilvl="0" w:tentative="0">
      <w:start w:val="1"/>
      <w:numFmt w:val="decimal"/>
      <w:suff w:val="nothing"/>
      <w:lvlText w:val="(%1)"/>
      <w:lvlJc w:val="left"/>
      <w:pPr>
        <w:ind w:left="425" w:hanging="425"/>
      </w:pPr>
      <w:rPr>
        <w:rFonts w:hint="default"/>
      </w:rPr>
    </w:lvl>
  </w:abstractNum>
  <w:abstractNum w:abstractNumId="40">
    <w:nsid w:val="725D1A62"/>
    <w:multiLevelType w:val="singleLevel"/>
    <w:tmpl w:val="725D1A62"/>
    <w:lvl w:ilvl="0" w:tentative="0">
      <w:start w:val="1"/>
      <w:numFmt w:val="decimal"/>
      <w:suff w:val="nothing"/>
      <w:lvlText w:val="%1)"/>
      <w:lvlJc w:val="left"/>
      <w:pPr>
        <w:ind w:left="425" w:hanging="425"/>
      </w:pPr>
      <w:rPr>
        <w:rFonts w:hint="default"/>
      </w:rPr>
    </w:lvl>
  </w:abstractNum>
  <w:num w:numId="1">
    <w:abstractNumId w:val="9"/>
  </w:num>
  <w:num w:numId="2">
    <w:abstractNumId w:val="35"/>
  </w:num>
  <w:num w:numId="3">
    <w:abstractNumId w:val="4"/>
  </w:num>
  <w:num w:numId="4">
    <w:abstractNumId w:val="0"/>
  </w:num>
  <w:num w:numId="5">
    <w:abstractNumId w:val="1"/>
  </w:num>
  <w:num w:numId="6">
    <w:abstractNumId w:val="33"/>
  </w:num>
  <w:num w:numId="7">
    <w:abstractNumId w:val="31"/>
  </w:num>
  <w:num w:numId="8">
    <w:abstractNumId w:val="5"/>
  </w:num>
  <w:num w:numId="9">
    <w:abstractNumId w:val="29"/>
  </w:num>
  <w:num w:numId="10">
    <w:abstractNumId w:val="21"/>
  </w:num>
  <w:num w:numId="11">
    <w:abstractNumId w:val="37"/>
  </w:num>
  <w:num w:numId="12">
    <w:abstractNumId w:val="3"/>
  </w:num>
  <w:num w:numId="13">
    <w:abstractNumId w:val="10"/>
  </w:num>
  <w:num w:numId="14">
    <w:abstractNumId w:val="30"/>
  </w:num>
  <w:num w:numId="15">
    <w:abstractNumId w:val="34"/>
  </w:num>
  <w:num w:numId="16">
    <w:abstractNumId w:val="2"/>
  </w:num>
  <w:num w:numId="17">
    <w:abstractNumId w:val="8"/>
  </w:num>
  <w:num w:numId="18">
    <w:abstractNumId w:val="39"/>
  </w:num>
  <w:num w:numId="19">
    <w:abstractNumId w:val="7"/>
  </w:num>
  <w:num w:numId="20">
    <w:abstractNumId w:val="40"/>
  </w:num>
  <w:num w:numId="21">
    <w:abstractNumId w:val="36"/>
  </w:num>
  <w:num w:numId="22">
    <w:abstractNumId w:val="11"/>
  </w:num>
  <w:num w:numId="23">
    <w:abstractNumId w:val="6"/>
  </w:num>
  <w:num w:numId="24">
    <w:abstractNumId w:val="16"/>
  </w:num>
  <w:num w:numId="25">
    <w:abstractNumId w:val="28"/>
  </w:num>
  <w:num w:numId="26">
    <w:abstractNumId w:val="26"/>
  </w:num>
  <w:num w:numId="27">
    <w:abstractNumId w:val="24"/>
  </w:num>
  <w:num w:numId="28">
    <w:abstractNumId w:val="25"/>
  </w:num>
  <w:num w:numId="29">
    <w:abstractNumId w:val="17"/>
  </w:num>
  <w:num w:numId="30">
    <w:abstractNumId w:val="22"/>
  </w:num>
  <w:num w:numId="31">
    <w:abstractNumId w:val="15"/>
  </w:num>
  <w:num w:numId="32">
    <w:abstractNumId w:val="23"/>
  </w:num>
  <w:num w:numId="33">
    <w:abstractNumId w:val="19"/>
  </w:num>
  <w:num w:numId="34">
    <w:abstractNumId w:val="14"/>
  </w:num>
  <w:num w:numId="35">
    <w:abstractNumId w:val="27"/>
  </w:num>
  <w:num w:numId="36">
    <w:abstractNumId w:val="20"/>
  </w:num>
  <w:num w:numId="37">
    <w:abstractNumId w:val="13"/>
  </w:num>
  <w:num w:numId="38">
    <w:abstractNumId w:val="18"/>
  </w:num>
  <w:num w:numId="39">
    <w:abstractNumId w:val="12"/>
  </w:num>
  <w:num w:numId="40">
    <w:abstractNumId w:val="38"/>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zZDFmYWE3YTY0ZjdjODg3NWJlYzQ1MzZmOTgxY2EifQ=="/>
  </w:docVars>
  <w:rsids>
    <w:rsidRoot w:val="00172A27"/>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0AC"/>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0B79"/>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5F481F"/>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02C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C14DC"/>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D60D6"/>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10351AA"/>
    <w:rsid w:val="01F03CB3"/>
    <w:rsid w:val="02624152"/>
    <w:rsid w:val="028F407C"/>
    <w:rsid w:val="02A0745C"/>
    <w:rsid w:val="02AE55E9"/>
    <w:rsid w:val="02B63EF1"/>
    <w:rsid w:val="02C80459"/>
    <w:rsid w:val="03015719"/>
    <w:rsid w:val="030A119C"/>
    <w:rsid w:val="035B37A3"/>
    <w:rsid w:val="037D42D2"/>
    <w:rsid w:val="037F104D"/>
    <w:rsid w:val="03C03826"/>
    <w:rsid w:val="03D03FA0"/>
    <w:rsid w:val="04041910"/>
    <w:rsid w:val="040E4592"/>
    <w:rsid w:val="04620439"/>
    <w:rsid w:val="04734368"/>
    <w:rsid w:val="051554AC"/>
    <w:rsid w:val="05162DCF"/>
    <w:rsid w:val="054D733B"/>
    <w:rsid w:val="058F7720"/>
    <w:rsid w:val="05A52CD4"/>
    <w:rsid w:val="05FE4192"/>
    <w:rsid w:val="06231E4A"/>
    <w:rsid w:val="06472C04"/>
    <w:rsid w:val="06840B3B"/>
    <w:rsid w:val="068723D9"/>
    <w:rsid w:val="06A75D00"/>
    <w:rsid w:val="0708176C"/>
    <w:rsid w:val="070B3431"/>
    <w:rsid w:val="077E17DF"/>
    <w:rsid w:val="08053EFD"/>
    <w:rsid w:val="08144141"/>
    <w:rsid w:val="08465591"/>
    <w:rsid w:val="08591B53"/>
    <w:rsid w:val="08B21E29"/>
    <w:rsid w:val="08D4742C"/>
    <w:rsid w:val="08E478CA"/>
    <w:rsid w:val="08F157D6"/>
    <w:rsid w:val="09075A53"/>
    <w:rsid w:val="09C3197A"/>
    <w:rsid w:val="09D647DF"/>
    <w:rsid w:val="0A281EEF"/>
    <w:rsid w:val="0A2B78A0"/>
    <w:rsid w:val="0A801366"/>
    <w:rsid w:val="0A917CCA"/>
    <w:rsid w:val="0A96708F"/>
    <w:rsid w:val="0AA417AC"/>
    <w:rsid w:val="0AFB05A7"/>
    <w:rsid w:val="0B224DC6"/>
    <w:rsid w:val="0B3F3E57"/>
    <w:rsid w:val="0B7B7935"/>
    <w:rsid w:val="0BC038D2"/>
    <w:rsid w:val="0BD96106"/>
    <w:rsid w:val="0BE5207C"/>
    <w:rsid w:val="0BFB3583"/>
    <w:rsid w:val="0BFE4EEC"/>
    <w:rsid w:val="0C0544CC"/>
    <w:rsid w:val="0C28554E"/>
    <w:rsid w:val="0C5C1C12"/>
    <w:rsid w:val="0C9C64B3"/>
    <w:rsid w:val="0CA77331"/>
    <w:rsid w:val="0CAB702B"/>
    <w:rsid w:val="0CC55B89"/>
    <w:rsid w:val="0D350DE1"/>
    <w:rsid w:val="0D501777"/>
    <w:rsid w:val="0D58687D"/>
    <w:rsid w:val="0D611BD6"/>
    <w:rsid w:val="0D735465"/>
    <w:rsid w:val="0DED346A"/>
    <w:rsid w:val="0E3914FE"/>
    <w:rsid w:val="0E8F4521"/>
    <w:rsid w:val="0EB20B01"/>
    <w:rsid w:val="0EE54141"/>
    <w:rsid w:val="0EF10D38"/>
    <w:rsid w:val="0F241091"/>
    <w:rsid w:val="0F8120BC"/>
    <w:rsid w:val="0F8B4658"/>
    <w:rsid w:val="0F985657"/>
    <w:rsid w:val="0FAC2EB1"/>
    <w:rsid w:val="100808F1"/>
    <w:rsid w:val="102869DB"/>
    <w:rsid w:val="107F3085"/>
    <w:rsid w:val="108A1177"/>
    <w:rsid w:val="10BC03C7"/>
    <w:rsid w:val="10D03F34"/>
    <w:rsid w:val="10EA0DB6"/>
    <w:rsid w:val="10FE773C"/>
    <w:rsid w:val="11032FA4"/>
    <w:rsid w:val="11294683"/>
    <w:rsid w:val="117401CE"/>
    <w:rsid w:val="118041DE"/>
    <w:rsid w:val="118E0AC0"/>
    <w:rsid w:val="11D96D2F"/>
    <w:rsid w:val="11F82C2A"/>
    <w:rsid w:val="125E784D"/>
    <w:rsid w:val="127557DC"/>
    <w:rsid w:val="12B9601D"/>
    <w:rsid w:val="12C0114D"/>
    <w:rsid w:val="12C02EFB"/>
    <w:rsid w:val="130F4A87"/>
    <w:rsid w:val="13743CE5"/>
    <w:rsid w:val="137E0921"/>
    <w:rsid w:val="13960B11"/>
    <w:rsid w:val="13E24D18"/>
    <w:rsid w:val="14180A15"/>
    <w:rsid w:val="14237C67"/>
    <w:rsid w:val="143D057B"/>
    <w:rsid w:val="144731A8"/>
    <w:rsid w:val="14693EF4"/>
    <w:rsid w:val="14B545B5"/>
    <w:rsid w:val="14D24E71"/>
    <w:rsid w:val="14E804E7"/>
    <w:rsid w:val="1502022A"/>
    <w:rsid w:val="151A3879"/>
    <w:rsid w:val="15674B2D"/>
    <w:rsid w:val="156C1118"/>
    <w:rsid w:val="15A13C38"/>
    <w:rsid w:val="15AE34DE"/>
    <w:rsid w:val="163C4F8E"/>
    <w:rsid w:val="166E2C6E"/>
    <w:rsid w:val="16917C74"/>
    <w:rsid w:val="16B60189"/>
    <w:rsid w:val="16B73A83"/>
    <w:rsid w:val="16CB3E87"/>
    <w:rsid w:val="16F07B27"/>
    <w:rsid w:val="16F969DB"/>
    <w:rsid w:val="1700420E"/>
    <w:rsid w:val="17146A2E"/>
    <w:rsid w:val="17606A5A"/>
    <w:rsid w:val="17AA72A2"/>
    <w:rsid w:val="17C3523B"/>
    <w:rsid w:val="17C60E60"/>
    <w:rsid w:val="17D554A5"/>
    <w:rsid w:val="18221F62"/>
    <w:rsid w:val="18595ED3"/>
    <w:rsid w:val="18C15C1F"/>
    <w:rsid w:val="18E72462"/>
    <w:rsid w:val="190B43C9"/>
    <w:rsid w:val="19160315"/>
    <w:rsid w:val="195E6FCA"/>
    <w:rsid w:val="19754EE1"/>
    <w:rsid w:val="198343FB"/>
    <w:rsid w:val="198D4854"/>
    <w:rsid w:val="19981E2F"/>
    <w:rsid w:val="199D3F96"/>
    <w:rsid w:val="19A67A20"/>
    <w:rsid w:val="1AE14356"/>
    <w:rsid w:val="1AE54A0E"/>
    <w:rsid w:val="1AE833AF"/>
    <w:rsid w:val="1B0940FF"/>
    <w:rsid w:val="1B285340"/>
    <w:rsid w:val="1B3270D1"/>
    <w:rsid w:val="1B5B3CD7"/>
    <w:rsid w:val="1B723200"/>
    <w:rsid w:val="1BBE036A"/>
    <w:rsid w:val="1BBF288F"/>
    <w:rsid w:val="1BCC09CC"/>
    <w:rsid w:val="1C27223D"/>
    <w:rsid w:val="1C41681F"/>
    <w:rsid w:val="1C72434F"/>
    <w:rsid w:val="1CAE64BA"/>
    <w:rsid w:val="1CD57C7B"/>
    <w:rsid w:val="1CD622FA"/>
    <w:rsid w:val="1CE36717"/>
    <w:rsid w:val="1CF66653"/>
    <w:rsid w:val="1D0E26E9"/>
    <w:rsid w:val="1D2642A2"/>
    <w:rsid w:val="1D41732E"/>
    <w:rsid w:val="1D583653"/>
    <w:rsid w:val="1D671D5C"/>
    <w:rsid w:val="1D8F11D2"/>
    <w:rsid w:val="1DE2466D"/>
    <w:rsid w:val="1E0A7E55"/>
    <w:rsid w:val="1E320A25"/>
    <w:rsid w:val="1E430E84"/>
    <w:rsid w:val="1E7B6870"/>
    <w:rsid w:val="1EA43628"/>
    <w:rsid w:val="1EE4052A"/>
    <w:rsid w:val="1F114ADE"/>
    <w:rsid w:val="1F4875E2"/>
    <w:rsid w:val="1F501AAA"/>
    <w:rsid w:val="1FBB33C8"/>
    <w:rsid w:val="1FE13774"/>
    <w:rsid w:val="1FF0173A"/>
    <w:rsid w:val="200E2DA3"/>
    <w:rsid w:val="203D2BA3"/>
    <w:rsid w:val="205051AD"/>
    <w:rsid w:val="205B0707"/>
    <w:rsid w:val="207A1985"/>
    <w:rsid w:val="20915ED7"/>
    <w:rsid w:val="20A0611A"/>
    <w:rsid w:val="20B16579"/>
    <w:rsid w:val="20C52024"/>
    <w:rsid w:val="20E27B73"/>
    <w:rsid w:val="20FE3FB2"/>
    <w:rsid w:val="211762CF"/>
    <w:rsid w:val="216B497A"/>
    <w:rsid w:val="21826735"/>
    <w:rsid w:val="218C669E"/>
    <w:rsid w:val="21F4671D"/>
    <w:rsid w:val="21F678A6"/>
    <w:rsid w:val="22351B45"/>
    <w:rsid w:val="22456B87"/>
    <w:rsid w:val="22C5455D"/>
    <w:rsid w:val="22C62CF4"/>
    <w:rsid w:val="233D3630"/>
    <w:rsid w:val="23451001"/>
    <w:rsid w:val="23535CD5"/>
    <w:rsid w:val="23593B7F"/>
    <w:rsid w:val="238B32BE"/>
    <w:rsid w:val="23A06120"/>
    <w:rsid w:val="24455956"/>
    <w:rsid w:val="24667E33"/>
    <w:rsid w:val="247104F9"/>
    <w:rsid w:val="24782AD4"/>
    <w:rsid w:val="247B4A27"/>
    <w:rsid w:val="24DE1906"/>
    <w:rsid w:val="24F353B2"/>
    <w:rsid w:val="251315B0"/>
    <w:rsid w:val="252A0186"/>
    <w:rsid w:val="2559758D"/>
    <w:rsid w:val="256173B3"/>
    <w:rsid w:val="259D70CC"/>
    <w:rsid w:val="25EE6D40"/>
    <w:rsid w:val="260E093B"/>
    <w:rsid w:val="26192BF6"/>
    <w:rsid w:val="261B4EF4"/>
    <w:rsid w:val="261E020C"/>
    <w:rsid w:val="2664162A"/>
    <w:rsid w:val="26A44EFA"/>
    <w:rsid w:val="26E256DE"/>
    <w:rsid w:val="26F14FA0"/>
    <w:rsid w:val="26F21627"/>
    <w:rsid w:val="26F62E26"/>
    <w:rsid w:val="26F94E57"/>
    <w:rsid w:val="27027B2E"/>
    <w:rsid w:val="27027FD4"/>
    <w:rsid w:val="27082C6B"/>
    <w:rsid w:val="277D71B5"/>
    <w:rsid w:val="27952750"/>
    <w:rsid w:val="27CB3585"/>
    <w:rsid w:val="280E0D54"/>
    <w:rsid w:val="28207F86"/>
    <w:rsid w:val="28397580"/>
    <w:rsid w:val="283A6E54"/>
    <w:rsid w:val="286E02B3"/>
    <w:rsid w:val="28905114"/>
    <w:rsid w:val="28AC24C6"/>
    <w:rsid w:val="28B27332"/>
    <w:rsid w:val="28C8735A"/>
    <w:rsid w:val="28CD7B64"/>
    <w:rsid w:val="28DA73F5"/>
    <w:rsid w:val="292329C4"/>
    <w:rsid w:val="29932000"/>
    <w:rsid w:val="2996039A"/>
    <w:rsid w:val="29A712B9"/>
    <w:rsid w:val="29AE6B2F"/>
    <w:rsid w:val="29B449E4"/>
    <w:rsid w:val="29CD7F41"/>
    <w:rsid w:val="29F55728"/>
    <w:rsid w:val="2A141CA3"/>
    <w:rsid w:val="2A286500"/>
    <w:rsid w:val="2A2A1BA1"/>
    <w:rsid w:val="2A30050E"/>
    <w:rsid w:val="2A6B1E5B"/>
    <w:rsid w:val="2A8E3487"/>
    <w:rsid w:val="2A9E4307"/>
    <w:rsid w:val="2AAE58D7"/>
    <w:rsid w:val="2ACD3FAF"/>
    <w:rsid w:val="2AF43C32"/>
    <w:rsid w:val="2AFE1A2C"/>
    <w:rsid w:val="2B015ADF"/>
    <w:rsid w:val="2B163BA8"/>
    <w:rsid w:val="2B175C1A"/>
    <w:rsid w:val="2B2273BF"/>
    <w:rsid w:val="2B2C0E08"/>
    <w:rsid w:val="2B7A0AA7"/>
    <w:rsid w:val="2BC74EA2"/>
    <w:rsid w:val="2C025EDA"/>
    <w:rsid w:val="2C0942F2"/>
    <w:rsid w:val="2C1D2D14"/>
    <w:rsid w:val="2C2B4BF7"/>
    <w:rsid w:val="2CFC2BFE"/>
    <w:rsid w:val="2D0B2C28"/>
    <w:rsid w:val="2D412A32"/>
    <w:rsid w:val="2D7357AD"/>
    <w:rsid w:val="2D742E08"/>
    <w:rsid w:val="2D855015"/>
    <w:rsid w:val="2DA90D03"/>
    <w:rsid w:val="2DC63FCA"/>
    <w:rsid w:val="2DDC7F49"/>
    <w:rsid w:val="2DF13843"/>
    <w:rsid w:val="2DF225C7"/>
    <w:rsid w:val="2E12514F"/>
    <w:rsid w:val="2E3D31FA"/>
    <w:rsid w:val="2E421B72"/>
    <w:rsid w:val="2F0B32F8"/>
    <w:rsid w:val="2F195A15"/>
    <w:rsid w:val="2F560A17"/>
    <w:rsid w:val="2F642A08"/>
    <w:rsid w:val="2FC35462"/>
    <w:rsid w:val="2FF975F4"/>
    <w:rsid w:val="306C6018"/>
    <w:rsid w:val="30B17ECF"/>
    <w:rsid w:val="30CD2F5B"/>
    <w:rsid w:val="30F46294"/>
    <w:rsid w:val="312955B3"/>
    <w:rsid w:val="314D028A"/>
    <w:rsid w:val="31895052"/>
    <w:rsid w:val="321E77E6"/>
    <w:rsid w:val="32483FAD"/>
    <w:rsid w:val="32780CA4"/>
    <w:rsid w:val="327E4B63"/>
    <w:rsid w:val="32BC3287"/>
    <w:rsid w:val="32DD31FD"/>
    <w:rsid w:val="32F8457A"/>
    <w:rsid w:val="33095B3D"/>
    <w:rsid w:val="33233306"/>
    <w:rsid w:val="338B0EAB"/>
    <w:rsid w:val="339A2E9C"/>
    <w:rsid w:val="33BA151A"/>
    <w:rsid w:val="33EF143A"/>
    <w:rsid w:val="345F7433"/>
    <w:rsid w:val="34AF7003"/>
    <w:rsid w:val="34E42621"/>
    <w:rsid w:val="3505165F"/>
    <w:rsid w:val="355530AA"/>
    <w:rsid w:val="357E2A76"/>
    <w:rsid w:val="358E07DF"/>
    <w:rsid w:val="36383696"/>
    <w:rsid w:val="364631D7"/>
    <w:rsid w:val="36694646"/>
    <w:rsid w:val="36806379"/>
    <w:rsid w:val="368928C2"/>
    <w:rsid w:val="36E52680"/>
    <w:rsid w:val="371638DF"/>
    <w:rsid w:val="376A1FCD"/>
    <w:rsid w:val="3776777C"/>
    <w:rsid w:val="377E4FAF"/>
    <w:rsid w:val="37850378"/>
    <w:rsid w:val="37BD420F"/>
    <w:rsid w:val="38F00B77"/>
    <w:rsid w:val="39E8551F"/>
    <w:rsid w:val="39ED01CA"/>
    <w:rsid w:val="39FF1B87"/>
    <w:rsid w:val="3A2D43ED"/>
    <w:rsid w:val="3A571AE7"/>
    <w:rsid w:val="3A5D7BD1"/>
    <w:rsid w:val="3A79380C"/>
    <w:rsid w:val="3AAF722D"/>
    <w:rsid w:val="3ACA6678"/>
    <w:rsid w:val="3AFC5113"/>
    <w:rsid w:val="3B1F29B6"/>
    <w:rsid w:val="3B585916"/>
    <w:rsid w:val="3B8D45DF"/>
    <w:rsid w:val="3B940D0C"/>
    <w:rsid w:val="3BCA5C37"/>
    <w:rsid w:val="3C5C711F"/>
    <w:rsid w:val="3C6C6757"/>
    <w:rsid w:val="3C8A61A4"/>
    <w:rsid w:val="3C964B49"/>
    <w:rsid w:val="3C9943D8"/>
    <w:rsid w:val="3CAD798A"/>
    <w:rsid w:val="3D1D2A82"/>
    <w:rsid w:val="3D734E8A"/>
    <w:rsid w:val="3DD53747"/>
    <w:rsid w:val="3DF67891"/>
    <w:rsid w:val="3E015FF2"/>
    <w:rsid w:val="3E0C3B6F"/>
    <w:rsid w:val="3E18158D"/>
    <w:rsid w:val="3E1D38C4"/>
    <w:rsid w:val="3E471418"/>
    <w:rsid w:val="3E4F5F4D"/>
    <w:rsid w:val="3ECB49F2"/>
    <w:rsid w:val="3ED14C7B"/>
    <w:rsid w:val="3EDE6333"/>
    <w:rsid w:val="3F5B255F"/>
    <w:rsid w:val="3F6B1EDC"/>
    <w:rsid w:val="3FA94B93"/>
    <w:rsid w:val="3FC217B1"/>
    <w:rsid w:val="3FCE45FA"/>
    <w:rsid w:val="3FF05FBA"/>
    <w:rsid w:val="40275AB8"/>
    <w:rsid w:val="402F5BFF"/>
    <w:rsid w:val="40844CB8"/>
    <w:rsid w:val="408B24EB"/>
    <w:rsid w:val="40A36A84"/>
    <w:rsid w:val="40B01F51"/>
    <w:rsid w:val="40DC5A18"/>
    <w:rsid w:val="40F24318"/>
    <w:rsid w:val="41D5429B"/>
    <w:rsid w:val="420B186A"/>
    <w:rsid w:val="422B5D33"/>
    <w:rsid w:val="423050F8"/>
    <w:rsid w:val="42385C98"/>
    <w:rsid w:val="428042FE"/>
    <w:rsid w:val="42893285"/>
    <w:rsid w:val="42C7371B"/>
    <w:rsid w:val="42D02437"/>
    <w:rsid w:val="42DA32B5"/>
    <w:rsid w:val="42F94AE0"/>
    <w:rsid w:val="434846C3"/>
    <w:rsid w:val="437377FC"/>
    <w:rsid w:val="4377703C"/>
    <w:rsid w:val="439A6EE9"/>
    <w:rsid w:val="439B2A45"/>
    <w:rsid w:val="43B50E83"/>
    <w:rsid w:val="44202F4A"/>
    <w:rsid w:val="444B446B"/>
    <w:rsid w:val="44755AC2"/>
    <w:rsid w:val="44797882"/>
    <w:rsid w:val="448B19F6"/>
    <w:rsid w:val="448C36C1"/>
    <w:rsid w:val="44A50CAA"/>
    <w:rsid w:val="44D75CFE"/>
    <w:rsid w:val="45154A79"/>
    <w:rsid w:val="45231B23"/>
    <w:rsid w:val="45365B82"/>
    <w:rsid w:val="453B0CD9"/>
    <w:rsid w:val="45461087"/>
    <w:rsid w:val="454F6D22"/>
    <w:rsid w:val="458A2D71"/>
    <w:rsid w:val="458E697F"/>
    <w:rsid w:val="45921C25"/>
    <w:rsid w:val="459534C4"/>
    <w:rsid w:val="45A100BA"/>
    <w:rsid w:val="45C67B5B"/>
    <w:rsid w:val="4644644F"/>
    <w:rsid w:val="468C0D6B"/>
    <w:rsid w:val="46A010F9"/>
    <w:rsid w:val="46A80F77"/>
    <w:rsid w:val="46B67B95"/>
    <w:rsid w:val="46B73255"/>
    <w:rsid w:val="46BC4F77"/>
    <w:rsid w:val="47280A93"/>
    <w:rsid w:val="47337020"/>
    <w:rsid w:val="474200F3"/>
    <w:rsid w:val="474D4056"/>
    <w:rsid w:val="476D6EF5"/>
    <w:rsid w:val="479C322F"/>
    <w:rsid w:val="47ED3A8B"/>
    <w:rsid w:val="482B7A7B"/>
    <w:rsid w:val="48586940"/>
    <w:rsid w:val="48C630BB"/>
    <w:rsid w:val="48EB621C"/>
    <w:rsid w:val="493A5F00"/>
    <w:rsid w:val="49873024"/>
    <w:rsid w:val="498D2E30"/>
    <w:rsid w:val="498E6BA8"/>
    <w:rsid w:val="49A11F60"/>
    <w:rsid w:val="49CC7DFC"/>
    <w:rsid w:val="49D55251"/>
    <w:rsid w:val="49E512C7"/>
    <w:rsid w:val="4A0155CC"/>
    <w:rsid w:val="4A335BCE"/>
    <w:rsid w:val="4AB27C89"/>
    <w:rsid w:val="4AD11442"/>
    <w:rsid w:val="4B596751"/>
    <w:rsid w:val="4B5968F5"/>
    <w:rsid w:val="4B773D97"/>
    <w:rsid w:val="4BAC4FAF"/>
    <w:rsid w:val="4BC8467F"/>
    <w:rsid w:val="4BEA27BB"/>
    <w:rsid w:val="4CF431C6"/>
    <w:rsid w:val="4CFE53E3"/>
    <w:rsid w:val="4D5B7C28"/>
    <w:rsid w:val="4D654C9D"/>
    <w:rsid w:val="4D6C37E5"/>
    <w:rsid w:val="4DA46B80"/>
    <w:rsid w:val="4DB3043D"/>
    <w:rsid w:val="4DD70B1D"/>
    <w:rsid w:val="4E0D453F"/>
    <w:rsid w:val="4E1B4533"/>
    <w:rsid w:val="4E58792B"/>
    <w:rsid w:val="4E8F31A6"/>
    <w:rsid w:val="4EB946C7"/>
    <w:rsid w:val="4ED96B17"/>
    <w:rsid w:val="4EE26052"/>
    <w:rsid w:val="4F04178B"/>
    <w:rsid w:val="4F0A4599"/>
    <w:rsid w:val="4F2556E4"/>
    <w:rsid w:val="4F563CC4"/>
    <w:rsid w:val="4F6C2FB2"/>
    <w:rsid w:val="4F92270E"/>
    <w:rsid w:val="4F934F18"/>
    <w:rsid w:val="4F9E636D"/>
    <w:rsid w:val="4FE63648"/>
    <w:rsid w:val="50160853"/>
    <w:rsid w:val="505F4453"/>
    <w:rsid w:val="509B22D6"/>
    <w:rsid w:val="50D30FD6"/>
    <w:rsid w:val="50D852D8"/>
    <w:rsid w:val="513466B6"/>
    <w:rsid w:val="51905BB3"/>
    <w:rsid w:val="51EF5042"/>
    <w:rsid w:val="51F14D21"/>
    <w:rsid w:val="51FC49CB"/>
    <w:rsid w:val="52075749"/>
    <w:rsid w:val="521C44FF"/>
    <w:rsid w:val="522A0590"/>
    <w:rsid w:val="525A1D1D"/>
    <w:rsid w:val="52654869"/>
    <w:rsid w:val="52725D78"/>
    <w:rsid w:val="52A1794C"/>
    <w:rsid w:val="5303051B"/>
    <w:rsid w:val="5314011E"/>
    <w:rsid w:val="531E2D4A"/>
    <w:rsid w:val="53746BFD"/>
    <w:rsid w:val="53773B5B"/>
    <w:rsid w:val="53A16DA2"/>
    <w:rsid w:val="53EC64A0"/>
    <w:rsid w:val="53F06773"/>
    <w:rsid w:val="54096788"/>
    <w:rsid w:val="545A4256"/>
    <w:rsid w:val="545D78A2"/>
    <w:rsid w:val="54AF1D7E"/>
    <w:rsid w:val="54C53DC5"/>
    <w:rsid w:val="54CA2B18"/>
    <w:rsid w:val="54EA7388"/>
    <w:rsid w:val="54F06565"/>
    <w:rsid w:val="554F0427"/>
    <w:rsid w:val="55BF6A67"/>
    <w:rsid w:val="55E707C8"/>
    <w:rsid w:val="564203BE"/>
    <w:rsid w:val="566B274A"/>
    <w:rsid w:val="56951575"/>
    <w:rsid w:val="56B37004"/>
    <w:rsid w:val="56B91708"/>
    <w:rsid w:val="56C854A7"/>
    <w:rsid w:val="570D3802"/>
    <w:rsid w:val="572F5526"/>
    <w:rsid w:val="57573E4D"/>
    <w:rsid w:val="576D6809"/>
    <w:rsid w:val="57E24C8E"/>
    <w:rsid w:val="580544D9"/>
    <w:rsid w:val="58104D51"/>
    <w:rsid w:val="581A4BFA"/>
    <w:rsid w:val="58246AC3"/>
    <w:rsid w:val="585E3173"/>
    <w:rsid w:val="588C0756"/>
    <w:rsid w:val="58BA6D2D"/>
    <w:rsid w:val="59017667"/>
    <w:rsid w:val="59185336"/>
    <w:rsid w:val="592409DF"/>
    <w:rsid w:val="5955323E"/>
    <w:rsid w:val="59633BAD"/>
    <w:rsid w:val="599975CF"/>
    <w:rsid w:val="59FB128F"/>
    <w:rsid w:val="59FE7432"/>
    <w:rsid w:val="5A0228E9"/>
    <w:rsid w:val="5A04713E"/>
    <w:rsid w:val="5A19111B"/>
    <w:rsid w:val="5A2920D7"/>
    <w:rsid w:val="5A5F4810"/>
    <w:rsid w:val="5A654B04"/>
    <w:rsid w:val="5A6F20DD"/>
    <w:rsid w:val="5A755946"/>
    <w:rsid w:val="5A814619"/>
    <w:rsid w:val="5AB81CD6"/>
    <w:rsid w:val="5AD00DCE"/>
    <w:rsid w:val="5B0E04AE"/>
    <w:rsid w:val="5B0E436F"/>
    <w:rsid w:val="5B0F11F3"/>
    <w:rsid w:val="5B286E5C"/>
    <w:rsid w:val="5B310151"/>
    <w:rsid w:val="5B3572FB"/>
    <w:rsid w:val="5B3B6561"/>
    <w:rsid w:val="5B3C46B5"/>
    <w:rsid w:val="5B4A50BF"/>
    <w:rsid w:val="5B9A03B8"/>
    <w:rsid w:val="5BB029AE"/>
    <w:rsid w:val="5BE014E5"/>
    <w:rsid w:val="5BE12FA3"/>
    <w:rsid w:val="5C2018E1"/>
    <w:rsid w:val="5C205D85"/>
    <w:rsid w:val="5C4D6613"/>
    <w:rsid w:val="5C7659A5"/>
    <w:rsid w:val="5CD10E2D"/>
    <w:rsid w:val="5CE2303B"/>
    <w:rsid w:val="5CE45BC7"/>
    <w:rsid w:val="5CFF3BED"/>
    <w:rsid w:val="5D384590"/>
    <w:rsid w:val="5D8866EC"/>
    <w:rsid w:val="5D8B5480"/>
    <w:rsid w:val="5DC20FDB"/>
    <w:rsid w:val="5DED0FAF"/>
    <w:rsid w:val="5E191473"/>
    <w:rsid w:val="5E221EA4"/>
    <w:rsid w:val="5E286051"/>
    <w:rsid w:val="5E5A7849"/>
    <w:rsid w:val="5E70651B"/>
    <w:rsid w:val="5E8C14B0"/>
    <w:rsid w:val="5EBF421E"/>
    <w:rsid w:val="5EC35B8A"/>
    <w:rsid w:val="5ED910CD"/>
    <w:rsid w:val="5EED2465"/>
    <w:rsid w:val="5F013C4C"/>
    <w:rsid w:val="5F096FA4"/>
    <w:rsid w:val="5F4C0C3F"/>
    <w:rsid w:val="5F6146EB"/>
    <w:rsid w:val="5FC03B07"/>
    <w:rsid w:val="5FCD3F3D"/>
    <w:rsid w:val="60115E2E"/>
    <w:rsid w:val="603A7008"/>
    <w:rsid w:val="60B22ECB"/>
    <w:rsid w:val="60F46CF8"/>
    <w:rsid w:val="611D2700"/>
    <w:rsid w:val="61347A04"/>
    <w:rsid w:val="61504A17"/>
    <w:rsid w:val="618D2305"/>
    <w:rsid w:val="61A42FB4"/>
    <w:rsid w:val="621E2D67"/>
    <w:rsid w:val="62373E29"/>
    <w:rsid w:val="62586279"/>
    <w:rsid w:val="629848C7"/>
    <w:rsid w:val="62B13874"/>
    <w:rsid w:val="62C01E93"/>
    <w:rsid w:val="630C0E11"/>
    <w:rsid w:val="632E6FDA"/>
    <w:rsid w:val="63672753"/>
    <w:rsid w:val="63972DD1"/>
    <w:rsid w:val="63F2026A"/>
    <w:rsid w:val="63FA5FE0"/>
    <w:rsid w:val="6441108B"/>
    <w:rsid w:val="6452360C"/>
    <w:rsid w:val="646937B4"/>
    <w:rsid w:val="64771C4A"/>
    <w:rsid w:val="648275DD"/>
    <w:rsid w:val="649317EA"/>
    <w:rsid w:val="64A532CB"/>
    <w:rsid w:val="64A87BFB"/>
    <w:rsid w:val="64CE1249"/>
    <w:rsid w:val="64D90A5D"/>
    <w:rsid w:val="64FC354F"/>
    <w:rsid w:val="652274FC"/>
    <w:rsid w:val="65367115"/>
    <w:rsid w:val="6554084E"/>
    <w:rsid w:val="659A0B93"/>
    <w:rsid w:val="65C52E43"/>
    <w:rsid w:val="65C57872"/>
    <w:rsid w:val="65E62E7A"/>
    <w:rsid w:val="66124991"/>
    <w:rsid w:val="66190A55"/>
    <w:rsid w:val="663327C8"/>
    <w:rsid w:val="66486604"/>
    <w:rsid w:val="66743F27"/>
    <w:rsid w:val="66C51D7C"/>
    <w:rsid w:val="66C739CD"/>
    <w:rsid w:val="66DB09CF"/>
    <w:rsid w:val="66EC7F6C"/>
    <w:rsid w:val="66FD119D"/>
    <w:rsid w:val="67287B59"/>
    <w:rsid w:val="6761038C"/>
    <w:rsid w:val="6762507E"/>
    <w:rsid w:val="678278F4"/>
    <w:rsid w:val="679A1526"/>
    <w:rsid w:val="67B57CC9"/>
    <w:rsid w:val="67BB5990"/>
    <w:rsid w:val="67C63C85"/>
    <w:rsid w:val="685667C9"/>
    <w:rsid w:val="688357CB"/>
    <w:rsid w:val="68B27D65"/>
    <w:rsid w:val="690A194F"/>
    <w:rsid w:val="69156FF4"/>
    <w:rsid w:val="69180510"/>
    <w:rsid w:val="691A2862"/>
    <w:rsid w:val="691B765B"/>
    <w:rsid w:val="69531548"/>
    <w:rsid w:val="696061FE"/>
    <w:rsid w:val="698F52B0"/>
    <w:rsid w:val="69B87AB0"/>
    <w:rsid w:val="69F452BC"/>
    <w:rsid w:val="6A37733C"/>
    <w:rsid w:val="6A55256E"/>
    <w:rsid w:val="6A6B466F"/>
    <w:rsid w:val="6A72289F"/>
    <w:rsid w:val="6AAD178D"/>
    <w:rsid w:val="6AB921AE"/>
    <w:rsid w:val="6ABE7E43"/>
    <w:rsid w:val="6AD246EE"/>
    <w:rsid w:val="6B1D24EB"/>
    <w:rsid w:val="6B2A62D8"/>
    <w:rsid w:val="6B4F71B4"/>
    <w:rsid w:val="6B5335F2"/>
    <w:rsid w:val="6BB40298"/>
    <w:rsid w:val="6BE627E7"/>
    <w:rsid w:val="6BF43F27"/>
    <w:rsid w:val="6C2766C6"/>
    <w:rsid w:val="6C6963BD"/>
    <w:rsid w:val="6C6A466A"/>
    <w:rsid w:val="6C7D4B2E"/>
    <w:rsid w:val="6C7D68DC"/>
    <w:rsid w:val="6C946C78"/>
    <w:rsid w:val="6CAD5413"/>
    <w:rsid w:val="6CBA6C4E"/>
    <w:rsid w:val="6CC649E7"/>
    <w:rsid w:val="6CCB5899"/>
    <w:rsid w:val="6CE626D3"/>
    <w:rsid w:val="6D06067F"/>
    <w:rsid w:val="6D5E495F"/>
    <w:rsid w:val="6DA305C4"/>
    <w:rsid w:val="6DB96F6C"/>
    <w:rsid w:val="6DDA5CDD"/>
    <w:rsid w:val="6E105C5A"/>
    <w:rsid w:val="6E124509"/>
    <w:rsid w:val="6E1F5E9D"/>
    <w:rsid w:val="6E612D84"/>
    <w:rsid w:val="6E6F412F"/>
    <w:rsid w:val="6E963C85"/>
    <w:rsid w:val="6EC801D0"/>
    <w:rsid w:val="6ED1025D"/>
    <w:rsid w:val="6F5F71DE"/>
    <w:rsid w:val="6F8F3F16"/>
    <w:rsid w:val="6FBC4288"/>
    <w:rsid w:val="70BC3E77"/>
    <w:rsid w:val="70D535C3"/>
    <w:rsid w:val="70DD61B2"/>
    <w:rsid w:val="70F34B3D"/>
    <w:rsid w:val="712716DB"/>
    <w:rsid w:val="7151758B"/>
    <w:rsid w:val="71624317"/>
    <w:rsid w:val="72005FE5"/>
    <w:rsid w:val="72587BCF"/>
    <w:rsid w:val="729C445C"/>
    <w:rsid w:val="730E64E0"/>
    <w:rsid w:val="7318171D"/>
    <w:rsid w:val="736507F6"/>
    <w:rsid w:val="738F5872"/>
    <w:rsid w:val="73A47784"/>
    <w:rsid w:val="73CB37B9"/>
    <w:rsid w:val="7420488D"/>
    <w:rsid w:val="74637B17"/>
    <w:rsid w:val="74721671"/>
    <w:rsid w:val="74866930"/>
    <w:rsid w:val="74DD63C6"/>
    <w:rsid w:val="74EC7140"/>
    <w:rsid w:val="74EE481B"/>
    <w:rsid w:val="74F732F4"/>
    <w:rsid w:val="74FD02DE"/>
    <w:rsid w:val="751D3132"/>
    <w:rsid w:val="75470E99"/>
    <w:rsid w:val="755C04BF"/>
    <w:rsid w:val="75906C53"/>
    <w:rsid w:val="75D755E0"/>
    <w:rsid w:val="763767F1"/>
    <w:rsid w:val="764716AA"/>
    <w:rsid w:val="764861AD"/>
    <w:rsid w:val="766E2F60"/>
    <w:rsid w:val="76766876"/>
    <w:rsid w:val="76AA4771"/>
    <w:rsid w:val="76AA50A4"/>
    <w:rsid w:val="77281627"/>
    <w:rsid w:val="772938E8"/>
    <w:rsid w:val="772A5792"/>
    <w:rsid w:val="77306D03"/>
    <w:rsid w:val="77472B3C"/>
    <w:rsid w:val="776E1C43"/>
    <w:rsid w:val="77C95B64"/>
    <w:rsid w:val="77DC2305"/>
    <w:rsid w:val="77F312B7"/>
    <w:rsid w:val="78174088"/>
    <w:rsid w:val="781B45E8"/>
    <w:rsid w:val="785B3F75"/>
    <w:rsid w:val="787B1017"/>
    <w:rsid w:val="78BE0AD8"/>
    <w:rsid w:val="78CD2873"/>
    <w:rsid w:val="78D930EC"/>
    <w:rsid w:val="790D22C6"/>
    <w:rsid w:val="792C51C7"/>
    <w:rsid w:val="79346574"/>
    <w:rsid w:val="793F73F3"/>
    <w:rsid w:val="79A731EA"/>
    <w:rsid w:val="79BC3831"/>
    <w:rsid w:val="79D32ACA"/>
    <w:rsid w:val="79E166FC"/>
    <w:rsid w:val="7A146AD1"/>
    <w:rsid w:val="7A1545F8"/>
    <w:rsid w:val="7A227CBF"/>
    <w:rsid w:val="7A4B0B98"/>
    <w:rsid w:val="7A6171B2"/>
    <w:rsid w:val="7A637111"/>
    <w:rsid w:val="7AAB2DE0"/>
    <w:rsid w:val="7AB76BC1"/>
    <w:rsid w:val="7AC73B44"/>
    <w:rsid w:val="7ADE0E8D"/>
    <w:rsid w:val="7AEE420A"/>
    <w:rsid w:val="7B1149A6"/>
    <w:rsid w:val="7B226FCC"/>
    <w:rsid w:val="7B4B6523"/>
    <w:rsid w:val="7C0431C8"/>
    <w:rsid w:val="7C5A2EEC"/>
    <w:rsid w:val="7C855A65"/>
    <w:rsid w:val="7C9C2DAE"/>
    <w:rsid w:val="7CA917A9"/>
    <w:rsid w:val="7CAA5BD6"/>
    <w:rsid w:val="7CD67231"/>
    <w:rsid w:val="7CF32EBB"/>
    <w:rsid w:val="7D083FA0"/>
    <w:rsid w:val="7D20753B"/>
    <w:rsid w:val="7D360B0D"/>
    <w:rsid w:val="7D630A43"/>
    <w:rsid w:val="7D637428"/>
    <w:rsid w:val="7D6457E7"/>
    <w:rsid w:val="7DBB7264"/>
    <w:rsid w:val="7DDC2D4D"/>
    <w:rsid w:val="7E8547F2"/>
    <w:rsid w:val="7E8848F2"/>
    <w:rsid w:val="7E9E2E0E"/>
    <w:rsid w:val="7EA14BE5"/>
    <w:rsid w:val="7EA52C7F"/>
    <w:rsid w:val="7ED14F91"/>
    <w:rsid w:val="7EE6351F"/>
    <w:rsid w:val="7EF46ED2"/>
    <w:rsid w:val="7F2826D7"/>
    <w:rsid w:val="7F455247"/>
    <w:rsid w:val="7F857B2A"/>
    <w:rsid w:val="7FAB38E6"/>
    <w:rsid w:val="7FC5075B"/>
    <w:rsid w:val="7FC62727"/>
    <w:rsid w:val="7FE174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7"/>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3">
    <w:name w:val="heading 2"/>
    <w:basedOn w:val="1"/>
    <w:next w:val="1"/>
    <w:link w:val="55"/>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4">
    <w:name w:val="heading 3"/>
    <w:basedOn w:val="1"/>
    <w:next w:val="1"/>
    <w:link w:val="151"/>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5">
    <w:name w:val="heading 4"/>
    <w:basedOn w:val="1"/>
    <w:next w:val="1"/>
    <w:link w:val="57"/>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6">
    <w:name w:val="heading 5"/>
    <w:basedOn w:val="1"/>
    <w:next w:val="1"/>
    <w:link w:val="139"/>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7">
    <w:name w:val="heading 6"/>
    <w:basedOn w:val="1"/>
    <w:next w:val="8"/>
    <w:link w:val="149"/>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9">
    <w:name w:val="heading 7"/>
    <w:basedOn w:val="1"/>
    <w:next w:val="8"/>
    <w:link w:val="60"/>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0">
    <w:name w:val="heading 8"/>
    <w:basedOn w:val="1"/>
    <w:next w:val="8"/>
    <w:link w:val="61"/>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1">
    <w:name w:val="heading 9"/>
    <w:basedOn w:val="1"/>
    <w:next w:val="8"/>
    <w:link w:val="62"/>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customStyle="1" w:styleId="8">
    <w:name w:val="模板正文"/>
    <w:basedOn w:val="1"/>
    <w:link w:val="101"/>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2">
    <w:name w:val="Normal Indent"/>
    <w:basedOn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3">
    <w:name w:val="caption"/>
    <w:basedOn w:val="1"/>
    <w:next w:val="1"/>
    <w:link w:val="90"/>
    <w:qFormat/>
    <w:uiPriority w:val="0"/>
    <w:pPr>
      <w:autoSpaceDE w:val="0"/>
      <w:autoSpaceDN w:val="0"/>
      <w:adjustRightInd w:val="0"/>
      <w:spacing w:before="152" w:after="160"/>
      <w:jc w:val="left"/>
    </w:pPr>
    <w:rPr>
      <w:rFonts w:ascii="Arial" w:hAnsi="Arial" w:eastAsia="黑体" w:cs="Arial"/>
    </w:rPr>
  </w:style>
  <w:style w:type="paragraph" w:styleId="14">
    <w:name w:val="Document Map"/>
    <w:basedOn w:val="1"/>
    <w:link w:val="123"/>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5">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6">
    <w:name w:val="annotation text"/>
    <w:basedOn w:val="1"/>
    <w:link w:val="170"/>
    <w:unhideWhenUsed/>
    <w:qFormat/>
    <w:uiPriority w:val="99"/>
    <w:pPr>
      <w:jc w:val="left"/>
    </w:pPr>
  </w:style>
  <w:style w:type="paragraph" w:styleId="17">
    <w:name w:val="Body Text 3"/>
    <w:basedOn w:val="1"/>
    <w:link w:val="163"/>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8">
    <w:name w:val="Body Text"/>
    <w:basedOn w:val="1"/>
    <w:link w:val="125"/>
    <w:qFormat/>
    <w:uiPriority w:val="99"/>
    <w:pPr>
      <w:autoSpaceDE w:val="0"/>
      <w:autoSpaceDN w:val="0"/>
      <w:adjustRightInd w:val="0"/>
      <w:ind w:right="-26"/>
      <w:jc w:val="center"/>
    </w:pPr>
    <w:rPr>
      <w:rFonts w:ascii="宋体" w:eastAsia="宋体"/>
      <w:b/>
      <w:bCs/>
      <w:sz w:val="84"/>
      <w:szCs w:val="84"/>
      <w:lang w:val="zh-CN"/>
    </w:rPr>
  </w:style>
  <w:style w:type="paragraph" w:styleId="19">
    <w:name w:val="Body Text Indent"/>
    <w:basedOn w:val="1"/>
    <w:link w:val="99"/>
    <w:qFormat/>
    <w:uiPriority w:val="0"/>
    <w:pPr>
      <w:ind w:left="567" w:leftChars="270"/>
    </w:pPr>
    <w:rPr>
      <w:rFonts w:ascii="Times New Roman" w:hAnsi="Times New Roman" w:eastAsia="宋体" w:cs="Times New Roman"/>
      <w:szCs w:val="20"/>
    </w:rPr>
  </w:style>
  <w:style w:type="paragraph" w:styleId="20">
    <w:name w:val="List Bullet 2"/>
    <w:basedOn w:val="1"/>
    <w:next w:val="21"/>
    <w:semiHidden/>
    <w:unhideWhenUsed/>
    <w:qFormat/>
    <w:uiPriority w:val="99"/>
    <w:pPr>
      <w:numPr>
        <w:ilvl w:val="0"/>
        <w:numId w:val="1"/>
      </w:numPr>
    </w:pPr>
  </w:style>
  <w:style w:type="paragraph" w:customStyle="1" w:styleId="21">
    <w:name w:val="xl70"/>
    <w:basedOn w:val="1"/>
    <w:next w:val="22"/>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723" w:firstLineChars="200"/>
      <w:jc w:val="center"/>
      <w:textAlignment w:val="center"/>
    </w:pPr>
    <w:rPr>
      <w:kern w:val="0"/>
      <w:sz w:val="24"/>
    </w:rPr>
  </w:style>
  <w:style w:type="paragraph" w:customStyle="1" w:styleId="22">
    <w:name w:val="正文缩进1"/>
    <w:basedOn w:val="1"/>
    <w:next w:val="23"/>
    <w:qFormat/>
    <w:uiPriority w:val="0"/>
    <w:pPr>
      <w:adjustRightInd w:val="0"/>
      <w:ind w:firstLine="420" w:firstLineChars="200"/>
      <w:textAlignment w:val="baseline"/>
    </w:pPr>
    <w:rPr>
      <w:kern w:val="0"/>
      <w:sz w:val="24"/>
    </w:rPr>
  </w:style>
  <w:style w:type="paragraph" w:customStyle="1" w:styleId="23">
    <w:name w:val="td1"/>
    <w:basedOn w:val="1"/>
    <w:next w:val="1"/>
    <w:qFormat/>
    <w:uiPriority w:val="0"/>
    <w:pPr>
      <w:widowControl/>
      <w:spacing w:before="100" w:beforeAutospacing="1" w:after="100" w:afterAutospacing="1"/>
      <w:jc w:val="center"/>
    </w:pPr>
    <w:rPr>
      <w:rFonts w:ascii="宋体" w:hAnsi="宋体"/>
      <w:b/>
      <w:bCs/>
      <w:color w:val="0000FF"/>
      <w:kern w:val="0"/>
      <w:sz w:val="28"/>
      <w:szCs w:val="28"/>
      <w:u w:val="single"/>
    </w:rPr>
  </w:style>
  <w:style w:type="paragraph" w:styleId="24">
    <w:name w:val="toc 3"/>
    <w:basedOn w:val="1"/>
    <w:next w:val="1"/>
    <w:unhideWhenUsed/>
    <w:qFormat/>
    <w:uiPriority w:val="39"/>
    <w:pPr>
      <w:tabs>
        <w:tab w:val="right" w:leader="dot" w:pos="10144"/>
      </w:tabs>
      <w:ind w:left="840" w:leftChars="400"/>
    </w:pPr>
  </w:style>
  <w:style w:type="paragraph" w:styleId="25">
    <w:name w:val="Plain Text"/>
    <w:basedOn w:val="1"/>
    <w:link w:val="107"/>
    <w:qFormat/>
    <w:uiPriority w:val="0"/>
    <w:rPr>
      <w:rFonts w:ascii="宋体" w:hAnsi="Courier New" w:eastAsia="宋体"/>
    </w:rPr>
  </w:style>
  <w:style w:type="paragraph" w:styleId="26">
    <w:name w:val="Date"/>
    <w:basedOn w:val="1"/>
    <w:next w:val="1"/>
    <w:link w:val="115"/>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7">
    <w:name w:val="Body Text Indent 2"/>
    <w:basedOn w:val="1"/>
    <w:link w:val="108"/>
    <w:qFormat/>
    <w:uiPriority w:val="0"/>
    <w:pPr>
      <w:tabs>
        <w:tab w:val="left" w:pos="8640"/>
      </w:tabs>
      <w:ind w:left="1260"/>
    </w:pPr>
    <w:rPr>
      <w:rFonts w:ascii="宋体" w:hAnsi="Times New Roman" w:eastAsia="宋体" w:cs="Times New Roman"/>
      <w:szCs w:val="20"/>
    </w:rPr>
  </w:style>
  <w:style w:type="paragraph" w:styleId="28">
    <w:name w:val="Balloon Text"/>
    <w:basedOn w:val="1"/>
    <w:link w:val="81"/>
    <w:qFormat/>
    <w:uiPriority w:val="0"/>
    <w:rPr>
      <w:rFonts w:ascii="Times New Roman" w:hAnsi="Times New Roman" w:eastAsia="宋体" w:cs="Times New Roman"/>
      <w:sz w:val="18"/>
      <w:szCs w:val="18"/>
    </w:rPr>
  </w:style>
  <w:style w:type="paragraph" w:styleId="29">
    <w:name w:val="footer"/>
    <w:basedOn w:val="1"/>
    <w:link w:val="85"/>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30">
    <w:name w:val="header"/>
    <w:basedOn w:val="1"/>
    <w:link w:val="127"/>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31">
    <w:name w:val="toc 1"/>
    <w:basedOn w:val="1"/>
    <w:next w:val="1"/>
    <w:unhideWhenUsed/>
    <w:qFormat/>
    <w:uiPriority w:val="39"/>
  </w:style>
  <w:style w:type="paragraph" w:styleId="32">
    <w:name w:val="List"/>
    <w:basedOn w:val="1"/>
    <w:next w:val="20"/>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3">
    <w:name w:val="Body Text Indent 3"/>
    <w:basedOn w:val="1"/>
    <w:link w:val="161"/>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4">
    <w:name w:val="toc 2"/>
    <w:basedOn w:val="1"/>
    <w:next w:val="1"/>
    <w:semiHidden/>
    <w:unhideWhenUsed/>
    <w:qFormat/>
    <w:uiPriority w:val="39"/>
    <w:pPr>
      <w:ind w:left="420" w:leftChars="200"/>
    </w:pPr>
  </w:style>
  <w:style w:type="paragraph" w:styleId="35">
    <w:name w:val="Body Text 2"/>
    <w:basedOn w:val="1"/>
    <w:link w:val="150"/>
    <w:qFormat/>
    <w:uiPriority w:val="0"/>
    <w:pPr>
      <w:tabs>
        <w:tab w:val="left" w:pos="0"/>
      </w:tabs>
      <w:spacing w:line="400" w:lineRule="atLeast"/>
    </w:pPr>
    <w:rPr>
      <w:rFonts w:ascii="Arial" w:hAnsi="Arial" w:eastAsia="宋体" w:cs="Times New Roman"/>
      <w:color w:val="000000"/>
      <w:szCs w:val="24"/>
    </w:rPr>
  </w:style>
  <w:style w:type="paragraph" w:styleId="36">
    <w:name w:val="HTML Preformatted"/>
    <w:basedOn w:val="1"/>
    <w:link w:val="93"/>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7">
    <w:name w:val="Normal (Web)"/>
    <w:basedOn w:val="1"/>
    <w:link w:val="100"/>
    <w:qFormat/>
    <w:uiPriority w:val="0"/>
    <w:pPr>
      <w:widowControl/>
      <w:spacing w:before="100" w:beforeAutospacing="1" w:after="100" w:afterAutospacing="1"/>
      <w:jc w:val="left"/>
    </w:pPr>
    <w:rPr>
      <w:rFonts w:ascii="宋体" w:hAnsi="宋体"/>
      <w:sz w:val="15"/>
      <w:szCs w:val="15"/>
    </w:rPr>
  </w:style>
  <w:style w:type="paragraph" w:styleId="38">
    <w:name w:val="Title"/>
    <w:basedOn w:val="1"/>
    <w:next w:val="1"/>
    <w:link w:val="65"/>
    <w:qFormat/>
    <w:uiPriority w:val="10"/>
    <w:pPr>
      <w:spacing w:before="120" w:after="60" w:line="300" w:lineRule="auto"/>
      <w:jc w:val="left"/>
      <w:outlineLvl w:val="0"/>
    </w:pPr>
    <w:rPr>
      <w:rFonts w:ascii="等线 Light" w:hAnsi="等线 Light" w:eastAsia="仿宋"/>
      <w:b/>
      <w:bCs/>
      <w:sz w:val="28"/>
      <w:szCs w:val="32"/>
    </w:rPr>
  </w:style>
  <w:style w:type="paragraph" w:styleId="39">
    <w:name w:val="annotation subject"/>
    <w:basedOn w:val="16"/>
    <w:next w:val="16"/>
    <w:link w:val="117"/>
    <w:qFormat/>
    <w:uiPriority w:val="99"/>
    <w:pPr>
      <w:autoSpaceDE w:val="0"/>
      <w:autoSpaceDN w:val="0"/>
      <w:adjustRightInd w:val="0"/>
    </w:pPr>
    <w:rPr>
      <w:rFonts w:ascii="宋体" w:hAnsi="Times New Roman" w:eastAsia="宋体" w:cs="Times New Roman"/>
      <w:b/>
      <w:bCs/>
      <w:kern w:val="0"/>
      <w:sz w:val="24"/>
      <w:szCs w:val="24"/>
    </w:rPr>
  </w:style>
  <w:style w:type="paragraph" w:styleId="40">
    <w:name w:val="Body Text First Indent"/>
    <w:basedOn w:val="18"/>
    <w:link w:val="209"/>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table" w:styleId="42">
    <w:name w:val="Table Grid"/>
    <w:basedOn w:val="41"/>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4">
    <w:name w:val="Strong"/>
    <w:qFormat/>
    <w:uiPriority w:val="0"/>
    <w:rPr>
      <w:b/>
      <w:bCs/>
    </w:rPr>
  </w:style>
  <w:style w:type="character" w:styleId="45">
    <w:name w:val="page number"/>
    <w:qFormat/>
    <w:uiPriority w:val="0"/>
  </w:style>
  <w:style w:type="character" w:styleId="46">
    <w:name w:val="FollowedHyperlink"/>
    <w:unhideWhenUsed/>
    <w:qFormat/>
    <w:uiPriority w:val="99"/>
    <w:rPr>
      <w:color w:val="954F72"/>
      <w:u w:val="single"/>
    </w:rPr>
  </w:style>
  <w:style w:type="character" w:styleId="47">
    <w:name w:val="Emphasis"/>
    <w:qFormat/>
    <w:uiPriority w:val="0"/>
    <w:rPr>
      <w:i/>
      <w:iCs/>
    </w:rPr>
  </w:style>
  <w:style w:type="character" w:styleId="48">
    <w:name w:val="Hyperlink"/>
    <w:qFormat/>
    <w:uiPriority w:val="99"/>
    <w:rPr>
      <w:rFonts w:hint="default" w:ascii="Arial" w:hAnsi="Arial" w:cs="Arial"/>
      <w:color w:val="000000"/>
      <w:sz w:val="20"/>
      <w:szCs w:val="20"/>
      <w:u w:val="none"/>
    </w:rPr>
  </w:style>
  <w:style w:type="character" w:styleId="49">
    <w:name w:val="HTML Code"/>
    <w:basedOn w:val="43"/>
    <w:semiHidden/>
    <w:unhideWhenUsed/>
    <w:qFormat/>
    <w:uiPriority w:val="99"/>
    <w:rPr>
      <w:rFonts w:ascii="Courier New" w:hAnsi="Courier New"/>
      <w:sz w:val="20"/>
    </w:rPr>
  </w:style>
  <w:style w:type="character" w:styleId="50">
    <w:name w:val="annotation reference"/>
    <w:basedOn w:val="43"/>
    <w:qFormat/>
    <w:uiPriority w:val="99"/>
    <w:rPr>
      <w:sz w:val="21"/>
      <w:szCs w:val="21"/>
    </w:rPr>
  </w:style>
  <w:style w:type="paragraph" w:customStyle="1" w:styleId="51">
    <w:name w:val="样式 宋体 行距: 1.5 倍行距"/>
    <w:basedOn w:val="1"/>
    <w:qFormat/>
    <w:uiPriority w:val="0"/>
    <w:pPr>
      <w:autoSpaceDE w:val="0"/>
      <w:autoSpaceDN w:val="0"/>
      <w:adjustRightInd w:val="0"/>
      <w:jc w:val="center"/>
    </w:pPr>
    <w:rPr>
      <w:rFonts w:ascii="Times New Roman" w:hAnsi="Times New Roman" w:eastAsia="宋体" w:cs="Times New Roman"/>
      <w:b/>
      <w:kern w:val="0"/>
      <w:sz w:val="24"/>
      <w:szCs w:val="24"/>
    </w:rPr>
  </w:style>
  <w:style w:type="paragraph" w:customStyle="1" w:styleId="52">
    <w:name w:val="文档正文"/>
    <w:basedOn w:val="1"/>
    <w:qFormat/>
    <w:uiPriority w:val="0"/>
    <w:pPr>
      <w:spacing w:line="360" w:lineRule="auto"/>
    </w:pPr>
    <w:rPr>
      <w:rFonts w:ascii="宋体" w:cs="Arial"/>
      <w:bCs/>
    </w:rPr>
  </w:style>
  <w:style w:type="paragraph" w:customStyle="1" w:styleId="53">
    <w:name w:val="首行缩进"/>
    <w:basedOn w:val="1"/>
    <w:qFormat/>
    <w:uiPriority w:val="0"/>
    <w:pPr>
      <w:ind w:firstLine="480" w:firstLineChars="200"/>
    </w:pPr>
    <w:rPr>
      <w:lang w:val="zh-CN"/>
    </w:rPr>
  </w:style>
  <w:style w:type="character" w:customStyle="1" w:styleId="54">
    <w:name w:val="标题 1 字符"/>
    <w:basedOn w:val="43"/>
    <w:qFormat/>
    <w:uiPriority w:val="0"/>
    <w:rPr>
      <w:b/>
      <w:bCs/>
      <w:kern w:val="44"/>
      <w:sz w:val="44"/>
      <w:szCs w:val="44"/>
    </w:rPr>
  </w:style>
  <w:style w:type="character" w:customStyle="1" w:styleId="55">
    <w:name w:val="标题 2 Char"/>
    <w:basedOn w:val="43"/>
    <w:link w:val="3"/>
    <w:qFormat/>
    <w:uiPriority w:val="0"/>
    <w:rPr>
      <w:rFonts w:ascii="宋体" w:hAnsi="Calibri" w:eastAsia="宋体" w:cs="Times New Roman"/>
      <w:kern w:val="0"/>
      <w:sz w:val="24"/>
      <w:szCs w:val="24"/>
    </w:rPr>
  </w:style>
  <w:style w:type="character" w:customStyle="1" w:styleId="56">
    <w:name w:val="标题 3 字符"/>
    <w:basedOn w:val="43"/>
    <w:qFormat/>
    <w:uiPriority w:val="0"/>
    <w:rPr>
      <w:b/>
      <w:bCs/>
      <w:sz w:val="32"/>
      <w:szCs w:val="32"/>
    </w:rPr>
  </w:style>
  <w:style w:type="character" w:customStyle="1" w:styleId="57">
    <w:name w:val="标题 4 Char1"/>
    <w:basedOn w:val="43"/>
    <w:link w:val="5"/>
    <w:qFormat/>
    <w:uiPriority w:val="9"/>
    <w:rPr>
      <w:rFonts w:ascii="Arial" w:hAnsi="Arial" w:eastAsia="黑体" w:cs="Times New Roman"/>
      <w:b/>
      <w:bCs/>
      <w:kern w:val="0"/>
      <w:sz w:val="28"/>
      <w:szCs w:val="28"/>
    </w:rPr>
  </w:style>
  <w:style w:type="character" w:customStyle="1" w:styleId="58">
    <w:name w:val="标题 5 字符"/>
    <w:basedOn w:val="43"/>
    <w:qFormat/>
    <w:uiPriority w:val="9"/>
    <w:rPr>
      <w:b/>
      <w:bCs/>
      <w:sz w:val="28"/>
      <w:szCs w:val="28"/>
    </w:rPr>
  </w:style>
  <w:style w:type="character" w:customStyle="1" w:styleId="59">
    <w:name w:val="标题 6 字符"/>
    <w:basedOn w:val="43"/>
    <w:qFormat/>
    <w:uiPriority w:val="0"/>
    <w:rPr>
      <w:rFonts w:asciiTheme="majorHAnsi" w:hAnsiTheme="majorHAnsi" w:eastAsiaTheme="majorEastAsia" w:cstheme="majorBidi"/>
      <w:b/>
      <w:bCs/>
      <w:sz w:val="24"/>
      <w:szCs w:val="24"/>
    </w:rPr>
  </w:style>
  <w:style w:type="character" w:customStyle="1" w:styleId="60">
    <w:name w:val="标题 7 Char"/>
    <w:basedOn w:val="43"/>
    <w:link w:val="9"/>
    <w:qFormat/>
    <w:uiPriority w:val="9"/>
    <w:rPr>
      <w:rFonts w:ascii="Times New Roman" w:hAnsi="Calibri" w:eastAsia="黑体" w:cs="Times New Roman"/>
      <w:b/>
      <w:bCs/>
      <w:kern w:val="0"/>
      <w:sz w:val="28"/>
      <w:szCs w:val="24"/>
    </w:rPr>
  </w:style>
  <w:style w:type="character" w:customStyle="1" w:styleId="61">
    <w:name w:val="标题 8 Char"/>
    <w:basedOn w:val="43"/>
    <w:link w:val="10"/>
    <w:qFormat/>
    <w:uiPriority w:val="9"/>
    <w:rPr>
      <w:rFonts w:ascii="Times New Roman" w:hAnsi="Calibri" w:eastAsia="黑体" w:cs="Times New Roman"/>
      <w:b/>
      <w:kern w:val="0"/>
      <w:sz w:val="28"/>
      <w:szCs w:val="24"/>
    </w:rPr>
  </w:style>
  <w:style w:type="character" w:customStyle="1" w:styleId="62">
    <w:name w:val="标题 9 Char"/>
    <w:basedOn w:val="43"/>
    <w:link w:val="11"/>
    <w:qFormat/>
    <w:uiPriority w:val="9"/>
    <w:rPr>
      <w:rFonts w:ascii="Times New Roman" w:hAnsi="Calibri" w:eastAsia="黑体" w:cs="Times New Roman"/>
      <w:b/>
      <w:kern w:val="0"/>
      <w:sz w:val="28"/>
      <w:szCs w:val="24"/>
    </w:rPr>
  </w:style>
  <w:style w:type="character" w:customStyle="1" w:styleId="63">
    <w:name w:val="正文文本缩进 字符"/>
    <w:qFormat/>
    <w:uiPriority w:val="0"/>
    <w:rPr>
      <w:rFonts w:ascii="Times New Roman" w:hAnsi="Times New Roman" w:eastAsia="宋体" w:cs="Times New Roman"/>
      <w:szCs w:val="20"/>
    </w:rPr>
  </w:style>
  <w:style w:type="character" w:customStyle="1" w:styleId="64">
    <w:name w:val="普通(网站) Char"/>
    <w:qFormat/>
    <w:locked/>
    <w:uiPriority w:val="0"/>
    <w:rPr>
      <w:rFonts w:ascii="宋体" w:hAnsi="宋体"/>
      <w:sz w:val="15"/>
      <w:szCs w:val="15"/>
    </w:rPr>
  </w:style>
  <w:style w:type="character" w:customStyle="1" w:styleId="65">
    <w:name w:val="标题 Char"/>
    <w:link w:val="38"/>
    <w:qFormat/>
    <w:uiPriority w:val="10"/>
    <w:rPr>
      <w:rFonts w:ascii="等线 Light" w:hAnsi="等线 Light" w:eastAsia="仿宋"/>
      <w:b/>
      <w:bCs/>
      <w:sz w:val="28"/>
      <w:szCs w:val="32"/>
    </w:rPr>
  </w:style>
  <w:style w:type="character" w:customStyle="1" w:styleId="66">
    <w:name w:val="日期 Char"/>
    <w:semiHidden/>
    <w:qFormat/>
    <w:uiPriority w:val="99"/>
    <w:rPr>
      <w:kern w:val="2"/>
      <w:sz w:val="21"/>
    </w:rPr>
  </w:style>
  <w:style w:type="character" w:customStyle="1" w:styleId="67">
    <w:name w:val="文档结构图 字符1"/>
    <w:semiHidden/>
    <w:qFormat/>
    <w:uiPriority w:val="99"/>
    <w:rPr>
      <w:rFonts w:ascii="Microsoft YaHei UI" w:hAnsi="Calibri" w:eastAsia="Microsoft YaHei UI" w:cs="Times New Roman"/>
      <w:kern w:val="0"/>
      <w:sz w:val="18"/>
      <w:szCs w:val="18"/>
    </w:rPr>
  </w:style>
  <w:style w:type="character" w:customStyle="1" w:styleId="68">
    <w:name w:val="批注文字 Char"/>
    <w:semiHidden/>
    <w:qFormat/>
    <w:uiPriority w:val="99"/>
    <w:rPr>
      <w:kern w:val="2"/>
      <w:sz w:val="21"/>
    </w:rPr>
  </w:style>
  <w:style w:type="character" w:customStyle="1" w:styleId="69">
    <w:name w:val="正文缩进2格 Char"/>
    <w:link w:val="70"/>
    <w:qFormat/>
    <w:uiPriority w:val="0"/>
    <w:rPr>
      <w:rFonts w:ascii="仿宋_GB2312" w:hAnsi="宋体" w:eastAsia="仿宋_GB2312"/>
      <w:sz w:val="31"/>
      <w:szCs w:val="28"/>
    </w:rPr>
  </w:style>
  <w:style w:type="paragraph" w:customStyle="1" w:styleId="70">
    <w:name w:val="正文缩进2格"/>
    <w:basedOn w:val="1"/>
    <w:link w:val="69"/>
    <w:qFormat/>
    <w:uiPriority w:val="0"/>
    <w:pPr>
      <w:spacing w:line="600" w:lineRule="exact"/>
      <w:ind w:firstLine="639" w:firstLineChars="206"/>
    </w:pPr>
    <w:rPr>
      <w:rFonts w:ascii="仿宋_GB2312" w:hAnsi="宋体" w:eastAsia="仿宋_GB2312"/>
      <w:sz w:val="31"/>
      <w:szCs w:val="28"/>
    </w:rPr>
  </w:style>
  <w:style w:type="character" w:customStyle="1" w:styleId="71">
    <w:name w:val="批注文字 字符"/>
    <w:semiHidden/>
    <w:qFormat/>
    <w:uiPriority w:val="99"/>
    <w:rPr>
      <w:rFonts w:ascii="Times New Roman" w:hAnsi="Times New Roman"/>
      <w:kern w:val="2"/>
      <w:sz w:val="24"/>
      <w:szCs w:val="24"/>
    </w:rPr>
  </w:style>
  <w:style w:type="character" w:customStyle="1" w:styleId="72">
    <w:name w:val="正文文本缩进 Char"/>
    <w:qFormat/>
    <w:uiPriority w:val="0"/>
    <w:rPr>
      <w:rFonts w:ascii="Times New Roman" w:hAnsi="Times New Roman" w:eastAsia="宋体" w:cs="Times New Roman"/>
      <w:szCs w:val="20"/>
      <w:lang w:val="en-US" w:eastAsia="zh-CN"/>
    </w:rPr>
  </w:style>
  <w:style w:type="character" w:customStyle="1" w:styleId="73">
    <w:name w:val="批注框文本 字符1"/>
    <w:semiHidden/>
    <w:qFormat/>
    <w:uiPriority w:val="99"/>
    <w:rPr>
      <w:rFonts w:ascii="宋体" w:hAnsi="Calibri" w:eastAsia="宋体" w:cs="Times New Roman"/>
      <w:kern w:val="0"/>
      <w:sz w:val="18"/>
      <w:szCs w:val="18"/>
    </w:rPr>
  </w:style>
  <w:style w:type="character" w:customStyle="1" w:styleId="74">
    <w:name w:val="List Paragraph Char"/>
    <w:link w:val="75"/>
    <w:qFormat/>
    <w:uiPriority w:val="34"/>
    <w:rPr>
      <w:rFonts w:ascii="Calibri" w:hAnsi="Calibri"/>
    </w:rPr>
  </w:style>
  <w:style w:type="paragraph" w:customStyle="1" w:styleId="75">
    <w:name w:val="列出段落1"/>
    <w:basedOn w:val="1"/>
    <w:link w:val="74"/>
    <w:qFormat/>
    <w:uiPriority w:val="34"/>
    <w:pPr>
      <w:ind w:firstLine="420" w:firstLineChars="200"/>
    </w:pPr>
    <w:rPr>
      <w:rFonts w:ascii="Calibri" w:hAnsi="Calibri"/>
    </w:rPr>
  </w:style>
  <w:style w:type="character" w:customStyle="1" w:styleId="76">
    <w:name w:val="标书正文 字符"/>
    <w:link w:val="77"/>
    <w:qFormat/>
    <w:uiPriority w:val="0"/>
    <w:rPr>
      <w:rFonts w:ascii="Calibri" w:hAnsi="Calibri" w:eastAsia="仿宋"/>
      <w:sz w:val="24"/>
      <w:szCs w:val="21"/>
    </w:rPr>
  </w:style>
  <w:style w:type="paragraph" w:customStyle="1" w:styleId="77">
    <w:name w:val="标书正文"/>
    <w:basedOn w:val="1"/>
    <w:link w:val="76"/>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8">
    <w:name w:val="正文文本 字符"/>
    <w:semiHidden/>
    <w:qFormat/>
    <w:uiPriority w:val="99"/>
    <w:rPr>
      <w:rFonts w:ascii="Times New Roman" w:hAnsi="Times New Roman"/>
      <w:kern w:val="2"/>
      <w:sz w:val="24"/>
      <w:szCs w:val="24"/>
    </w:rPr>
  </w:style>
  <w:style w:type="character" w:customStyle="1" w:styleId="79">
    <w:name w:val="页脚 Char"/>
    <w:qFormat/>
    <w:uiPriority w:val="0"/>
    <w:rPr>
      <w:kern w:val="2"/>
      <w:sz w:val="18"/>
      <w:szCs w:val="18"/>
    </w:rPr>
  </w:style>
  <w:style w:type="character" w:customStyle="1" w:styleId="80">
    <w:name w:val="neir1"/>
    <w:qFormat/>
    <w:uiPriority w:val="0"/>
    <w:rPr>
      <w:rFonts w:hint="default" w:ascii="ˎ̥" w:hAnsi="ˎ̥"/>
      <w:color w:val="333333"/>
      <w:sz w:val="21"/>
      <w:szCs w:val="21"/>
      <w:u w:val="none"/>
    </w:rPr>
  </w:style>
  <w:style w:type="character" w:customStyle="1" w:styleId="81">
    <w:name w:val="批注框文本 Char1"/>
    <w:link w:val="28"/>
    <w:qFormat/>
    <w:uiPriority w:val="0"/>
    <w:rPr>
      <w:rFonts w:ascii="Times New Roman" w:hAnsi="Times New Roman" w:eastAsia="宋体" w:cs="Times New Roman"/>
      <w:sz w:val="18"/>
      <w:szCs w:val="18"/>
    </w:rPr>
  </w:style>
  <w:style w:type="character" w:customStyle="1" w:styleId="82">
    <w:name w:val="正文文本 3 字符1"/>
    <w:semiHidden/>
    <w:qFormat/>
    <w:uiPriority w:val="99"/>
    <w:rPr>
      <w:rFonts w:ascii="宋体" w:hAnsi="Calibri" w:eastAsia="宋体" w:cs="Times New Roman"/>
      <w:kern w:val="0"/>
      <w:sz w:val="16"/>
      <w:szCs w:val="16"/>
    </w:rPr>
  </w:style>
  <w:style w:type="character" w:customStyle="1" w:styleId="83">
    <w:name w:val="正文文本 字符3"/>
    <w:semiHidden/>
    <w:qFormat/>
    <w:uiPriority w:val="99"/>
    <w:rPr>
      <w:rFonts w:ascii="宋体" w:hAnsi="Calibri" w:eastAsia="宋体" w:cs="Times New Roman"/>
      <w:kern w:val="0"/>
      <w:sz w:val="24"/>
      <w:szCs w:val="24"/>
    </w:rPr>
  </w:style>
  <w:style w:type="character" w:customStyle="1" w:styleId="84">
    <w:name w:val="日期 字符1"/>
    <w:semiHidden/>
    <w:qFormat/>
    <w:uiPriority w:val="99"/>
    <w:rPr>
      <w:rFonts w:ascii="宋体" w:hAnsi="Calibri" w:eastAsia="宋体" w:cs="Times New Roman"/>
      <w:kern w:val="0"/>
      <w:sz w:val="24"/>
      <w:szCs w:val="24"/>
    </w:rPr>
  </w:style>
  <w:style w:type="character" w:customStyle="1" w:styleId="85">
    <w:name w:val="页脚 Char2"/>
    <w:link w:val="29"/>
    <w:qFormat/>
    <w:uiPriority w:val="99"/>
    <w:rPr>
      <w:rFonts w:ascii="宋体" w:eastAsia="宋体"/>
      <w:sz w:val="18"/>
      <w:szCs w:val="18"/>
    </w:rPr>
  </w:style>
  <w:style w:type="character" w:customStyle="1" w:styleId="86">
    <w:name w:val="吉奥正文 Char"/>
    <w:link w:val="87"/>
    <w:qFormat/>
    <w:locked/>
    <w:uiPriority w:val="0"/>
    <w:rPr>
      <w:rFonts w:eastAsia="仿宋_GB2312"/>
      <w:sz w:val="28"/>
    </w:rPr>
  </w:style>
  <w:style w:type="paragraph" w:customStyle="1" w:styleId="87">
    <w:name w:val="吉奥正文"/>
    <w:basedOn w:val="1"/>
    <w:link w:val="86"/>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8">
    <w:name w:val="页脚 Char1"/>
    <w:qFormat/>
    <w:uiPriority w:val="99"/>
    <w:rPr>
      <w:rFonts w:ascii="宋体" w:hAnsi="Times New Roman" w:eastAsia="宋体" w:cs="Times New Roman"/>
      <w:kern w:val="0"/>
      <w:sz w:val="18"/>
      <w:szCs w:val="18"/>
    </w:rPr>
  </w:style>
  <w:style w:type="character" w:customStyle="1" w:styleId="89">
    <w:name w:val="标题 字符"/>
    <w:qFormat/>
    <w:uiPriority w:val="10"/>
    <w:rPr>
      <w:rFonts w:ascii="Cambria" w:hAnsi="Cambria" w:eastAsia="宋体" w:cs="Times New Roman"/>
      <w:b/>
      <w:bCs/>
      <w:kern w:val="0"/>
      <w:sz w:val="32"/>
      <w:szCs w:val="32"/>
      <w:lang w:val="en-US" w:eastAsia="zh-CN"/>
    </w:rPr>
  </w:style>
  <w:style w:type="character" w:customStyle="1" w:styleId="90">
    <w:name w:val="题注 Char"/>
    <w:link w:val="13"/>
    <w:qFormat/>
    <w:uiPriority w:val="0"/>
    <w:rPr>
      <w:rFonts w:ascii="Arial" w:hAnsi="Arial" w:eastAsia="黑体" w:cs="Arial"/>
    </w:rPr>
  </w:style>
  <w:style w:type="character" w:customStyle="1" w:styleId="91">
    <w:name w:val="批注文字 字符2"/>
    <w:qFormat/>
    <w:uiPriority w:val="99"/>
    <w:rPr>
      <w:rFonts w:ascii="宋体" w:hAnsi="Times New Roman" w:eastAsia="宋体" w:cs="Times New Roman"/>
      <w:kern w:val="0"/>
      <w:sz w:val="24"/>
      <w:szCs w:val="24"/>
    </w:rPr>
  </w:style>
  <w:style w:type="character" w:customStyle="1" w:styleId="92">
    <w:name w:val="批注主题 字符1"/>
    <w:semiHidden/>
    <w:qFormat/>
    <w:uiPriority w:val="99"/>
    <w:rPr>
      <w:rFonts w:ascii="宋体" w:hAnsi="Calibri" w:eastAsia="宋体" w:cs="Times New Roman"/>
      <w:b/>
      <w:bCs/>
      <w:kern w:val="0"/>
      <w:sz w:val="24"/>
      <w:szCs w:val="24"/>
    </w:rPr>
  </w:style>
  <w:style w:type="character" w:customStyle="1" w:styleId="93">
    <w:name w:val="HTML 预设格式 Char"/>
    <w:link w:val="36"/>
    <w:qFormat/>
    <w:uiPriority w:val="99"/>
    <w:rPr>
      <w:rFonts w:ascii="Arial" w:hAnsi="Arial" w:eastAsia="宋体" w:cs="Arial"/>
      <w:szCs w:val="21"/>
    </w:rPr>
  </w:style>
  <w:style w:type="character" w:customStyle="1" w:styleId="94">
    <w:name w:val="标题 3.1 Char"/>
    <w:link w:val="95"/>
    <w:qFormat/>
    <w:uiPriority w:val="0"/>
    <w:rPr>
      <w:rFonts w:ascii="宋体" w:hAnsi="宋体"/>
      <w:b/>
      <w:bCs/>
      <w:sz w:val="32"/>
      <w:szCs w:val="32"/>
    </w:rPr>
  </w:style>
  <w:style w:type="paragraph" w:customStyle="1" w:styleId="95">
    <w:name w:val="标题 3.1"/>
    <w:basedOn w:val="4"/>
    <w:link w:val="94"/>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96">
    <w:name w:val="HTML 预设格式 Char1"/>
    <w:semiHidden/>
    <w:qFormat/>
    <w:uiPriority w:val="99"/>
    <w:rPr>
      <w:rFonts w:ascii="Courier New" w:hAnsi="Courier New" w:eastAsia="宋体" w:cs="Courier New"/>
      <w:kern w:val="0"/>
      <w:sz w:val="20"/>
      <w:szCs w:val="20"/>
    </w:rPr>
  </w:style>
  <w:style w:type="character" w:customStyle="1" w:styleId="97">
    <w:name w:val="批注文字 字符1"/>
    <w:qFormat/>
    <w:uiPriority w:val="0"/>
    <w:rPr>
      <w:rFonts w:eastAsia="宋体"/>
      <w:kern w:val="2"/>
      <w:sz w:val="24"/>
      <w:szCs w:val="24"/>
      <w:lang w:val="en-US" w:eastAsia="zh-CN" w:bidi="ar-SA"/>
    </w:rPr>
  </w:style>
  <w:style w:type="character" w:customStyle="1" w:styleId="98">
    <w:name w:val="正文文本缩进 字符2"/>
    <w:semiHidden/>
    <w:qFormat/>
    <w:uiPriority w:val="99"/>
    <w:rPr>
      <w:rFonts w:ascii="宋体" w:hAnsi="Calibri" w:eastAsia="宋体" w:cs="Times New Roman"/>
      <w:kern w:val="0"/>
      <w:sz w:val="24"/>
      <w:szCs w:val="24"/>
    </w:rPr>
  </w:style>
  <w:style w:type="character" w:customStyle="1" w:styleId="99">
    <w:name w:val="正文文本缩进 Char1"/>
    <w:link w:val="19"/>
    <w:qFormat/>
    <w:uiPriority w:val="0"/>
    <w:rPr>
      <w:rFonts w:ascii="Times New Roman" w:hAnsi="Times New Roman" w:eastAsia="宋体" w:cs="Times New Roman"/>
      <w:szCs w:val="20"/>
    </w:rPr>
  </w:style>
  <w:style w:type="character" w:customStyle="1" w:styleId="100">
    <w:name w:val="普通(网站) Char1"/>
    <w:link w:val="37"/>
    <w:qFormat/>
    <w:locked/>
    <w:uiPriority w:val="0"/>
    <w:rPr>
      <w:rFonts w:ascii="宋体" w:hAnsi="宋体"/>
      <w:sz w:val="15"/>
      <w:szCs w:val="15"/>
    </w:rPr>
  </w:style>
  <w:style w:type="character" w:customStyle="1" w:styleId="101">
    <w:name w:val="模板正文 Char"/>
    <w:link w:val="8"/>
    <w:qFormat/>
    <w:uiPriority w:val="0"/>
    <w:rPr>
      <w:rFonts w:ascii="宋体" w:eastAsia="仿宋"/>
      <w:sz w:val="24"/>
      <w:szCs w:val="21"/>
    </w:rPr>
  </w:style>
  <w:style w:type="character" w:customStyle="1" w:styleId="102">
    <w:name w:val="批注主题 Char"/>
    <w:semiHidden/>
    <w:qFormat/>
    <w:uiPriority w:val="99"/>
    <w:rPr>
      <w:b/>
      <w:bCs/>
      <w:kern w:val="2"/>
      <w:sz w:val="21"/>
    </w:rPr>
  </w:style>
  <w:style w:type="character" w:customStyle="1" w:styleId="103">
    <w:name w:val="正文文本 Char1"/>
    <w:qFormat/>
    <w:uiPriority w:val="0"/>
    <w:rPr>
      <w:rFonts w:ascii="宋体" w:hAnsi="Times New Roman" w:eastAsia="宋体" w:cs="Times New Roman"/>
      <w:kern w:val="0"/>
      <w:sz w:val="24"/>
      <w:szCs w:val="24"/>
    </w:rPr>
  </w:style>
  <w:style w:type="character" w:customStyle="1" w:styleId="104">
    <w:name w:val="正文文本 字符1"/>
    <w:qFormat/>
    <w:uiPriority w:val="99"/>
    <w:rPr>
      <w:rFonts w:ascii="宋体" w:eastAsia="宋体"/>
      <w:b/>
      <w:bCs/>
      <w:sz w:val="84"/>
      <w:szCs w:val="84"/>
      <w:lang w:val="zh-CN"/>
    </w:rPr>
  </w:style>
  <w:style w:type="character" w:customStyle="1" w:styleId="105">
    <w:name w:val="标题 1 Char"/>
    <w:qFormat/>
    <w:uiPriority w:val="9"/>
    <w:rPr>
      <w:rFonts w:ascii="宋体" w:hAnsi="Times New Roman" w:eastAsia="宋体" w:cs="Times New Roman"/>
      <w:kern w:val="0"/>
      <w:sz w:val="24"/>
      <w:szCs w:val="24"/>
    </w:rPr>
  </w:style>
  <w:style w:type="character" w:customStyle="1" w:styleId="106">
    <w:name w:val="正文文本 Char2"/>
    <w:qFormat/>
    <w:uiPriority w:val="99"/>
    <w:rPr>
      <w:rFonts w:ascii="宋体" w:eastAsia="宋体"/>
      <w:b/>
      <w:bCs/>
      <w:sz w:val="84"/>
      <w:szCs w:val="84"/>
      <w:lang w:val="zh-CN"/>
    </w:rPr>
  </w:style>
  <w:style w:type="character" w:customStyle="1" w:styleId="107">
    <w:name w:val="纯文本 Char2"/>
    <w:link w:val="25"/>
    <w:qFormat/>
    <w:uiPriority w:val="0"/>
    <w:rPr>
      <w:rFonts w:ascii="宋体" w:hAnsi="Courier New" w:eastAsia="宋体"/>
    </w:rPr>
  </w:style>
  <w:style w:type="character" w:customStyle="1" w:styleId="108">
    <w:name w:val="正文文本缩进 2 Char"/>
    <w:link w:val="27"/>
    <w:qFormat/>
    <w:uiPriority w:val="0"/>
    <w:rPr>
      <w:rFonts w:ascii="宋体" w:hAnsi="Times New Roman" w:eastAsia="宋体" w:cs="Times New Roman"/>
      <w:szCs w:val="20"/>
    </w:rPr>
  </w:style>
  <w:style w:type="character" w:customStyle="1" w:styleId="109">
    <w:name w:val="HTML Markup"/>
    <w:qFormat/>
    <w:uiPriority w:val="0"/>
    <w:rPr>
      <w:vanish/>
      <w:color w:val="FF0000"/>
    </w:rPr>
  </w:style>
  <w:style w:type="character" w:customStyle="1" w:styleId="110">
    <w:name w:val="页眉 Char1"/>
    <w:qFormat/>
    <w:uiPriority w:val="0"/>
    <w:rPr>
      <w:rFonts w:ascii="宋体" w:hAnsi="Times New Roman" w:eastAsia="宋体" w:cs="Times New Roman"/>
      <w:kern w:val="0"/>
      <w:sz w:val="18"/>
      <w:szCs w:val="18"/>
    </w:rPr>
  </w:style>
  <w:style w:type="character" w:customStyle="1" w:styleId="111">
    <w:name w:val="font11"/>
    <w:basedOn w:val="43"/>
    <w:qFormat/>
    <w:uiPriority w:val="0"/>
    <w:rPr>
      <w:rFonts w:hint="eastAsia" w:ascii="宋体" w:hAnsi="宋体" w:eastAsia="宋体" w:cs="宋体"/>
      <w:color w:val="FF0000"/>
      <w:sz w:val="22"/>
      <w:szCs w:val="22"/>
      <w:u w:val="none"/>
    </w:rPr>
  </w:style>
  <w:style w:type="character" w:customStyle="1" w:styleId="112">
    <w:name w:val="style61"/>
    <w:qFormat/>
    <w:uiPriority w:val="0"/>
    <w:rPr>
      <w:b/>
      <w:bCs/>
    </w:rPr>
  </w:style>
  <w:style w:type="character" w:customStyle="1" w:styleId="113">
    <w:name w:val="表头文字 Char"/>
    <w:link w:val="114"/>
    <w:qFormat/>
    <w:uiPriority w:val="0"/>
    <w:rPr>
      <w:rFonts w:eastAsia="仿宋_GB2312"/>
      <w:b/>
      <w:sz w:val="28"/>
      <w:szCs w:val="21"/>
    </w:rPr>
  </w:style>
  <w:style w:type="paragraph" w:customStyle="1" w:styleId="114">
    <w:name w:val="表头文字"/>
    <w:basedOn w:val="1"/>
    <w:link w:val="113"/>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15">
    <w:name w:val="日期 Char1"/>
    <w:link w:val="26"/>
    <w:qFormat/>
    <w:uiPriority w:val="99"/>
    <w:rPr>
      <w:rFonts w:ascii="宋体" w:hAnsi="Times New Roman" w:eastAsia="宋体" w:cs="Times New Roman"/>
      <w:b/>
      <w:bCs/>
      <w:szCs w:val="21"/>
      <w:lang w:val="zh-CN"/>
    </w:rPr>
  </w:style>
  <w:style w:type="character" w:customStyle="1" w:styleId="116">
    <w:name w:val="纯文本 Char1"/>
    <w:qFormat/>
    <w:uiPriority w:val="0"/>
    <w:rPr>
      <w:rFonts w:ascii="宋体" w:hAnsi="Courier New" w:eastAsia="宋体" w:cs="Courier New"/>
      <w:kern w:val="0"/>
      <w:szCs w:val="21"/>
    </w:rPr>
  </w:style>
  <w:style w:type="character" w:customStyle="1" w:styleId="117">
    <w:name w:val="批注主题 Char1"/>
    <w:link w:val="39"/>
    <w:qFormat/>
    <w:uiPriority w:val="99"/>
    <w:rPr>
      <w:rFonts w:ascii="宋体" w:hAnsi="Times New Roman" w:eastAsia="宋体" w:cs="Times New Roman"/>
      <w:b/>
      <w:bCs/>
      <w:kern w:val="0"/>
      <w:sz w:val="24"/>
      <w:szCs w:val="24"/>
    </w:rPr>
  </w:style>
  <w:style w:type="character" w:customStyle="1" w:styleId="118">
    <w:name w:val="纯文本 字符"/>
    <w:qFormat/>
    <w:uiPriority w:val="99"/>
    <w:rPr>
      <w:rFonts w:ascii="宋体" w:hAnsi="Courier New" w:eastAsia="宋体" w:cs="Times New Roman"/>
      <w:szCs w:val="20"/>
      <w:lang w:val="en-US" w:eastAsia="zh-CN"/>
    </w:rPr>
  </w:style>
  <w:style w:type="character" w:customStyle="1" w:styleId="119">
    <w:name w:val="font71"/>
    <w:qFormat/>
    <w:uiPriority w:val="0"/>
    <w:rPr>
      <w:rFonts w:hint="eastAsia" w:ascii="宋体" w:hAnsi="宋体" w:eastAsia="宋体" w:cs="宋体"/>
      <w:color w:val="FF0000"/>
      <w:sz w:val="18"/>
      <w:szCs w:val="18"/>
      <w:u w:val="none"/>
    </w:rPr>
  </w:style>
  <w:style w:type="character" w:customStyle="1" w:styleId="120">
    <w:name w:val="font21"/>
    <w:basedOn w:val="43"/>
    <w:qFormat/>
    <w:uiPriority w:val="0"/>
    <w:rPr>
      <w:rFonts w:hint="eastAsia" w:ascii="宋体" w:hAnsi="宋体" w:eastAsia="宋体" w:cs="宋体"/>
      <w:b/>
      <w:color w:val="000000"/>
      <w:sz w:val="21"/>
      <w:szCs w:val="21"/>
      <w:u w:val="none"/>
    </w:rPr>
  </w:style>
  <w:style w:type="character" w:customStyle="1" w:styleId="121">
    <w:name w:val="纯文本 字符3"/>
    <w:semiHidden/>
    <w:qFormat/>
    <w:uiPriority w:val="99"/>
    <w:rPr>
      <w:rFonts w:ascii="等线" w:hAnsi="Courier New" w:cs="Courier New"/>
      <w:kern w:val="0"/>
      <w:sz w:val="24"/>
      <w:szCs w:val="24"/>
    </w:rPr>
  </w:style>
  <w:style w:type="character" w:customStyle="1" w:styleId="122">
    <w:name w:val="font31"/>
    <w:qFormat/>
    <w:uiPriority w:val="0"/>
    <w:rPr>
      <w:rFonts w:hint="eastAsia" w:ascii="宋体" w:hAnsi="宋体" w:eastAsia="宋体" w:cs="宋体"/>
      <w:color w:val="000000"/>
      <w:sz w:val="18"/>
      <w:szCs w:val="18"/>
      <w:u w:val="none"/>
    </w:rPr>
  </w:style>
  <w:style w:type="character" w:customStyle="1" w:styleId="123">
    <w:name w:val="文档结构图 Char"/>
    <w:link w:val="14"/>
    <w:semiHidden/>
    <w:qFormat/>
    <w:uiPriority w:val="99"/>
    <w:rPr>
      <w:rFonts w:ascii="宋体" w:hAnsi="Times New Roman" w:eastAsia="宋体" w:cs="Times New Roman"/>
      <w:kern w:val="0"/>
      <w:sz w:val="24"/>
      <w:szCs w:val="24"/>
      <w:shd w:val="clear" w:color="auto" w:fill="000080"/>
    </w:rPr>
  </w:style>
  <w:style w:type="character" w:customStyle="1" w:styleId="124">
    <w:name w:val="普通(网站) 字符1"/>
    <w:qFormat/>
    <w:locked/>
    <w:uiPriority w:val="0"/>
    <w:rPr>
      <w:rFonts w:ascii="宋体" w:hAnsi="宋体"/>
      <w:sz w:val="15"/>
      <w:szCs w:val="15"/>
    </w:rPr>
  </w:style>
  <w:style w:type="character" w:customStyle="1" w:styleId="125">
    <w:name w:val="正文文本 Char3"/>
    <w:link w:val="18"/>
    <w:qFormat/>
    <w:uiPriority w:val="99"/>
    <w:rPr>
      <w:rFonts w:ascii="宋体" w:eastAsia="宋体"/>
      <w:b/>
      <w:bCs/>
      <w:sz w:val="84"/>
      <w:szCs w:val="84"/>
      <w:lang w:val="zh-CN"/>
    </w:rPr>
  </w:style>
  <w:style w:type="character" w:customStyle="1" w:styleId="126">
    <w:name w:val="标题 5 Char"/>
    <w:semiHidden/>
    <w:qFormat/>
    <w:uiPriority w:val="9"/>
    <w:rPr>
      <w:b/>
      <w:bCs/>
      <w:kern w:val="2"/>
      <w:sz w:val="28"/>
      <w:szCs w:val="28"/>
    </w:rPr>
  </w:style>
  <w:style w:type="character" w:customStyle="1" w:styleId="127">
    <w:name w:val="页眉 Char2"/>
    <w:link w:val="30"/>
    <w:qFormat/>
    <w:uiPriority w:val="99"/>
    <w:rPr>
      <w:rFonts w:ascii="宋体" w:eastAsia="宋体"/>
      <w:sz w:val="18"/>
      <w:szCs w:val="18"/>
    </w:rPr>
  </w:style>
  <w:style w:type="character" w:customStyle="1" w:styleId="128">
    <w:name w:val="表格文字 Char"/>
    <w:link w:val="129"/>
    <w:qFormat/>
    <w:uiPriority w:val="0"/>
    <w:rPr>
      <w:rFonts w:eastAsia="仿宋_GB2312"/>
      <w:sz w:val="28"/>
      <w:szCs w:val="24"/>
    </w:rPr>
  </w:style>
  <w:style w:type="paragraph" w:customStyle="1" w:styleId="129">
    <w:name w:val="表格文字"/>
    <w:basedOn w:val="1"/>
    <w:link w:val="128"/>
    <w:qFormat/>
    <w:uiPriority w:val="0"/>
    <w:rPr>
      <w:rFonts w:eastAsia="仿宋_GB2312"/>
      <w:sz w:val="28"/>
      <w:szCs w:val="24"/>
    </w:rPr>
  </w:style>
  <w:style w:type="character" w:customStyle="1" w:styleId="130">
    <w:name w:val="标题 字符2"/>
    <w:qFormat/>
    <w:uiPriority w:val="10"/>
    <w:rPr>
      <w:rFonts w:ascii="等线 Light" w:hAnsi="等线 Light" w:eastAsia="等线 Light" w:cs="Times New Roman"/>
      <w:b/>
      <w:bCs/>
      <w:kern w:val="0"/>
      <w:sz w:val="32"/>
      <w:szCs w:val="32"/>
    </w:rPr>
  </w:style>
  <w:style w:type="character" w:customStyle="1" w:styleId="131">
    <w:name w:val="正文缩进2格 Char Char"/>
    <w:qFormat/>
    <w:uiPriority w:val="0"/>
    <w:rPr>
      <w:rFonts w:ascii="仿宋_GB2312" w:hAnsi="宋体" w:eastAsia="仿宋_GB2312"/>
      <w:kern w:val="2"/>
      <w:sz w:val="31"/>
      <w:szCs w:val="28"/>
      <w:lang w:val="en-US" w:eastAsia="zh-CN" w:bidi="ar-SA"/>
    </w:rPr>
  </w:style>
  <w:style w:type="character" w:customStyle="1" w:styleId="132">
    <w:name w:val="小 Char"/>
    <w:qFormat/>
    <w:uiPriority w:val="0"/>
    <w:rPr>
      <w:rFonts w:ascii="宋体" w:hAnsi="Courier New" w:eastAsia="宋体"/>
      <w:kern w:val="2"/>
      <w:sz w:val="21"/>
      <w:lang w:val="en-US" w:eastAsia="zh-CN" w:bidi="ar-SA"/>
    </w:rPr>
  </w:style>
  <w:style w:type="character" w:customStyle="1" w:styleId="133">
    <w:name w:val="themebody1"/>
    <w:qFormat/>
    <w:uiPriority w:val="0"/>
    <w:rPr>
      <w:color w:val="FFFFFF"/>
    </w:rPr>
  </w:style>
  <w:style w:type="character" w:customStyle="1" w:styleId="134">
    <w:name w:val="页脚 字符1"/>
    <w:semiHidden/>
    <w:qFormat/>
    <w:uiPriority w:val="99"/>
    <w:rPr>
      <w:rFonts w:ascii="宋体" w:hAnsi="Calibri" w:eastAsia="宋体" w:cs="Times New Roman"/>
      <w:kern w:val="0"/>
      <w:sz w:val="18"/>
      <w:szCs w:val="18"/>
    </w:rPr>
  </w:style>
  <w:style w:type="character" w:customStyle="1" w:styleId="135">
    <w:name w:val="列出段落 Char"/>
    <w:link w:val="136"/>
    <w:qFormat/>
    <w:uiPriority w:val="34"/>
    <w:rPr>
      <w:kern w:val="2"/>
      <w:sz w:val="21"/>
      <w:szCs w:val="22"/>
    </w:rPr>
  </w:style>
  <w:style w:type="paragraph" w:styleId="136">
    <w:name w:val="List Paragraph"/>
    <w:basedOn w:val="1"/>
    <w:link w:val="135"/>
    <w:qFormat/>
    <w:uiPriority w:val="34"/>
    <w:pPr>
      <w:ind w:firstLine="420" w:firstLineChars="200"/>
    </w:pPr>
  </w:style>
  <w:style w:type="character" w:customStyle="1" w:styleId="137">
    <w:name w:val="正文文本 Char"/>
    <w:qFormat/>
    <w:uiPriority w:val="99"/>
    <w:rPr>
      <w:rFonts w:ascii="宋体" w:eastAsia="宋体"/>
      <w:b/>
      <w:bCs/>
      <w:sz w:val="84"/>
      <w:szCs w:val="84"/>
      <w:lang w:val="zh-CN"/>
    </w:rPr>
  </w:style>
  <w:style w:type="character" w:customStyle="1" w:styleId="138">
    <w:name w:val="页眉 字符1"/>
    <w:semiHidden/>
    <w:qFormat/>
    <w:uiPriority w:val="99"/>
    <w:rPr>
      <w:rFonts w:ascii="宋体" w:hAnsi="Calibri" w:eastAsia="宋体" w:cs="Times New Roman"/>
      <w:kern w:val="0"/>
      <w:sz w:val="18"/>
      <w:szCs w:val="18"/>
    </w:rPr>
  </w:style>
  <w:style w:type="character" w:customStyle="1" w:styleId="139">
    <w:name w:val="标题 5 Char1"/>
    <w:link w:val="6"/>
    <w:qFormat/>
    <w:uiPriority w:val="9"/>
    <w:rPr>
      <w:rFonts w:ascii="宋体" w:hAnsi="Calibri" w:eastAsia="宋体" w:cs="Times New Roman"/>
      <w:b/>
      <w:bCs/>
      <w:kern w:val="0"/>
      <w:sz w:val="28"/>
      <w:szCs w:val="28"/>
    </w:rPr>
  </w:style>
  <w:style w:type="character" w:customStyle="1" w:styleId="140">
    <w:name w:val="keyfeatures1"/>
    <w:qFormat/>
    <w:uiPriority w:val="0"/>
    <w:rPr>
      <w:rFonts w:hint="default" w:ascii="Arial" w:hAnsi="Arial" w:cs="Arial"/>
      <w:color w:val="003366"/>
      <w:sz w:val="17"/>
      <w:szCs w:val="17"/>
      <w:u w:val="none"/>
    </w:rPr>
  </w:style>
  <w:style w:type="character" w:customStyle="1" w:styleId="141">
    <w:name w:val="题注 字符"/>
    <w:qFormat/>
    <w:uiPriority w:val="0"/>
    <w:rPr>
      <w:rFonts w:ascii="宋体" w:hAnsi="宋体" w:eastAsia="黑体" w:cs="Times New Roman"/>
      <w:b/>
      <w:szCs w:val="21"/>
    </w:rPr>
  </w:style>
  <w:style w:type="character" w:customStyle="1" w:styleId="142">
    <w:name w:val="标题 4 Char"/>
    <w:qFormat/>
    <w:uiPriority w:val="0"/>
    <w:rPr>
      <w:rFonts w:ascii="宋体" w:hAnsi="宋体" w:eastAsia="宋体"/>
      <w:b/>
      <w:kern w:val="2"/>
      <w:sz w:val="21"/>
      <w:szCs w:val="24"/>
      <w:lang w:val="en-US" w:eastAsia="zh-CN" w:bidi="ar-SA"/>
    </w:rPr>
  </w:style>
  <w:style w:type="character" w:customStyle="1" w:styleId="143">
    <w:name w:val="批注文字 字符3"/>
    <w:semiHidden/>
    <w:qFormat/>
    <w:uiPriority w:val="99"/>
    <w:rPr>
      <w:rFonts w:ascii="宋体" w:hAnsi="Calibri" w:eastAsia="宋体" w:cs="Times New Roman"/>
      <w:kern w:val="0"/>
      <w:sz w:val="24"/>
      <w:szCs w:val="24"/>
    </w:rPr>
  </w:style>
  <w:style w:type="character" w:customStyle="1" w:styleId="144">
    <w:name w:val="纯文本 字符1"/>
    <w:qFormat/>
    <w:uiPriority w:val="0"/>
    <w:rPr>
      <w:rFonts w:ascii="宋体" w:hAnsi="Courier New" w:eastAsia="宋体"/>
      <w:kern w:val="2"/>
      <w:sz w:val="21"/>
      <w:szCs w:val="24"/>
      <w:lang w:val="en-US" w:eastAsia="zh-CN" w:bidi="ar-SA"/>
    </w:rPr>
  </w:style>
  <w:style w:type="character" w:customStyle="1" w:styleId="145">
    <w:name w:val="列出段落 Char1"/>
    <w:qFormat/>
    <w:uiPriority w:val="34"/>
    <w:rPr>
      <w:rFonts w:ascii="宋体"/>
      <w:sz w:val="24"/>
      <w:szCs w:val="24"/>
    </w:rPr>
  </w:style>
  <w:style w:type="character" w:customStyle="1" w:styleId="146">
    <w:name w:val="彩色列表 - 着色 1 字符"/>
    <w:link w:val="147"/>
    <w:qFormat/>
    <w:uiPriority w:val="0"/>
    <w:rPr>
      <w:rFonts w:ascii="Calibri" w:hAnsi="Calibri"/>
    </w:rPr>
  </w:style>
  <w:style w:type="paragraph" w:customStyle="1" w:styleId="147">
    <w:name w:val="彩色列表 - 着色 11"/>
    <w:basedOn w:val="1"/>
    <w:link w:val="146"/>
    <w:qFormat/>
    <w:uiPriority w:val="0"/>
    <w:pPr>
      <w:ind w:firstLine="420" w:firstLineChars="200"/>
    </w:pPr>
    <w:rPr>
      <w:rFonts w:ascii="Calibri" w:hAnsi="Calibri"/>
    </w:rPr>
  </w:style>
  <w:style w:type="character" w:customStyle="1" w:styleId="148">
    <w:name w:val="纯文本 Char"/>
    <w:qFormat/>
    <w:uiPriority w:val="0"/>
    <w:rPr>
      <w:rFonts w:ascii="宋体" w:hAnsi="Courier New" w:eastAsia="宋体" w:cs="Times New Roman"/>
      <w:szCs w:val="20"/>
    </w:rPr>
  </w:style>
  <w:style w:type="character" w:customStyle="1" w:styleId="149">
    <w:name w:val="标题 6 Char"/>
    <w:link w:val="7"/>
    <w:qFormat/>
    <w:uiPriority w:val="9"/>
    <w:rPr>
      <w:rFonts w:ascii="Times New Roman" w:hAnsi="Calibri" w:eastAsia="黑体" w:cs="Times New Roman"/>
      <w:b/>
      <w:bCs/>
      <w:kern w:val="0"/>
      <w:sz w:val="28"/>
      <w:szCs w:val="24"/>
    </w:rPr>
  </w:style>
  <w:style w:type="character" w:customStyle="1" w:styleId="150">
    <w:name w:val="正文文本 2 Char"/>
    <w:link w:val="35"/>
    <w:qFormat/>
    <w:uiPriority w:val="0"/>
    <w:rPr>
      <w:rFonts w:ascii="Arial" w:hAnsi="Arial" w:eastAsia="宋体" w:cs="Times New Roman"/>
      <w:color w:val="000000"/>
      <w:szCs w:val="24"/>
    </w:rPr>
  </w:style>
  <w:style w:type="character" w:customStyle="1" w:styleId="151">
    <w:name w:val="标题 3 Char"/>
    <w:link w:val="4"/>
    <w:qFormat/>
    <w:uiPriority w:val="0"/>
    <w:rPr>
      <w:rFonts w:ascii="宋体" w:hAnsi="Calibri" w:eastAsia="宋体" w:cs="Times New Roman"/>
      <w:kern w:val="0"/>
      <w:sz w:val="24"/>
      <w:szCs w:val="24"/>
    </w:rPr>
  </w:style>
  <w:style w:type="character" w:customStyle="1" w:styleId="152">
    <w:name w:val="正文文本缩进 2 字符1"/>
    <w:semiHidden/>
    <w:qFormat/>
    <w:uiPriority w:val="99"/>
    <w:rPr>
      <w:rFonts w:ascii="宋体" w:hAnsi="Calibri" w:eastAsia="宋体" w:cs="Times New Roman"/>
      <w:kern w:val="0"/>
      <w:sz w:val="24"/>
      <w:szCs w:val="24"/>
    </w:rPr>
  </w:style>
  <w:style w:type="character" w:customStyle="1" w:styleId="153">
    <w:name w:val="正文文本缩进 3 字符1"/>
    <w:semiHidden/>
    <w:qFormat/>
    <w:uiPriority w:val="99"/>
    <w:rPr>
      <w:rFonts w:ascii="宋体" w:hAnsi="Calibri" w:eastAsia="宋体" w:cs="Times New Roman"/>
      <w:kern w:val="0"/>
      <w:sz w:val="16"/>
      <w:szCs w:val="16"/>
    </w:rPr>
  </w:style>
  <w:style w:type="character" w:customStyle="1" w:styleId="154">
    <w:name w:val="正文文本 2 字符1"/>
    <w:semiHidden/>
    <w:qFormat/>
    <w:uiPriority w:val="99"/>
    <w:rPr>
      <w:rFonts w:ascii="宋体" w:hAnsi="Calibri" w:eastAsia="宋体" w:cs="Times New Roman"/>
      <w:kern w:val="0"/>
      <w:sz w:val="24"/>
      <w:szCs w:val="24"/>
    </w:rPr>
  </w:style>
  <w:style w:type="character" w:customStyle="1" w:styleId="155">
    <w:name w:val="eschoolnr"/>
    <w:qFormat/>
    <w:uiPriority w:val="0"/>
    <w:rPr>
      <w:sz w:val="23"/>
      <w:szCs w:val="23"/>
    </w:rPr>
  </w:style>
  <w:style w:type="character" w:customStyle="1" w:styleId="156">
    <w:name w:val="访问过的超链接1"/>
    <w:qFormat/>
    <w:uiPriority w:val="0"/>
    <w:rPr>
      <w:rFonts w:ascii="Arial" w:hAnsi="Arial" w:cs="Arial"/>
      <w:color w:val="000000"/>
      <w:sz w:val="20"/>
      <w:szCs w:val="20"/>
      <w:u w:val="none"/>
    </w:rPr>
  </w:style>
  <w:style w:type="character" w:customStyle="1" w:styleId="157">
    <w:name w:val="标题 1 Char1"/>
    <w:link w:val="2"/>
    <w:qFormat/>
    <w:uiPriority w:val="0"/>
    <w:rPr>
      <w:rFonts w:ascii="宋体" w:hAnsi="Calibri" w:eastAsia="宋体" w:cs="Times New Roman"/>
      <w:kern w:val="0"/>
      <w:sz w:val="24"/>
      <w:szCs w:val="24"/>
    </w:rPr>
  </w:style>
  <w:style w:type="character" w:customStyle="1" w:styleId="158">
    <w:name w:val="批注文字 Char1"/>
    <w:qFormat/>
    <w:uiPriority w:val="0"/>
    <w:rPr>
      <w:kern w:val="2"/>
      <w:sz w:val="21"/>
      <w:szCs w:val="24"/>
    </w:rPr>
  </w:style>
  <w:style w:type="character" w:customStyle="1" w:styleId="159">
    <w:name w:val="批注框文本 Char"/>
    <w:semiHidden/>
    <w:qFormat/>
    <w:uiPriority w:val="99"/>
    <w:rPr>
      <w:kern w:val="2"/>
      <w:sz w:val="18"/>
      <w:szCs w:val="18"/>
    </w:rPr>
  </w:style>
  <w:style w:type="character" w:customStyle="1" w:styleId="160">
    <w:name w:val="DAS正文 Char"/>
    <w:qFormat/>
    <w:uiPriority w:val="0"/>
    <w:rPr>
      <w:rFonts w:ascii="Verdana" w:hAnsi="Verdana" w:eastAsia="宋体"/>
      <w:kern w:val="2"/>
      <w:sz w:val="21"/>
      <w:szCs w:val="21"/>
      <w:lang w:val="en-US" w:eastAsia="zh-CN" w:bidi="ar-SA"/>
    </w:rPr>
  </w:style>
  <w:style w:type="character" w:customStyle="1" w:styleId="161">
    <w:name w:val="正文文本缩进 3 Char"/>
    <w:link w:val="33"/>
    <w:qFormat/>
    <w:uiPriority w:val="0"/>
    <w:rPr>
      <w:rFonts w:ascii="宋体" w:hAnsi="Times New Roman" w:eastAsia="宋体" w:cs="Times New Roman"/>
      <w:kern w:val="0"/>
      <w:sz w:val="24"/>
      <w:szCs w:val="24"/>
    </w:rPr>
  </w:style>
  <w:style w:type="character" w:customStyle="1" w:styleId="162">
    <w:name w:val="页眉 Char"/>
    <w:qFormat/>
    <w:uiPriority w:val="99"/>
    <w:rPr>
      <w:kern w:val="2"/>
      <w:sz w:val="18"/>
      <w:szCs w:val="18"/>
    </w:rPr>
  </w:style>
  <w:style w:type="character" w:customStyle="1" w:styleId="163">
    <w:name w:val="正文文本 3 Char"/>
    <w:link w:val="17"/>
    <w:qFormat/>
    <w:uiPriority w:val="0"/>
    <w:rPr>
      <w:rFonts w:ascii="宋体" w:hAnsi="Times New Roman" w:eastAsia="宋体" w:cs="Times New Roman"/>
      <w:b/>
      <w:bCs/>
      <w:color w:val="3366FF"/>
      <w:sz w:val="52"/>
      <w:szCs w:val="52"/>
      <w:lang w:val="zh-CN"/>
    </w:rPr>
  </w:style>
  <w:style w:type="character" w:customStyle="1" w:styleId="164">
    <w:name w:val="HTML 预设格式 字符1"/>
    <w:semiHidden/>
    <w:qFormat/>
    <w:uiPriority w:val="99"/>
    <w:rPr>
      <w:rFonts w:ascii="Courier New" w:hAnsi="Courier New" w:eastAsia="宋体" w:cs="Courier New"/>
      <w:kern w:val="0"/>
      <w:sz w:val="20"/>
      <w:szCs w:val="20"/>
    </w:rPr>
  </w:style>
  <w:style w:type="character" w:customStyle="1" w:styleId="165">
    <w:name w:val="彩色列表 - 强调文字颜色 1 Char"/>
    <w:link w:val="166"/>
    <w:qFormat/>
    <w:uiPriority w:val="0"/>
    <w:rPr>
      <w:rFonts w:ascii="宋体"/>
      <w:sz w:val="24"/>
      <w:szCs w:val="24"/>
    </w:rPr>
  </w:style>
  <w:style w:type="paragraph" w:customStyle="1" w:styleId="166">
    <w:name w:val="彩色列表 - 强调文字颜色 11"/>
    <w:basedOn w:val="1"/>
    <w:link w:val="165"/>
    <w:qFormat/>
    <w:uiPriority w:val="0"/>
    <w:pPr>
      <w:autoSpaceDE w:val="0"/>
      <w:autoSpaceDN w:val="0"/>
      <w:adjustRightInd w:val="0"/>
      <w:ind w:firstLine="420" w:firstLineChars="200"/>
      <w:jc w:val="left"/>
    </w:pPr>
    <w:rPr>
      <w:rFonts w:ascii="宋体"/>
      <w:sz w:val="24"/>
      <w:szCs w:val="24"/>
    </w:rPr>
  </w:style>
  <w:style w:type="character" w:customStyle="1" w:styleId="167">
    <w:name w:val="普通(网站) 字符"/>
    <w:qFormat/>
    <w:locked/>
    <w:uiPriority w:val="99"/>
    <w:rPr>
      <w:rFonts w:ascii="宋体" w:hAnsi="宋体" w:eastAsia="宋体" w:cs="Times New Roman"/>
      <w:kern w:val="0"/>
      <w:sz w:val="15"/>
      <w:szCs w:val="15"/>
      <w:lang w:val="en-US" w:eastAsia="zh-CN"/>
    </w:rPr>
  </w:style>
  <w:style w:type="paragraph" w:customStyle="1" w:styleId="168">
    <w:name w:val="_Style 123"/>
    <w:basedOn w:val="1"/>
    <w:next w:val="136"/>
    <w:qFormat/>
    <w:uiPriority w:val="34"/>
    <w:pPr>
      <w:spacing w:line="360" w:lineRule="auto"/>
      <w:ind w:firstLine="420" w:firstLineChars="200"/>
    </w:pPr>
    <w:rPr>
      <w:rFonts w:ascii="Calibri" w:hAnsi="Calibri" w:eastAsia="宋体" w:cs="Times New Roman"/>
    </w:rPr>
  </w:style>
  <w:style w:type="character" w:customStyle="1" w:styleId="169">
    <w:name w:val="纯文本 字符4"/>
    <w:basedOn w:val="43"/>
    <w:semiHidden/>
    <w:qFormat/>
    <w:uiPriority w:val="99"/>
    <w:rPr>
      <w:rFonts w:hAnsi="Courier New" w:cs="Courier New" w:asciiTheme="minorEastAsia"/>
    </w:rPr>
  </w:style>
  <w:style w:type="character" w:customStyle="1" w:styleId="170">
    <w:name w:val="批注文字 Char2"/>
    <w:basedOn w:val="43"/>
    <w:link w:val="16"/>
    <w:semiHidden/>
    <w:qFormat/>
    <w:uiPriority w:val="99"/>
  </w:style>
  <w:style w:type="character" w:customStyle="1" w:styleId="171">
    <w:name w:val="批注主题 字符2"/>
    <w:basedOn w:val="170"/>
    <w:semiHidden/>
    <w:qFormat/>
    <w:uiPriority w:val="99"/>
    <w:rPr>
      <w:b/>
      <w:bCs/>
    </w:rPr>
  </w:style>
  <w:style w:type="character" w:customStyle="1" w:styleId="172">
    <w:name w:val="标题 字符3"/>
    <w:basedOn w:val="43"/>
    <w:qFormat/>
    <w:uiPriority w:val="10"/>
    <w:rPr>
      <w:rFonts w:asciiTheme="majorHAnsi" w:hAnsiTheme="majorHAnsi" w:eastAsiaTheme="majorEastAsia" w:cstheme="majorBidi"/>
      <w:b/>
      <w:bCs/>
      <w:sz w:val="32"/>
      <w:szCs w:val="32"/>
    </w:rPr>
  </w:style>
  <w:style w:type="character" w:customStyle="1" w:styleId="173">
    <w:name w:val="正文文本缩进 字符3"/>
    <w:basedOn w:val="43"/>
    <w:semiHidden/>
    <w:qFormat/>
    <w:uiPriority w:val="99"/>
  </w:style>
  <w:style w:type="character" w:customStyle="1" w:styleId="174">
    <w:name w:val="正文文本 字符4"/>
    <w:basedOn w:val="43"/>
    <w:semiHidden/>
    <w:qFormat/>
    <w:uiPriority w:val="99"/>
  </w:style>
  <w:style w:type="character" w:customStyle="1" w:styleId="175">
    <w:name w:val="正文文本缩进 3 字符2"/>
    <w:basedOn w:val="43"/>
    <w:semiHidden/>
    <w:qFormat/>
    <w:uiPriority w:val="99"/>
    <w:rPr>
      <w:sz w:val="16"/>
      <w:szCs w:val="16"/>
    </w:rPr>
  </w:style>
  <w:style w:type="character" w:customStyle="1" w:styleId="176">
    <w:name w:val="页眉 字符2"/>
    <w:basedOn w:val="43"/>
    <w:semiHidden/>
    <w:qFormat/>
    <w:uiPriority w:val="99"/>
    <w:rPr>
      <w:sz w:val="18"/>
      <w:szCs w:val="18"/>
    </w:rPr>
  </w:style>
  <w:style w:type="character" w:customStyle="1" w:styleId="177">
    <w:name w:val="批注框文本 字符2"/>
    <w:basedOn w:val="43"/>
    <w:semiHidden/>
    <w:qFormat/>
    <w:uiPriority w:val="99"/>
    <w:rPr>
      <w:sz w:val="18"/>
      <w:szCs w:val="18"/>
    </w:rPr>
  </w:style>
  <w:style w:type="character" w:customStyle="1" w:styleId="178">
    <w:name w:val="HTML 预设格式 字符2"/>
    <w:basedOn w:val="43"/>
    <w:semiHidden/>
    <w:qFormat/>
    <w:uiPriority w:val="99"/>
    <w:rPr>
      <w:rFonts w:ascii="Courier New" w:hAnsi="Courier New" w:cs="Courier New"/>
      <w:sz w:val="20"/>
      <w:szCs w:val="20"/>
    </w:rPr>
  </w:style>
  <w:style w:type="character" w:customStyle="1" w:styleId="179">
    <w:name w:val="页脚 字符2"/>
    <w:basedOn w:val="43"/>
    <w:semiHidden/>
    <w:qFormat/>
    <w:uiPriority w:val="99"/>
    <w:rPr>
      <w:sz w:val="18"/>
      <w:szCs w:val="18"/>
    </w:rPr>
  </w:style>
  <w:style w:type="character" w:customStyle="1" w:styleId="180">
    <w:name w:val="正文文本缩进 2 字符2"/>
    <w:basedOn w:val="43"/>
    <w:semiHidden/>
    <w:qFormat/>
    <w:uiPriority w:val="99"/>
  </w:style>
  <w:style w:type="character" w:customStyle="1" w:styleId="181">
    <w:name w:val="正文文本 3 字符2"/>
    <w:basedOn w:val="43"/>
    <w:semiHidden/>
    <w:qFormat/>
    <w:uiPriority w:val="99"/>
    <w:rPr>
      <w:sz w:val="16"/>
      <w:szCs w:val="16"/>
    </w:rPr>
  </w:style>
  <w:style w:type="character" w:customStyle="1" w:styleId="182">
    <w:name w:val="正文文本 2 字符2"/>
    <w:basedOn w:val="43"/>
    <w:semiHidden/>
    <w:qFormat/>
    <w:uiPriority w:val="99"/>
  </w:style>
  <w:style w:type="paragraph" w:customStyle="1" w:styleId="183">
    <w:name w:val="WPSOffice手动目录 3"/>
    <w:qFormat/>
    <w:uiPriority w:val="0"/>
    <w:pPr>
      <w:ind w:left="400" w:leftChars="400"/>
    </w:pPr>
    <w:rPr>
      <w:rFonts w:ascii="Calibri" w:hAnsi="Calibri" w:eastAsia="宋体" w:cs="Times New Roman"/>
      <w:lang w:val="en-US" w:eastAsia="zh-CN" w:bidi="ar-SA"/>
    </w:rPr>
  </w:style>
  <w:style w:type="paragraph" w:customStyle="1" w:styleId="184">
    <w:name w:val="列表段落1"/>
    <w:basedOn w:val="1"/>
    <w:qFormat/>
    <w:uiPriority w:val="0"/>
    <w:pPr>
      <w:ind w:firstLine="420" w:firstLineChars="200"/>
    </w:pPr>
    <w:rPr>
      <w:rFonts w:ascii="Times New Roman" w:hAnsi="Times New Roman" w:eastAsia="宋体" w:cs="Times New Roman"/>
      <w:szCs w:val="20"/>
    </w:rPr>
  </w:style>
  <w:style w:type="character" w:customStyle="1" w:styleId="185">
    <w:name w:val="文档结构图 字符2"/>
    <w:basedOn w:val="43"/>
    <w:semiHidden/>
    <w:qFormat/>
    <w:uiPriority w:val="99"/>
    <w:rPr>
      <w:rFonts w:ascii="Microsoft YaHei UI" w:eastAsia="Microsoft YaHei UI"/>
      <w:sz w:val="18"/>
      <w:szCs w:val="18"/>
    </w:rPr>
  </w:style>
  <w:style w:type="character" w:customStyle="1" w:styleId="186">
    <w:name w:val="日期 字符2"/>
    <w:basedOn w:val="43"/>
    <w:semiHidden/>
    <w:qFormat/>
    <w:uiPriority w:val="99"/>
  </w:style>
  <w:style w:type="paragraph" w:customStyle="1" w:styleId="187">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88">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9">
    <w:name w:val="修订1"/>
    <w:semiHidden/>
    <w:qFormat/>
    <w:uiPriority w:val="99"/>
    <w:rPr>
      <w:rFonts w:ascii="宋体" w:hAnsi="Calibri" w:eastAsia="宋体" w:cs="Times New Roman"/>
      <w:sz w:val="24"/>
      <w:szCs w:val="24"/>
      <w:lang w:val="en-US" w:eastAsia="zh-CN" w:bidi="ar-SA"/>
    </w:rPr>
  </w:style>
  <w:style w:type="paragraph" w:customStyle="1" w:styleId="190">
    <w:name w:val="图/图注"/>
    <w:basedOn w:val="8"/>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91">
    <w:name w:val="Default"/>
    <w:basedOn w:val="192"/>
    <w:next w:val="32"/>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92">
    <w:name w:val="纯文本1"/>
    <w:basedOn w:val="1"/>
    <w:next w:val="1"/>
    <w:qFormat/>
    <w:uiPriority w:val="0"/>
    <w:pPr>
      <w:adjustRightInd w:val="0"/>
      <w:textAlignment w:val="baseline"/>
    </w:pPr>
    <w:rPr>
      <w:rFonts w:ascii="宋体" w:hAnsi="Courier New" w:eastAsia="楷体_GB2312"/>
      <w:sz w:val="26"/>
      <w:szCs w:val="20"/>
    </w:rPr>
  </w:style>
  <w:style w:type="paragraph" w:customStyle="1" w:styleId="193">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94">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95">
    <w:name w:val="p0"/>
    <w:basedOn w:val="1"/>
    <w:qFormat/>
    <w:uiPriority w:val="0"/>
    <w:pPr>
      <w:widowControl/>
    </w:pPr>
    <w:rPr>
      <w:rFonts w:ascii="Times New Roman" w:hAnsi="Calibri" w:eastAsia="宋体" w:cs="Times New Roman"/>
      <w:kern w:val="0"/>
      <w:szCs w:val="20"/>
    </w:rPr>
  </w:style>
  <w:style w:type="paragraph" w:customStyle="1" w:styleId="196">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7">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198">
    <w:name w:val="网格表 32"/>
    <w:basedOn w:val="2"/>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9">
    <w:name w:val="WPSOffice手动目录 1"/>
    <w:qFormat/>
    <w:uiPriority w:val="0"/>
    <w:rPr>
      <w:rFonts w:ascii="Calibri" w:hAnsi="Calibri" w:eastAsia="宋体" w:cs="Times New Roman"/>
      <w:lang w:val="en-US" w:eastAsia="zh-CN" w:bidi="ar-SA"/>
    </w:rPr>
  </w:style>
  <w:style w:type="paragraph" w:customStyle="1" w:styleId="200">
    <w:name w:val="_Style 69"/>
    <w:basedOn w:val="1"/>
    <w:next w:val="136"/>
    <w:qFormat/>
    <w:uiPriority w:val="34"/>
    <w:pPr>
      <w:spacing w:line="360" w:lineRule="auto"/>
      <w:ind w:firstLine="420" w:firstLineChars="200"/>
    </w:pPr>
    <w:rPr>
      <w:rFonts w:ascii="Calibri" w:hAnsi="Calibri" w:eastAsia="宋体" w:cs="Times New Roman"/>
    </w:rPr>
  </w:style>
  <w:style w:type="paragraph" w:customStyle="1" w:styleId="201">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202">
    <w:name w:val="保留正文"/>
    <w:basedOn w:val="18"/>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203">
    <w:name w:val="彩色底纹 - 着色 11"/>
    <w:semiHidden/>
    <w:qFormat/>
    <w:uiPriority w:val="99"/>
    <w:rPr>
      <w:rFonts w:ascii="宋体" w:hAnsi="Calibri" w:eastAsia="宋体" w:cs="Times New Roman"/>
      <w:sz w:val="24"/>
      <w:szCs w:val="24"/>
      <w:lang w:val="en-US" w:eastAsia="zh-CN" w:bidi="ar-SA"/>
    </w:rPr>
  </w:style>
  <w:style w:type="paragraph" w:customStyle="1" w:styleId="204">
    <w:name w:val="WPSOffice手动目录 2"/>
    <w:qFormat/>
    <w:uiPriority w:val="0"/>
    <w:pPr>
      <w:ind w:left="200" w:leftChars="200"/>
    </w:pPr>
    <w:rPr>
      <w:rFonts w:ascii="Calibri" w:hAnsi="Calibri" w:eastAsia="宋体" w:cs="Times New Roman"/>
      <w:lang w:val="en-US" w:eastAsia="zh-CN" w:bidi="ar-SA"/>
    </w:rPr>
  </w:style>
  <w:style w:type="paragraph" w:customStyle="1" w:styleId="205">
    <w:name w:val="网格表 31"/>
    <w:basedOn w:val="2"/>
    <w:next w:val="1"/>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206">
    <w:name w:val="表格文字居中"/>
    <w:basedOn w:val="129"/>
    <w:qFormat/>
    <w:uiPriority w:val="0"/>
    <w:pPr>
      <w:jc w:val="center"/>
    </w:pPr>
    <w:rPr>
      <w:rFonts w:cs="宋体"/>
      <w:szCs w:val="20"/>
    </w:rPr>
  </w:style>
  <w:style w:type="paragraph" w:customStyle="1" w:styleId="207">
    <w:name w:val="正文缩进4格"/>
    <w:basedOn w:val="70"/>
    <w:qFormat/>
    <w:uiPriority w:val="0"/>
    <w:pPr>
      <w:spacing w:line="360" w:lineRule="auto"/>
      <w:ind w:left="964" w:leftChars="314" w:hanging="210" w:hangingChars="100"/>
    </w:pPr>
    <w:rPr>
      <w:rFonts w:ascii="宋体" w:eastAsia="宋体"/>
      <w:sz w:val="21"/>
      <w:szCs w:val="21"/>
      <w:lang w:val="zh-CN"/>
    </w:rPr>
  </w:style>
  <w:style w:type="paragraph" w:customStyle="1" w:styleId="208">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9">
    <w:name w:val="正文首行缩进 Char"/>
    <w:basedOn w:val="125"/>
    <w:link w:val="40"/>
    <w:semiHidden/>
    <w:qFormat/>
    <w:uiPriority w:val="99"/>
    <w:rPr>
      <w:rFonts w:ascii="宋体" w:eastAsia="宋体"/>
      <w:b w:val="0"/>
      <w:bCs w:val="0"/>
      <w:sz w:val="84"/>
      <w:szCs w:val="84"/>
      <w:lang w:val="zh-CN"/>
    </w:rPr>
  </w:style>
  <w:style w:type="paragraph" w:customStyle="1" w:styleId="210">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11">
    <w:name w:val="Other|1"/>
    <w:basedOn w:val="1"/>
    <w:autoRedefine/>
    <w:qFormat/>
    <w:uiPriority w:val="0"/>
    <w:pPr>
      <w:spacing w:after="100"/>
      <w:jc w:val="center"/>
    </w:pPr>
    <w:rPr>
      <w:rFonts w:ascii="宋体" w:hAnsi="宋体" w:cs="宋体"/>
      <w:sz w:val="22"/>
      <w:szCs w:val="22"/>
      <w:lang w:val="zh-TW" w:eastAsia="zh-TW" w:bidi="zh-TW"/>
    </w:rPr>
  </w:style>
  <w:style w:type="paragraph" w:customStyle="1" w:styleId="212">
    <w:name w:val="Table Text"/>
    <w:basedOn w:val="1"/>
    <w:semiHidden/>
    <w:qFormat/>
    <w:uiPriority w:val="0"/>
    <w:rPr>
      <w:rFonts w:ascii="宋体" w:hAnsi="宋体" w:eastAsia="宋体" w:cs="宋体"/>
      <w:sz w:val="22"/>
      <w:szCs w:val="22"/>
      <w:lang w:val="en-US" w:eastAsia="en-US" w:bidi="ar-SA"/>
    </w:rPr>
  </w:style>
  <w:style w:type="table" w:customStyle="1" w:styleId="213">
    <w:name w:val="Table Normal"/>
    <w:semiHidden/>
    <w:unhideWhenUsed/>
    <w:qFormat/>
    <w:uiPriority w:val="0"/>
    <w:tblPr>
      <w:tblCellMar>
        <w:top w:w="0" w:type="dxa"/>
        <w:left w:w="0" w:type="dxa"/>
        <w:bottom w:w="0" w:type="dxa"/>
        <w:right w:w="0" w:type="dxa"/>
      </w:tblCellMar>
    </w:tblPr>
  </w:style>
  <w:style w:type="character" w:customStyle="1" w:styleId="214">
    <w:name w:val="font41"/>
    <w:basedOn w:val="43"/>
    <w:qFormat/>
    <w:uiPriority w:val="0"/>
    <w:rPr>
      <w:rFonts w:ascii="Arial" w:hAnsi="Arial" w:cs="Arial"/>
      <w:b/>
      <w:bCs/>
      <w:color w:val="000000"/>
      <w:sz w:val="28"/>
      <w:szCs w:val="28"/>
      <w:u w:val="none"/>
    </w:rPr>
  </w:style>
  <w:style w:type="character" w:customStyle="1" w:styleId="215">
    <w:name w:val="font51"/>
    <w:basedOn w:val="43"/>
    <w:qFormat/>
    <w:uiPriority w:val="0"/>
    <w:rPr>
      <w:rFonts w:hint="eastAsia" w:ascii="宋体" w:hAnsi="宋体" w:eastAsia="宋体" w:cs="宋体"/>
      <w:b/>
      <w:bCs/>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4.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header" Target="header5.xml"/><Relationship Id="rId17" Type="http://schemas.openxmlformats.org/officeDocument/2006/relationships/footer" Target="footer11.xml"/><Relationship Id="rId16" Type="http://schemas.openxmlformats.org/officeDocument/2006/relationships/header" Target="header4.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166</Pages>
  <Words>120675</Words>
  <Characters>126603</Characters>
  <Lines>314</Lines>
  <Paragraphs>88</Paragraphs>
  <TotalTime>2</TotalTime>
  <ScaleCrop>false</ScaleCrop>
  <LinksUpToDate>false</LinksUpToDate>
  <CharactersWithSpaces>130630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penguin</cp:lastModifiedBy>
  <cp:lastPrinted>2025-11-28T08:55:00Z</cp:lastPrinted>
  <dcterms:modified xsi:type="dcterms:W3CDTF">2026-01-05T02:38:03Z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17D9B8C4F19C44FA98F893E648166728_13</vt:lpwstr>
  </property>
  <property fmtid="{D5CDD505-2E9C-101B-9397-08002B2CF9AE}" pid="4" name="KSOTemplateDocerSaveRecord">
    <vt:lpwstr>eyJoZGlkIjoiN2RjN2Q0MzEwZjY1MWViM2ZmMWM4MzNjNWUxYmIyZGQiLCJ1c2VySWQiOiI1MTIzMzE3NTAifQ==</vt:lpwstr>
  </property>
</Properties>
</file>